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31519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531521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531523_73709187">
            <w:r>
              <w:rPr>
                <w:webHidden/>
                <w:rStyle w:val="IndexLink"/>
                <w:rtl w:val="true"/>
              </w:rPr>
              <w:t>تتمة كتاب الصلاة</w:t>
            </w:r>
            <w:r>
              <w:rPr>
                <w:rStyle w:val="IndexLink"/>
                <w:rtl w:val="true"/>
              </w:rPr>
              <w:tab/>
            </w:r>
            <w:r>
              <w:rPr>
                <w:rStyle w:val="IndexLink"/>
              </w:rPr>
              <w:t>12</w:t>
            </w:r>
          </w:hyperlink>
        </w:p>
        <w:p>
          <w:pPr>
            <w:pStyle w:val="Contents3"/>
            <w:tabs>
              <w:tab w:val="clear" w:pos="8459"/>
              <w:tab w:val="right" w:pos="9026" w:leader="dot"/>
            </w:tabs>
            <w:rPr/>
          </w:pPr>
          <w:hyperlink w:anchor="__RefHeading___Toc10531525_73709187">
            <w:r>
              <w:rPr>
                <w:webHidden/>
                <w:rStyle w:val="IndexLink"/>
                <w:rtl w:val="true"/>
              </w:rPr>
              <w:t>تتمة الباب السادس في صلاة الجماعة</w:t>
            </w:r>
            <w:r>
              <w:rPr>
                <w:rStyle w:val="IndexLink"/>
                <w:rtl w:val="true"/>
              </w:rPr>
              <w:tab/>
            </w:r>
            <w:r>
              <w:rPr>
                <w:rStyle w:val="IndexLink"/>
              </w:rPr>
              <w:t>12</w:t>
            </w:r>
          </w:hyperlink>
        </w:p>
        <w:p>
          <w:pPr>
            <w:pStyle w:val="Contents4"/>
            <w:tabs>
              <w:tab w:val="clear" w:pos="8176"/>
              <w:tab w:val="right" w:pos="9026" w:leader="dot"/>
            </w:tabs>
            <w:rPr/>
          </w:pPr>
          <w:hyperlink w:anchor="__RefHeading___Toc10531527_73709187">
            <w:r>
              <w:rPr>
                <w:webHidden/>
                <w:rStyle w:val="IndexLink"/>
                <w:rtl w:val="true"/>
              </w:rPr>
              <w:t>تتمة شروط الجماعة</w:t>
            </w:r>
            <w:r>
              <w:rPr>
                <w:rStyle w:val="IndexLink"/>
                <w:rtl w:val="true"/>
              </w:rPr>
              <w:tab/>
            </w:r>
            <w:r>
              <w:rPr>
                <w:rStyle w:val="IndexLink"/>
              </w:rPr>
              <w:t>12</w:t>
            </w:r>
          </w:hyperlink>
        </w:p>
        <w:p>
          <w:pPr>
            <w:pStyle w:val="Contents5"/>
            <w:tabs>
              <w:tab w:val="clear" w:pos="7892"/>
              <w:tab w:val="right" w:pos="9026" w:leader="dot"/>
            </w:tabs>
            <w:rPr/>
          </w:pPr>
          <w:hyperlink w:anchor="__RefHeading___Toc10531529_73709187">
            <w:r>
              <w:rPr>
                <w:webHidden/>
                <w:rStyle w:val="IndexLink"/>
                <w:rtl w:val="true"/>
              </w:rPr>
              <w:t>تتمة الشرط الأول النية</w:t>
            </w:r>
            <w:r>
              <w:rPr>
                <w:rStyle w:val="IndexLink"/>
                <w:rtl w:val="true"/>
              </w:rPr>
              <w:tab/>
            </w:r>
            <w:r>
              <w:rPr>
                <w:rStyle w:val="IndexLink"/>
              </w:rPr>
              <w:t>12</w:t>
            </w:r>
          </w:hyperlink>
        </w:p>
        <w:p>
          <w:pPr>
            <w:pStyle w:val="Contents6"/>
            <w:tabs>
              <w:tab w:val="clear" w:pos="7609"/>
              <w:tab w:val="right" w:pos="9026" w:leader="dot"/>
            </w:tabs>
            <w:rPr/>
          </w:pPr>
          <w:hyperlink w:anchor="__RefHeading___Toc10531531_73709187">
            <w:r>
              <w:rPr>
                <w:webHidden/>
                <w:rStyle w:val="IndexLink"/>
                <w:rtl w:val="true"/>
              </w:rPr>
              <w:t>تنبيهات صلاة الجماعة</w:t>
            </w:r>
            <w:r>
              <w:rPr>
                <w:rStyle w:val="IndexLink"/>
                <w:rtl w:val="true"/>
              </w:rPr>
              <w:tab/>
            </w:r>
            <w:r>
              <w:rPr>
                <w:rStyle w:val="IndexLink"/>
              </w:rPr>
              <w:t>12</w:t>
            </w:r>
          </w:hyperlink>
        </w:p>
        <w:p>
          <w:pPr>
            <w:pStyle w:val="Contents5"/>
            <w:tabs>
              <w:tab w:val="clear" w:pos="7892"/>
              <w:tab w:val="right" w:pos="9026" w:leader="dot"/>
            </w:tabs>
            <w:rPr/>
          </w:pPr>
          <w:hyperlink w:anchor="__RefHeading___Toc10531533_73709187">
            <w:r>
              <w:rPr>
                <w:webHidden/>
                <w:rStyle w:val="IndexLink"/>
                <w:rtl w:val="true"/>
              </w:rPr>
              <w:t>اعتبار عدم الحائل بين الإمام والمأموم</w:t>
            </w:r>
            <w:r>
              <w:rPr>
                <w:rStyle w:val="IndexLink"/>
                <w:rtl w:val="true"/>
              </w:rPr>
              <w:tab/>
            </w:r>
            <w:r>
              <w:rPr>
                <w:rStyle w:val="IndexLink"/>
              </w:rPr>
              <w:t>15</w:t>
            </w:r>
          </w:hyperlink>
        </w:p>
        <w:p>
          <w:pPr>
            <w:pStyle w:val="Contents6"/>
            <w:tabs>
              <w:tab w:val="clear" w:pos="7609"/>
              <w:tab w:val="right" w:pos="9026" w:leader="dot"/>
            </w:tabs>
            <w:rPr/>
          </w:pPr>
          <w:hyperlink w:anchor="__RefHeading___Toc10531535_73709187">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10531537_73709187">
            <w:r>
              <w:rPr>
                <w:webHidden/>
                <w:rStyle w:val="IndexLink"/>
                <w:rtl w:val="true"/>
              </w:rPr>
              <w:t>فروع صلاة الجماعة</w:t>
            </w:r>
            <w:r>
              <w:rPr>
                <w:rStyle w:val="IndexLink"/>
                <w:rtl w:val="true"/>
              </w:rPr>
              <w:tab/>
            </w:r>
            <w:r>
              <w:rPr>
                <w:rStyle w:val="IndexLink"/>
              </w:rPr>
              <w:t>18</w:t>
            </w:r>
          </w:hyperlink>
        </w:p>
        <w:p>
          <w:pPr>
            <w:pStyle w:val="Contents6"/>
            <w:tabs>
              <w:tab w:val="clear" w:pos="7609"/>
              <w:tab w:val="right" w:pos="9026" w:leader="dot"/>
            </w:tabs>
            <w:rPr/>
          </w:pPr>
          <w:hyperlink w:anchor="__RefHeading___Toc10531539_73709187">
            <w:r>
              <w:rPr>
                <w:webHidden/>
                <w:rStyle w:val="IndexLink"/>
                <w:rtl w:val="true"/>
              </w:rPr>
              <w:t>الحكم الذي مرَّ ذكره إنّما هو ثابتٌ في حقّ الرِّجال</w:t>
            </w:r>
            <w:r>
              <w:rPr>
                <w:rStyle w:val="IndexLink"/>
                <w:rtl w:val="true"/>
              </w:rPr>
              <w:tab/>
            </w:r>
            <w:r>
              <w:rPr>
                <w:rStyle w:val="IndexLink"/>
              </w:rPr>
              <w:t>18</w:t>
            </w:r>
          </w:hyperlink>
        </w:p>
        <w:p>
          <w:pPr>
            <w:pStyle w:val="Contents6"/>
            <w:tabs>
              <w:tab w:val="clear" w:pos="7609"/>
              <w:tab w:val="right" w:pos="9026" w:leader="dot"/>
            </w:tabs>
            <w:rPr/>
          </w:pPr>
          <w:hyperlink w:anchor="__RefHeading___Toc10531541_73709187">
            <w:r>
              <w:rPr>
                <w:webHidden/>
                <w:rStyle w:val="IndexLink"/>
                <w:rtl w:val="true"/>
              </w:rPr>
              <w:t>إذا كان الحائل في بعض أحوال الصَّلاة من قيامٍ أو قعودٍ أو ركوعٍ‌</w:t>
            </w:r>
            <w:r>
              <w:rPr>
                <w:rStyle w:val="IndexLink"/>
                <w:rtl w:val="true"/>
              </w:rPr>
              <w:tab/>
            </w:r>
            <w:r>
              <w:rPr>
                <w:rStyle w:val="IndexLink"/>
              </w:rPr>
              <w:t>19</w:t>
            </w:r>
          </w:hyperlink>
        </w:p>
        <w:p>
          <w:pPr>
            <w:pStyle w:val="Contents6"/>
            <w:tabs>
              <w:tab w:val="clear" w:pos="7609"/>
              <w:tab w:val="right" w:pos="9026" w:leader="dot"/>
            </w:tabs>
            <w:rPr/>
          </w:pPr>
          <w:hyperlink w:anchor="__RefHeading___Toc10531543_73709187">
            <w:r>
              <w:rPr>
                <w:webHidden/>
                <w:rStyle w:val="IndexLink"/>
                <w:rtl w:val="true"/>
              </w:rPr>
              <w:t>إذا كان الحائل بحيث يتحقّق معه المشاهدة في حال الصَّلاة</w:t>
            </w:r>
            <w:r>
              <w:rPr>
                <w:rStyle w:val="IndexLink"/>
                <w:rtl w:val="true"/>
              </w:rPr>
              <w:tab/>
            </w:r>
            <w:r>
              <w:rPr>
                <w:rStyle w:val="IndexLink"/>
              </w:rPr>
              <w:t>20</w:t>
            </w:r>
          </w:hyperlink>
        </w:p>
        <w:p>
          <w:pPr>
            <w:pStyle w:val="Contents6"/>
            <w:tabs>
              <w:tab w:val="clear" w:pos="7609"/>
              <w:tab w:val="right" w:pos="9026" w:leader="dot"/>
            </w:tabs>
            <w:rPr/>
          </w:pPr>
          <w:hyperlink w:anchor="__RefHeading___Toc10531545_73709187">
            <w:r>
              <w:rPr>
                <w:webHidden/>
                <w:rStyle w:val="IndexLink"/>
                <w:rtl w:val="true"/>
              </w:rPr>
              <w:t>حكم جماعة من بجناحي من يكون بحيال الباب</w:t>
            </w:r>
            <w:r>
              <w:rPr>
                <w:rStyle w:val="IndexLink"/>
                <w:rtl w:val="true"/>
              </w:rPr>
              <w:tab/>
            </w:r>
            <w:r>
              <w:rPr>
                <w:rStyle w:val="IndexLink"/>
              </w:rPr>
              <w:t>21</w:t>
            </w:r>
          </w:hyperlink>
        </w:p>
        <w:p>
          <w:pPr>
            <w:pStyle w:val="Contents6"/>
            <w:tabs>
              <w:tab w:val="clear" w:pos="7609"/>
              <w:tab w:val="right" w:pos="9026" w:leader="dot"/>
            </w:tabs>
            <w:rPr/>
          </w:pPr>
          <w:hyperlink w:anchor="__RefHeading___Toc10531547_73709187">
            <w:r>
              <w:rPr>
                <w:webHidden/>
                <w:rStyle w:val="IndexLink"/>
                <w:rtl w:val="true"/>
              </w:rPr>
              <w:t>لو شكّ في وجود الحائل</w:t>
            </w:r>
            <w:r>
              <w:rPr>
                <w:rStyle w:val="IndexLink"/>
                <w:rtl w:val="true"/>
              </w:rPr>
              <w:tab/>
            </w:r>
            <w:r>
              <w:rPr>
                <w:rStyle w:val="IndexLink"/>
              </w:rPr>
              <w:t>25</w:t>
            </w:r>
          </w:hyperlink>
        </w:p>
        <w:p>
          <w:pPr>
            <w:pStyle w:val="Contents5"/>
            <w:tabs>
              <w:tab w:val="clear" w:pos="7892"/>
              <w:tab w:val="right" w:pos="9026" w:leader="dot"/>
            </w:tabs>
            <w:rPr/>
          </w:pPr>
          <w:hyperlink w:anchor="__RefHeading___Toc10531549_73709187">
            <w:r>
              <w:rPr>
                <w:webHidden/>
                <w:rStyle w:val="IndexLink"/>
                <w:rtl w:val="true"/>
              </w:rPr>
              <w:t>اعتبار عدم العلوّ</w:t>
            </w:r>
            <w:r>
              <w:rPr>
                <w:rStyle w:val="IndexLink"/>
                <w:rtl w:val="true"/>
              </w:rPr>
              <w:tab/>
            </w:r>
            <w:r>
              <w:rPr>
                <w:rStyle w:val="IndexLink"/>
              </w:rPr>
              <w:t>27</w:t>
            </w:r>
          </w:hyperlink>
        </w:p>
        <w:p>
          <w:pPr>
            <w:pStyle w:val="Contents5"/>
            <w:tabs>
              <w:tab w:val="clear" w:pos="7892"/>
              <w:tab w:val="right" w:pos="9026" w:leader="dot"/>
            </w:tabs>
            <w:rPr/>
          </w:pPr>
          <w:hyperlink w:anchor="__RefHeading___Toc10531551_73709187">
            <w:r>
              <w:rPr>
                <w:webHidden/>
                <w:rStyle w:val="IndexLink"/>
                <w:rtl w:val="true"/>
              </w:rPr>
              <w:t>اعتبار عدم التباعد</w:t>
            </w:r>
            <w:r>
              <w:rPr>
                <w:rStyle w:val="IndexLink"/>
                <w:rtl w:val="true"/>
              </w:rPr>
              <w:tab/>
            </w:r>
            <w:r>
              <w:rPr>
                <w:rStyle w:val="IndexLink"/>
              </w:rPr>
              <w:t>32</w:t>
            </w:r>
          </w:hyperlink>
        </w:p>
        <w:p>
          <w:pPr>
            <w:pStyle w:val="Contents5"/>
            <w:tabs>
              <w:tab w:val="clear" w:pos="7892"/>
              <w:tab w:val="right" w:pos="9026" w:leader="dot"/>
            </w:tabs>
            <w:rPr/>
          </w:pPr>
          <w:hyperlink w:anchor="__RefHeading___Toc10531553_73709187">
            <w:r>
              <w:rPr>
                <w:webHidden/>
                <w:rStyle w:val="IndexLink"/>
                <w:rtl w:val="true"/>
              </w:rPr>
              <w:t>اعتبار عدم تقدّم المأموم على الإمام</w:t>
            </w:r>
            <w:r>
              <w:rPr>
                <w:rStyle w:val="IndexLink"/>
                <w:rtl w:val="true"/>
              </w:rPr>
              <w:tab/>
            </w:r>
            <w:r>
              <w:rPr>
                <w:rStyle w:val="IndexLink"/>
              </w:rPr>
              <w:t>38</w:t>
            </w:r>
          </w:hyperlink>
        </w:p>
        <w:p>
          <w:pPr>
            <w:pStyle w:val="Contents5"/>
            <w:tabs>
              <w:tab w:val="clear" w:pos="7892"/>
              <w:tab w:val="right" w:pos="9026" w:leader="dot"/>
            </w:tabs>
            <w:rPr/>
          </w:pPr>
          <w:hyperlink w:anchor="__RefHeading___Toc10531555_73709187">
            <w:r>
              <w:rPr>
                <w:webHidden/>
                <w:rStyle w:val="IndexLink"/>
                <w:rtl w:val="true"/>
              </w:rPr>
              <w:t>التنبيه على أمرين مناسبين للمقام</w:t>
            </w:r>
            <w:r>
              <w:rPr>
                <w:rStyle w:val="IndexLink"/>
                <w:rtl w:val="true"/>
              </w:rPr>
              <w:tab/>
            </w:r>
            <w:r>
              <w:rPr>
                <w:rStyle w:val="IndexLink"/>
              </w:rPr>
              <w:t>43</w:t>
            </w:r>
          </w:hyperlink>
        </w:p>
        <w:p>
          <w:pPr>
            <w:pStyle w:val="Contents6"/>
            <w:tabs>
              <w:tab w:val="clear" w:pos="7609"/>
              <w:tab w:val="right" w:pos="9026" w:leader="dot"/>
            </w:tabs>
            <w:rPr/>
          </w:pPr>
          <w:hyperlink w:anchor="__RefHeading___Toc10531557_73709187">
            <w:r>
              <w:rPr>
                <w:webHidden/>
                <w:rStyle w:val="IndexLink"/>
                <w:rtl w:val="true"/>
              </w:rPr>
              <w:t>الجماعة حول الكعبة</w:t>
            </w:r>
            <w:r>
              <w:rPr>
                <w:rStyle w:val="IndexLink"/>
                <w:rtl w:val="true"/>
              </w:rPr>
              <w:tab/>
            </w:r>
            <w:r>
              <w:rPr>
                <w:rStyle w:val="IndexLink"/>
              </w:rPr>
              <w:t>43</w:t>
            </w:r>
          </w:hyperlink>
        </w:p>
        <w:p>
          <w:pPr>
            <w:pStyle w:val="Contents6"/>
            <w:tabs>
              <w:tab w:val="clear" w:pos="7609"/>
              <w:tab w:val="right" w:pos="9026" w:leader="dot"/>
            </w:tabs>
            <w:rPr/>
          </w:pPr>
          <w:hyperlink w:anchor="__RefHeading___Toc10531559_73709187">
            <w:r>
              <w:rPr>
                <w:webHidden/>
                <w:rStyle w:val="IndexLink"/>
                <w:rtl w:val="true"/>
              </w:rPr>
              <w:t>عدم بطلان الصلاة لو أخلَّ بأحد هذه الشروط عن غير عمدٍ وعلم</w:t>
            </w:r>
            <w:r>
              <w:rPr>
                <w:rStyle w:val="IndexLink"/>
                <w:rtl w:val="true"/>
              </w:rPr>
              <w:tab/>
            </w:r>
            <w:r>
              <w:rPr>
                <w:rStyle w:val="IndexLink"/>
              </w:rPr>
              <w:t>45</w:t>
            </w:r>
          </w:hyperlink>
        </w:p>
        <w:p>
          <w:pPr>
            <w:pStyle w:val="Contents4"/>
            <w:tabs>
              <w:tab w:val="clear" w:pos="8176"/>
              <w:tab w:val="right" w:pos="9026" w:leader="dot"/>
            </w:tabs>
            <w:rPr/>
          </w:pPr>
          <w:hyperlink w:anchor="__RefHeading___Toc10531561_73709187">
            <w:r>
              <w:rPr>
                <w:webHidden/>
                <w:rStyle w:val="IndexLink"/>
                <w:rtl w:val="true"/>
              </w:rPr>
              <w:t>فصلٌ‌</w:t>
            </w:r>
            <w:r>
              <w:rPr>
                <w:rStyle w:val="IndexLink"/>
                <w:rtl w:val="true"/>
              </w:rPr>
              <w:t xml:space="preserve">: </w:t>
            </w:r>
            <w:r>
              <w:rPr>
                <w:rStyle w:val="IndexLink"/>
                <w:rtl w:val="true"/>
              </w:rPr>
              <w:t>فيما تُدرَك به الرّكعة و ما تُدرَك به الجماعة</w:t>
            </w:r>
            <w:r>
              <w:rPr>
                <w:rStyle w:val="IndexLink"/>
                <w:rtl w:val="true"/>
              </w:rPr>
              <w:t>:</w:t>
              <w:tab/>
            </w:r>
            <w:r>
              <w:rPr>
                <w:rStyle w:val="IndexLink"/>
              </w:rPr>
              <w:t>47</w:t>
            </w:r>
          </w:hyperlink>
        </w:p>
        <w:p>
          <w:pPr>
            <w:pStyle w:val="Contents5"/>
            <w:tabs>
              <w:tab w:val="clear" w:pos="7892"/>
              <w:tab w:val="right" w:pos="9026" w:leader="dot"/>
            </w:tabs>
            <w:rPr/>
          </w:pPr>
          <w:hyperlink w:anchor="__RefHeading___Toc10531563_7370918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0531565_73709187">
            <w:r>
              <w:rPr>
                <w:webHidden/>
                <w:rStyle w:val="IndexLink"/>
                <w:rtl w:val="true"/>
              </w:rPr>
              <w:t>فيما تُدْرَك به الرَّكعة</w:t>
            </w:r>
            <w:r>
              <w:rPr>
                <w:rStyle w:val="IndexLink"/>
                <w:rtl w:val="true"/>
              </w:rPr>
              <w:tab/>
            </w:r>
            <w:r>
              <w:rPr>
                <w:rStyle w:val="IndexLink"/>
              </w:rPr>
              <w:t>47</w:t>
            </w:r>
          </w:hyperlink>
        </w:p>
        <w:p>
          <w:pPr>
            <w:pStyle w:val="Contents6"/>
            <w:tabs>
              <w:tab w:val="clear" w:pos="7609"/>
              <w:tab w:val="right" w:pos="9026" w:leader="dot"/>
            </w:tabs>
            <w:rPr/>
          </w:pPr>
          <w:hyperlink w:anchor="__RefHeading___Toc10531567_73709187">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0531569_73709187">
            <w:r>
              <w:rPr>
                <w:webHidden/>
                <w:rStyle w:val="IndexLink"/>
                <w:rtl w:val="true"/>
              </w:rPr>
              <w:t>تنبيهات الركوع</w:t>
            </w:r>
            <w:r>
              <w:rPr>
                <w:rStyle w:val="IndexLink"/>
                <w:rtl w:val="true"/>
              </w:rPr>
              <w:tab/>
            </w:r>
            <w:r>
              <w:rPr>
                <w:rStyle w:val="IndexLink"/>
              </w:rPr>
              <w:t>52</w:t>
            </w:r>
          </w:hyperlink>
        </w:p>
        <w:p>
          <w:pPr>
            <w:pStyle w:val="Contents6"/>
            <w:tabs>
              <w:tab w:val="clear" w:pos="7609"/>
              <w:tab w:val="right" w:pos="9026" w:leader="dot"/>
            </w:tabs>
            <w:rPr/>
          </w:pPr>
          <w:hyperlink w:anchor="__RefHeading___Toc10531571_73709187">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0531573_73709187">
            <w:r>
              <w:rPr>
                <w:webHidden/>
                <w:rStyle w:val="IndexLink"/>
                <w:rtl w:val="true"/>
              </w:rPr>
              <w:t>صور معيّة المأموم مع الإمام في الركوع</w:t>
            </w:r>
            <w:r>
              <w:rPr>
                <w:rStyle w:val="IndexLink"/>
                <w:rtl w:val="true"/>
              </w:rPr>
              <w:tab/>
            </w:r>
            <w:r>
              <w:rPr>
                <w:rStyle w:val="IndexLink"/>
              </w:rPr>
              <w:t>52</w:t>
            </w:r>
          </w:hyperlink>
        </w:p>
        <w:p>
          <w:pPr>
            <w:pStyle w:val="Contents6"/>
            <w:tabs>
              <w:tab w:val="clear" w:pos="7609"/>
              <w:tab w:val="right" w:pos="9026" w:leader="dot"/>
            </w:tabs>
            <w:rPr/>
          </w:pPr>
          <w:hyperlink w:anchor="__RefHeading___Toc10531575_73709187">
            <w:r>
              <w:rPr>
                <w:webHidden/>
                <w:rStyle w:val="IndexLink"/>
                <w:rtl w:val="true"/>
              </w:rPr>
              <w:t>اعتبار إدراك الركوع إنّما هو في ابتداء الجماعة</w:t>
            </w:r>
            <w:r>
              <w:rPr>
                <w:rStyle w:val="IndexLink"/>
                <w:rtl w:val="true"/>
              </w:rPr>
              <w:tab/>
            </w:r>
            <w:r>
              <w:rPr>
                <w:rStyle w:val="IndexLink"/>
              </w:rPr>
              <w:t>54</w:t>
            </w:r>
          </w:hyperlink>
        </w:p>
        <w:p>
          <w:pPr>
            <w:pStyle w:val="Contents6"/>
            <w:tabs>
              <w:tab w:val="clear" w:pos="7609"/>
              <w:tab w:val="right" w:pos="9026" w:leader="dot"/>
            </w:tabs>
            <w:rPr/>
          </w:pPr>
          <w:hyperlink w:anchor="__RefHeading___Toc10531577_73709187">
            <w:r>
              <w:rPr>
                <w:webHidden/>
                <w:rStyle w:val="IndexLink"/>
                <w:rtl w:val="true"/>
              </w:rPr>
              <w:t>لو ركع بتخيّل إدراك الإمام راكعاً</w:t>
            </w:r>
            <w:r>
              <w:rPr>
                <w:rStyle w:val="IndexLink"/>
                <w:rtl w:val="true"/>
              </w:rPr>
              <w:tab/>
            </w:r>
            <w:r>
              <w:rPr>
                <w:rStyle w:val="IndexLink"/>
              </w:rPr>
              <w:t>56</w:t>
            </w:r>
          </w:hyperlink>
        </w:p>
        <w:p>
          <w:pPr>
            <w:pStyle w:val="Contents6"/>
            <w:tabs>
              <w:tab w:val="clear" w:pos="7609"/>
              <w:tab w:val="right" w:pos="9026" w:leader="dot"/>
            </w:tabs>
            <w:rPr/>
          </w:pPr>
          <w:hyperlink w:anchor="__RefHeading___Toc10531579_73709187">
            <w:r>
              <w:rPr>
                <w:webHidden/>
                <w:rStyle w:val="IndexLink"/>
                <w:rtl w:val="true"/>
              </w:rPr>
              <w:t>لو شكّ في إدراك الإمام راكعاً</w:t>
            </w:r>
            <w:r>
              <w:rPr>
                <w:rStyle w:val="IndexLink"/>
                <w:rtl w:val="true"/>
              </w:rPr>
              <w:tab/>
            </w:r>
            <w:r>
              <w:rPr>
                <w:rStyle w:val="IndexLink"/>
              </w:rPr>
              <w:t>59</w:t>
            </w:r>
          </w:hyperlink>
        </w:p>
        <w:p>
          <w:pPr>
            <w:pStyle w:val="Contents5"/>
            <w:tabs>
              <w:tab w:val="clear" w:pos="7892"/>
              <w:tab w:val="right" w:pos="9026" w:leader="dot"/>
            </w:tabs>
            <w:rPr/>
          </w:pPr>
          <w:hyperlink w:anchor="__RefHeading___Toc10531581_73709187">
            <w:r>
              <w:rPr>
                <w:webHidden/>
                <w:rStyle w:val="IndexLink"/>
                <w:rtl w:val="true"/>
              </w:rPr>
              <w:t>فيما تُدرَك به الجماعة</w:t>
            </w:r>
            <w:r>
              <w:rPr>
                <w:rStyle w:val="IndexLink"/>
                <w:rtl w:val="true"/>
              </w:rPr>
              <w:tab/>
            </w:r>
            <w:r>
              <w:rPr>
                <w:rStyle w:val="IndexLink"/>
              </w:rPr>
              <w:t>63</w:t>
            </w:r>
          </w:hyperlink>
        </w:p>
        <w:p>
          <w:pPr>
            <w:pStyle w:val="Contents4"/>
            <w:tabs>
              <w:tab w:val="clear" w:pos="8176"/>
              <w:tab w:val="right" w:pos="9026" w:leader="dot"/>
            </w:tabs>
            <w:rPr/>
          </w:pPr>
          <w:hyperlink w:anchor="__RefHeading___Toc10531583_73709187">
            <w:r>
              <w:rPr>
                <w:webHidden/>
                <w:rStyle w:val="IndexLink"/>
                <w:rtl w:val="true"/>
              </w:rPr>
              <w:t>فصل</w:t>
            </w:r>
            <w:r>
              <w:rPr>
                <w:rStyle w:val="IndexLink"/>
                <w:rtl w:val="true"/>
              </w:rPr>
              <w:t xml:space="preserve">: </w:t>
            </w:r>
            <w:r>
              <w:rPr>
                <w:rStyle w:val="IndexLink"/>
                <w:rtl w:val="true"/>
              </w:rPr>
              <w:t>في أحكام الجماعة</w:t>
            </w:r>
            <w:r>
              <w:rPr>
                <w:rStyle w:val="IndexLink"/>
                <w:rtl w:val="true"/>
              </w:rPr>
              <w:t>:</w:t>
              <w:tab/>
            </w:r>
            <w:r>
              <w:rPr>
                <w:rStyle w:val="IndexLink"/>
              </w:rPr>
              <w:t>72</w:t>
            </w:r>
          </w:hyperlink>
        </w:p>
        <w:p>
          <w:pPr>
            <w:pStyle w:val="Contents5"/>
            <w:tabs>
              <w:tab w:val="clear" w:pos="7892"/>
              <w:tab w:val="right" w:pos="9026" w:leader="dot"/>
            </w:tabs>
            <w:rPr/>
          </w:pPr>
          <w:hyperlink w:anchor="__RefHeading___Toc10531585_7370918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0531587_73709187">
            <w:r>
              <w:rPr>
                <w:webHidden/>
                <w:rStyle w:val="IndexLink"/>
                <w:rtl w:val="true"/>
              </w:rPr>
              <w:t>ولا يقرأ المأموم مع المَرضيّ‌</w:t>
            </w:r>
            <w:r>
              <w:rPr>
                <w:rStyle w:val="IndexLink"/>
                <w:rtl w:val="true"/>
              </w:rPr>
              <w:tab/>
            </w:r>
            <w:r>
              <w:rPr>
                <w:rStyle w:val="IndexLink"/>
              </w:rPr>
              <w:t>72</w:t>
            </w:r>
          </w:hyperlink>
        </w:p>
        <w:p>
          <w:pPr>
            <w:pStyle w:val="Contents6"/>
            <w:tabs>
              <w:tab w:val="clear" w:pos="7609"/>
              <w:tab w:val="right" w:pos="9026" w:leader="dot"/>
            </w:tabs>
            <w:rPr/>
          </w:pPr>
          <w:hyperlink w:anchor="__RefHeading___Toc10531589_73709187">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0531591_73709187">
            <w:r>
              <w:rPr>
                <w:webHidden/>
                <w:rStyle w:val="IndexLink"/>
                <w:rtl w:val="true"/>
              </w:rPr>
              <w:t>القراءة في الإخفاتيّة</w:t>
            </w:r>
            <w:r>
              <w:rPr>
                <w:rStyle w:val="IndexLink"/>
                <w:rtl w:val="true"/>
              </w:rPr>
              <w:tab/>
            </w:r>
            <w:r>
              <w:rPr>
                <w:rStyle w:val="IndexLink"/>
              </w:rPr>
              <w:t>72</w:t>
            </w:r>
          </w:hyperlink>
        </w:p>
        <w:p>
          <w:pPr>
            <w:pStyle w:val="Contents6"/>
            <w:tabs>
              <w:tab w:val="clear" w:pos="7609"/>
              <w:tab w:val="right" w:pos="9026" w:leader="dot"/>
            </w:tabs>
            <w:rPr/>
          </w:pPr>
          <w:hyperlink w:anchor="__RefHeading___Toc10531593_73709187">
            <w:r>
              <w:rPr>
                <w:webHidden/>
                <w:rStyle w:val="IndexLink"/>
                <w:rtl w:val="true"/>
              </w:rPr>
              <w:t>حكم القراءة في الأولتين من الجَهريّة</w:t>
            </w:r>
            <w:r>
              <w:rPr>
                <w:rStyle w:val="IndexLink"/>
                <w:rtl w:val="true"/>
              </w:rPr>
              <w:tab/>
            </w:r>
            <w:r>
              <w:rPr>
                <w:rStyle w:val="IndexLink"/>
              </w:rPr>
              <w:t>75</w:t>
            </w:r>
          </w:hyperlink>
        </w:p>
        <w:p>
          <w:pPr>
            <w:pStyle w:val="Contents6"/>
            <w:tabs>
              <w:tab w:val="clear" w:pos="7609"/>
              <w:tab w:val="right" w:pos="9026" w:leader="dot"/>
            </w:tabs>
            <w:rPr/>
          </w:pPr>
          <w:hyperlink w:anchor="__RefHeading___Toc10531595_73709187">
            <w:r>
              <w:rPr>
                <w:webHidden/>
                <w:rStyle w:val="IndexLink"/>
                <w:rtl w:val="true"/>
              </w:rPr>
              <w:t>حكم القراءة في الأخيرتين من الإخفاتيّة</w:t>
            </w:r>
            <w:r>
              <w:rPr>
                <w:rStyle w:val="IndexLink"/>
                <w:rtl w:val="true"/>
              </w:rPr>
              <w:tab/>
            </w:r>
            <w:r>
              <w:rPr>
                <w:rStyle w:val="IndexLink"/>
              </w:rPr>
              <w:t>79</w:t>
            </w:r>
          </w:hyperlink>
        </w:p>
        <w:p>
          <w:pPr>
            <w:pStyle w:val="Contents6"/>
            <w:tabs>
              <w:tab w:val="clear" w:pos="7609"/>
              <w:tab w:val="right" w:pos="9026" w:leader="dot"/>
            </w:tabs>
            <w:rPr/>
          </w:pPr>
          <w:hyperlink w:anchor="__RefHeading___Toc10531597_73709187">
            <w:r>
              <w:rPr>
                <w:webHidden/>
                <w:rStyle w:val="IndexLink"/>
                <w:rtl w:val="true"/>
              </w:rPr>
              <w:t>حكم القراءة في الأخيرتين من الجهريّة</w:t>
            </w:r>
            <w:r>
              <w:rPr>
                <w:rStyle w:val="IndexLink"/>
                <w:rtl w:val="true"/>
              </w:rPr>
              <w:tab/>
            </w:r>
            <w:r>
              <w:rPr>
                <w:rStyle w:val="IndexLink"/>
              </w:rPr>
              <w:t>82</w:t>
            </w:r>
          </w:hyperlink>
        </w:p>
        <w:p>
          <w:pPr>
            <w:pStyle w:val="Contents6"/>
            <w:tabs>
              <w:tab w:val="clear" w:pos="7609"/>
              <w:tab w:val="right" w:pos="9026" w:leader="dot"/>
            </w:tabs>
            <w:rPr/>
          </w:pPr>
          <w:hyperlink w:anchor="__RefHeading___Toc10531599_73709187">
            <w:r>
              <w:rPr>
                <w:webHidden/>
                <w:rStyle w:val="IndexLink"/>
                <w:rtl w:val="true"/>
              </w:rPr>
              <w:t>تنبيهات القراءة</w:t>
            </w:r>
            <w:r>
              <w:rPr>
                <w:rStyle w:val="IndexLink"/>
                <w:rtl w:val="true"/>
              </w:rPr>
              <w:tab/>
            </w:r>
            <w:r>
              <w:rPr>
                <w:rStyle w:val="IndexLink"/>
              </w:rPr>
              <w:t>83</w:t>
            </w:r>
          </w:hyperlink>
        </w:p>
        <w:p>
          <w:pPr>
            <w:pStyle w:val="Contents6"/>
            <w:tabs>
              <w:tab w:val="clear" w:pos="7609"/>
              <w:tab w:val="right" w:pos="9026" w:leader="dot"/>
            </w:tabs>
            <w:rPr/>
          </w:pPr>
          <w:hyperlink w:anchor="__RefHeading___Toc10531601_73709187">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0531603_73709187">
            <w:r>
              <w:rPr>
                <w:webHidden/>
                <w:rStyle w:val="IndexLink"/>
                <w:rtl w:val="true"/>
              </w:rPr>
              <w:t>جواز الاشتغال بالتسبيح والتحميد والصَّلاة على النبيّ وآله صلى الله عليه و آله</w:t>
            </w:r>
            <w:r>
              <w:rPr>
                <w:rStyle w:val="IndexLink"/>
                <w:rtl w:val="true"/>
              </w:rPr>
              <w:tab/>
            </w:r>
            <w:r>
              <w:rPr>
                <w:rStyle w:val="IndexLink"/>
              </w:rPr>
              <w:t>83</w:t>
            </w:r>
          </w:hyperlink>
        </w:p>
        <w:p>
          <w:pPr>
            <w:pStyle w:val="Contents6"/>
            <w:tabs>
              <w:tab w:val="clear" w:pos="7609"/>
              <w:tab w:val="right" w:pos="9026" w:leader="dot"/>
            </w:tabs>
            <w:rPr/>
          </w:pPr>
          <w:hyperlink w:anchor="__RefHeading___Toc10531605_73709187">
            <w:r>
              <w:rPr>
                <w:webHidden/>
                <w:rStyle w:val="IndexLink"/>
                <w:rtl w:val="true"/>
              </w:rPr>
              <w:t>المراد من السّماع هو السّماع الفعلي</w:t>
            </w:r>
            <w:r>
              <w:rPr>
                <w:rStyle w:val="IndexLink"/>
                <w:rtl w:val="true"/>
              </w:rPr>
              <w:tab/>
            </w:r>
            <w:r>
              <w:rPr>
                <w:rStyle w:val="IndexLink"/>
              </w:rPr>
              <w:t>85</w:t>
            </w:r>
          </w:hyperlink>
        </w:p>
        <w:p>
          <w:pPr>
            <w:pStyle w:val="Contents6"/>
            <w:tabs>
              <w:tab w:val="clear" w:pos="7609"/>
              <w:tab w:val="right" w:pos="9026" w:leader="dot"/>
            </w:tabs>
            <w:rPr/>
          </w:pPr>
          <w:hyperlink w:anchor="__RefHeading___Toc10531607_73709187">
            <w:r>
              <w:rPr>
                <w:webHidden/>
                <w:rStyle w:val="IndexLink"/>
                <w:rtl w:val="true"/>
              </w:rPr>
              <w:t>إذا سمع بعض قراءة الإمام</w:t>
            </w:r>
            <w:r>
              <w:rPr>
                <w:rStyle w:val="IndexLink"/>
                <w:rtl w:val="true"/>
              </w:rPr>
              <w:tab/>
            </w:r>
            <w:r>
              <w:rPr>
                <w:rStyle w:val="IndexLink"/>
              </w:rPr>
              <w:t>85</w:t>
            </w:r>
          </w:hyperlink>
        </w:p>
        <w:p>
          <w:pPr>
            <w:pStyle w:val="Contents6"/>
            <w:tabs>
              <w:tab w:val="clear" w:pos="7609"/>
              <w:tab w:val="right" w:pos="9026" w:leader="dot"/>
            </w:tabs>
            <w:rPr/>
          </w:pPr>
          <w:hyperlink w:anchor="__RefHeading___Toc10531609_73709187">
            <w:r>
              <w:rPr>
                <w:webHidden/>
                <w:rStyle w:val="IndexLink"/>
                <w:rtl w:val="true"/>
              </w:rPr>
              <w:t>لو شكّ في سماع القراءة</w:t>
            </w:r>
            <w:r>
              <w:rPr>
                <w:rStyle w:val="IndexLink"/>
                <w:rtl w:val="true"/>
              </w:rPr>
              <w:tab/>
            </w:r>
            <w:r>
              <w:rPr>
                <w:rStyle w:val="IndexLink"/>
              </w:rPr>
              <w:t>86</w:t>
            </w:r>
          </w:hyperlink>
        </w:p>
        <w:p>
          <w:pPr>
            <w:pStyle w:val="Contents6"/>
            <w:tabs>
              <w:tab w:val="clear" w:pos="7609"/>
              <w:tab w:val="right" w:pos="9026" w:leader="dot"/>
            </w:tabs>
            <w:rPr/>
          </w:pPr>
          <w:hyperlink w:anchor="__RefHeading___Toc10531611_73709187">
            <w:r>
              <w:rPr>
                <w:webHidden/>
                <w:rStyle w:val="IndexLink"/>
                <w:rtl w:val="true"/>
              </w:rPr>
              <w:t>لا يجبُ على المأموم الطمأنينة حال قراءة الإمام</w:t>
            </w:r>
            <w:r>
              <w:rPr>
                <w:rStyle w:val="IndexLink"/>
                <w:rtl w:val="true"/>
              </w:rPr>
              <w:tab/>
            </w:r>
            <w:r>
              <w:rPr>
                <w:rStyle w:val="IndexLink"/>
              </w:rPr>
              <w:t>86</w:t>
            </w:r>
          </w:hyperlink>
        </w:p>
        <w:p>
          <w:pPr>
            <w:pStyle w:val="Contents6"/>
            <w:tabs>
              <w:tab w:val="clear" w:pos="7609"/>
              <w:tab w:val="right" w:pos="9026" w:leader="dot"/>
            </w:tabs>
            <w:rPr/>
          </w:pPr>
          <w:hyperlink w:anchor="__RefHeading___Toc10531613_73709187">
            <w:r>
              <w:rPr>
                <w:webHidden/>
                <w:rStyle w:val="IndexLink"/>
                <w:rtl w:val="true"/>
              </w:rPr>
              <w:t>القراءة خلف المخالف</w:t>
            </w:r>
            <w:r>
              <w:rPr>
                <w:rStyle w:val="IndexLink"/>
                <w:rtl w:val="true"/>
              </w:rPr>
              <w:tab/>
            </w:r>
            <w:r>
              <w:rPr>
                <w:rStyle w:val="IndexLink"/>
              </w:rPr>
              <w:t>87</w:t>
            </w:r>
          </w:hyperlink>
        </w:p>
        <w:p>
          <w:pPr>
            <w:pStyle w:val="Contents5"/>
            <w:tabs>
              <w:tab w:val="clear" w:pos="7892"/>
              <w:tab w:val="right" w:pos="9026" w:leader="dot"/>
            </w:tabs>
            <w:rPr/>
          </w:pPr>
          <w:hyperlink w:anchor="__RefHeading___Toc10531615_73709187">
            <w:r>
              <w:rPr>
                <w:webHidden/>
                <w:rStyle w:val="IndexLink"/>
                <w:rtl w:val="true"/>
              </w:rPr>
              <w:t>لا يجوز تقدّم المأموم في الأفعال</w:t>
            </w:r>
            <w:r>
              <w:rPr>
                <w:rStyle w:val="IndexLink"/>
                <w:rtl w:val="true"/>
              </w:rPr>
              <w:tab/>
            </w:r>
            <w:r>
              <w:rPr>
                <w:rStyle w:val="IndexLink"/>
              </w:rPr>
              <w:t>90</w:t>
            </w:r>
          </w:hyperlink>
        </w:p>
        <w:p>
          <w:pPr>
            <w:pStyle w:val="Contents6"/>
            <w:tabs>
              <w:tab w:val="clear" w:pos="7609"/>
              <w:tab w:val="right" w:pos="9026" w:leader="dot"/>
            </w:tabs>
            <w:rPr/>
          </w:pPr>
          <w:hyperlink w:anchor="__RefHeading___Toc10531617_73709187">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10531619_73709187">
            <w:r>
              <w:rPr>
                <w:webHidden/>
                <w:rStyle w:val="IndexLink"/>
                <w:rtl w:val="true"/>
              </w:rPr>
              <w:t>المتابعة في الأفعال</w:t>
            </w:r>
            <w:r>
              <w:rPr>
                <w:rStyle w:val="IndexLink"/>
                <w:rtl w:val="true"/>
              </w:rPr>
              <w:tab/>
            </w:r>
            <w:r>
              <w:rPr>
                <w:rStyle w:val="IndexLink"/>
              </w:rPr>
              <w:t>90</w:t>
            </w:r>
          </w:hyperlink>
        </w:p>
        <w:p>
          <w:pPr>
            <w:pStyle w:val="Contents6"/>
            <w:tabs>
              <w:tab w:val="clear" w:pos="7609"/>
              <w:tab w:val="right" w:pos="9026" w:leader="dot"/>
            </w:tabs>
            <w:rPr/>
          </w:pPr>
          <w:hyperlink w:anchor="__RefHeading___Toc10531621_73709187">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10531623_73709187">
            <w:r>
              <w:rPr>
                <w:webHidden/>
                <w:rStyle w:val="IndexLink"/>
                <w:rtl w:val="true"/>
              </w:rPr>
              <w:t>المراد من المتابعة</w:t>
            </w:r>
            <w:r>
              <w:rPr>
                <w:rStyle w:val="IndexLink"/>
                <w:rtl w:val="true"/>
              </w:rPr>
              <w:tab/>
            </w:r>
            <w:r>
              <w:rPr>
                <w:rStyle w:val="IndexLink"/>
              </w:rPr>
              <w:t>92</w:t>
            </w:r>
          </w:hyperlink>
        </w:p>
        <w:p>
          <w:pPr>
            <w:pStyle w:val="Contents6"/>
            <w:tabs>
              <w:tab w:val="clear" w:pos="7609"/>
              <w:tab w:val="right" w:pos="9026" w:leader="dot"/>
            </w:tabs>
            <w:rPr/>
          </w:pPr>
          <w:hyperlink w:anchor="__RefHeading___Toc10531625_73709187">
            <w:r>
              <w:rPr>
                <w:webHidden/>
                <w:rStyle w:val="IndexLink"/>
                <w:rtl w:val="true"/>
              </w:rPr>
              <w:t>هل تجب المتابعة في كلّ فعلٍ من أفعال الصَّلاة</w:t>
            </w:r>
            <w:r>
              <w:rPr>
                <w:rStyle w:val="IndexLink"/>
                <w:rtl w:val="true"/>
              </w:rPr>
              <w:tab/>
            </w:r>
            <w:r>
              <w:rPr>
                <w:rStyle w:val="IndexLink"/>
              </w:rPr>
              <w:t>94</w:t>
            </w:r>
          </w:hyperlink>
        </w:p>
        <w:p>
          <w:pPr>
            <w:pStyle w:val="Contents6"/>
            <w:tabs>
              <w:tab w:val="clear" w:pos="7609"/>
              <w:tab w:val="right" w:pos="9026" w:leader="dot"/>
            </w:tabs>
            <w:rPr/>
          </w:pPr>
          <w:hyperlink w:anchor="__RefHeading___Toc10531627_73709187">
            <w:r>
              <w:rPr>
                <w:webHidden/>
                <w:rStyle w:val="IndexLink"/>
                <w:rtl w:val="true"/>
              </w:rPr>
              <w:t>حكم التأخّر في الأفعال</w:t>
            </w:r>
            <w:r>
              <w:rPr>
                <w:rStyle w:val="IndexLink"/>
                <w:rtl w:val="true"/>
              </w:rPr>
              <w:tab/>
            </w:r>
            <w:r>
              <w:rPr>
                <w:rStyle w:val="IndexLink"/>
              </w:rPr>
              <w:t>95</w:t>
            </w:r>
          </w:hyperlink>
        </w:p>
        <w:p>
          <w:pPr>
            <w:pStyle w:val="Contents6"/>
            <w:tabs>
              <w:tab w:val="clear" w:pos="7609"/>
              <w:tab w:val="right" w:pos="9026" w:leader="dot"/>
            </w:tabs>
            <w:rPr/>
          </w:pPr>
          <w:hyperlink w:anchor="__RefHeading___Toc10531629_73709187">
            <w:r>
              <w:rPr>
                <w:webHidden/>
                <w:rStyle w:val="IndexLink"/>
                <w:rtl w:val="true"/>
              </w:rPr>
              <w:t>وجوب المتابعة تعبّدي</w:t>
            </w:r>
            <w:r>
              <w:rPr>
                <w:rStyle w:val="IndexLink"/>
                <w:rtl w:val="true"/>
              </w:rPr>
              <w:tab/>
            </w:r>
            <w:r>
              <w:rPr>
                <w:rStyle w:val="IndexLink"/>
              </w:rPr>
              <w:t>96</w:t>
            </w:r>
          </w:hyperlink>
        </w:p>
        <w:p>
          <w:pPr>
            <w:pStyle w:val="Contents6"/>
            <w:tabs>
              <w:tab w:val="clear" w:pos="7609"/>
              <w:tab w:val="right" w:pos="9026" w:leader="dot"/>
            </w:tabs>
            <w:rPr/>
          </w:pPr>
          <w:hyperlink w:anchor="__RefHeading___Toc10531631_73709187">
            <w:r>
              <w:rPr>
                <w:webHidden/>
                <w:rStyle w:val="IndexLink"/>
                <w:rtl w:val="true"/>
              </w:rPr>
              <w:t>في أنّه لو تقدّم في فعلٍ سهواً فماذا وظيفته‌؟</w:t>
            </w:r>
            <w:r>
              <w:rPr>
                <w:rStyle w:val="IndexLink"/>
                <w:rtl w:val="true"/>
              </w:rPr>
              <w:tab/>
            </w:r>
            <w:r>
              <w:rPr>
                <w:rStyle w:val="IndexLink"/>
              </w:rPr>
              <w:t>98</w:t>
            </w:r>
          </w:hyperlink>
        </w:p>
        <w:p>
          <w:pPr>
            <w:pStyle w:val="Contents6"/>
            <w:tabs>
              <w:tab w:val="clear" w:pos="7609"/>
              <w:tab w:val="right" w:pos="9026" w:leader="dot"/>
            </w:tabs>
            <w:rPr/>
          </w:pPr>
          <w:hyperlink w:anchor="__RefHeading___Toc10531633_73709187">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0531635_73709187">
            <w:r>
              <w:rPr>
                <w:webHidden/>
                <w:rStyle w:val="IndexLink"/>
                <w:rtl w:val="true"/>
              </w:rPr>
              <w:t>تغتفر زيادة الرّكن لأجل المتابعة</w:t>
            </w:r>
            <w:r>
              <w:rPr>
                <w:rStyle w:val="IndexLink"/>
                <w:rtl w:val="true"/>
              </w:rPr>
              <w:tab/>
            </w:r>
            <w:r>
              <w:rPr>
                <w:rStyle w:val="IndexLink"/>
              </w:rPr>
              <w:t>99</w:t>
            </w:r>
          </w:hyperlink>
        </w:p>
        <w:p>
          <w:pPr>
            <w:pStyle w:val="Contents6"/>
            <w:tabs>
              <w:tab w:val="clear" w:pos="7609"/>
              <w:tab w:val="right" w:pos="9026" w:leader="dot"/>
            </w:tabs>
            <w:rPr/>
          </w:pPr>
          <w:hyperlink w:anchor="__RefHeading___Toc10531637_73709187">
            <w:r>
              <w:rPr>
                <w:webHidden/>
                <w:rStyle w:val="IndexLink"/>
                <w:rtl w:val="true"/>
              </w:rPr>
              <w:t>الرجوع أو السجود قبل الإمام</w:t>
            </w:r>
            <w:r>
              <w:rPr>
                <w:rStyle w:val="IndexLink"/>
                <w:rtl w:val="true"/>
              </w:rPr>
              <w:tab/>
            </w:r>
            <w:r>
              <w:rPr>
                <w:rStyle w:val="IndexLink"/>
              </w:rPr>
              <w:t>103</w:t>
            </w:r>
          </w:hyperlink>
        </w:p>
        <w:p>
          <w:pPr>
            <w:pStyle w:val="Contents6"/>
            <w:tabs>
              <w:tab w:val="clear" w:pos="7609"/>
              <w:tab w:val="right" w:pos="9026" w:leader="dot"/>
            </w:tabs>
            <w:rPr/>
          </w:pPr>
          <w:hyperlink w:anchor="__RefHeading___Toc10531639_73709187">
            <w:r>
              <w:rPr>
                <w:webHidden/>
                <w:rStyle w:val="IndexLink"/>
                <w:rtl w:val="true"/>
              </w:rPr>
              <w:t>المتابعة في الأقوال</w:t>
            </w:r>
            <w:r>
              <w:rPr>
                <w:rStyle w:val="IndexLink"/>
                <w:rtl w:val="true"/>
              </w:rPr>
              <w:tab/>
            </w:r>
            <w:r>
              <w:rPr>
                <w:rStyle w:val="IndexLink"/>
              </w:rPr>
              <w:t>105</w:t>
            </w:r>
          </w:hyperlink>
        </w:p>
        <w:p>
          <w:pPr>
            <w:pStyle w:val="Contents6"/>
            <w:tabs>
              <w:tab w:val="clear" w:pos="7609"/>
              <w:tab w:val="right" w:pos="9026" w:leader="dot"/>
            </w:tabs>
            <w:rPr/>
          </w:pPr>
          <w:hyperlink w:anchor="__RefHeading___Toc10531641_73709187">
            <w:r>
              <w:rPr>
                <w:webHidden/>
                <w:rStyle w:val="IndexLink"/>
                <w:rtl w:val="true"/>
              </w:rPr>
              <w:t>المتابعة في تكبيرة الإحرام</w:t>
            </w:r>
            <w:r>
              <w:rPr>
                <w:rStyle w:val="IndexLink"/>
                <w:rtl w:val="true"/>
              </w:rPr>
              <w:tab/>
            </w:r>
            <w:r>
              <w:rPr>
                <w:rStyle w:val="IndexLink"/>
              </w:rPr>
              <w:t>105</w:t>
            </w:r>
          </w:hyperlink>
        </w:p>
        <w:p>
          <w:pPr>
            <w:pStyle w:val="Contents6"/>
            <w:tabs>
              <w:tab w:val="clear" w:pos="7609"/>
              <w:tab w:val="right" w:pos="9026" w:leader="dot"/>
            </w:tabs>
            <w:rPr/>
          </w:pPr>
          <w:hyperlink w:anchor="__RefHeading___Toc10531643_73709187">
            <w:r>
              <w:rPr>
                <w:webHidden/>
                <w:rStyle w:val="IndexLink"/>
                <w:rtl w:val="true"/>
              </w:rPr>
              <w:t>المتابعة في سائر الأقوال</w:t>
            </w:r>
            <w:r>
              <w:rPr>
                <w:rStyle w:val="IndexLink"/>
                <w:rtl w:val="true"/>
              </w:rPr>
              <w:tab/>
            </w:r>
            <w:r>
              <w:rPr>
                <w:rStyle w:val="IndexLink"/>
              </w:rPr>
              <w:t>107</w:t>
            </w:r>
          </w:hyperlink>
        </w:p>
        <w:p>
          <w:pPr>
            <w:pStyle w:val="Contents5"/>
            <w:tabs>
              <w:tab w:val="clear" w:pos="7892"/>
              <w:tab w:val="right" w:pos="9026" w:leader="dot"/>
            </w:tabs>
            <w:rPr/>
          </w:pPr>
          <w:hyperlink w:anchor="__RefHeading___Toc10531645_73709187">
            <w:r>
              <w:rPr>
                <w:webHidden/>
                <w:rStyle w:val="IndexLink"/>
                <w:rtl w:val="true"/>
              </w:rPr>
              <w:t>ولابدّ للمأموم من نيّة الائتمام</w:t>
            </w:r>
            <w:r>
              <w:rPr>
                <w:rStyle w:val="IndexLink"/>
                <w:rtl w:val="true"/>
              </w:rPr>
              <w:tab/>
            </w:r>
            <w:r>
              <w:rPr>
                <w:rStyle w:val="IndexLink"/>
              </w:rPr>
              <w:t>110</w:t>
            </w:r>
          </w:hyperlink>
        </w:p>
        <w:p>
          <w:pPr>
            <w:pStyle w:val="Contents5"/>
            <w:tabs>
              <w:tab w:val="clear" w:pos="7892"/>
              <w:tab w:val="right" w:pos="9026" w:leader="dot"/>
            </w:tabs>
            <w:rPr/>
          </w:pPr>
          <w:hyperlink w:anchor="__RefHeading___Toc10531647_73709187">
            <w:r>
              <w:rPr>
                <w:webHidden/>
                <w:rStyle w:val="IndexLink"/>
                <w:rtl w:val="true"/>
              </w:rPr>
              <w:t>ويجوزُ أن يأتمّ المفترض بالمفترض مع اختلافهما في الفرض</w:t>
            </w:r>
            <w:r>
              <w:rPr>
                <w:rStyle w:val="IndexLink"/>
                <w:rtl w:val="true"/>
              </w:rPr>
              <w:tab/>
            </w:r>
            <w:r>
              <w:rPr>
                <w:rStyle w:val="IndexLink"/>
              </w:rPr>
              <w:t>110</w:t>
            </w:r>
          </w:hyperlink>
        </w:p>
        <w:p>
          <w:pPr>
            <w:pStyle w:val="Contents5"/>
            <w:tabs>
              <w:tab w:val="clear" w:pos="7892"/>
              <w:tab w:val="right" w:pos="9026" w:leader="dot"/>
            </w:tabs>
            <w:rPr/>
          </w:pPr>
          <w:hyperlink w:anchor="__RefHeading___Toc10531649_73709187">
            <w:r>
              <w:rPr>
                <w:webHidden/>
                <w:rStyle w:val="IndexLink"/>
                <w:rtl w:val="true"/>
              </w:rPr>
              <w:t>وإذا كان المأموم واحداً استحبَّ أنْ يقف عن يمينه</w:t>
            </w:r>
            <w:r>
              <w:rPr>
                <w:rStyle w:val="IndexLink"/>
                <w:rtl w:val="true"/>
              </w:rPr>
              <w:tab/>
            </w:r>
            <w:r>
              <w:rPr>
                <w:rStyle w:val="IndexLink"/>
              </w:rPr>
              <w:t>110</w:t>
            </w:r>
          </w:hyperlink>
        </w:p>
        <w:p>
          <w:pPr>
            <w:pStyle w:val="Contents4"/>
            <w:tabs>
              <w:tab w:val="clear" w:pos="8176"/>
              <w:tab w:val="right" w:pos="9026" w:leader="dot"/>
            </w:tabs>
            <w:rPr/>
          </w:pPr>
          <w:hyperlink w:anchor="__RefHeading___Toc10531651_73709187">
            <w:r>
              <w:rPr>
                <w:webHidden/>
                <w:rStyle w:val="IndexLink"/>
                <w:rtl w:val="true"/>
              </w:rPr>
              <w:t>فصلٌ‌</w:t>
            </w:r>
            <w:r>
              <w:rPr>
                <w:rStyle w:val="IndexLink"/>
                <w:rtl w:val="true"/>
              </w:rPr>
              <w:t xml:space="preserve">: </w:t>
            </w:r>
            <w:r>
              <w:rPr>
                <w:rStyle w:val="IndexLink"/>
                <w:rtl w:val="true"/>
              </w:rPr>
              <w:t>في شرائط الإمام</w:t>
            </w:r>
            <w:r>
              <w:rPr>
                <w:rStyle w:val="IndexLink"/>
                <w:rtl w:val="true"/>
              </w:rPr>
              <w:tab/>
            </w:r>
            <w:r>
              <w:rPr>
                <w:rStyle w:val="IndexLink"/>
              </w:rPr>
              <w:t>113</w:t>
            </w:r>
          </w:hyperlink>
        </w:p>
        <w:p>
          <w:pPr>
            <w:pStyle w:val="Contents5"/>
            <w:tabs>
              <w:tab w:val="clear" w:pos="7892"/>
              <w:tab w:val="right" w:pos="9026" w:leader="dot"/>
            </w:tabs>
            <w:rPr/>
          </w:pPr>
          <w:hyperlink w:anchor="__RefHeading___Toc10531653_7370918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0531655_73709187">
            <w:r>
              <w:rPr>
                <w:webHidden/>
                <w:rStyle w:val="IndexLink"/>
                <w:rtl w:val="true"/>
              </w:rPr>
              <w:t>التكليف</w:t>
            </w:r>
            <w:r>
              <w:rPr>
                <w:rStyle w:val="IndexLink"/>
                <w:rtl w:val="true"/>
              </w:rPr>
              <w:tab/>
            </w:r>
            <w:r>
              <w:rPr>
                <w:rStyle w:val="IndexLink"/>
              </w:rPr>
              <w:t>113</w:t>
            </w:r>
          </w:hyperlink>
        </w:p>
        <w:p>
          <w:pPr>
            <w:pStyle w:val="Contents5"/>
            <w:tabs>
              <w:tab w:val="clear" w:pos="7892"/>
              <w:tab w:val="right" w:pos="9026" w:leader="dot"/>
            </w:tabs>
            <w:rPr/>
          </w:pPr>
          <w:hyperlink w:anchor="__RefHeading___Toc10531657_73709187">
            <w:r>
              <w:rPr>
                <w:webHidden/>
                <w:rStyle w:val="IndexLink"/>
                <w:rtl w:val="true"/>
              </w:rPr>
              <w:t>الإيمان</w:t>
            </w:r>
            <w:r>
              <w:rPr>
                <w:rStyle w:val="IndexLink"/>
                <w:rtl w:val="true"/>
              </w:rPr>
              <w:tab/>
            </w:r>
            <w:r>
              <w:rPr>
                <w:rStyle w:val="IndexLink"/>
              </w:rPr>
              <w:t>115</w:t>
            </w:r>
          </w:hyperlink>
        </w:p>
        <w:p>
          <w:pPr>
            <w:pStyle w:val="Contents5"/>
            <w:tabs>
              <w:tab w:val="clear" w:pos="7892"/>
              <w:tab w:val="right" w:pos="9026" w:leader="dot"/>
            </w:tabs>
            <w:rPr/>
          </w:pPr>
          <w:hyperlink w:anchor="__RefHeading___Toc10531659_73709187">
            <w:r>
              <w:rPr>
                <w:webHidden/>
                <w:rStyle w:val="IndexLink"/>
                <w:rtl w:val="true"/>
              </w:rPr>
              <w:t>شرط العدالة</w:t>
            </w:r>
            <w:r>
              <w:rPr>
                <w:rStyle w:val="IndexLink"/>
                <w:rtl w:val="true"/>
              </w:rPr>
              <w:tab/>
            </w:r>
            <w:r>
              <w:rPr>
                <w:rStyle w:val="IndexLink"/>
              </w:rPr>
              <w:t>116</w:t>
            </w:r>
          </w:hyperlink>
        </w:p>
        <w:p>
          <w:pPr>
            <w:pStyle w:val="Contents6"/>
            <w:tabs>
              <w:tab w:val="clear" w:pos="7609"/>
              <w:tab w:val="right" w:pos="9026" w:leader="dot"/>
            </w:tabs>
            <w:rPr/>
          </w:pPr>
          <w:hyperlink w:anchor="__RefHeading___Toc10531661_73709187">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10531663_73709187">
            <w:r>
              <w:rPr>
                <w:webHidden/>
                <w:rStyle w:val="IndexLink"/>
                <w:rtl w:val="true"/>
              </w:rPr>
              <w:t>مفهوم العدالة</w:t>
            </w:r>
            <w:r>
              <w:rPr>
                <w:rStyle w:val="IndexLink"/>
                <w:rtl w:val="true"/>
              </w:rPr>
              <w:tab/>
            </w:r>
            <w:r>
              <w:rPr>
                <w:rStyle w:val="IndexLink"/>
              </w:rPr>
              <w:t>118</w:t>
            </w:r>
          </w:hyperlink>
        </w:p>
        <w:p>
          <w:pPr>
            <w:pStyle w:val="Contents6"/>
            <w:tabs>
              <w:tab w:val="clear" w:pos="7609"/>
              <w:tab w:val="right" w:pos="9026" w:leader="dot"/>
            </w:tabs>
            <w:rPr/>
          </w:pPr>
          <w:hyperlink w:anchor="__RefHeading___Toc10531665_73709187">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0531667_73709187">
            <w:r>
              <w:rPr>
                <w:webHidden/>
                <w:rStyle w:val="IndexLink"/>
                <w:rtl w:val="true"/>
              </w:rPr>
              <w:t>أدلّة كون العدالة هي حُسنُ الظاهر</w:t>
            </w:r>
            <w:r>
              <w:rPr>
                <w:rStyle w:val="IndexLink"/>
                <w:rtl w:val="true"/>
              </w:rPr>
              <w:tab/>
            </w:r>
            <w:r>
              <w:rPr>
                <w:rStyle w:val="IndexLink"/>
              </w:rPr>
              <w:t>121</w:t>
            </w:r>
          </w:hyperlink>
        </w:p>
        <w:p>
          <w:pPr>
            <w:pStyle w:val="Contents6"/>
            <w:tabs>
              <w:tab w:val="clear" w:pos="7609"/>
              <w:tab w:val="right" w:pos="9026" w:leader="dot"/>
            </w:tabs>
            <w:rPr/>
          </w:pPr>
          <w:hyperlink w:anchor="__RefHeading___Toc10531669_73709187">
            <w:r>
              <w:rPr>
                <w:webHidden/>
                <w:rStyle w:val="IndexLink"/>
                <w:rtl w:val="true"/>
              </w:rPr>
              <w:t>أدلّة كون العدالة هي مجرّد ترك المعاصي</w:t>
            </w:r>
            <w:r>
              <w:rPr>
                <w:rStyle w:val="IndexLink"/>
                <w:rtl w:val="true"/>
              </w:rPr>
              <w:tab/>
            </w:r>
            <w:r>
              <w:rPr>
                <w:rStyle w:val="IndexLink"/>
              </w:rPr>
              <w:t>125</w:t>
            </w:r>
          </w:hyperlink>
        </w:p>
        <w:p>
          <w:pPr>
            <w:pStyle w:val="Contents6"/>
            <w:tabs>
              <w:tab w:val="clear" w:pos="7609"/>
              <w:tab w:val="right" w:pos="9026" w:leader="dot"/>
            </w:tabs>
            <w:rPr/>
          </w:pPr>
          <w:hyperlink w:anchor="__RefHeading___Toc10531671_73709187">
            <w:r>
              <w:rPr>
                <w:webHidden/>
                <w:rStyle w:val="IndexLink"/>
                <w:rtl w:val="true"/>
              </w:rPr>
              <w:t>أدلّة اعتبار المَلَكة في العدالة والجواب عنها</w:t>
            </w:r>
            <w:r>
              <w:rPr>
                <w:rStyle w:val="IndexLink"/>
                <w:rtl w:val="true"/>
              </w:rPr>
              <w:tab/>
            </w:r>
            <w:r>
              <w:rPr>
                <w:rStyle w:val="IndexLink"/>
              </w:rPr>
              <w:t>127</w:t>
            </w:r>
          </w:hyperlink>
        </w:p>
        <w:p>
          <w:pPr>
            <w:pStyle w:val="Contents6"/>
            <w:tabs>
              <w:tab w:val="clear" w:pos="7609"/>
              <w:tab w:val="right" w:pos="9026" w:leader="dot"/>
            </w:tabs>
            <w:rPr/>
          </w:pPr>
          <w:hyperlink w:anchor="__RefHeading___Toc10531673_73709187">
            <w:r>
              <w:rPr>
                <w:webHidden/>
                <w:rStyle w:val="IndexLink"/>
                <w:rtl w:val="true"/>
              </w:rPr>
              <w:t>طرق معرفة العدالة</w:t>
            </w:r>
            <w:r>
              <w:rPr>
                <w:rStyle w:val="IndexLink"/>
                <w:rtl w:val="true"/>
              </w:rPr>
              <w:tab/>
            </w:r>
            <w:r>
              <w:rPr>
                <w:rStyle w:val="IndexLink"/>
              </w:rPr>
              <w:t>136</w:t>
            </w:r>
          </w:hyperlink>
        </w:p>
        <w:p>
          <w:pPr>
            <w:pStyle w:val="Contents6"/>
            <w:tabs>
              <w:tab w:val="clear" w:pos="7609"/>
              <w:tab w:val="right" w:pos="9026" w:leader="dot"/>
            </w:tabs>
            <w:rPr/>
          </w:pPr>
          <w:hyperlink w:anchor="__RefHeading___Toc10531675_73709187">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0531677_73709187">
            <w:r>
              <w:rPr>
                <w:webHidden/>
                <w:rStyle w:val="IndexLink"/>
                <w:rtl w:val="true"/>
              </w:rPr>
              <w:t>طريقيّة حسن الظاهر</w:t>
            </w:r>
            <w:r>
              <w:rPr>
                <w:rStyle w:val="IndexLink"/>
                <w:rtl w:val="true"/>
              </w:rPr>
              <w:tab/>
            </w:r>
            <w:r>
              <w:rPr>
                <w:rStyle w:val="IndexLink"/>
              </w:rPr>
              <w:t>140</w:t>
            </w:r>
          </w:hyperlink>
        </w:p>
        <w:p>
          <w:pPr>
            <w:pStyle w:val="Contents6"/>
            <w:tabs>
              <w:tab w:val="clear" w:pos="7609"/>
              <w:tab w:val="right" w:pos="9026" w:leader="dot"/>
            </w:tabs>
            <w:rPr/>
          </w:pPr>
          <w:hyperlink w:anchor="__RefHeading___Toc10531679_73709187">
            <w:r>
              <w:rPr>
                <w:webHidden/>
                <w:rStyle w:val="IndexLink"/>
                <w:rtl w:val="true"/>
              </w:rPr>
              <w:t>طريقيّة الشهادة</w:t>
            </w:r>
            <w:r>
              <w:rPr>
                <w:rStyle w:val="IndexLink"/>
                <w:rtl w:val="true"/>
              </w:rPr>
              <w:tab/>
            </w:r>
            <w:r>
              <w:rPr>
                <w:rStyle w:val="IndexLink"/>
              </w:rPr>
              <w:t>146</w:t>
            </w:r>
          </w:hyperlink>
        </w:p>
        <w:p>
          <w:pPr>
            <w:pStyle w:val="Contents6"/>
            <w:tabs>
              <w:tab w:val="clear" w:pos="7609"/>
              <w:tab w:val="right" w:pos="9026" w:leader="dot"/>
            </w:tabs>
            <w:rPr/>
          </w:pPr>
          <w:hyperlink w:anchor="__RefHeading___Toc10531681_73709187">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10531683_73709187">
            <w:r>
              <w:rPr>
                <w:webHidden/>
                <w:rStyle w:val="IndexLink"/>
                <w:rtl w:val="true"/>
              </w:rPr>
              <w:t>شهادة العدلين</w:t>
            </w:r>
            <w:r>
              <w:rPr>
                <w:rStyle w:val="IndexLink"/>
                <w:rtl w:val="true"/>
              </w:rPr>
              <w:tab/>
            </w:r>
            <w:r>
              <w:rPr>
                <w:rStyle w:val="IndexLink"/>
              </w:rPr>
              <w:t>146</w:t>
            </w:r>
          </w:hyperlink>
        </w:p>
        <w:p>
          <w:pPr>
            <w:pStyle w:val="Contents6"/>
            <w:tabs>
              <w:tab w:val="clear" w:pos="7609"/>
              <w:tab w:val="right" w:pos="9026" w:leader="dot"/>
            </w:tabs>
            <w:rPr/>
          </w:pPr>
          <w:hyperlink w:anchor="__RefHeading___Toc10531685_73709187">
            <w:r>
              <w:rPr>
                <w:webHidden/>
                <w:rStyle w:val="IndexLink"/>
                <w:rtl w:val="true"/>
              </w:rPr>
              <w:t>شهادة العَدل الواحد</w:t>
            </w:r>
            <w:r>
              <w:rPr>
                <w:rStyle w:val="IndexLink"/>
                <w:rtl w:val="true"/>
              </w:rPr>
              <w:tab/>
            </w:r>
            <w:r>
              <w:rPr>
                <w:rStyle w:val="IndexLink"/>
              </w:rPr>
              <w:t>149</w:t>
            </w:r>
          </w:hyperlink>
        </w:p>
        <w:p>
          <w:pPr>
            <w:pStyle w:val="Contents6"/>
            <w:tabs>
              <w:tab w:val="clear" w:pos="7609"/>
              <w:tab w:val="right" w:pos="9026" w:leader="dot"/>
            </w:tabs>
            <w:rPr/>
          </w:pPr>
          <w:hyperlink w:anchor="__RefHeading___Toc10531687_73709187">
            <w:r>
              <w:rPr>
                <w:webHidden/>
                <w:rStyle w:val="IndexLink"/>
                <w:rtl w:val="true"/>
              </w:rPr>
              <w:t>ثبوت العدالة بالشَّهادة الفعليّة</w:t>
            </w:r>
            <w:r>
              <w:rPr>
                <w:rStyle w:val="IndexLink"/>
                <w:rtl w:val="true"/>
              </w:rPr>
              <w:tab/>
            </w:r>
            <w:r>
              <w:rPr>
                <w:rStyle w:val="IndexLink"/>
              </w:rPr>
              <w:t>150</w:t>
            </w:r>
          </w:hyperlink>
        </w:p>
        <w:p>
          <w:pPr>
            <w:pStyle w:val="Contents6"/>
            <w:tabs>
              <w:tab w:val="clear" w:pos="7609"/>
              <w:tab w:val="right" w:pos="9026" w:leader="dot"/>
            </w:tabs>
            <w:rPr/>
          </w:pPr>
          <w:hyperlink w:anchor="__RefHeading___Toc10531689_73709187">
            <w:r>
              <w:rPr>
                <w:webHidden/>
                <w:rStyle w:val="IndexLink"/>
                <w:rtl w:val="true"/>
              </w:rPr>
              <w:t>الشّياع الظنّي</w:t>
            </w:r>
            <w:r>
              <w:rPr>
                <w:rStyle w:val="IndexLink"/>
                <w:rtl w:val="true"/>
              </w:rPr>
              <w:tab/>
            </w:r>
            <w:r>
              <w:rPr>
                <w:rStyle w:val="IndexLink"/>
              </w:rPr>
              <w:t>151</w:t>
            </w:r>
          </w:hyperlink>
        </w:p>
        <w:p>
          <w:pPr>
            <w:pStyle w:val="Contents6"/>
            <w:tabs>
              <w:tab w:val="clear" w:pos="7609"/>
              <w:tab w:val="right" w:pos="9026" w:leader="dot"/>
            </w:tabs>
            <w:rPr/>
          </w:pPr>
          <w:hyperlink w:anchor="__RefHeading___Toc10531691_73709187">
            <w:r>
              <w:rPr>
                <w:webHidden/>
                <w:rStyle w:val="IndexLink"/>
                <w:rtl w:val="true"/>
              </w:rPr>
              <w:t>الوثوق بالعدالة</w:t>
            </w:r>
            <w:r>
              <w:rPr>
                <w:rStyle w:val="IndexLink"/>
                <w:rtl w:val="true"/>
              </w:rPr>
              <w:tab/>
            </w:r>
            <w:r>
              <w:rPr>
                <w:rStyle w:val="IndexLink"/>
              </w:rPr>
              <w:t>157</w:t>
            </w:r>
          </w:hyperlink>
        </w:p>
        <w:p>
          <w:pPr>
            <w:pStyle w:val="Contents6"/>
            <w:tabs>
              <w:tab w:val="clear" w:pos="7609"/>
              <w:tab w:val="right" w:pos="9026" w:leader="dot"/>
            </w:tabs>
            <w:rPr/>
          </w:pPr>
          <w:hyperlink w:anchor="__RefHeading___Toc10531693_73709187">
            <w:r>
              <w:rPr>
                <w:webHidden/>
                <w:rStyle w:val="IndexLink"/>
                <w:rtl w:val="true"/>
              </w:rPr>
              <w:t>الظنّ بالعدالة</w:t>
            </w:r>
            <w:r>
              <w:rPr>
                <w:rStyle w:val="IndexLink"/>
                <w:rtl w:val="true"/>
              </w:rPr>
              <w:tab/>
            </w:r>
            <w:r>
              <w:rPr>
                <w:rStyle w:val="IndexLink"/>
              </w:rPr>
              <w:t>158</w:t>
            </w:r>
          </w:hyperlink>
        </w:p>
        <w:p>
          <w:pPr>
            <w:pStyle w:val="Contents6"/>
            <w:tabs>
              <w:tab w:val="clear" w:pos="7609"/>
              <w:tab w:val="right" w:pos="9026" w:leader="dot"/>
            </w:tabs>
            <w:rPr/>
          </w:pPr>
          <w:hyperlink w:anchor="__RefHeading___Toc10531695_73709187">
            <w:r>
              <w:rPr>
                <w:webHidden/>
                <w:rStyle w:val="IndexLink"/>
                <w:rtl w:val="true"/>
              </w:rPr>
              <w:t>تعديل الشخص بقيام الطريق إلى عدالته</w:t>
            </w:r>
            <w:r>
              <w:rPr>
                <w:rStyle w:val="IndexLink"/>
                <w:rtl w:val="true"/>
              </w:rPr>
              <w:tab/>
            </w:r>
            <w:r>
              <w:rPr>
                <w:rStyle w:val="IndexLink"/>
              </w:rPr>
              <w:t>159</w:t>
            </w:r>
          </w:hyperlink>
        </w:p>
        <w:p>
          <w:pPr>
            <w:pStyle w:val="Contents6"/>
            <w:tabs>
              <w:tab w:val="clear" w:pos="7609"/>
              <w:tab w:val="right" w:pos="9026" w:leader="dot"/>
            </w:tabs>
            <w:rPr/>
          </w:pPr>
          <w:hyperlink w:anchor="__RefHeading___Toc10531697_73709187">
            <w:r>
              <w:rPr>
                <w:webHidden/>
                <w:rStyle w:val="IndexLink"/>
                <w:rtl w:val="true"/>
              </w:rPr>
              <w:t>بيان اُمور</w:t>
            </w:r>
            <w:r>
              <w:rPr>
                <w:rStyle w:val="IndexLink"/>
                <w:rtl w:val="true"/>
              </w:rPr>
              <w:t>:</w:t>
              <w:tab/>
            </w:r>
            <w:r>
              <w:rPr>
                <w:rStyle w:val="IndexLink"/>
              </w:rPr>
              <w:t>162</w:t>
            </w:r>
          </w:hyperlink>
        </w:p>
        <w:p>
          <w:pPr>
            <w:pStyle w:val="Contents6"/>
            <w:tabs>
              <w:tab w:val="clear" w:pos="7609"/>
              <w:tab w:val="right" w:pos="9026" w:leader="dot"/>
            </w:tabs>
            <w:rPr/>
          </w:pPr>
          <w:hyperlink w:anchor="__RefHeading___Toc10531699_73709187">
            <w:r>
              <w:rPr>
                <w:webHidden/>
                <w:rStyle w:val="IndexLink"/>
                <w:rtl w:val="true"/>
              </w:rPr>
              <w:t>اعتبار المروّة في العدالة وعدمه</w:t>
            </w:r>
            <w:r>
              <w:rPr>
                <w:rStyle w:val="IndexLink"/>
                <w:rtl w:val="true"/>
              </w:rPr>
              <w:tab/>
            </w:r>
            <w:r>
              <w:rPr>
                <w:rStyle w:val="IndexLink"/>
              </w:rPr>
              <w:t>162</w:t>
            </w:r>
          </w:hyperlink>
        </w:p>
        <w:p>
          <w:pPr>
            <w:pStyle w:val="Contents6"/>
            <w:tabs>
              <w:tab w:val="clear" w:pos="7609"/>
              <w:tab w:val="right" w:pos="9026" w:leader="dot"/>
            </w:tabs>
            <w:rPr/>
          </w:pPr>
          <w:hyperlink w:anchor="__RefHeading___Toc10531701_73709187">
            <w:r>
              <w:rPr>
                <w:webHidden/>
                <w:rStyle w:val="IndexLink"/>
                <w:rtl w:val="true"/>
              </w:rPr>
              <w:t>كلام حول الكبيرة والصغيرة</w:t>
            </w:r>
            <w:r>
              <w:rPr>
                <w:rStyle w:val="IndexLink"/>
                <w:rtl w:val="true"/>
              </w:rPr>
              <w:tab/>
            </w:r>
            <w:r>
              <w:rPr>
                <w:rStyle w:val="IndexLink"/>
              </w:rPr>
              <w:t>167</w:t>
            </w:r>
          </w:hyperlink>
        </w:p>
        <w:p>
          <w:pPr>
            <w:pStyle w:val="Contents6"/>
            <w:tabs>
              <w:tab w:val="clear" w:pos="7609"/>
              <w:tab w:val="right" w:pos="9026" w:leader="dot"/>
            </w:tabs>
            <w:rPr/>
          </w:pPr>
          <w:hyperlink w:anchor="__RefHeading___Toc10531703_73709187">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0531705_73709187">
            <w:r>
              <w:rPr>
                <w:webHidden/>
                <w:rStyle w:val="IndexLink"/>
                <w:rtl w:val="true"/>
              </w:rPr>
              <w:t>انقسام المعاصي الى كبائر وصغائر</w:t>
            </w:r>
            <w:r>
              <w:rPr>
                <w:rStyle w:val="IndexLink"/>
                <w:rtl w:val="true"/>
              </w:rPr>
              <w:tab/>
            </w:r>
            <w:r>
              <w:rPr>
                <w:rStyle w:val="IndexLink"/>
              </w:rPr>
              <w:t>167</w:t>
            </w:r>
          </w:hyperlink>
        </w:p>
        <w:p>
          <w:pPr>
            <w:pStyle w:val="Contents6"/>
            <w:tabs>
              <w:tab w:val="clear" w:pos="7609"/>
              <w:tab w:val="right" w:pos="9026" w:leader="dot"/>
            </w:tabs>
            <w:rPr/>
          </w:pPr>
          <w:hyperlink w:anchor="__RefHeading___Toc10531707_73709187">
            <w:r>
              <w:rPr>
                <w:webHidden/>
                <w:rStyle w:val="IndexLink"/>
                <w:rtl w:val="true"/>
              </w:rPr>
              <w:t>ما به تمتاز الكبيرة عن الصغيرة</w:t>
            </w:r>
            <w:r>
              <w:rPr>
                <w:rStyle w:val="IndexLink"/>
                <w:rtl w:val="true"/>
              </w:rPr>
              <w:tab/>
            </w:r>
            <w:r>
              <w:rPr>
                <w:rStyle w:val="IndexLink"/>
              </w:rPr>
              <w:t>171</w:t>
            </w:r>
          </w:hyperlink>
        </w:p>
        <w:p>
          <w:pPr>
            <w:pStyle w:val="Contents6"/>
            <w:tabs>
              <w:tab w:val="clear" w:pos="7609"/>
              <w:tab w:val="right" w:pos="9026" w:leader="dot"/>
            </w:tabs>
            <w:rPr/>
          </w:pPr>
          <w:hyperlink w:anchor="__RefHeading___Toc10531709_73709187">
            <w:r>
              <w:rPr>
                <w:webHidden/>
                <w:rStyle w:val="IndexLink"/>
                <w:rtl w:val="true"/>
              </w:rPr>
              <w:t>اشتراط العدالة باجتناب جميع المعاصي</w:t>
            </w:r>
            <w:r>
              <w:rPr>
                <w:rStyle w:val="IndexLink"/>
                <w:rtl w:val="true"/>
              </w:rPr>
              <w:tab/>
            </w:r>
            <w:r>
              <w:rPr>
                <w:rStyle w:val="IndexLink"/>
              </w:rPr>
              <w:t>174</w:t>
            </w:r>
          </w:hyperlink>
        </w:p>
        <w:p>
          <w:pPr>
            <w:pStyle w:val="Contents6"/>
            <w:tabs>
              <w:tab w:val="clear" w:pos="7609"/>
              <w:tab w:val="right" w:pos="9026" w:leader="dot"/>
            </w:tabs>
            <w:rPr/>
          </w:pPr>
          <w:hyperlink w:anchor="__RefHeading___Toc10531711_73709187">
            <w:r>
              <w:rPr>
                <w:webHidden/>
                <w:rStyle w:val="IndexLink"/>
                <w:rtl w:val="true"/>
              </w:rPr>
              <w:t>الإصرار على الصغائر</w:t>
            </w:r>
            <w:r>
              <w:rPr>
                <w:rStyle w:val="IndexLink"/>
                <w:rtl w:val="true"/>
              </w:rPr>
              <w:tab/>
            </w:r>
            <w:r>
              <w:rPr>
                <w:rStyle w:val="IndexLink"/>
              </w:rPr>
              <w:t>178</w:t>
            </w:r>
          </w:hyperlink>
        </w:p>
        <w:p>
          <w:pPr>
            <w:pStyle w:val="Contents6"/>
            <w:tabs>
              <w:tab w:val="clear" w:pos="7609"/>
              <w:tab w:val="right" w:pos="9026" w:leader="dot"/>
            </w:tabs>
            <w:rPr/>
          </w:pPr>
          <w:hyperlink w:anchor="__RefHeading___Toc10531713_73709187">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0531715_73709187">
            <w:r>
              <w:rPr>
                <w:webHidden/>
                <w:rStyle w:val="IndexLink"/>
                <w:rtl w:val="true"/>
              </w:rPr>
              <w:t>حكم الإصرار</w:t>
            </w:r>
            <w:r>
              <w:rPr>
                <w:rStyle w:val="IndexLink"/>
                <w:rtl w:val="true"/>
              </w:rPr>
              <w:tab/>
            </w:r>
            <w:r>
              <w:rPr>
                <w:rStyle w:val="IndexLink"/>
              </w:rPr>
              <w:t>178</w:t>
            </w:r>
          </w:hyperlink>
        </w:p>
        <w:p>
          <w:pPr>
            <w:pStyle w:val="Contents6"/>
            <w:tabs>
              <w:tab w:val="clear" w:pos="7609"/>
              <w:tab w:val="right" w:pos="9026" w:leader="dot"/>
            </w:tabs>
            <w:rPr/>
          </w:pPr>
          <w:hyperlink w:anchor="__RefHeading___Toc10531717_73709187">
            <w:r>
              <w:rPr>
                <w:webHidden/>
                <w:rStyle w:val="IndexLink"/>
                <w:rtl w:val="true"/>
              </w:rPr>
              <w:t>موضوع الإصرار</w:t>
            </w:r>
            <w:r>
              <w:rPr>
                <w:rStyle w:val="IndexLink"/>
                <w:rtl w:val="true"/>
              </w:rPr>
              <w:tab/>
            </w:r>
            <w:r>
              <w:rPr>
                <w:rStyle w:val="IndexLink"/>
              </w:rPr>
              <w:t>181</w:t>
            </w:r>
          </w:hyperlink>
        </w:p>
        <w:p>
          <w:pPr>
            <w:pStyle w:val="Contents6"/>
            <w:tabs>
              <w:tab w:val="clear" w:pos="7609"/>
              <w:tab w:val="right" w:pos="9026" w:leader="dot"/>
            </w:tabs>
            <w:rPr/>
          </w:pPr>
          <w:hyperlink w:anchor="__RefHeading___Toc10531719_73709187">
            <w:r>
              <w:rPr>
                <w:webHidden/>
                <w:rStyle w:val="IndexLink"/>
                <w:rtl w:val="true"/>
              </w:rPr>
              <w:t>البحث عن مفهوم التوبة وحقيقتها</w:t>
            </w:r>
            <w:r>
              <w:rPr>
                <w:rStyle w:val="IndexLink"/>
                <w:rtl w:val="true"/>
              </w:rPr>
              <w:tab/>
            </w:r>
            <w:r>
              <w:rPr>
                <w:rStyle w:val="IndexLink"/>
              </w:rPr>
              <w:t>185</w:t>
            </w:r>
          </w:hyperlink>
        </w:p>
        <w:p>
          <w:pPr>
            <w:pStyle w:val="Contents6"/>
            <w:tabs>
              <w:tab w:val="clear" w:pos="7609"/>
              <w:tab w:val="right" w:pos="9026" w:leader="dot"/>
            </w:tabs>
            <w:rPr/>
          </w:pPr>
          <w:hyperlink w:anchor="__RefHeading___Toc10531721_73709187">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10531723_73709187">
            <w:r>
              <w:rPr>
                <w:webHidden/>
                <w:rStyle w:val="IndexLink"/>
                <w:rtl w:val="true"/>
              </w:rPr>
              <w:t>حكم التوبة</w:t>
            </w:r>
            <w:r>
              <w:rPr>
                <w:rStyle w:val="IndexLink"/>
                <w:rtl w:val="true"/>
              </w:rPr>
              <w:tab/>
            </w:r>
            <w:r>
              <w:rPr>
                <w:rStyle w:val="IndexLink"/>
              </w:rPr>
              <w:t>188</w:t>
            </w:r>
          </w:hyperlink>
        </w:p>
        <w:p>
          <w:pPr>
            <w:pStyle w:val="Contents5"/>
            <w:tabs>
              <w:tab w:val="clear" w:pos="7892"/>
              <w:tab w:val="right" w:pos="9026" w:leader="dot"/>
            </w:tabs>
            <w:rPr/>
          </w:pPr>
          <w:hyperlink w:anchor="__RefHeading___Toc10531725_73709187">
            <w:r>
              <w:rPr>
                <w:webHidden/>
                <w:rStyle w:val="IndexLink"/>
                <w:rtl w:val="true"/>
              </w:rPr>
              <w:t>اعتبار طهارة المولد</w:t>
            </w:r>
            <w:r>
              <w:rPr>
                <w:rStyle w:val="IndexLink"/>
                <w:rtl w:val="true"/>
              </w:rPr>
              <w:tab/>
            </w:r>
            <w:r>
              <w:rPr>
                <w:rStyle w:val="IndexLink"/>
              </w:rPr>
              <w:t>190</w:t>
            </w:r>
          </w:hyperlink>
        </w:p>
        <w:p>
          <w:pPr>
            <w:pStyle w:val="Contents5"/>
            <w:tabs>
              <w:tab w:val="clear" w:pos="7892"/>
              <w:tab w:val="right" w:pos="9026" w:leader="dot"/>
            </w:tabs>
            <w:rPr/>
          </w:pPr>
          <w:hyperlink w:anchor="__RefHeading___Toc10531727_73709187">
            <w:r>
              <w:rPr>
                <w:webHidden/>
                <w:rStyle w:val="IndexLink"/>
                <w:rtl w:val="true"/>
              </w:rPr>
              <w:t>في إمامة القاعدُ القائمَ‌</w:t>
            </w:r>
            <w:r>
              <w:rPr>
                <w:rStyle w:val="IndexLink"/>
                <w:rtl w:val="true"/>
              </w:rPr>
              <w:tab/>
            </w:r>
            <w:r>
              <w:rPr>
                <w:rStyle w:val="IndexLink"/>
              </w:rPr>
              <w:t>191</w:t>
            </w:r>
          </w:hyperlink>
        </w:p>
        <w:p>
          <w:pPr>
            <w:pStyle w:val="Contents5"/>
            <w:tabs>
              <w:tab w:val="clear" w:pos="7892"/>
              <w:tab w:val="right" w:pos="9026" w:leader="dot"/>
            </w:tabs>
            <w:rPr/>
          </w:pPr>
          <w:hyperlink w:anchor="__RefHeading___Toc10531729_73709187">
            <w:r>
              <w:rPr>
                <w:webHidden/>
                <w:rStyle w:val="IndexLink"/>
                <w:rtl w:val="true"/>
              </w:rPr>
              <w:t>في إمامة الاُمّي</w:t>
            </w:r>
            <w:r>
              <w:rPr>
                <w:rStyle w:val="IndexLink"/>
                <w:rtl w:val="true"/>
              </w:rPr>
              <w:tab/>
            </w:r>
            <w:r>
              <w:rPr>
                <w:rStyle w:val="IndexLink"/>
              </w:rPr>
              <w:t>194</w:t>
            </w:r>
          </w:hyperlink>
        </w:p>
        <w:p>
          <w:pPr>
            <w:pStyle w:val="Contents5"/>
            <w:tabs>
              <w:tab w:val="clear" w:pos="7892"/>
              <w:tab w:val="right" w:pos="9026" w:leader="dot"/>
            </w:tabs>
            <w:rPr/>
          </w:pPr>
          <w:hyperlink w:anchor="__RefHeading___Toc10531731_73709187">
            <w:r>
              <w:rPr>
                <w:webHidden/>
                <w:rStyle w:val="IndexLink"/>
                <w:rtl w:val="true"/>
              </w:rPr>
              <w:t>في إمامة المرأة</w:t>
            </w:r>
            <w:r>
              <w:rPr>
                <w:rStyle w:val="IndexLink"/>
                <w:rtl w:val="true"/>
              </w:rPr>
              <w:tab/>
            </w:r>
            <w:r>
              <w:rPr>
                <w:rStyle w:val="IndexLink"/>
              </w:rPr>
              <w:t>196</w:t>
            </w:r>
          </w:hyperlink>
        </w:p>
        <w:p>
          <w:pPr>
            <w:pStyle w:val="Contents5"/>
            <w:tabs>
              <w:tab w:val="clear" w:pos="7892"/>
              <w:tab w:val="right" w:pos="9026" w:leader="dot"/>
            </w:tabs>
            <w:rPr/>
          </w:pPr>
          <w:hyperlink w:anchor="__RefHeading___Toc10531733_73709187">
            <w:r>
              <w:rPr>
                <w:webHidden/>
                <w:rStyle w:val="IndexLink"/>
                <w:rtl w:val="true"/>
              </w:rPr>
              <w:t>في مَن أولى بالإمامة</w:t>
            </w:r>
            <w:r>
              <w:rPr>
                <w:rStyle w:val="IndexLink"/>
                <w:rtl w:val="true"/>
              </w:rPr>
              <w:tab/>
            </w:r>
            <w:r>
              <w:rPr>
                <w:rStyle w:val="IndexLink"/>
              </w:rPr>
              <w:t>199</w:t>
            </w:r>
          </w:hyperlink>
        </w:p>
        <w:p>
          <w:pPr>
            <w:pStyle w:val="Contents5"/>
            <w:tabs>
              <w:tab w:val="clear" w:pos="7892"/>
              <w:tab w:val="right" w:pos="9026" w:leader="dot"/>
            </w:tabs>
            <w:rPr/>
          </w:pPr>
          <w:hyperlink w:anchor="__RefHeading___Toc10531735_73709187">
            <w:r>
              <w:rPr>
                <w:webHidden/>
                <w:rStyle w:val="IndexLink"/>
                <w:rtl w:val="true"/>
              </w:rPr>
              <w:t>مراتب الأئمّة</w:t>
            </w:r>
            <w:r>
              <w:rPr>
                <w:rStyle w:val="IndexLink"/>
                <w:rtl w:val="true"/>
              </w:rPr>
              <w:tab/>
            </w:r>
            <w:r>
              <w:rPr>
                <w:rStyle w:val="IndexLink"/>
              </w:rPr>
              <w:t>202</w:t>
            </w:r>
          </w:hyperlink>
        </w:p>
        <w:p>
          <w:pPr>
            <w:pStyle w:val="Contents5"/>
            <w:tabs>
              <w:tab w:val="clear" w:pos="7892"/>
              <w:tab w:val="right" w:pos="9026" w:leader="dot"/>
            </w:tabs>
            <w:rPr/>
          </w:pPr>
          <w:hyperlink w:anchor="__RefHeading___Toc10531737_73709187">
            <w:r>
              <w:rPr>
                <w:webHidden/>
                <w:rStyle w:val="IndexLink"/>
                <w:rtl w:val="true"/>
              </w:rPr>
              <w:t>مَنْ يُكره الإئتمام به</w:t>
            </w:r>
            <w:r>
              <w:rPr>
                <w:rStyle w:val="IndexLink"/>
                <w:rtl w:val="true"/>
              </w:rPr>
              <w:tab/>
            </w:r>
            <w:r>
              <w:rPr>
                <w:rStyle w:val="IndexLink"/>
              </w:rPr>
              <w:t>203</w:t>
            </w:r>
          </w:hyperlink>
        </w:p>
        <w:p>
          <w:pPr>
            <w:pStyle w:val="Contents4"/>
            <w:tabs>
              <w:tab w:val="clear" w:pos="8176"/>
              <w:tab w:val="right" w:pos="9026" w:leader="dot"/>
            </w:tabs>
            <w:rPr/>
          </w:pPr>
          <w:hyperlink w:anchor="__RefHeading___Toc10531739_73709187">
            <w:r>
              <w:rPr>
                <w:webHidden/>
                <w:rStyle w:val="IndexLink"/>
                <w:rtl w:val="true"/>
              </w:rPr>
              <w:t>مسائل</w:t>
            </w:r>
            <w:r>
              <w:rPr>
                <w:rStyle w:val="IndexLink"/>
                <w:rtl w:val="true"/>
              </w:rPr>
              <w:t>:</w:t>
              <w:tab/>
            </w:r>
            <w:r>
              <w:rPr>
                <w:rStyle w:val="IndexLink"/>
              </w:rPr>
              <w:t>208</w:t>
            </w:r>
          </w:hyperlink>
        </w:p>
        <w:p>
          <w:pPr>
            <w:pStyle w:val="Contents5"/>
            <w:tabs>
              <w:tab w:val="clear" w:pos="7892"/>
              <w:tab w:val="right" w:pos="9026" w:leader="dot"/>
            </w:tabs>
            <w:rPr/>
          </w:pPr>
          <w:hyperlink w:anchor="__RefHeading___Toc10531741_7370918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0531743_73709187">
            <w:r>
              <w:rPr>
                <w:webHidden/>
                <w:rStyle w:val="IndexLink"/>
                <w:rtl w:val="true"/>
              </w:rPr>
              <w:t>العدول من إمامٍ إلى آخر</w:t>
            </w:r>
            <w:r>
              <w:rPr>
                <w:rStyle w:val="IndexLink"/>
                <w:rtl w:val="true"/>
              </w:rPr>
              <w:tab/>
            </w:r>
            <w:r>
              <w:rPr>
                <w:rStyle w:val="IndexLink"/>
              </w:rPr>
              <w:t>208</w:t>
            </w:r>
          </w:hyperlink>
        </w:p>
        <w:p>
          <w:pPr>
            <w:pStyle w:val="Contents5"/>
            <w:tabs>
              <w:tab w:val="clear" w:pos="7892"/>
              <w:tab w:val="right" w:pos="9026" w:leader="dot"/>
            </w:tabs>
            <w:rPr/>
          </w:pPr>
          <w:hyperlink w:anchor="__RefHeading___Toc10531745_73709187">
            <w:r>
              <w:rPr>
                <w:webHidden/>
                <w:rStyle w:val="IndexLink"/>
                <w:rtl w:val="true"/>
              </w:rPr>
              <w:t>إقامة الجماعة في أثناء الصَّلاة</w:t>
            </w:r>
            <w:r>
              <w:rPr>
                <w:rStyle w:val="IndexLink"/>
                <w:rtl w:val="true"/>
              </w:rPr>
              <w:tab/>
            </w:r>
            <w:r>
              <w:rPr>
                <w:rStyle w:val="IndexLink"/>
              </w:rPr>
              <w:t>211</w:t>
            </w:r>
          </w:hyperlink>
        </w:p>
        <w:p>
          <w:pPr>
            <w:pStyle w:val="Contents5"/>
            <w:tabs>
              <w:tab w:val="clear" w:pos="7892"/>
              <w:tab w:val="right" w:pos="9026" w:leader="dot"/>
            </w:tabs>
            <w:rPr/>
          </w:pPr>
          <w:hyperlink w:anchor="__RefHeading___Toc10531747_73709187">
            <w:r>
              <w:rPr>
                <w:webHidden/>
                <w:rStyle w:val="IndexLink"/>
                <w:rtl w:val="true"/>
              </w:rPr>
              <w:t>لو خاف فوات الرّكعة</w:t>
            </w:r>
            <w:r>
              <w:rPr>
                <w:rStyle w:val="IndexLink"/>
                <w:rtl w:val="true"/>
              </w:rPr>
              <w:tab/>
            </w:r>
            <w:r>
              <w:rPr>
                <w:rStyle w:val="IndexLink"/>
              </w:rPr>
              <w:t>215</w:t>
            </w:r>
          </w:hyperlink>
        </w:p>
        <w:p>
          <w:pPr>
            <w:pStyle w:val="Contents5"/>
            <w:tabs>
              <w:tab w:val="clear" w:pos="7892"/>
              <w:tab w:val="right" w:pos="9026" w:leader="dot"/>
            </w:tabs>
            <w:rPr/>
          </w:pPr>
          <w:hyperlink w:anchor="__RefHeading___Toc10531749_73709187">
            <w:r>
              <w:rPr>
                <w:webHidden/>
                <w:rStyle w:val="IndexLink"/>
                <w:rtl w:val="true"/>
              </w:rPr>
              <w:t>في المأموم المسبوق</w:t>
            </w:r>
            <w:r>
              <w:rPr>
                <w:rStyle w:val="IndexLink"/>
                <w:rtl w:val="true"/>
              </w:rPr>
              <w:tab/>
            </w:r>
            <w:r>
              <w:rPr>
                <w:rStyle w:val="IndexLink"/>
              </w:rPr>
              <w:t>221</w:t>
            </w:r>
          </w:hyperlink>
        </w:p>
        <w:p>
          <w:pPr>
            <w:pStyle w:val="Contents5"/>
            <w:tabs>
              <w:tab w:val="clear" w:pos="7892"/>
              <w:tab w:val="right" w:pos="9026" w:leader="dot"/>
            </w:tabs>
            <w:rPr/>
          </w:pPr>
          <w:hyperlink w:anchor="__RefHeading___Toc10531751_73709187">
            <w:r>
              <w:rPr>
                <w:webHidden/>
                <w:rStyle w:val="IndexLink"/>
                <w:rtl w:val="true"/>
              </w:rPr>
              <w:t>اختلاف الإمام والمأموم اجتهاداً أو تقليداً</w:t>
            </w:r>
            <w:r>
              <w:rPr>
                <w:rStyle w:val="IndexLink"/>
                <w:rtl w:val="true"/>
              </w:rPr>
              <w:tab/>
            </w:r>
            <w:r>
              <w:rPr>
                <w:rStyle w:val="IndexLink"/>
              </w:rPr>
              <w:t>230</w:t>
            </w:r>
          </w:hyperlink>
        </w:p>
        <w:p>
          <w:pPr>
            <w:pStyle w:val="Contents5"/>
            <w:tabs>
              <w:tab w:val="clear" w:pos="7892"/>
              <w:tab w:val="right" w:pos="9026" w:leader="dot"/>
            </w:tabs>
            <w:rPr/>
          </w:pPr>
          <w:hyperlink w:anchor="__RefHeading___Toc10531753_73709187">
            <w:r>
              <w:rPr>
                <w:webHidden/>
                <w:rStyle w:val="IndexLink"/>
                <w:rtl w:val="true"/>
              </w:rPr>
              <w:t>تبيّن بطلان الجماعة</w:t>
            </w:r>
            <w:r>
              <w:rPr>
                <w:rStyle w:val="IndexLink"/>
                <w:rtl w:val="true"/>
              </w:rPr>
              <w:tab/>
            </w:r>
            <w:r>
              <w:rPr>
                <w:rStyle w:val="IndexLink"/>
              </w:rPr>
              <w:t>232</w:t>
            </w:r>
          </w:hyperlink>
        </w:p>
        <w:p>
          <w:pPr>
            <w:pStyle w:val="Contents5"/>
            <w:tabs>
              <w:tab w:val="clear" w:pos="7892"/>
              <w:tab w:val="right" w:pos="9026" w:leader="dot"/>
            </w:tabs>
            <w:rPr/>
          </w:pPr>
          <w:hyperlink w:anchor="__RefHeading___Toc10531755_73709187">
            <w:r>
              <w:rPr>
                <w:webHidden/>
                <w:rStyle w:val="IndexLink"/>
                <w:rtl w:val="true"/>
              </w:rPr>
              <w:t>استحباب إعادة الصَّلاة جماعة</w:t>
            </w:r>
            <w:r>
              <w:rPr>
                <w:rStyle w:val="IndexLink"/>
                <w:rtl w:val="true"/>
              </w:rPr>
              <w:tab/>
            </w:r>
            <w:r>
              <w:rPr>
                <w:rStyle w:val="IndexLink"/>
              </w:rPr>
              <w:t>236</w:t>
            </w:r>
          </w:hyperlink>
        </w:p>
        <w:p>
          <w:pPr>
            <w:pStyle w:val="Contents6"/>
            <w:tabs>
              <w:tab w:val="clear" w:pos="7609"/>
              <w:tab w:val="right" w:pos="9026" w:leader="dot"/>
            </w:tabs>
            <w:rPr/>
          </w:pPr>
          <w:hyperlink w:anchor="__RefHeading___Toc10531757_73709187">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0531759_73709187">
            <w:r>
              <w:rPr>
                <w:webHidden/>
                <w:rStyle w:val="IndexLink"/>
                <w:rtl w:val="true"/>
              </w:rPr>
              <w:t>أقول</w:t>
            </w:r>
            <w:r>
              <w:rPr>
                <w:rStyle w:val="IndexLink"/>
                <w:rtl w:val="true"/>
              </w:rPr>
              <w:t xml:space="preserve">: </w:t>
            </w:r>
            <w:r>
              <w:rPr>
                <w:rStyle w:val="IndexLink"/>
                <w:rtl w:val="true"/>
              </w:rPr>
              <w:t>بقي في المقام البحث عن اُمور</w:t>
            </w:r>
            <w:r>
              <w:rPr>
                <w:rStyle w:val="IndexLink"/>
                <w:rtl w:val="true"/>
              </w:rPr>
              <w:t>:</w:t>
              <w:tab/>
            </w:r>
            <w:r>
              <w:rPr>
                <w:rStyle w:val="IndexLink"/>
              </w:rPr>
              <w:t>238</w:t>
            </w:r>
          </w:hyperlink>
        </w:p>
        <w:p>
          <w:pPr>
            <w:pStyle w:val="Contents6"/>
            <w:tabs>
              <w:tab w:val="clear" w:pos="7609"/>
              <w:tab w:val="right" w:pos="9026" w:leader="dot"/>
            </w:tabs>
            <w:rPr/>
          </w:pPr>
          <w:hyperlink w:anchor="__RefHeading___Toc10531761_73709187">
            <w:r>
              <w:rPr>
                <w:webHidden/>
                <w:rStyle w:val="IndexLink"/>
                <w:rtl w:val="true"/>
              </w:rPr>
              <w:t>جواز الإعادة في موارد إنّما يختصُّ بالمرّة الاُولى</w:t>
            </w:r>
            <w:r>
              <w:rPr>
                <w:rStyle w:val="IndexLink"/>
                <w:rtl w:val="true"/>
              </w:rPr>
              <w:tab/>
            </w:r>
            <w:r>
              <w:rPr>
                <w:rStyle w:val="IndexLink"/>
              </w:rPr>
              <w:t>238</w:t>
            </w:r>
          </w:hyperlink>
        </w:p>
        <w:p>
          <w:pPr>
            <w:pStyle w:val="Contents6"/>
            <w:tabs>
              <w:tab w:val="clear" w:pos="7609"/>
              <w:tab w:val="right" w:pos="9026" w:leader="dot"/>
            </w:tabs>
            <w:rPr/>
          </w:pPr>
          <w:hyperlink w:anchor="__RefHeading___Toc10531763_73709187">
            <w:r>
              <w:rPr>
                <w:webHidden/>
                <w:rStyle w:val="IndexLink"/>
                <w:rtl w:val="true"/>
              </w:rPr>
              <w:t>في تبديل الامتثال</w:t>
            </w:r>
            <w:r>
              <w:rPr>
                <w:rStyle w:val="IndexLink"/>
                <w:rtl w:val="true"/>
              </w:rPr>
              <w:tab/>
            </w:r>
            <w:r>
              <w:rPr>
                <w:rStyle w:val="IndexLink"/>
              </w:rPr>
              <w:t>239</w:t>
            </w:r>
          </w:hyperlink>
        </w:p>
        <w:p>
          <w:pPr>
            <w:pStyle w:val="Contents6"/>
            <w:tabs>
              <w:tab w:val="clear" w:pos="7609"/>
              <w:tab w:val="right" w:pos="9026" w:leader="dot"/>
            </w:tabs>
            <w:rPr/>
          </w:pPr>
          <w:hyperlink w:anchor="__RefHeading___Toc10531765_73709187">
            <w:r>
              <w:rPr>
                <w:webHidden/>
                <w:rStyle w:val="IndexLink"/>
                <w:rtl w:val="true"/>
              </w:rPr>
              <w:t>القيد والدّاعي</w:t>
            </w:r>
            <w:r>
              <w:rPr>
                <w:rStyle w:val="IndexLink"/>
                <w:rtl w:val="true"/>
              </w:rPr>
              <w:tab/>
            </w:r>
            <w:r>
              <w:rPr>
                <w:rStyle w:val="IndexLink"/>
              </w:rPr>
              <w:t>244</w:t>
            </w:r>
          </w:hyperlink>
        </w:p>
        <w:p>
          <w:pPr>
            <w:pStyle w:val="Contents5"/>
            <w:tabs>
              <w:tab w:val="clear" w:pos="7892"/>
              <w:tab w:val="right" w:pos="9026" w:leader="dot"/>
            </w:tabs>
            <w:rPr/>
          </w:pPr>
          <w:hyperlink w:anchor="__RefHeading___Toc10531767_73709187">
            <w:r>
              <w:rPr>
                <w:webHidden/>
                <w:rStyle w:val="IndexLink"/>
                <w:rtl w:val="true"/>
              </w:rPr>
              <w:t>أحكام المساجد</w:t>
            </w:r>
            <w:r>
              <w:rPr>
                <w:rStyle w:val="IndexLink"/>
                <w:rtl w:val="true"/>
              </w:rPr>
              <w:tab/>
            </w:r>
            <w:r>
              <w:rPr>
                <w:rStyle w:val="IndexLink"/>
              </w:rPr>
              <w:t>246</w:t>
            </w:r>
          </w:hyperlink>
        </w:p>
        <w:p>
          <w:pPr>
            <w:pStyle w:val="Contents6"/>
            <w:tabs>
              <w:tab w:val="clear" w:pos="7609"/>
              <w:tab w:val="right" w:pos="9026" w:leader="dot"/>
            </w:tabs>
            <w:rPr/>
          </w:pPr>
          <w:hyperlink w:anchor="__RefHeading___Toc10531769_73709187">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0531771_73709187">
            <w:r>
              <w:rPr>
                <w:webHidden/>
                <w:rStyle w:val="IndexLink"/>
                <w:rtl w:val="true"/>
              </w:rPr>
              <w:t>جواز استعمال آلات المساجد</w:t>
            </w:r>
            <w:r>
              <w:rPr>
                <w:rStyle w:val="IndexLink"/>
                <w:rtl w:val="true"/>
              </w:rPr>
              <w:tab/>
            </w:r>
            <w:r>
              <w:rPr>
                <w:rStyle w:val="IndexLink"/>
              </w:rPr>
              <w:t>248</w:t>
            </w:r>
          </w:hyperlink>
        </w:p>
        <w:p>
          <w:pPr>
            <w:pStyle w:val="Contents6"/>
            <w:tabs>
              <w:tab w:val="clear" w:pos="7609"/>
              <w:tab w:val="right" w:pos="9026" w:leader="dot"/>
            </w:tabs>
            <w:rPr/>
          </w:pPr>
          <w:hyperlink w:anchor="__RefHeading___Toc10531773_73709187">
            <w:r>
              <w:rPr>
                <w:webHidden/>
                <w:rStyle w:val="IndexLink"/>
                <w:rtl w:val="true"/>
              </w:rPr>
              <w:t>حكم زخرفة المساجد ونقشها بالصور</w:t>
            </w:r>
            <w:r>
              <w:rPr>
                <w:rStyle w:val="IndexLink"/>
                <w:rtl w:val="true"/>
              </w:rPr>
              <w:tab/>
            </w:r>
            <w:r>
              <w:rPr>
                <w:rStyle w:val="IndexLink"/>
              </w:rPr>
              <w:t>250</w:t>
            </w:r>
          </w:hyperlink>
        </w:p>
        <w:p>
          <w:pPr>
            <w:pStyle w:val="Contents6"/>
            <w:tabs>
              <w:tab w:val="clear" w:pos="7609"/>
              <w:tab w:val="right" w:pos="9026" w:leader="dot"/>
            </w:tabs>
            <w:rPr/>
          </w:pPr>
          <w:hyperlink w:anchor="__RefHeading___Toc10531775_73709187">
            <w:r>
              <w:rPr>
                <w:webHidden/>
                <w:rStyle w:val="IndexLink"/>
                <w:rtl w:val="true"/>
              </w:rPr>
              <w:t>حكم إخراج الحَصى منها</w:t>
            </w:r>
            <w:r>
              <w:rPr>
                <w:rStyle w:val="IndexLink"/>
                <w:rtl w:val="true"/>
              </w:rPr>
              <w:tab/>
            </w:r>
            <w:r>
              <w:rPr>
                <w:rStyle w:val="IndexLink"/>
              </w:rPr>
              <w:t>254</w:t>
            </w:r>
          </w:hyperlink>
        </w:p>
        <w:p>
          <w:pPr>
            <w:pStyle w:val="Contents6"/>
            <w:tabs>
              <w:tab w:val="clear" w:pos="7609"/>
              <w:tab w:val="right" w:pos="9026" w:leader="dot"/>
            </w:tabs>
            <w:rPr/>
          </w:pPr>
          <w:hyperlink w:anchor="__RefHeading___Toc10531777_73709187">
            <w:r>
              <w:rPr>
                <w:webHidden/>
                <w:rStyle w:val="IndexLink"/>
                <w:rtl w:val="true"/>
              </w:rPr>
              <w:t>مكروهات المساجد</w:t>
            </w:r>
            <w:r>
              <w:rPr>
                <w:rStyle w:val="IndexLink"/>
                <w:rtl w:val="true"/>
              </w:rPr>
              <w:tab/>
            </w:r>
            <w:r>
              <w:rPr>
                <w:rStyle w:val="IndexLink"/>
              </w:rPr>
              <w:t>256</w:t>
            </w:r>
          </w:hyperlink>
        </w:p>
        <w:p>
          <w:pPr>
            <w:pStyle w:val="Contents6"/>
            <w:tabs>
              <w:tab w:val="clear" w:pos="7609"/>
              <w:tab w:val="right" w:pos="9026" w:leader="dot"/>
            </w:tabs>
            <w:rPr/>
          </w:pPr>
          <w:hyperlink w:anchor="__RefHeading___Toc10531779_73709187">
            <w:r>
              <w:rPr>
                <w:webHidden/>
                <w:rStyle w:val="IndexLink"/>
                <w:rtl w:val="true"/>
              </w:rPr>
              <w:t>مستحبّات المساجد</w:t>
            </w:r>
            <w:r>
              <w:rPr>
                <w:rStyle w:val="IndexLink"/>
                <w:rtl w:val="true"/>
              </w:rPr>
              <w:tab/>
            </w:r>
            <w:r>
              <w:rPr>
                <w:rStyle w:val="IndexLink"/>
              </w:rPr>
              <w:t>260</w:t>
            </w:r>
          </w:hyperlink>
        </w:p>
        <w:p>
          <w:pPr>
            <w:pStyle w:val="Contents3"/>
            <w:tabs>
              <w:tab w:val="clear" w:pos="8459"/>
              <w:tab w:val="right" w:pos="9026" w:leader="dot"/>
            </w:tabs>
            <w:rPr/>
          </w:pPr>
          <w:hyperlink w:anchor="__RefHeading___Toc10531781_73709187">
            <w:r>
              <w:rPr>
                <w:webHidden/>
                <w:rStyle w:val="IndexLink"/>
                <w:rtl w:val="true"/>
              </w:rPr>
              <w:t>الباب السابع في صلاة الخوف والمطاردة</w:t>
            </w:r>
            <w:r>
              <w:rPr>
                <w:rStyle w:val="IndexLink"/>
                <w:rtl w:val="true"/>
              </w:rPr>
              <w:tab/>
            </w:r>
            <w:r>
              <w:rPr>
                <w:rStyle w:val="IndexLink"/>
              </w:rPr>
              <w:t>263</w:t>
            </w:r>
          </w:hyperlink>
        </w:p>
        <w:p>
          <w:pPr>
            <w:pStyle w:val="Contents4"/>
            <w:tabs>
              <w:tab w:val="clear" w:pos="8176"/>
              <w:tab w:val="right" w:pos="9026" w:leader="dot"/>
            </w:tabs>
            <w:rPr/>
          </w:pPr>
          <w:hyperlink w:anchor="__RefHeading___Toc10531783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0531785_73709187">
            <w:r>
              <w:rPr>
                <w:webHidden/>
                <w:rStyle w:val="IndexLink"/>
                <w:rtl w:val="true"/>
              </w:rPr>
              <w:t>شروط صلاة الخوف وكيفيّتها</w:t>
            </w:r>
            <w:r>
              <w:rPr>
                <w:rStyle w:val="IndexLink"/>
                <w:rtl w:val="true"/>
              </w:rPr>
              <w:tab/>
            </w:r>
            <w:r>
              <w:rPr>
                <w:rStyle w:val="IndexLink"/>
              </w:rPr>
              <w:t>266</w:t>
            </w:r>
          </w:hyperlink>
        </w:p>
        <w:p>
          <w:pPr>
            <w:pStyle w:val="Contents4"/>
            <w:tabs>
              <w:tab w:val="clear" w:pos="8176"/>
              <w:tab w:val="right" w:pos="9026" w:leader="dot"/>
            </w:tabs>
            <w:rPr/>
          </w:pPr>
          <w:hyperlink w:anchor="__RefHeading___Toc10531787_73709187">
            <w:r>
              <w:rPr>
                <w:webHidden/>
                <w:rStyle w:val="IndexLink"/>
                <w:rtl w:val="true"/>
              </w:rPr>
              <w:t>في بيان أحكامها</w:t>
            </w:r>
            <w:r>
              <w:rPr>
                <w:rStyle w:val="IndexLink"/>
                <w:rtl w:val="true"/>
              </w:rPr>
              <w:tab/>
            </w:r>
            <w:r>
              <w:rPr>
                <w:rStyle w:val="IndexLink"/>
              </w:rPr>
              <w:t>270</w:t>
            </w:r>
          </w:hyperlink>
        </w:p>
        <w:p>
          <w:pPr>
            <w:pStyle w:val="Contents4"/>
            <w:tabs>
              <w:tab w:val="clear" w:pos="8176"/>
              <w:tab w:val="right" w:pos="9026" w:leader="dot"/>
            </w:tabs>
            <w:rPr/>
          </w:pPr>
          <w:hyperlink w:anchor="__RefHeading___Toc10531789_73709187">
            <w:r>
              <w:rPr>
                <w:webHidden/>
                <w:rStyle w:val="IndexLink"/>
                <w:rtl w:val="true"/>
              </w:rPr>
              <w:t>صلاة المطاردة</w:t>
            </w:r>
            <w:r>
              <w:rPr>
                <w:rStyle w:val="IndexLink"/>
                <w:rtl w:val="true"/>
              </w:rPr>
              <w:tab/>
            </w:r>
            <w:r>
              <w:rPr>
                <w:rStyle w:val="IndexLink"/>
              </w:rPr>
              <w:t>271</w:t>
            </w:r>
          </w:hyperlink>
        </w:p>
        <w:p>
          <w:pPr>
            <w:pStyle w:val="Contents3"/>
            <w:tabs>
              <w:tab w:val="clear" w:pos="8459"/>
              <w:tab w:val="right" w:pos="9026" w:leader="dot"/>
            </w:tabs>
            <w:rPr/>
          </w:pPr>
          <w:hyperlink w:anchor="__RefHeading___Toc10531791_73709187">
            <w:r>
              <w:rPr>
                <w:webHidden/>
                <w:rStyle w:val="IndexLink"/>
                <w:rtl w:val="true"/>
              </w:rPr>
              <w:t>الباب الثامن في صلاة المسافر</w:t>
            </w:r>
            <w:r>
              <w:rPr>
                <w:rStyle w:val="IndexLink"/>
                <w:rtl w:val="true"/>
              </w:rPr>
              <w:tab/>
            </w:r>
            <w:r>
              <w:rPr>
                <w:rStyle w:val="IndexLink"/>
              </w:rPr>
              <w:t>275</w:t>
            </w:r>
          </w:hyperlink>
        </w:p>
        <w:p>
          <w:pPr>
            <w:pStyle w:val="Contents4"/>
            <w:tabs>
              <w:tab w:val="clear" w:pos="8176"/>
              <w:tab w:val="right" w:pos="9026" w:leader="dot"/>
            </w:tabs>
            <w:rPr/>
          </w:pPr>
          <w:hyperlink w:anchor="__RefHeading___Toc10531793_7370918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0531795_73709187">
            <w:r>
              <w:rPr>
                <w:webHidden/>
                <w:rStyle w:val="IndexLink"/>
                <w:rtl w:val="true"/>
              </w:rPr>
              <w:t>الفصل الأوّل</w:t>
            </w:r>
            <w:r>
              <w:rPr>
                <w:rStyle w:val="IndexLink"/>
                <w:rtl w:val="true"/>
              </w:rPr>
              <w:t xml:space="preserve">: </w:t>
            </w:r>
            <w:r>
              <w:rPr>
                <w:rStyle w:val="IndexLink"/>
                <w:rtl w:val="true"/>
              </w:rPr>
              <w:t>شروط قصر الصلاة ستة</w:t>
            </w:r>
            <w:r>
              <w:rPr>
                <w:rStyle w:val="IndexLink"/>
                <w:rtl w:val="true"/>
              </w:rPr>
              <w:tab/>
            </w:r>
            <w:r>
              <w:rPr>
                <w:rStyle w:val="IndexLink"/>
              </w:rPr>
              <w:t>276</w:t>
            </w:r>
          </w:hyperlink>
        </w:p>
        <w:p>
          <w:pPr>
            <w:pStyle w:val="Contents5"/>
            <w:tabs>
              <w:tab w:val="clear" w:pos="7892"/>
              <w:tab w:val="right" w:pos="9026" w:leader="dot"/>
            </w:tabs>
            <w:rPr/>
          </w:pPr>
          <w:hyperlink w:anchor="__RefHeading___Toc10531797_7370918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0531799_73709187">
            <w:r>
              <w:rPr>
                <w:webHidden/>
                <w:rStyle w:val="IndexLink"/>
                <w:rtl w:val="true"/>
              </w:rPr>
              <w:t>حَدّ المسافة</w:t>
            </w:r>
            <w:r>
              <w:rPr>
                <w:rStyle w:val="IndexLink"/>
                <w:rtl w:val="true"/>
              </w:rPr>
              <w:tab/>
            </w:r>
            <w:r>
              <w:rPr>
                <w:rStyle w:val="IndexLink"/>
              </w:rPr>
              <w:t>277</w:t>
            </w:r>
          </w:hyperlink>
        </w:p>
        <w:p>
          <w:pPr>
            <w:pStyle w:val="Contents6"/>
            <w:tabs>
              <w:tab w:val="clear" w:pos="7609"/>
              <w:tab w:val="right" w:pos="9026" w:leader="dot"/>
            </w:tabs>
            <w:rPr/>
          </w:pPr>
          <w:hyperlink w:anchor="__RefHeading___Toc10531801_73709187">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0531803_73709187">
            <w:r>
              <w:rPr>
                <w:webHidden/>
                <w:rStyle w:val="IndexLink"/>
                <w:rtl w:val="true"/>
              </w:rPr>
              <w:t>أقول</w:t>
            </w:r>
            <w:r>
              <w:rPr>
                <w:rStyle w:val="IndexLink"/>
                <w:rtl w:val="true"/>
              </w:rPr>
              <w:t xml:space="preserve">: </w:t>
            </w:r>
            <w:r>
              <w:rPr>
                <w:rStyle w:val="IndexLink"/>
                <w:rtl w:val="true"/>
              </w:rPr>
              <w:t>الكلام في المقام يقع في موارد</w:t>
            </w:r>
            <w:r>
              <w:rPr>
                <w:rStyle w:val="IndexLink"/>
                <w:rtl w:val="true"/>
              </w:rPr>
              <w:t>:</w:t>
              <w:tab/>
            </w:r>
            <w:r>
              <w:rPr>
                <w:rStyle w:val="IndexLink"/>
              </w:rPr>
              <w:t>278</w:t>
            </w:r>
          </w:hyperlink>
        </w:p>
        <w:p>
          <w:pPr>
            <w:pStyle w:val="Contents6"/>
            <w:tabs>
              <w:tab w:val="clear" w:pos="7609"/>
              <w:tab w:val="right" w:pos="9026" w:leader="dot"/>
            </w:tabs>
            <w:rPr/>
          </w:pPr>
          <w:hyperlink w:anchor="__RefHeading___Toc10531805_73709187">
            <w:r>
              <w:rPr>
                <w:webHidden/>
                <w:rStyle w:val="IndexLink"/>
                <w:rtl w:val="true"/>
              </w:rPr>
              <w:t>حدّدت المسافة بمسيرة يومٍ‌</w:t>
            </w:r>
            <w:r>
              <w:rPr>
                <w:rStyle w:val="IndexLink"/>
                <w:rtl w:val="true"/>
              </w:rPr>
              <w:tab/>
            </w:r>
            <w:r>
              <w:rPr>
                <w:rStyle w:val="IndexLink"/>
              </w:rPr>
              <w:t>278</w:t>
            </w:r>
          </w:hyperlink>
        </w:p>
        <w:p>
          <w:pPr>
            <w:pStyle w:val="Contents6"/>
            <w:tabs>
              <w:tab w:val="clear" w:pos="7609"/>
              <w:tab w:val="right" w:pos="9026" w:leader="dot"/>
            </w:tabs>
            <w:rPr/>
          </w:pPr>
          <w:hyperlink w:anchor="__RefHeading___Toc10531807_73709187">
            <w:r>
              <w:rPr>
                <w:webHidden/>
                <w:rStyle w:val="IndexLink"/>
                <w:rtl w:val="true"/>
              </w:rPr>
              <w:t>المراد من الميل</w:t>
            </w:r>
            <w:r>
              <w:rPr>
                <w:rStyle w:val="IndexLink"/>
                <w:rtl w:val="true"/>
              </w:rPr>
              <w:tab/>
            </w:r>
            <w:r>
              <w:rPr>
                <w:rStyle w:val="IndexLink"/>
              </w:rPr>
              <w:t>280</w:t>
            </w:r>
          </w:hyperlink>
        </w:p>
        <w:p>
          <w:pPr>
            <w:pStyle w:val="Contents6"/>
            <w:tabs>
              <w:tab w:val="clear" w:pos="7609"/>
              <w:tab w:val="right" w:pos="9026" w:leader="dot"/>
            </w:tabs>
            <w:rPr/>
          </w:pPr>
          <w:hyperlink w:anchor="__RefHeading___Toc10531809_73709187">
            <w:r>
              <w:rPr>
                <w:webHidden/>
                <w:rStyle w:val="IndexLink"/>
                <w:rtl w:val="true"/>
              </w:rPr>
              <w:t>حكم المسافة الملفّقة</w:t>
            </w:r>
            <w:r>
              <w:rPr>
                <w:rStyle w:val="IndexLink"/>
                <w:rtl w:val="true"/>
              </w:rPr>
              <w:tab/>
            </w:r>
            <w:r>
              <w:rPr>
                <w:rStyle w:val="IndexLink"/>
              </w:rPr>
              <w:t>281</w:t>
            </w:r>
          </w:hyperlink>
        </w:p>
        <w:p>
          <w:pPr>
            <w:pStyle w:val="Contents6"/>
            <w:tabs>
              <w:tab w:val="clear" w:pos="7609"/>
              <w:tab w:val="right" w:pos="9026" w:leader="dot"/>
            </w:tabs>
            <w:rPr/>
          </w:pPr>
          <w:hyperlink w:anchor="__RefHeading___Toc10531811_73709187">
            <w:r>
              <w:rPr>
                <w:webHidden/>
                <w:rStyle w:val="IndexLink"/>
                <w:rtl w:val="true"/>
              </w:rPr>
              <w:t>في تعيين مبدأ المسافة</w:t>
            </w:r>
            <w:r>
              <w:rPr>
                <w:rStyle w:val="IndexLink"/>
                <w:rtl w:val="true"/>
              </w:rPr>
              <w:tab/>
            </w:r>
            <w:r>
              <w:rPr>
                <w:rStyle w:val="IndexLink"/>
              </w:rPr>
              <w:t>292</w:t>
            </w:r>
          </w:hyperlink>
        </w:p>
        <w:p>
          <w:pPr>
            <w:pStyle w:val="Contents6"/>
            <w:tabs>
              <w:tab w:val="clear" w:pos="7609"/>
              <w:tab w:val="right" w:pos="9026" w:leader="dot"/>
            </w:tabs>
            <w:rPr/>
          </w:pPr>
          <w:hyperlink w:anchor="__RefHeading___Toc10531813_73709187">
            <w:r>
              <w:rPr>
                <w:webHidden/>
                <w:rStyle w:val="IndexLink"/>
                <w:rtl w:val="true"/>
              </w:rPr>
              <w:t>في المسافة المستديرة</w:t>
            </w:r>
            <w:r>
              <w:rPr>
                <w:rStyle w:val="IndexLink"/>
                <w:rtl w:val="true"/>
              </w:rPr>
              <w:tab/>
            </w:r>
            <w:r>
              <w:rPr>
                <w:rStyle w:val="IndexLink"/>
              </w:rPr>
              <w:t>295</w:t>
            </w:r>
          </w:hyperlink>
        </w:p>
        <w:p>
          <w:pPr>
            <w:pStyle w:val="Contents6"/>
            <w:tabs>
              <w:tab w:val="clear" w:pos="7609"/>
              <w:tab w:val="right" w:pos="9026" w:leader="dot"/>
            </w:tabs>
            <w:rPr/>
          </w:pPr>
          <w:hyperlink w:anchor="__RefHeading___Toc10531815_73709187">
            <w:r>
              <w:rPr>
                <w:webHidden/>
                <w:rStyle w:val="IndexLink"/>
                <w:rtl w:val="true"/>
              </w:rPr>
              <w:t>طرق ثبوت المسافة</w:t>
            </w:r>
            <w:r>
              <w:rPr>
                <w:rStyle w:val="IndexLink"/>
                <w:rtl w:val="true"/>
              </w:rPr>
              <w:tab/>
            </w:r>
            <w:r>
              <w:rPr>
                <w:rStyle w:val="IndexLink"/>
              </w:rPr>
              <w:t>297</w:t>
            </w:r>
          </w:hyperlink>
        </w:p>
        <w:p>
          <w:pPr>
            <w:pStyle w:val="Contents5"/>
            <w:tabs>
              <w:tab w:val="clear" w:pos="7892"/>
              <w:tab w:val="right" w:pos="9026" w:leader="dot"/>
            </w:tabs>
            <w:rPr/>
          </w:pPr>
          <w:hyperlink w:anchor="__RefHeading___Toc10531817_73709187">
            <w:r>
              <w:rPr>
                <w:webHidden/>
                <w:rStyle w:val="IndexLink"/>
                <w:rtl w:val="true"/>
              </w:rPr>
              <w:t>اعتبار قصد المسافة</w:t>
            </w:r>
            <w:r>
              <w:rPr>
                <w:rStyle w:val="IndexLink"/>
                <w:rtl w:val="true"/>
              </w:rPr>
              <w:tab/>
            </w:r>
            <w:r>
              <w:rPr>
                <w:rStyle w:val="IndexLink"/>
              </w:rPr>
              <w:t>300</w:t>
            </w:r>
          </w:hyperlink>
        </w:p>
        <w:p>
          <w:pPr>
            <w:pStyle w:val="Contents6"/>
            <w:tabs>
              <w:tab w:val="clear" w:pos="7609"/>
              <w:tab w:val="right" w:pos="9026" w:leader="dot"/>
            </w:tabs>
            <w:rPr/>
          </w:pPr>
          <w:hyperlink w:anchor="__RefHeading___Toc10531819_73709187">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10531821_73709187">
            <w:r>
              <w:rPr>
                <w:webHidden/>
                <w:rStyle w:val="IndexLink"/>
                <w:rtl w:val="true"/>
              </w:rPr>
              <w:t>إنّما الكلام وقع في اُمور</w:t>
            </w:r>
            <w:r>
              <w:rPr>
                <w:rStyle w:val="IndexLink"/>
                <w:rtl w:val="true"/>
              </w:rPr>
              <w:t>:</w:t>
              <w:tab/>
            </w:r>
            <w:r>
              <w:rPr>
                <w:rStyle w:val="IndexLink"/>
              </w:rPr>
              <w:t>301</w:t>
            </w:r>
          </w:hyperlink>
        </w:p>
        <w:p>
          <w:pPr>
            <w:pStyle w:val="Contents6"/>
            <w:tabs>
              <w:tab w:val="clear" w:pos="7609"/>
              <w:tab w:val="right" w:pos="9026" w:leader="dot"/>
            </w:tabs>
            <w:rPr/>
          </w:pPr>
          <w:hyperlink w:anchor="__RefHeading___Toc10531823_73709187">
            <w:r>
              <w:rPr>
                <w:webHidden/>
                <w:rStyle w:val="IndexLink"/>
                <w:rtl w:val="true"/>
              </w:rPr>
              <w:t>حكم الإياب إلى منزله</w:t>
            </w:r>
            <w:r>
              <w:rPr>
                <w:rStyle w:val="IndexLink"/>
                <w:rtl w:val="true"/>
              </w:rPr>
              <w:tab/>
            </w:r>
            <w:r>
              <w:rPr>
                <w:rStyle w:val="IndexLink"/>
              </w:rPr>
              <w:t>301</w:t>
            </w:r>
          </w:hyperlink>
        </w:p>
        <w:p>
          <w:pPr>
            <w:pStyle w:val="Contents6"/>
            <w:tabs>
              <w:tab w:val="clear" w:pos="7609"/>
              <w:tab w:val="right" w:pos="9026" w:leader="dot"/>
            </w:tabs>
            <w:rPr/>
          </w:pPr>
          <w:hyperlink w:anchor="__RefHeading___Toc10531825_73709187">
            <w:r>
              <w:rPr>
                <w:webHidden/>
                <w:rStyle w:val="IndexLink"/>
                <w:rtl w:val="true"/>
              </w:rPr>
              <w:t>لو أُخرج إلى المسافة</w:t>
            </w:r>
            <w:r>
              <w:rPr>
                <w:rStyle w:val="IndexLink"/>
                <w:rtl w:val="true"/>
              </w:rPr>
              <w:tab/>
            </w:r>
            <w:r>
              <w:rPr>
                <w:rStyle w:val="IndexLink"/>
              </w:rPr>
              <w:t>302</w:t>
            </w:r>
          </w:hyperlink>
        </w:p>
        <w:p>
          <w:pPr>
            <w:pStyle w:val="Contents6"/>
            <w:tabs>
              <w:tab w:val="clear" w:pos="7609"/>
              <w:tab w:val="right" w:pos="9026" w:leader="dot"/>
            </w:tabs>
            <w:rPr/>
          </w:pPr>
          <w:hyperlink w:anchor="__RefHeading___Toc10531827_73709187">
            <w:r>
              <w:rPr>
                <w:webHidden/>
                <w:rStyle w:val="IndexLink"/>
                <w:rtl w:val="true"/>
              </w:rPr>
              <w:t>عدم اعتبار قصد المسافة الشخصيّة</w:t>
            </w:r>
            <w:r>
              <w:rPr>
                <w:rStyle w:val="IndexLink"/>
                <w:rtl w:val="true"/>
              </w:rPr>
              <w:tab/>
            </w:r>
            <w:r>
              <w:rPr>
                <w:rStyle w:val="IndexLink"/>
              </w:rPr>
              <w:t>304</w:t>
            </w:r>
          </w:hyperlink>
        </w:p>
        <w:p>
          <w:pPr>
            <w:pStyle w:val="Contents6"/>
            <w:tabs>
              <w:tab w:val="clear" w:pos="7609"/>
              <w:tab w:val="right" w:pos="9026" w:leader="dot"/>
            </w:tabs>
            <w:rPr/>
          </w:pPr>
          <w:hyperlink w:anchor="__RefHeading___Toc10531829_73709187">
            <w:r>
              <w:rPr>
                <w:webHidden/>
                <w:rStyle w:val="IndexLink"/>
                <w:rtl w:val="true"/>
              </w:rPr>
              <w:t>لو تردّد في الأثناء</w:t>
            </w:r>
            <w:r>
              <w:rPr>
                <w:rStyle w:val="IndexLink"/>
                <w:rtl w:val="true"/>
              </w:rPr>
              <w:tab/>
            </w:r>
            <w:r>
              <w:rPr>
                <w:rStyle w:val="IndexLink"/>
              </w:rPr>
              <w:t>306</w:t>
            </w:r>
          </w:hyperlink>
        </w:p>
        <w:p>
          <w:pPr>
            <w:pStyle w:val="Contents6"/>
            <w:tabs>
              <w:tab w:val="clear" w:pos="7609"/>
              <w:tab w:val="right" w:pos="9026" w:leader="dot"/>
            </w:tabs>
            <w:rPr/>
          </w:pPr>
          <w:hyperlink w:anchor="__RefHeading___Toc10531831_73709187">
            <w:r>
              <w:rPr>
                <w:webHidden/>
                <w:rStyle w:val="IndexLink"/>
                <w:rtl w:val="true"/>
              </w:rPr>
              <w:t>حكم التابع في السّفر</w:t>
            </w:r>
            <w:r>
              <w:rPr>
                <w:rStyle w:val="IndexLink"/>
                <w:rtl w:val="true"/>
              </w:rPr>
              <w:tab/>
            </w:r>
            <w:r>
              <w:rPr>
                <w:rStyle w:val="IndexLink"/>
              </w:rPr>
              <w:t>308</w:t>
            </w:r>
          </w:hyperlink>
        </w:p>
        <w:p>
          <w:pPr>
            <w:pStyle w:val="Contents6"/>
            <w:tabs>
              <w:tab w:val="clear" w:pos="7609"/>
              <w:tab w:val="right" w:pos="9026" w:leader="dot"/>
            </w:tabs>
            <w:rPr/>
          </w:pPr>
          <w:hyperlink w:anchor="__RefHeading___Toc10531833_73709187">
            <w:r>
              <w:rPr>
                <w:webHidden/>
                <w:rStyle w:val="IndexLink"/>
                <w:rtl w:val="true"/>
              </w:rPr>
              <w:t>إذا صلّى قصراً ثمّ عدل عن القصد</w:t>
            </w:r>
            <w:r>
              <w:rPr>
                <w:rStyle w:val="IndexLink"/>
                <w:rtl w:val="true"/>
              </w:rPr>
              <w:tab/>
            </w:r>
            <w:r>
              <w:rPr>
                <w:rStyle w:val="IndexLink"/>
              </w:rPr>
              <w:t>310</w:t>
            </w:r>
          </w:hyperlink>
        </w:p>
        <w:p>
          <w:pPr>
            <w:pStyle w:val="Contents5"/>
            <w:tabs>
              <w:tab w:val="clear" w:pos="7892"/>
              <w:tab w:val="right" w:pos="9026" w:leader="dot"/>
            </w:tabs>
            <w:rPr/>
          </w:pPr>
          <w:hyperlink w:anchor="__RefHeading___Toc10531835_73709187">
            <w:r>
              <w:rPr>
                <w:webHidden/>
                <w:rStyle w:val="IndexLink"/>
                <w:rtl w:val="true"/>
              </w:rPr>
              <w:t>الوصول إلى الوطن قاطع للسَّفر</w:t>
            </w:r>
            <w:r>
              <w:rPr>
                <w:rStyle w:val="IndexLink"/>
                <w:rtl w:val="true"/>
              </w:rPr>
              <w:tab/>
            </w:r>
            <w:r>
              <w:rPr>
                <w:rStyle w:val="IndexLink"/>
              </w:rPr>
              <w:t>312</w:t>
            </w:r>
          </w:hyperlink>
        </w:p>
        <w:p>
          <w:pPr>
            <w:pStyle w:val="Contents6"/>
            <w:tabs>
              <w:tab w:val="clear" w:pos="7609"/>
              <w:tab w:val="right" w:pos="9026" w:leader="dot"/>
            </w:tabs>
            <w:rPr/>
          </w:pPr>
          <w:hyperlink w:anchor="__RefHeading___Toc10531837_73709187">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0531839_73709187">
            <w:r>
              <w:rPr>
                <w:webHidden/>
                <w:rStyle w:val="IndexLink"/>
                <w:rtl w:val="true"/>
              </w:rPr>
              <w:t>إذا انقطع سفره بالمرور على الوطن أتمّ‌</w:t>
            </w:r>
            <w:r>
              <w:rPr>
                <w:rStyle w:val="IndexLink"/>
                <w:rtl w:val="true"/>
              </w:rPr>
              <w:tab/>
            </w:r>
            <w:r>
              <w:rPr>
                <w:rStyle w:val="IndexLink"/>
              </w:rPr>
              <w:t>312</w:t>
            </w:r>
          </w:hyperlink>
        </w:p>
        <w:p>
          <w:pPr>
            <w:pStyle w:val="Contents6"/>
            <w:tabs>
              <w:tab w:val="clear" w:pos="7609"/>
              <w:tab w:val="right" w:pos="9026" w:leader="dot"/>
            </w:tabs>
            <w:rPr/>
          </w:pPr>
          <w:hyperlink w:anchor="__RefHeading___Toc10531841_73709187">
            <w:r>
              <w:rPr>
                <w:webHidden/>
                <w:rStyle w:val="IndexLink"/>
                <w:rtl w:val="true"/>
              </w:rPr>
              <w:t>الإقامة قاطعة للسفر</w:t>
            </w:r>
            <w:r>
              <w:rPr>
                <w:rStyle w:val="IndexLink"/>
                <w:rtl w:val="true"/>
              </w:rPr>
              <w:tab/>
            </w:r>
            <w:r>
              <w:rPr>
                <w:rStyle w:val="IndexLink"/>
              </w:rPr>
              <w:t>313</w:t>
            </w:r>
          </w:hyperlink>
        </w:p>
        <w:p>
          <w:pPr>
            <w:pStyle w:val="Contents5"/>
            <w:tabs>
              <w:tab w:val="clear" w:pos="7892"/>
              <w:tab w:val="right" w:pos="9026" w:leader="dot"/>
            </w:tabs>
            <w:rPr/>
          </w:pPr>
          <w:hyperlink w:anchor="__RefHeading___Toc10531843_73709187">
            <w:r>
              <w:rPr>
                <w:webHidden/>
                <w:rStyle w:val="IndexLink"/>
                <w:rtl w:val="true"/>
              </w:rPr>
              <w:t>اعتبار إباحة السّفر</w:t>
            </w:r>
            <w:r>
              <w:rPr>
                <w:rStyle w:val="IndexLink"/>
                <w:rtl w:val="true"/>
              </w:rPr>
              <w:tab/>
            </w:r>
            <w:r>
              <w:rPr>
                <w:rStyle w:val="IndexLink"/>
              </w:rPr>
              <w:t>318</w:t>
            </w:r>
          </w:hyperlink>
        </w:p>
        <w:p>
          <w:pPr>
            <w:pStyle w:val="Contents6"/>
            <w:tabs>
              <w:tab w:val="clear" w:pos="7609"/>
              <w:tab w:val="right" w:pos="9026" w:leader="dot"/>
            </w:tabs>
            <w:rPr/>
          </w:pPr>
          <w:hyperlink w:anchor="__RefHeading___Toc10531845_73709187">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0531847_73709187">
            <w:r>
              <w:rPr>
                <w:webHidden/>
                <w:rStyle w:val="IndexLink"/>
                <w:rtl w:val="true"/>
              </w:rPr>
              <w:t>فروع</w:t>
            </w:r>
            <w:r>
              <w:rPr>
                <w:rStyle w:val="IndexLink"/>
                <w:rtl w:val="true"/>
              </w:rPr>
              <w:t>:</w:t>
              <w:tab/>
            </w:r>
            <w:r>
              <w:rPr>
                <w:rStyle w:val="IndexLink"/>
              </w:rPr>
              <w:t>324</w:t>
            </w:r>
          </w:hyperlink>
        </w:p>
        <w:p>
          <w:pPr>
            <w:pStyle w:val="Contents6"/>
            <w:tabs>
              <w:tab w:val="clear" w:pos="7609"/>
              <w:tab w:val="right" w:pos="9026" w:leader="dot"/>
            </w:tabs>
            <w:rPr/>
          </w:pPr>
          <w:hyperlink w:anchor="__RefHeading___Toc10531849_73709187">
            <w:r>
              <w:rPr>
                <w:webHidden/>
                <w:rStyle w:val="IndexLink"/>
                <w:rtl w:val="true"/>
              </w:rPr>
              <w:t>حكم الرجوع من سفر المعصية</w:t>
            </w:r>
            <w:r>
              <w:rPr>
                <w:rStyle w:val="IndexLink"/>
                <w:rtl w:val="true"/>
              </w:rPr>
              <w:tab/>
            </w:r>
            <w:r>
              <w:rPr>
                <w:rStyle w:val="IndexLink"/>
              </w:rPr>
              <w:t>324</w:t>
            </w:r>
          </w:hyperlink>
        </w:p>
        <w:p>
          <w:pPr>
            <w:pStyle w:val="Contents6"/>
            <w:tabs>
              <w:tab w:val="clear" w:pos="7609"/>
              <w:tab w:val="right" w:pos="9026" w:leader="dot"/>
            </w:tabs>
            <w:rPr/>
          </w:pPr>
          <w:hyperlink w:anchor="__RefHeading___Toc10531851_73709187">
            <w:r>
              <w:rPr>
                <w:webHidden/>
                <w:rStyle w:val="IndexLink"/>
                <w:rtl w:val="true"/>
              </w:rPr>
              <w:t>اعتبار إباحة السّفر ابتداءً واستدامةً‌</w:t>
            </w:r>
            <w:r>
              <w:rPr>
                <w:rStyle w:val="IndexLink"/>
                <w:rtl w:val="true"/>
              </w:rPr>
              <w:tab/>
            </w:r>
            <w:r>
              <w:rPr>
                <w:rStyle w:val="IndexLink"/>
              </w:rPr>
              <w:t>325</w:t>
            </w:r>
          </w:hyperlink>
        </w:p>
        <w:p>
          <w:pPr>
            <w:pStyle w:val="Contents6"/>
            <w:tabs>
              <w:tab w:val="clear" w:pos="7609"/>
              <w:tab w:val="right" w:pos="9026" w:leader="dot"/>
            </w:tabs>
            <w:rPr/>
          </w:pPr>
          <w:hyperlink w:anchor="__RefHeading___Toc10531853_73709187">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10531855_73709187">
            <w:r>
              <w:rPr>
                <w:webHidden/>
                <w:rStyle w:val="IndexLink"/>
                <w:rtl w:val="true"/>
              </w:rPr>
              <w:t>حكم الصَّلاة حال العزم على المعصية</w:t>
            </w:r>
            <w:r>
              <w:rPr>
                <w:rStyle w:val="IndexLink"/>
                <w:rtl w:val="true"/>
              </w:rPr>
              <w:tab/>
            </w:r>
            <w:r>
              <w:rPr>
                <w:rStyle w:val="IndexLink"/>
              </w:rPr>
              <w:t>325</w:t>
            </w:r>
          </w:hyperlink>
        </w:p>
        <w:p>
          <w:pPr>
            <w:pStyle w:val="Contents6"/>
            <w:tabs>
              <w:tab w:val="clear" w:pos="7609"/>
              <w:tab w:val="right" w:pos="9026" w:leader="dot"/>
            </w:tabs>
            <w:rPr/>
          </w:pPr>
          <w:hyperlink w:anchor="__RefHeading___Toc10531857_73709187">
            <w:r>
              <w:rPr>
                <w:webHidden/>
                <w:rStyle w:val="IndexLink"/>
                <w:rtl w:val="true"/>
              </w:rPr>
              <w:t>لو رجع إلى الطاعة بعد قصد المعصية</w:t>
            </w:r>
            <w:r>
              <w:rPr>
                <w:rStyle w:val="IndexLink"/>
                <w:rtl w:val="true"/>
              </w:rPr>
              <w:tab/>
            </w:r>
            <w:r>
              <w:rPr>
                <w:rStyle w:val="IndexLink"/>
              </w:rPr>
              <w:t>328</w:t>
            </w:r>
          </w:hyperlink>
        </w:p>
        <w:p>
          <w:pPr>
            <w:pStyle w:val="Contents6"/>
            <w:tabs>
              <w:tab w:val="clear" w:pos="7609"/>
              <w:tab w:val="right" w:pos="9026" w:leader="dot"/>
            </w:tabs>
            <w:rPr/>
          </w:pPr>
          <w:hyperlink w:anchor="__RefHeading___Toc10531859_73709187">
            <w:r>
              <w:rPr>
                <w:webHidden/>
                <w:rStyle w:val="IndexLink"/>
                <w:rtl w:val="true"/>
              </w:rPr>
              <w:t>حكم الغاية الملفّقة من الطاعة والمعصية</w:t>
            </w:r>
            <w:r>
              <w:rPr>
                <w:rStyle w:val="IndexLink"/>
                <w:rtl w:val="true"/>
              </w:rPr>
              <w:tab/>
            </w:r>
            <w:r>
              <w:rPr>
                <w:rStyle w:val="IndexLink"/>
              </w:rPr>
              <w:t>332</w:t>
            </w:r>
          </w:hyperlink>
        </w:p>
        <w:p>
          <w:pPr>
            <w:pStyle w:val="Contents6"/>
            <w:tabs>
              <w:tab w:val="clear" w:pos="7609"/>
              <w:tab w:val="right" w:pos="9026" w:leader="dot"/>
            </w:tabs>
            <w:rPr/>
          </w:pPr>
          <w:hyperlink w:anchor="__RefHeading___Toc10531861_73709187">
            <w:r>
              <w:rPr>
                <w:webHidden/>
                <w:rStyle w:val="IndexLink"/>
                <w:rtl w:val="true"/>
              </w:rPr>
              <w:t>حكم الصَّلاة في سفر الصيد</w:t>
            </w:r>
            <w:r>
              <w:rPr>
                <w:rStyle w:val="IndexLink"/>
                <w:rtl w:val="true"/>
              </w:rPr>
              <w:tab/>
            </w:r>
            <w:r>
              <w:rPr>
                <w:rStyle w:val="IndexLink"/>
              </w:rPr>
              <w:t>334</w:t>
            </w:r>
          </w:hyperlink>
        </w:p>
        <w:p>
          <w:pPr>
            <w:pStyle w:val="Contents6"/>
            <w:tabs>
              <w:tab w:val="clear" w:pos="7609"/>
              <w:tab w:val="right" w:pos="9026" w:leader="dot"/>
            </w:tabs>
            <w:rPr/>
          </w:pPr>
          <w:hyperlink w:anchor="__RefHeading___Toc10531863_73709187">
            <w:r>
              <w:rPr>
                <w:webHidden/>
                <w:rStyle w:val="IndexLink"/>
                <w:rtl w:val="true"/>
              </w:rPr>
              <w:t>لو نذر الإتمام في يوم فسافر فيه</w:t>
            </w:r>
            <w:r>
              <w:rPr>
                <w:rStyle w:val="IndexLink"/>
                <w:rtl w:val="true"/>
              </w:rPr>
              <w:tab/>
            </w:r>
            <w:r>
              <w:rPr>
                <w:rStyle w:val="IndexLink"/>
              </w:rPr>
              <w:t>338</w:t>
            </w:r>
          </w:hyperlink>
        </w:p>
        <w:p>
          <w:pPr>
            <w:pStyle w:val="Contents5"/>
            <w:tabs>
              <w:tab w:val="clear" w:pos="7892"/>
              <w:tab w:val="right" w:pos="9026" w:leader="dot"/>
            </w:tabs>
            <w:rPr/>
          </w:pPr>
          <w:hyperlink w:anchor="__RefHeading___Toc10531865_73709187">
            <w:r>
              <w:rPr>
                <w:webHidden/>
                <w:rStyle w:val="IndexLink"/>
                <w:rtl w:val="true"/>
              </w:rPr>
              <w:t>حكم كثير السّفر</w:t>
            </w:r>
            <w:r>
              <w:rPr>
                <w:rStyle w:val="IndexLink"/>
                <w:rtl w:val="true"/>
              </w:rPr>
              <w:tab/>
            </w:r>
            <w:r>
              <w:rPr>
                <w:rStyle w:val="IndexLink"/>
              </w:rPr>
              <w:t>340</w:t>
            </w:r>
          </w:hyperlink>
        </w:p>
        <w:p>
          <w:pPr>
            <w:pStyle w:val="Contents6"/>
            <w:tabs>
              <w:tab w:val="clear" w:pos="7609"/>
              <w:tab w:val="right" w:pos="9026" w:leader="dot"/>
            </w:tabs>
            <w:rPr/>
          </w:pPr>
          <w:hyperlink w:anchor="__RefHeading___Toc10531867_73709187">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10531869_73709187">
            <w:r>
              <w:rPr>
                <w:webHidden/>
                <w:rStyle w:val="IndexLink"/>
                <w:rtl w:val="true"/>
              </w:rPr>
              <w:t>التنبيه على اُمور</w:t>
            </w:r>
            <w:r>
              <w:rPr>
                <w:rStyle w:val="IndexLink"/>
                <w:rtl w:val="true"/>
              </w:rPr>
              <w:tab/>
            </w:r>
            <w:r>
              <w:rPr>
                <w:rStyle w:val="IndexLink"/>
              </w:rPr>
              <w:t>341</w:t>
            </w:r>
          </w:hyperlink>
        </w:p>
        <w:p>
          <w:pPr>
            <w:pStyle w:val="Contents6"/>
            <w:tabs>
              <w:tab w:val="clear" w:pos="7609"/>
              <w:tab w:val="right" w:pos="9026" w:leader="dot"/>
            </w:tabs>
            <w:rPr/>
          </w:pPr>
          <w:hyperlink w:anchor="__RefHeading___Toc10531871_73709187">
            <w:r>
              <w:rPr>
                <w:webHidden/>
                <w:rStyle w:val="IndexLink"/>
                <w:rtl w:val="true"/>
              </w:rPr>
              <w:t>حكم السّفر الأوّل لمن اتّخذ السّفر عملاً له</w:t>
            </w:r>
            <w:r>
              <w:rPr>
                <w:rStyle w:val="IndexLink"/>
                <w:rtl w:val="true"/>
              </w:rPr>
              <w:tab/>
            </w:r>
            <w:r>
              <w:rPr>
                <w:rStyle w:val="IndexLink"/>
              </w:rPr>
              <w:t>341</w:t>
            </w:r>
          </w:hyperlink>
        </w:p>
        <w:p>
          <w:pPr>
            <w:pStyle w:val="Contents6"/>
            <w:tabs>
              <w:tab w:val="clear" w:pos="7609"/>
              <w:tab w:val="right" w:pos="9026" w:leader="dot"/>
            </w:tabs>
            <w:rPr/>
          </w:pPr>
          <w:hyperlink w:anchor="__RefHeading___Toc10531873_73709187">
            <w:r>
              <w:rPr>
                <w:webHidden/>
                <w:rStyle w:val="IndexLink"/>
                <w:rtl w:val="true"/>
              </w:rPr>
              <w:t>عدم الفرق بين مَن جَدَّ في سفره وغيره</w:t>
            </w:r>
            <w:r>
              <w:rPr>
                <w:rStyle w:val="IndexLink"/>
                <w:rtl w:val="true"/>
              </w:rPr>
              <w:tab/>
            </w:r>
            <w:r>
              <w:rPr>
                <w:rStyle w:val="IndexLink"/>
              </w:rPr>
              <w:t>344</w:t>
            </w:r>
          </w:hyperlink>
        </w:p>
        <w:p>
          <w:pPr>
            <w:pStyle w:val="Contents6"/>
            <w:tabs>
              <w:tab w:val="clear" w:pos="7609"/>
              <w:tab w:val="right" w:pos="9026" w:leader="dot"/>
            </w:tabs>
            <w:rPr/>
          </w:pPr>
          <w:hyperlink w:anchor="__RefHeading___Toc10531875_73709187">
            <w:r>
              <w:rPr>
                <w:webHidden/>
                <w:rStyle w:val="IndexLink"/>
                <w:rtl w:val="true"/>
              </w:rPr>
              <w:t>حكم من أنشأ سفراً آخر غير ما هو عمله</w:t>
            </w:r>
            <w:r>
              <w:rPr>
                <w:rStyle w:val="IndexLink"/>
                <w:rtl w:val="true"/>
              </w:rPr>
              <w:tab/>
            </w:r>
            <w:r>
              <w:rPr>
                <w:rStyle w:val="IndexLink"/>
              </w:rPr>
              <w:t>345</w:t>
            </w:r>
          </w:hyperlink>
        </w:p>
        <w:p>
          <w:pPr>
            <w:pStyle w:val="Contents6"/>
            <w:tabs>
              <w:tab w:val="clear" w:pos="7609"/>
              <w:tab w:val="right" w:pos="9026" w:leader="dot"/>
            </w:tabs>
            <w:rPr/>
          </w:pPr>
          <w:hyperlink w:anchor="__RefHeading___Toc10531877_73709187">
            <w:r>
              <w:rPr>
                <w:webHidden/>
                <w:rStyle w:val="IndexLink"/>
                <w:rtl w:val="true"/>
              </w:rPr>
              <w:t>من كان شغله التردّد إلى ما دون المسافة</w:t>
            </w:r>
            <w:r>
              <w:rPr>
                <w:rStyle w:val="IndexLink"/>
                <w:rtl w:val="true"/>
              </w:rPr>
              <w:tab/>
            </w:r>
            <w:r>
              <w:rPr>
                <w:rStyle w:val="IndexLink"/>
              </w:rPr>
              <w:t>346</w:t>
            </w:r>
          </w:hyperlink>
        </w:p>
        <w:p>
          <w:pPr>
            <w:pStyle w:val="Contents6"/>
            <w:tabs>
              <w:tab w:val="clear" w:pos="7609"/>
              <w:tab w:val="right" w:pos="9026" w:leader="dot"/>
            </w:tabs>
            <w:rPr/>
          </w:pPr>
          <w:hyperlink w:anchor="__RefHeading___Toc10531879_73709187">
            <w:r>
              <w:rPr>
                <w:webHidden/>
                <w:rStyle w:val="IndexLink"/>
                <w:rtl w:val="true"/>
              </w:rPr>
              <w:t>ما يعتبر في وجوب التمام على المسافر</w:t>
            </w:r>
            <w:r>
              <w:rPr>
                <w:rStyle w:val="IndexLink"/>
                <w:rtl w:val="true"/>
              </w:rPr>
              <w:tab/>
            </w:r>
            <w:r>
              <w:rPr>
                <w:rStyle w:val="IndexLink"/>
              </w:rPr>
              <w:t>346</w:t>
            </w:r>
          </w:hyperlink>
        </w:p>
        <w:p>
          <w:pPr>
            <w:pStyle w:val="Contents6"/>
            <w:tabs>
              <w:tab w:val="clear" w:pos="7609"/>
              <w:tab w:val="right" w:pos="9026" w:leader="dot"/>
            </w:tabs>
            <w:rPr/>
          </w:pPr>
          <w:hyperlink w:anchor="__RefHeading___Toc10531881_73709187">
            <w:r>
              <w:rPr>
                <w:webHidden/>
                <w:rStyle w:val="IndexLink"/>
                <w:rtl w:val="true"/>
              </w:rPr>
              <w:t>إقامة عشرة أيّام قاطعة لعمليّة السّفر</w:t>
            </w:r>
            <w:r>
              <w:rPr>
                <w:rStyle w:val="IndexLink"/>
                <w:rtl w:val="true"/>
              </w:rPr>
              <w:tab/>
            </w:r>
            <w:r>
              <w:rPr>
                <w:rStyle w:val="IndexLink"/>
              </w:rPr>
              <w:t>348</w:t>
            </w:r>
          </w:hyperlink>
        </w:p>
        <w:p>
          <w:pPr>
            <w:pStyle w:val="Contents6"/>
            <w:tabs>
              <w:tab w:val="clear" w:pos="7609"/>
              <w:tab w:val="right" w:pos="9026" w:leader="dot"/>
            </w:tabs>
            <w:rPr/>
          </w:pPr>
          <w:hyperlink w:anchor="__RefHeading___Toc10531883_73709187">
            <w:r>
              <w:rPr>
                <w:webHidden/>
                <w:rStyle w:val="IndexLink"/>
                <w:rtl w:val="true"/>
              </w:rPr>
              <w:t>بقي في المقام اُمور</w:t>
            </w:r>
            <w:r>
              <w:rPr>
                <w:rStyle w:val="IndexLink"/>
                <w:rtl w:val="true"/>
              </w:rPr>
              <w:t>:</w:t>
              <w:tab/>
            </w:r>
            <w:r>
              <w:rPr>
                <w:rStyle w:val="IndexLink"/>
              </w:rPr>
              <w:t>352</w:t>
            </w:r>
          </w:hyperlink>
        </w:p>
        <w:p>
          <w:pPr>
            <w:pStyle w:val="Contents6"/>
            <w:tabs>
              <w:tab w:val="clear" w:pos="7609"/>
              <w:tab w:val="right" w:pos="9026" w:leader="dot"/>
            </w:tabs>
            <w:rPr/>
          </w:pPr>
          <w:hyperlink w:anchor="__RefHeading___Toc10531885_73709187">
            <w:r>
              <w:rPr>
                <w:webHidden/>
                <w:rStyle w:val="IndexLink"/>
                <w:rtl w:val="true"/>
              </w:rPr>
              <w:t>القاطع نفس الإقامة وإنْ لم تكن عن قصد</w:t>
            </w:r>
            <w:r>
              <w:rPr>
                <w:rStyle w:val="IndexLink"/>
                <w:rtl w:val="true"/>
              </w:rPr>
              <w:tab/>
            </w:r>
            <w:r>
              <w:rPr>
                <w:rStyle w:val="IndexLink"/>
              </w:rPr>
              <w:t>352</w:t>
            </w:r>
          </w:hyperlink>
        </w:p>
        <w:p>
          <w:pPr>
            <w:pStyle w:val="Contents6"/>
            <w:tabs>
              <w:tab w:val="clear" w:pos="7609"/>
              <w:tab w:val="right" w:pos="9026" w:leader="dot"/>
            </w:tabs>
            <w:rPr/>
          </w:pPr>
          <w:hyperlink w:anchor="__RefHeading___Toc10531887_73709187">
            <w:r>
              <w:rPr>
                <w:webHidden/>
                <w:rStyle w:val="IndexLink"/>
                <w:rtl w:val="true"/>
              </w:rPr>
              <w:t>عدم اختصاص الحكم بالمكاري</w:t>
            </w:r>
            <w:r>
              <w:rPr>
                <w:rStyle w:val="IndexLink"/>
                <w:rtl w:val="true"/>
              </w:rPr>
              <w:tab/>
            </w:r>
            <w:r>
              <w:rPr>
                <w:rStyle w:val="IndexLink"/>
              </w:rPr>
              <w:t>354</w:t>
            </w:r>
          </w:hyperlink>
        </w:p>
        <w:p>
          <w:pPr>
            <w:pStyle w:val="Contents6"/>
            <w:tabs>
              <w:tab w:val="clear" w:pos="7609"/>
              <w:tab w:val="right" w:pos="9026" w:leader="dot"/>
            </w:tabs>
            <w:rPr/>
          </w:pPr>
          <w:hyperlink w:anchor="__RefHeading___Toc10531889_73709187">
            <w:r>
              <w:rPr>
                <w:webHidden/>
                <w:rStyle w:val="IndexLink"/>
                <w:rtl w:val="true"/>
              </w:rPr>
              <w:t>كثيرُ السّفر يُتمّ في السّفر الثاني بعد الإقامة</w:t>
            </w:r>
            <w:r>
              <w:rPr>
                <w:rStyle w:val="IndexLink"/>
                <w:rtl w:val="true"/>
              </w:rPr>
              <w:tab/>
            </w:r>
            <w:r>
              <w:rPr>
                <w:rStyle w:val="IndexLink"/>
              </w:rPr>
              <w:t>355</w:t>
            </w:r>
          </w:hyperlink>
        </w:p>
        <w:p>
          <w:pPr>
            <w:pStyle w:val="Contents5"/>
            <w:tabs>
              <w:tab w:val="clear" w:pos="7892"/>
              <w:tab w:val="right" w:pos="9026" w:leader="dot"/>
            </w:tabs>
            <w:rPr/>
          </w:pPr>
          <w:hyperlink w:anchor="__RefHeading___Toc10531891_73709187">
            <w:r>
              <w:rPr>
                <w:webHidden/>
                <w:rStyle w:val="IndexLink"/>
                <w:rtl w:val="true"/>
              </w:rPr>
              <w:t>اعتبار الوصول إلى حَدّ الترخّص</w:t>
            </w:r>
            <w:r>
              <w:rPr>
                <w:rStyle w:val="IndexLink"/>
                <w:rtl w:val="true"/>
              </w:rPr>
              <w:tab/>
            </w:r>
            <w:r>
              <w:rPr>
                <w:rStyle w:val="IndexLink"/>
              </w:rPr>
              <w:t>358</w:t>
            </w:r>
          </w:hyperlink>
        </w:p>
        <w:p>
          <w:pPr>
            <w:pStyle w:val="Contents6"/>
            <w:tabs>
              <w:tab w:val="clear" w:pos="7609"/>
              <w:tab w:val="right" w:pos="9026" w:leader="dot"/>
            </w:tabs>
            <w:rPr/>
          </w:pPr>
          <w:hyperlink w:anchor="__RefHeading___Toc10531893_73709187">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0531895_73709187">
            <w:r>
              <w:rPr>
                <w:webHidden/>
                <w:rStyle w:val="IndexLink"/>
                <w:rtl w:val="true"/>
              </w:rPr>
              <w:t>وتنقيح البحث في اُمور</w:t>
            </w:r>
            <w:r>
              <w:rPr>
                <w:rStyle w:val="IndexLink"/>
                <w:rtl w:val="true"/>
              </w:rPr>
              <w:t>:</w:t>
              <w:tab/>
            </w:r>
            <w:r>
              <w:rPr>
                <w:rStyle w:val="IndexLink"/>
              </w:rPr>
              <w:t>359</w:t>
            </w:r>
          </w:hyperlink>
        </w:p>
        <w:p>
          <w:pPr>
            <w:pStyle w:val="Contents6"/>
            <w:tabs>
              <w:tab w:val="clear" w:pos="7609"/>
              <w:tab w:val="right" w:pos="9026" w:leader="dot"/>
            </w:tabs>
            <w:rPr/>
          </w:pPr>
          <w:hyperlink w:anchor="__RefHeading___Toc10531897_73709187">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10531899_73709187">
            <w:r>
              <w:rPr>
                <w:webHidden/>
                <w:rStyle w:val="IndexLink"/>
                <w:rtl w:val="true"/>
              </w:rPr>
              <w:t>ما العبرة في حَدّ الترخّص</w:t>
            </w:r>
            <w:r>
              <w:rPr>
                <w:rStyle w:val="IndexLink"/>
                <w:rtl w:val="true"/>
              </w:rPr>
              <w:tab/>
            </w:r>
            <w:r>
              <w:rPr>
                <w:rStyle w:val="IndexLink"/>
              </w:rPr>
              <w:t>359</w:t>
            </w:r>
          </w:hyperlink>
        </w:p>
        <w:p>
          <w:pPr>
            <w:pStyle w:val="Contents6"/>
            <w:tabs>
              <w:tab w:val="clear" w:pos="7609"/>
              <w:tab w:val="right" w:pos="9026" w:leader="dot"/>
            </w:tabs>
            <w:rPr/>
          </w:pPr>
          <w:hyperlink w:anchor="__RefHeading___Toc10531901_73709187">
            <w:r>
              <w:rPr>
                <w:webHidden/>
                <w:rStyle w:val="IndexLink"/>
                <w:rtl w:val="true"/>
              </w:rPr>
              <w:t>حكم القصر ينقطع بالرّجوع إلى حَدّ الترخّص</w:t>
            </w:r>
            <w:r>
              <w:rPr>
                <w:rStyle w:val="IndexLink"/>
                <w:rtl w:val="true"/>
              </w:rPr>
              <w:tab/>
            </w:r>
            <w:r>
              <w:rPr>
                <w:rStyle w:val="IndexLink"/>
              </w:rPr>
              <w:t>365</w:t>
            </w:r>
          </w:hyperlink>
        </w:p>
        <w:p>
          <w:pPr>
            <w:pStyle w:val="Contents6"/>
            <w:tabs>
              <w:tab w:val="clear" w:pos="7609"/>
              <w:tab w:val="right" w:pos="9026" w:leader="dot"/>
            </w:tabs>
            <w:rPr/>
          </w:pPr>
          <w:hyperlink w:anchor="__RefHeading___Toc10531903_73709187">
            <w:r>
              <w:rPr>
                <w:webHidden/>
                <w:rStyle w:val="IndexLink"/>
                <w:rtl w:val="true"/>
              </w:rPr>
              <w:t>عدم اختصاص اعتبار حَدّ الترخّص بالوطن</w:t>
            </w:r>
            <w:r>
              <w:rPr>
                <w:rStyle w:val="IndexLink"/>
                <w:rtl w:val="true"/>
              </w:rPr>
              <w:tab/>
            </w:r>
            <w:r>
              <w:rPr>
                <w:rStyle w:val="IndexLink"/>
              </w:rPr>
              <w:t>368</w:t>
            </w:r>
          </w:hyperlink>
        </w:p>
        <w:p>
          <w:pPr>
            <w:pStyle w:val="Contents4"/>
            <w:tabs>
              <w:tab w:val="clear" w:pos="8176"/>
              <w:tab w:val="right" w:pos="9026" w:leader="dot"/>
            </w:tabs>
            <w:rPr/>
          </w:pPr>
          <w:hyperlink w:anchor="__RefHeading___Toc10531905_73709187">
            <w:r>
              <w:rPr>
                <w:webHidden/>
                <w:rStyle w:val="IndexLink"/>
                <w:rtl w:val="true"/>
              </w:rPr>
              <w:t>الفصل الثاني</w:t>
            </w:r>
            <w:r>
              <w:rPr>
                <w:rStyle w:val="IndexLink"/>
                <w:rtl w:val="true"/>
              </w:rPr>
              <w:t xml:space="preserve">: </w:t>
            </w:r>
            <w:r>
              <w:rPr>
                <w:rStyle w:val="IndexLink"/>
                <w:rtl w:val="true"/>
              </w:rPr>
              <w:t>في أحكام صلاة المسافر</w:t>
            </w:r>
            <w:r>
              <w:rPr>
                <w:rStyle w:val="IndexLink"/>
                <w:rtl w:val="true"/>
              </w:rPr>
              <w:t>:</w:t>
              <w:tab/>
            </w:r>
            <w:r>
              <w:rPr>
                <w:rStyle w:val="IndexLink"/>
              </w:rPr>
              <w:t>370</w:t>
            </w:r>
          </w:hyperlink>
        </w:p>
        <w:p>
          <w:pPr>
            <w:pStyle w:val="Contents5"/>
            <w:tabs>
              <w:tab w:val="clear" w:pos="7892"/>
              <w:tab w:val="right" w:pos="9026" w:leader="dot"/>
            </w:tabs>
            <w:rPr/>
          </w:pPr>
          <w:hyperlink w:anchor="__RefHeading___Toc10531907_7370918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0531909_73709187">
            <w:r>
              <w:rPr>
                <w:webHidden/>
                <w:rStyle w:val="IndexLink"/>
                <w:rtl w:val="true"/>
              </w:rPr>
              <w:t>التخيير في الأماكن الأربعة</w:t>
            </w:r>
            <w:r>
              <w:rPr>
                <w:rStyle w:val="IndexLink"/>
                <w:rtl w:val="true"/>
              </w:rPr>
              <w:tab/>
            </w:r>
            <w:r>
              <w:rPr>
                <w:rStyle w:val="IndexLink"/>
              </w:rPr>
              <w:t>370</w:t>
            </w:r>
          </w:hyperlink>
        </w:p>
        <w:p>
          <w:pPr>
            <w:pStyle w:val="Contents6"/>
            <w:tabs>
              <w:tab w:val="clear" w:pos="7609"/>
              <w:tab w:val="right" w:pos="9026" w:leader="dot"/>
            </w:tabs>
            <w:rPr/>
          </w:pPr>
          <w:hyperlink w:anchor="__RefHeading___Toc10531911_73709187">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10531913_73709187">
            <w:r>
              <w:rPr>
                <w:webHidden/>
                <w:rStyle w:val="IndexLink"/>
                <w:rtl w:val="true"/>
              </w:rPr>
              <w:t>المراد من الأماكن الأربعة</w:t>
            </w:r>
            <w:r>
              <w:rPr>
                <w:rStyle w:val="IndexLink"/>
                <w:rtl w:val="true"/>
              </w:rPr>
              <w:tab/>
            </w:r>
            <w:r>
              <w:rPr>
                <w:rStyle w:val="IndexLink"/>
              </w:rPr>
              <w:t>374</w:t>
            </w:r>
          </w:hyperlink>
        </w:p>
        <w:p>
          <w:pPr>
            <w:pStyle w:val="Contents5"/>
            <w:tabs>
              <w:tab w:val="clear" w:pos="7892"/>
              <w:tab w:val="right" w:pos="9026" w:leader="dot"/>
            </w:tabs>
            <w:rPr/>
          </w:pPr>
          <w:hyperlink w:anchor="__RefHeading___Toc10531915_73709187">
            <w:r>
              <w:rPr>
                <w:webHidden/>
                <w:rStyle w:val="IndexLink"/>
                <w:rtl w:val="true"/>
              </w:rPr>
              <w:t>لو أتمّ المسافر</w:t>
            </w:r>
            <w:r>
              <w:rPr>
                <w:rStyle w:val="IndexLink"/>
                <w:rtl w:val="true"/>
              </w:rPr>
              <w:tab/>
            </w:r>
            <w:r>
              <w:rPr>
                <w:rStyle w:val="IndexLink"/>
              </w:rPr>
              <w:t>379</w:t>
            </w:r>
          </w:hyperlink>
        </w:p>
        <w:p>
          <w:pPr>
            <w:pStyle w:val="Contents6"/>
            <w:tabs>
              <w:tab w:val="clear" w:pos="7609"/>
              <w:tab w:val="right" w:pos="9026" w:leader="dot"/>
            </w:tabs>
            <w:rPr/>
          </w:pPr>
          <w:hyperlink w:anchor="__RefHeading___Toc10531917_73709187">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10531919_73709187">
            <w:r>
              <w:rPr>
                <w:webHidden/>
                <w:rStyle w:val="IndexLink"/>
                <w:rtl w:val="true"/>
              </w:rPr>
              <w:t>ولو أتمّ في غيرها عمداً أعاد</w:t>
            </w:r>
            <w:r>
              <w:rPr>
                <w:rStyle w:val="IndexLink"/>
                <w:rtl w:val="true"/>
              </w:rPr>
              <w:tab/>
            </w:r>
            <w:r>
              <w:rPr>
                <w:rStyle w:val="IndexLink"/>
              </w:rPr>
              <w:t>379</w:t>
            </w:r>
          </w:hyperlink>
        </w:p>
        <w:p>
          <w:pPr>
            <w:pStyle w:val="Contents6"/>
            <w:tabs>
              <w:tab w:val="clear" w:pos="7609"/>
              <w:tab w:val="right" w:pos="9026" w:leader="dot"/>
            </w:tabs>
            <w:rPr/>
          </w:pPr>
          <w:hyperlink w:anchor="__RefHeading___Toc10531921_73709187">
            <w:r>
              <w:rPr>
                <w:webHidden/>
                <w:rStyle w:val="IndexLink"/>
                <w:rtl w:val="true"/>
              </w:rPr>
              <w:t>لو أتمّ في موضع القصر جهلاً</w:t>
            </w:r>
            <w:r>
              <w:rPr>
                <w:rStyle w:val="IndexLink"/>
                <w:rtl w:val="true"/>
              </w:rPr>
              <w:tab/>
            </w:r>
            <w:r>
              <w:rPr>
                <w:rStyle w:val="IndexLink"/>
              </w:rPr>
              <w:t>380</w:t>
            </w:r>
          </w:hyperlink>
        </w:p>
        <w:p>
          <w:pPr>
            <w:pStyle w:val="Contents6"/>
            <w:tabs>
              <w:tab w:val="clear" w:pos="7609"/>
              <w:tab w:val="right" w:pos="9026" w:leader="dot"/>
            </w:tabs>
            <w:rPr/>
          </w:pPr>
          <w:hyperlink w:anchor="__RefHeading___Toc10531923_73709187">
            <w:r>
              <w:rPr>
                <w:webHidden/>
                <w:rStyle w:val="IndexLink"/>
                <w:rtl w:val="true"/>
              </w:rPr>
              <w:t>لو أتمّ المسافر نسياناً</w:t>
            </w:r>
            <w:r>
              <w:rPr>
                <w:rStyle w:val="IndexLink"/>
                <w:rtl w:val="true"/>
              </w:rPr>
              <w:tab/>
            </w:r>
            <w:r>
              <w:rPr>
                <w:rStyle w:val="IndexLink"/>
              </w:rPr>
              <w:t>384</w:t>
            </w:r>
          </w:hyperlink>
        </w:p>
        <w:p>
          <w:pPr>
            <w:pStyle w:val="Contents5"/>
            <w:tabs>
              <w:tab w:val="clear" w:pos="7892"/>
              <w:tab w:val="right" w:pos="9026" w:leader="dot"/>
            </w:tabs>
            <w:rPr/>
          </w:pPr>
          <w:hyperlink w:anchor="__RefHeading___Toc10531925_73709187">
            <w:r>
              <w:rPr>
                <w:webHidden/>
                <w:rStyle w:val="IndexLink"/>
                <w:rtl w:val="true"/>
              </w:rPr>
              <w:t>العبرة بحال الأداء لا حال الوجوب</w:t>
            </w:r>
            <w:r>
              <w:rPr>
                <w:rStyle w:val="IndexLink"/>
                <w:rtl w:val="true"/>
              </w:rPr>
              <w:tab/>
            </w:r>
            <w:r>
              <w:rPr>
                <w:rStyle w:val="IndexLink"/>
              </w:rPr>
              <w:t>386</w:t>
            </w:r>
          </w:hyperlink>
        </w:p>
        <w:p>
          <w:pPr>
            <w:pStyle w:val="Contents4"/>
            <w:tabs>
              <w:tab w:val="clear" w:pos="8176"/>
              <w:tab w:val="right" w:pos="9026" w:leader="dot"/>
            </w:tabs>
            <w:rPr/>
          </w:pPr>
          <w:hyperlink w:anchor="__RefHeading___Toc10531927_73709187">
            <w:r>
              <w:rPr>
                <w:webHidden/>
                <w:rStyle w:val="IndexLink"/>
                <w:rtl w:val="true"/>
              </w:rPr>
              <w:t>الفصل الثالث</w:t>
            </w:r>
            <w:r>
              <w:rPr>
                <w:rStyle w:val="IndexLink"/>
                <w:rtl w:val="true"/>
              </w:rPr>
              <w:t xml:space="preserve">: </w:t>
            </w:r>
            <w:r>
              <w:rPr>
                <w:rStyle w:val="IndexLink"/>
                <w:rtl w:val="true"/>
              </w:rPr>
              <w:t>في قواطع السّفر</w:t>
            </w:r>
            <w:r>
              <w:rPr>
                <w:rStyle w:val="IndexLink"/>
                <w:rtl w:val="true"/>
              </w:rPr>
              <w:tab/>
            </w:r>
            <w:r>
              <w:rPr>
                <w:rStyle w:val="IndexLink"/>
              </w:rPr>
              <w:t>390</w:t>
            </w:r>
          </w:hyperlink>
        </w:p>
        <w:p>
          <w:pPr>
            <w:pStyle w:val="Contents5"/>
            <w:tabs>
              <w:tab w:val="clear" w:pos="7892"/>
              <w:tab w:val="right" w:pos="9026" w:leader="dot"/>
            </w:tabs>
            <w:rPr/>
          </w:pPr>
          <w:hyperlink w:anchor="__RefHeading___Toc10531929_7370918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0531931_73709187">
            <w:r>
              <w:rPr>
                <w:webHidden/>
                <w:rStyle w:val="IndexLink"/>
                <w:rtl w:val="true"/>
              </w:rPr>
              <w:t>الوطن</w:t>
            </w:r>
            <w:r>
              <w:rPr>
                <w:rStyle w:val="IndexLink"/>
                <w:rtl w:val="true"/>
              </w:rPr>
              <w:tab/>
            </w:r>
            <w:r>
              <w:rPr>
                <w:rStyle w:val="IndexLink"/>
              </w:rPr>
              <w:t>390</w:t>
            </w:r>
          </w:hyperlink>
        </w:p>
        <w:p>
          <w:pPr>
            <w:pStyle w:val="Contents6"/>
            <w:tabs>
              <w:tab w:val="clear" w:pos="7609"/>
              <w:tab w:val="right" w:pos="9026" w:leader="dot"/>
            </w:tabs>
            <w:rPr/>
          </w:pPr>
          <w:hyperlink w:anchor="__RefHeading___Toc10531933_73709187">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10531935_73709187">
            <w:r>
              <w:rPr>
                <w:webHidden/>
                <w:rStyle w:val="IndexLink"/>
                <w:rtl w:val="true"/>
              </w:rPr>
              <w:t>الوطن الأصلي</w:t>
            </w:r>
            <w:r>
              <w:rPr>
                <w:rStyle w:val="IndexLink"/>
                <w:rtl w:val="true"/>
              </w:rPr>
              <w:tab/>
            </w:r>
            <w:r>
              <w:rPr>
                <w:rStyle w:val="IndexLink"/>
              </w:rPr>
              <w:t>390</w:t>
            </w:r>
          </w:hyperlink>
        </w:p>
        <w:p>
          <w:pPr>
            <w:pStyle w:val="Contents6"/>
            <w:tabs>
              <w:tab w:val="clear" w:pos="7609"/>
              <w:tab w:val="right" w:pos="9026" w:leader="dot"/>
            </w:tabs>
            <w:rPr/>
          </w:pPr>
          <w:hyperlink w:anchor="__RefHeading___Toc10531937_73709187">
            <w:r>
              <w:rPr>
                <w:webHidden/>
                <w:rStyle w:val="IndexLink"/>
                <w:rtl w:val="true"/>
              </w:rPr>
              <w:t>الوطن العُرفي</w:t>
            </w:r>
            <w:r>
              <w:rPr>
                <w:rStyle w:val="IndexLink"/>
                <w:rtl w:val="true"/>
              </w:rPr>
              <w:tab/>
            </w:r>
            <w:r>
              <w:rPr>
                <w:rStyle w:val="IndexLink"/>
              </w:rPr>
              <w:t>390</w:t>
            </w:r>
          </w:hyperlink>
        </w:p>
        <w:p>
          <w:pPr>
            <w:pStyle w:val="Contents6"/>
            <w:tabs>
              <w:tab w:val="clear" w:pos="7609"/>
              <w:tab w:val="right" w:pos="9026" w:leader="dot"/>
            </w:tabs>
            <w:rPr/>
          </w:pPr>
          <w:hyperlink w:anchor="__RefHeading___Toc10531939_73709187">
            <w:r>
              <w:rPr>
                <w:webHidden/>
                <w:rStyle w:val="IndexLink"/>
                <w:rtl w:val="true"/>
              </w:rPr>
              <w:t>الوطن الشرعي</w:t>
            </w:r>
            <w:r>
              <w:rPr>
                <w:rStyle w:val="IndexLink"/>
                <w:rtl w:val="true"/>
              </w:rPr>
              <w:tab/>
            </w:r>
            <w:r>
              <w:rPr>
                <w:rStyle w:val="IndexLink"/>
              </w:rPr>
              <w:t>396</w:t>
            </w:r>
          </w:hyperlink>
        </w:p>
        <w:p>
          <w:pPr>
            <w:pStyle w:val="Contents6"/>
            <w:tabs>
              <w:tab w:val="clear" w:pos="7609"/>
              <w:tab w:val="right" w:pos="9026" w:leader="dot"/>
            </w:tabs>
            <w:rPr/>
          </w:pPr>
          <w:hyperlink w:anchor="__RefHeading___Toc10531941_73709187">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10531943_73709187">
            <w:r>
              <w:rPr>
                <w:webHidden/>
                <w:rStyle w:val="IndexLink"/>
                <w:rtl w:val="true"/>
              </w:rPr>
              <w:t>ما يعتبر في الوطن الشرعي على القول به</w:t>
            </w:r>
            <w:r>
              <w:rPr>
                <w:rStyle w:val="IndexLink"/>
                <w:rtl w:val="true"/>
              </w:rPr>
              <w:tab/>
            </w:r>
            <w:r>
              <w:rPr>
                <w:rStyle w:val="IndexLink"/>
              </w:rPr>
              <w:t>401</w:t>
            </w:r>
          </w:hyperlink>
        </w:p>
        <w:p>
          <w:pPr>
            <w:pStyle w:val="Contents5"/>
            <w:tabs>
              <w:tab w:val="clear" w:pos="7892"/>
              <w:tab w:val="right" w:pos="9026" w:leader="dot"/>
            </w:tabs>
            <w:rPr/>
          </w:pPr>
          <w:hyperlink w:anchor="__RefHeading___Toc10531945_73709187">
            <w:r>
              <w:rPr>
                <w:webHidden/>
                <w:rStyle w:val="IndexLink"/>
                <w:rtl w:val="true"/>
              </w:rPr>
              <w:t>قاطعيّة الإقامة لعشرة أيّام</w:t>
            </w:r>
            <w:r>
              <w:rPr>
                <w:rStyle w:val="IndexLink"/>
                <w:rtl w:val="true"/>
              </w:rPr>
              <w:tab/>
            </w:r>
            <w:r>
              <w:rPr>
                <w:rStyle w:val="IndexLink"/>
              </w:rPr>
              <w:t>404</w:t>
            </w:r>
          </w:hyperlink>
        </w:p>
        <w:p>
          <w:pPr>
            <w:pStyle w:val="Contents6"/>
            <w:tabs>
              <w:tab w:val="clear" w:pos="7609"/>
              <w:tab w:val="right" w:pos="9026" w:leader="dot"/>
            </w:tabs>
            <w:rPr/>
          </w:pPr>
          <w:hyperlink w:anchor="__RefHeading___Toc10531947_73709187">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10531949_73709187">
            <w:r>
              <w:rPr>
                <w:webHidden/>
                <w:rStyle w:val="IndexLink"/>
                <w:rtl w:val="true"/>
              </w:rPr>
              <w:t>لا دَخَل في ذكر البلد والضيعة في الحكم</w:t>
            </w:r>
            <w:r>
              <w:rPr>
                <w:rStyle w:val="IndexLink"/>
                <w:rtl w:val="true"/>
              </w:rPr>
              <w:tab/>
            </w:r>
            <w:r>
              <w:rPr>
                <w:rStyle w:val="IndexLink"/>
              </w:rPr>
              <w:t>404</w:t>
            </w:r>
          </w:hyperlink>
        </w:p>
        <w:p>
          <w:pPr>
            <w:pStyle w:val="Contents6"/>
            <w:tabs>
              <w:tab w:val="clear" w:pos="7609"/>
              <w:tab w:val="right" w:pos="9026" w:leader="dot"/>
            </w:tabs>
            <w:rPr/>
          </w:pPr>
          <w:hyperlink w:anchor="__RefHeading___Toc10531951_73709187">
            <w:r>
              <w:rPr>
                <w:webHidden/>
                <w:rStyle w:val="IndexLink"/>
                <w:rtl w:val="true"/>
              </w:rPr>
              <w:t>المراد بنيّة الإقامة هو الجزم بالبقاء</w:t>
            </w:r>
            <w:r>
              <w:rPr>
                <w:rStyle w:val="IndexLink"/>
                <w:rtl w:val="true"/>
              </w:rPr>
              <w:tab/>
            </w:r>
            <w:r>
              <w:rPr>
                <w:rStyle w:val="IndexLink"/>
              </w:rPr>
              <w:t>404</w:t>
            </w:r>
          </w:hyperlink>
        </w:p>
        <w:p>
          <w:pPr>
            <w:pStyle w:val="Contents6"/>
            <w:tabs>
              <w:tab w:val="clear" w:pos="7609"/>
              <w:tab w:val="right" w:pos="9026" w:leader="dot"/>
            </w:tabs>
            <w:rPr/>
          </w:pPr>
          <w:hyperlink w:anchor="__RefHeading___Toc10531953_73709187">
            <w:r>
              <w:rPr>
                <w:webHidden/>
                <w:rStyle w:val="IndexLink"/>
                <w:rtl w:val="true"/>
              </w:rPr>
              <w:t>يشترط وحدة محلّ الإقامة بلا خلافٍ‌</w:t>
            </w:r>
            <w:r>
              <w:rPr>
                <w:rStyle w:val="IndexLink"/>
                <w:rtl w:val="true"/>
              </w:rPr>
              <w:tab/>
            </w:r>
            <w:r>
              <w:rPr>
                <w:rStyle w:val="IndexLink"/>
              </w:rPr>
              <w:t>405</w:t>
            </w:r>
          </w:hyperlink>
        </w:p>
        <w:p>
          <w:pPr>
            <w:pStyle w:val="Contents6"/>
            <w:tabs>
              <w:tab w:val="clear" w:pos="7609"/>
              <w:tab w:val="right" w:pos="9026" w:leader="dot"/>
            </w:tabs>
            <w:rPr/>
          </w:pPr>
          <w:hyperlink w:anchor="__RefHeading___Toc10531955_73709187">
            <w:r>
              <w:rPr>
                <w:webHidden/>
                <w:rStyle w:val="IndexLink"/>
                <w:rtl w:val="true"/>
              </w:rPr>
              <w:t>قَصدُ الخروج عن السّور لا ينافي الإقامة</w:t>
            </w:r>
            <w:r>
              <w:rPr>
                <w:rStyle w:val="IndexLink"/>
                <w:rtl w:val="true"/>
              </w:rPr>
              <w:tab/>
            </w:r>
            <w:r>
              <w:rPr>
                <w:rStyle w:val="IndexLink"/>
              </w:rPr>
              <w:t>407</w:t>
            </w:r>
          </w:hyperlink>
        </w:p>
        <w:p>
          <w:pPr>
            <w:pStyle w:val="Contents6"/>
            <w:tabs>
              <w:tab w:val="clear" w:pos="7609"/>
              <w:tab w:val="right" w:pos="9026" w:leader="dot"/>
            </w:tabs>
            <w:rPr/>
          </w:pPr>
          <w:hyperlink w:anchor="__RefHeading___Toc10531957_73709187">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10531959_73709187">
            <w:r>
              <w:rPr>
                <w:webHidden/>
                <w:rStyle w:val="IndexLink"/>
                <w:rtl w:val="true"/>
              </w:rPr>
              <w:t>منافاة قصد الخروج لقصد إقامة العشرة في ابتداء الإقامة</w:t>
            </w:r>
            <w:r>
              <w:rPr>
                <w:rStyle w:val="IndexLink"/>
                <w:rtl w:val="true"/>
              </w:rPr>
              <w:tab/>
            </w:r>
            <w:r>
              <w:rPr>
                <w:rStyle w:val="IndexLink"/>
              </w:rPr>
              <w:t>407</w:t>
            </w:r>
          </w:hyperlink>
        </w:p>
        <w:p>
          <w:pPr>
            <w:pStyle w:val="Contents6"/>
            <w:tabs>
              <w:tab w:val="clear" w:pos="7609"/>
              <w:tab w:val="right" w:pos="9026" w:leader="dot"/>
            </w:tabs>
            <w:rPr/>
          </w:pPr>
          <w:hyperlink w:anchor="__RefHeading___Toc10531961_73709187">
            <w:r>
              <w:rPr>
                <w:webHidden/>
                <w:rStyle w:val="IndexLink"/>
                <w:rtl w:val="true"/>
              </w:rPr>
              <w:t>إذا بدا للمُقيم الخروج إلى ما دون المسافة</w:t>
            </w:r>
            <w:r>
              <w:rPr>
                <w:rStyle w:val="IndexLink"/>
                <w:rtl w:val="true"/>
              </w:rPr>
              <w:tab/>
            </w:r>
            <w:r>
              <w:rPr>
                <w:rStyle w:val="IndexLink"/>
              </w:rPr>
              <w:t>413</w:t>
            </w:r>
          </w:hyperlink>
        </w:p>
        <w:p>
          <w:pPr>
            <w:pStyle w:val="Contents6"/>
            <w:tabs>
              <w:tab w:val="clear" w:pos="7609"/>
              <w:tab w:val="right" w:pos="9026" w:leader="dot"/>
            </w:tabs>
            <w:rPr/>
          </w:pPr>
          <w:hyperlink w:anchor="__RefHeading___Toc10531963_73709187">
            <w:r>
              <w:rPr>
                <w:webHidden/>
                <w:rStyle w:val="IndexLink"/>
                <w:rtl w:val="true"/>
              </w:rPr>
              <w:t>المراد باليوم المقام</w:t>
            </w:r>
            <w:r>
              <w:rPr>
                <w:rStyle w:val="IndexLink"/>
                <w:rtl w:val="true"/>
              </w:rPr>
              <w:tab/>
            </w:r>
            <w:r>
              <w:rPr>
                <w:rStyle w:val="IndexLink"/>
              </w:rPr>
              <w:t>426</w:t>
            </w:r>
          </w:hyperlink>
        </w:p>
        <w:p>
          <w:pPr>
            <w:pStyle w:val="Contents6"/>
            <w:tabs>
              <w:tab w:val="clear" w:pos="7609"/>
              <w:tab w:val="right" w:pos="9026" w:leader="dot"/>
            </w:tabs>
            <w:rPr/>
          </w:pPr>
          <w:hyperlink w:anchor="__RefHeading___Toc10531965_73709187">
            <w:r>
              <w:rPr>
                <w:webHidden/>
                <w:rStyle w:val="IndexLink"/>
                <w:rtl w:val="true"/>
              </w:rPr>
              <w:t>العدول عن قصد الإقامة بعد العزم عليها</w:t>
            </w:r>
            <w:r>
              <w:rPr>
                <w:rStyle w:val="IndexLink"/>
                <w:rtl w:val="true"/>
              </w:rPr>
              <w:tab/>
            </w:r>
            <w:r>
              <w:rPr>
                <w:rStyle w:val="IndexLink"/>
              </w:rPr>
              <w:t>428</w:t>
            </w:r>
          </w:hyperlink>
        </w:p>
        <w:p>
          <w:pPr>
            <w:pStyle w:val="Contents6"/>
            <w:tabs>
              <w:tab w:val="clear" w:pos="7609"/>
              <w:tab w:val="right" w:pos="9026" w:leader="dot"/>
            </w:tabs>
            <w:rPr/>
          </w:pPr>
          <w:hyperlink w:anchor="__RefHeading___Toc10531967_73709187">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10531969_73709187">
            <w:r>
              <w:rPr>
                <w:webHidden/>
                <w:rStyle w:val="IndexLink"/>
                <w:rtl w:val="true"/>
              </w:rPr>
              <w:t>انما الكلام يقع في مواضع</w:t>
            </w:r>
            <w:r>
              <w:rPr>
                <w:rStyle w:val="IndexLink"/>
                <w:rtl w:val="true"/>
              </w:rPr>
              <w:t>:</w:t>
              <w:tab/>
            </w:r>
            <w:r>
              <w:rPr>
                <w:rStyle w:val="IndexLink"/>
              </w:rPr>
              <w:t>429</w:t>
            </w:r>
          </w:hyperlink>
        </w:p>
        <w:p>
          <w:pPr>
            <w:pStyle w:val="Contents6"/>
            <w:tabs>
              <w:tab w:val="clear" w:pos="7609"/>
              <w:tab w:val="right" w:pos="9026" w:leader="dot"/>
            </w:tabs>
            <w:rPr/>
          </w:pPr>
          <w:hyperlink w:anchor="__RefHeading___Toc10531971_73709187">
            <w:r>
              <w:rPr>
                <w:webHidden/>
                <w:rStyle w:val="IndexLink"/>
                <w:rtl w:val="true"/>
              </w:rPr>
              <w:t>عدم الفرق بين العزم على السّفر، وبين التردّد فيه</w:t>
            </w:r>
            <w:r>
              <w:rPr>
                <w:rStyle w:val="IndexLink"/>
                <w:rtl w:val="true"/>
              </w:rPr>
              <w:tab/>
            </w:r>
            <w:r>
              <w:rPr>
                <w:rStyle w:val="IndexLink"/>
              </w:rPr>
              <w:t>429</w:t>
            </w:r>
          </w:hyperlink>
        </w:p>
        <w:p>
          <w:pPr>
            <w:pStyle w:val="Contents6"/>
            <w:tabs>
              <w:tab w:val="clear" w:pos="7609"/>
              <w:tab w:val="right" w:pos="9026" w:leader="dot"/>
            </w:tabs>
            <w:rPr/>
          </w:pPr>
          <w:hyperlink w:anchor="__RefHeading___Toc10531973_73709187">
            <w:r>
              <w:rPr>
                <w:webHidden/>
                <w:rStyle w:val="IndexLink"/>
                <w:rtl w:val="true"/>
              </w:rPr>
              <w:t>العبرة في البقاء على التمام بإتيان رباعيّة تامّة</w:t>
            </w:r>
            <w:r>
              <w:rPr>
                <w:rStyle w:val="IndexLink"/>
                <w:rtl w:val="true"/>
              </w:rPr>
              <w:tab/>
            </w:r>
            <w:r>
              <w:rPr>
                <w:rStyle w:val="IndexLink"/>
              </w:rPr>
              <w:t>430</w:t>
            </w:r>
          </w:hyperlink>
        </w:p>
        <w:p>
          <w:pPr>
            <w:pStyle w:val="Contents6"/>
            <w:tabs>
              <w:tab w:val="clear" w:pos="7609"/>
              <w:tab w:val="right" w:pos="9026" w:leader="dot"/>
            </w:tabs>
            <w:rPr/>
          </w:pPr>
          <w:hyperlink w:anchor="__RefHeading___Toc10531975_73709187">
            <w:r>
              <w:rPr>
                <w:webHidden/>
                <w:rStyle w:val="IndexLink"/>
                <w:rtl w:val="true"/>
              </w:rPr>
              <w:t>لو عدل عن الإقامة بعد استقرار التمام في الذمّة</w:t>
            </w:r>
            <w:r>
              <w:rPr>
                <w:rStyle w:val="IndexLink"/>
                <w:rtl w:val="true"/>
              </w:rPr>
              <w:tab/>
            </w:r>
            <w:r>
              <w:rPr>
                <w:rStyle w:val="IndexLink"/>
              </w:rPr>
              <w:t>433</w:t>
            </w:r>
          </w:hyperlink>
        </w:p>
        <w:p>
          <w:pPr>
            <w:pStyle w:val="Contents6"/>
            <w:tabs>
              <w:tab w:val="clear" w:pos="7609"/>
              <w:tab w:val="right" w:pos="9026" w:leader="dot"/>
            </w:tabs>
            <w:rPr/>
          </w:pPr>
          <w:hyperlink w:anchor="__RefHeading___Toc10531977_73709187">
            <w:r>
              <w:rPr>
                <w:webHidden/>
                <w:rStyle w:val="IndexLink"/>
                <w:rtl w:val="true"/>
              </w:rPr>
              <w:t>لو عدل عن الإقامة وشكّ في الإتيان بالرباعيّة</w:t>
            </w:r>
            <w:r>
              <w:rPr>
                <w:rStyle w:val="IndexLink"/>
                <w:rtl w:val="true"/>
              </w:rPr>
              <w:tab/>
            </w:r>
            <w:r>
              <w:rPr>
                <w:rStyle w:val="IndexLink"/>
              </w:rPr>
              <w:t>434</w:t>
            </w:r>
          </w:hyperlink>
        </w:p>
        <w:p>
          <w:pPr>
            <w:pStyle w:val="Contents5"/>
            <w:tabs>
              <w:tab w:val="clear" w:pos="7892"/>
              <w:tab w:val="right" w:pos="9026" w:leader="dot"/>
            </w:tabs>
            <w:rPr/>
          </w:pPr>
          <w:hyperlink w:anchor="__RefHeading___Toc10531979_73709187">
            <w:r>
              <w:rPr>
                <w:webHidden/>
                <w:rStyle w:val="IndexLink"/>
                <w:rtl w:val="true"/>
              </w:rPr>
              <w:t>من القواطع التردّد ثلاثين يوماً</w:t>
            </w:r>
            <w:r>
              <w:rPr>
                <w:rStyle w:val="IndexLink"/>
                <w:rtl w:val="true"/>
              </w:rPr>
              <w:tab/>
            </w:r>
            <w:r>
              <w:rPr>
                <w:rStyle w:val="IndexLink"/>
              </w:rPr>
              <w:t>437</w:t>
            </w:r>
          </w:hyperlink>
        </w:p>
        <w:p>
          <w:pPr>
            <w:pStyle w:val="Contents2"/>
            <w:tabs>
              <w:tab w:val="clear" w:pos="8743"/>
              <w:tab w:val="right" w:pos="9026" w:leader="dot"/>
            </w:tabs>
            <w:rPr/>
          </w:pPr>
          <w:hyperlink w:anchor="__RefHeading___Toc10531981_73709187">
            <w:r>
              <w:rPr>
                <w:webHidden/>
                <w:rStyle w:val="IndexLink"/>
                <w:rtl w:val="true"/>
              </w:rPr>
              <w:t>فهرس الموضوعات</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2_153906"/>
      <w:bookmarkStart w:id="1" w:name="pg11802_153906"/>
      <w:bookmarkEnd w:id="1"/>
    </w:p>
    <w:p>
      <w:pPr>
        <w:pStyle w:val="Heading2"/>
        <w:numPr>
          <w:ilvl w:val="1"/>
          <w:numId w:val="1"/>
        </w:numPr>
        <w:rPr/>
      </w:pPr>
      <w:bookmarkStart w:id="2" w:name="pg11802_153906"/>
      <w:bookmarkStart w:id="3" w:name="__RefHeading___Toc1053151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31521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2_153910"/>
      <w:bookmarkStart w:id="8" w:name="pg11802_153910"/>
      <w:bookmarkEnd w:id="8"/>
    </w:p>
    <w:p>
      <w:pPr>
        <w:pStyle w:val="Heading2"/>
        <w:numPr>
          <w:ilvl w:val="1"/>
          <w:numId w:val="1"/>
        </w:numPr>
        <w:rPr/>
      </w:pPr>
      <w:bookmarkStart w:id="9" w:name="pg11802_153910"/>
      <w:bookmarkStart w:id="10" w:name="__RefHeading___Toc10531523_73709187"/>
      <w:bookmarkStart w:id="11" w:name="_Toc3"/>
      <w:bookmarkEnd w:id="9"/>
      <w:bookmarkEnd w:id="10"/>
      <w:r>
        <w:rPr>
          <w:rtl w:val="true"/>
        </w:rPr>
        <w:t>تتمة كتاب الصلاة</w:t>
      </w:r>
      <w:bookmarkEnd w:id="11"/>
    </w:p>
    <w:p>
      <w:pPr>
        <w:pStyle w:val="Heading3"/>
        <w:numPr>
          <w:ilvl w:val="2"/>
          <w:numId w:val="1"/>
        </w:numPr>
        <w:rPr/>
      </w:pPr>
      <w:bookmarkStart w:id="12" w:name="__RefHeading___Toc10531525_73709187"/>
      <w:bookmarkStart w:id="13" w:name="_Toc4"/>
      <w:bookmarkEnd w:id="12"/>
      <w:r>
        <w:rPr>
          <w:rtl w:val="true"/>
        </w:rPr>
        <w:t>تتمة الباب السادس في صلاة الجماعة</w:t>
      </w:r>
      <w:bookmarkEnd w:id="13"/>
    </w:p>
    <w:p>
      <w:pPr>
        <w:pStyle w:val="Heading4"/>
        <w:numPr>
          <w:ilvl w:val="3"/>
          <w:numId w:val="1"/>
        </w:numPr>
        <w:rPr/>
      </w:pPr>
      <w:bookmarkStart w:id="14" w:name="__RefHeading___Toc10531527_73709187"/>
      <w:bookmarkStart w:id="15" w:name="_Toc5"/>
      <w:bookmarkEnd w:id="14"/>
      <w:r>
        <w:rPr>
          <w:rtl w:val="true"/>
        </w:rPr>
        <w:t>تتمة شروط الجماعة</w:t>
      </w:r>
      <w:bookmarkEnd w:id="15"/>
    </w:p>
    <w:p>
      <w:pPr>
        <w:pStyle w:val="Heading5"/>
        <w:numPr>
          <w:ilvl w:val="4"/>
          <w:numId w:val="1"/>
        </w:numPr>
        <w:rPr/>
      </w:pPr>
      <w:bookmarkStart w:id="16" w:name="__RefHeading___Toc10531529_73709187"/>
      <w:bookmarkStart w:id="17" w:name="_Toc6"/>
      <w:bookmarkEnd w:id="16"/>
      <w:r>
        <w:rPr>
          <w:rtl w:val="true"/>
        </w:rPr>
        <w:t>تتمة الشرط الأول النية</w:t>
      </w:r>
      <w:bookmarkEnd w:id="17"/>
    </w:p>
    <w:p>
      <w:pPr>
        <w:pStyle w:val="Heading6"/>
        <w:numPr>
          <w:ilvl w:val="5"/>
          <w:numId w:val="1"/>
        </w:numPr>
        <w:rPr/>
      </w:pPr>
      <w:bookmarkStart w:id="18" w:name="__RefHeading___Toc10531531_73709187"/>
      <w:bookmarkStart w:id="19" w:name="_Toc7"/>
      <w:bookmarkEnd w:id="18"/>
      <w:r>
        <w:rPr>
          <w:rtl w:val="true"/>
        </w:rPr>
        <w:t>تنبيهات صلاة الجماعة</w:t>
      </w:r>
      <w:bookmarkEnd w:id="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نيّة الإنفراد في جميع أحوال الصَّلاة، ولا يعتبر الدخول معه في ركنٍ‌، فلو أدركه في أثناء القراءة، وفارقه قبل الركوع صحّ‌، كما صرّح به جمعٌ من الأساطين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بعضهم</w:t>
      </w:r>
      <w:r>
        <w:rPr>
          <w:rStyle w:val="FootnoteAnchor"/>
          <w:rtl w:val="true"/>
        </w:rPr>
        <w:footnoteReference w:id="3"/>
      </w:r>
      <w:r>
        <w:rPr>
          <w:rFonts w:ascii="Amiri" w:hAnsi="Amiri" w:eastAsia="Amiri" w:cs="Amiri"/>
          <w:color w:val="111111"/>
          <w:sz w:val="28"/>
          <w:sz w:val="28"/>
          <w:szCs w:val="28"/>
          <w:rtl w:val="true"/>
          <w:lang w:bidi="ar-SA"/>
        </w:rPr>
        <w:t>توقّف انعقاد الجماعة على إدراك ركوع الرّكعة الاُولى‌، لما دلّ من النصوص على عدم الإدراك، إذا لم يُدرك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ظاهرة في ابتداء الجماعة، لا مَنْ حَصَل منه ذلك، واتّصف بوصف المأموميّة، وتحمّل الإمام القراءة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الأوّل، لأنّ الجماعة بمقتضى ما تقدّم مستحبّة في كلّ جزءٍ من أجزاء الصَّلاة، مع أنّ صحيح عبد الرحمن بن الحجّاج، عن أبي الحسن عليه 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جماعة يوم الجمعة، فلمّا ركع الإمام وألجأه النّاس إلى جدار أو اسطوانة، فلم يقدر على أن يركع ولا يسجد حتّى يرفع القوم رؤوسهم، أيركع ثمّ يسجد ثمّ يلحق بالصفّ‌، وقد قام القوم، أو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ويسجد ثمّ يقوم في الصف ولا بأس بذلك</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5"/>
      </w:r>
      <w:r>
        <w:rPr>
          <w:rFonts w:ascii="Amiri" w:hAnsi="Amiri" w:eastAsia="Amiri" w:cs="Amiri"/>
          <w:color w:val="111111"/>
          <w:sz w:val="28"/>
          <w:sz w:val="28"/>
          <w:szCs w:val="28"/>
          <w:rtl w:val="true"/>
          <w:lang w:bidi="ar-SA"/>
        </w:rPr>
        <w:t>كافيان في المقام، فإنّ دلالتهما على عدم اعتبار إدراك ركوع الإمام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الإنفراد قبل الركوع،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يَجري عليه حكم المنفرد من محلّ نيّته، سواءٌ أكان ذلك بعد القراءة أو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بعد القراءة، لا يجب عليه القراءة، وإنْ كان في أثنائها، يأتي بما بقي منها، وهو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ونسبه إلى جماعة، وتبعه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محشّيها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كان بعد القراءة، لا يجب عليه شيءٌ وإنْ كان في أثنائها تجبُ عليه إعادة السّورة التي انفرد فيها،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الإرشاد</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 بعضٍ‌، وهو وجوب القراءة مطلقاً، واستوجهه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لإطلاق أدلّة الضمان والإجزاء، فإنّه يقتضي إجزاء قراءة الإمام عن قراءة المأموم ولو بعدما انفرد، ولذا لم يشكّ أحدٌ في أنّه لو انفرد بعد الركوع، لا يعامل مع القراءة معاملة تاركها، ولو كانت أدلّة الضمان مختصّة بحال كونه مأموماً 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السّورة الواحدة شيءٌ واحدٌ لا يُتجزّئ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إنّما تدلّ على سقوط القراءة عن المأموم، وعليه فإذا نوى الإنفراد والمحلّ باق، وجب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مفادها إجزاء قراءة الإمام عن قراءة المأموم، وضمانه قراءته، وعليه فإذا كان في حال قراءة الإمام مأموماً، فكأنّه قرأ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الإنفراد في الأثناء، فهل يجوز له العود إلى الائتمام بلا فصلٍ‌، أو مطلقاً، أم لا يجوز؟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جواز العود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جواز العدول الى الائتمام في الأثناء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جواز العدول من إمامٍ إلى إمامٍ آخر، لا سيّما إذا لم يكن الثاني أجنبيّاً، أي كان من المأمومين، إذ لو جاز في هذا المورد جاز العود الى الإمام الأوّل، لاسيّما إذا كان ذلك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ما في هذين الوجهين، فإذاً الأحوط عدم العود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فيما إذاتردّد في الإنفراد وعدمه، فإنّه من جهة أنّ الائتمام متقوّمٌ بالقصد، فمع الترديد ينعدم الائتمام لا محالة، فيكون حكمه حكم ما إذا نوى الإنفراد</w:t>
      </w:r>
      <w:r>
        <w:rPr>
          <w:rFonts w:eastAsia="Amiri" w:cs="Amiri" w:ascii="Amiri" w:hAnsi="Amiri"/>
          <w:color w:val="111111"/>
          <w:sz w:val="28"/>
          <w:szCs w:val="28"/>
          <w:rtl w:val="true"/>
          <w:lang w:bidi="ar-SA"/>
        </w:rPr>
        <w:t>.</w:t>
      </w:r>
      <w:bookmarkStart w:id="20" w:name="pg11802_153913"/>
    </w:p>
    <w:p>
      <w:pPr>
        <w:pStyle w:val="BookText"/>
        <w:rPr/>
      </w:pPr>
      <w:bookmarkEnd w:id="20"/>
      <w:r>
        <w:rPr>
          <w:rFonts w:ascii="Amiri" w:hAnsi="Amiri" w:eastAsia="Amiri" w:cs="Amiri"/>
          <w:color w:val="111111"/>
          <w:sz w:val="28"/>
          <w:sz w:val="28"/>
          <w:szCs w:val="28"/>
          <w:rtl w:val="true"/>
          <w:lang w:bidi="ar-SA"/>
        </w:rPr>
        <w:t>ولا تصحّ مع حائلٍ بين الإمام والمأموم يمنع المشاهدة،</w:t>
      </w:r>
    </w:p>
    <w:p>
      <w:pPr>
        <w:pStyle w:val="Heading5"/>
        <w:numPr>
          <w:ilvl w:val="4"/>
          <w:numId w:val="1"/>
        </w:numPr>
        <w:rPr/>
      </w:pPr>
      <w:bookmarkStart w:id="21" w:name="__RefHeading___Toc10531533_73709187"/>
      <w:bookmarkStart w:id="22" w:name="_Toc8"/>
      <w:bookmarkEnd w:id="21"/>
      <w:r>
        <w:rPr>
          <w:rtl w:val="true"/>
        </w:rPr>
        <w:t>اعتبار عدم الحائل بين الإمام والمأموم</w:t>
      </w:r>
      <w:bookmarkEnd w:id="22"/>
    </w:p>
    <w:p>
      <w:pPr>
        <w:pStyle w:val="Heading6"/>
        <w:numPr>
          <w:ilvl w:val="5"/>
          <w:numId w:val="1"/>
        </w:numPr>
        <w:rPr/>
      </w:pPr>
      <w:bookmarkStart w:id="23" w:name="__RefHeading___Toc10531535_73709187"/>
      <w:bookmarkStart w:id="24" w:name="_Toc9"/>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الإمام والمأموم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مع حائلٍ بين الإمام والمأموم يمنع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وعن جماعةٍ دعوى الإجماع عليه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زرارة أو صحيحه، عن الإمام الباقر عليه السلام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صَلّى قومٌ وبينهم وبين الإمام ما لا يُتخطّى‌، فليس ذلك الإمام لهم بإمامٍ‌، وأيّ صفٍ كان أهله يُصلّون بصلاة إمامٍ‌، وبينهم وبين الصف الذي يتقدّمهم قَدَر ما لا يتخطّى، فليس تلك لهم بصلاة، فإنْ كان بينهم سُترة أو جدار فليست تلك لهم بصلاة، إلّامن كان من حيال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لم يكن في زمان أحدٍ من النّاس وإنّما أحدثها الجبّارون، ليست لمن صَلّى خلفها مقتدياً بصلاة من فيها صلاةٌ‌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تكون الصفوف تامّة متواصلة بعضها إلى </w:t>
      </w:r>
    </w:p>
    <w:p>
      <w:pPr>
        <w:pStyle w:val="BookText"/>
        <w:rPr/>
      </w:pPr>
      <w:r>
        <w:rPr>
          <w:rFonts w:ascii="Amiri" w:hAnsi="Amiri" w:eastAsia="Amiri" w:cs="Amiri"/>
          <w:color w:val="111111"/>
          <w:sz w:val="28"/>
          <w:sz w:val="28"/>
          <w:szCs w:val="28"/>
          <w:rtl w:val="true"/>
          <w:lang w:bidi="ar-SA"/>
        </w:rPr>
        <w:t>بعض، لايكون بين الصفّين ما لايُتخطّى‌، يكون قدر ذلك مسقط جسدالإنسان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بالجملة الاُولى منه لهذا الحكم، بدعوى ظهور ما لا يُتخطّى في إرادة الارتفاع، بأن يكون العلوّ بمقدارٍ لا يمكن طيّه بخطوة واحدة، بل يحتاج إلى خطوة للصعود عليه، أو غير ذلك كما عن بعضهم، أو أنّه يُحمل عليه بقرينة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بينهم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كونه تفريعاً على ما سبق، إذ على هذا لا يناسب مع إرادة العرض، كما عن المحقّق اليزدي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يتخطّى أو قدر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إرادة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الخبر صريحٌ في ذلك،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قدر ذلك مسقط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فيتعيّن البناء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مانع مستقلّ‌، ولا يكون تفريعاً على ماسبق، مع أنّ المحكيّ 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فالصحيح الاستدلال بهذه الجملة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بما بين المأمومين أنفسهم، ولا يعمّ ما بين المأموم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إلى جميع من تقدّم،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والمأمومون، وأهل الصف، والصف الذي يتقدّمهم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صَلّى قومٌ بينهم وبين الإمام ستر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يعمّ ما بين المأمومين أنفسهم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يروي الخبر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والموجود فيها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الخبر، اعتبار عدم الحائل بين الإمام والمأمومين، وبين المأمومين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موثّق إبن الجهم،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بالقوم في مكانٍ ضيّق، ويكون بينهم وبينه سترٌ، أيجوز أن يُصلّي بهم‌؟ قال عليه السلام نعم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الوارد في بعض النسخ</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أنسب بفرض كون المكان ضيّقاً، مضافاً إلى أنّه يتعيّن طرحه على التقدير الآخر، لإعراض الأصحاب عنه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5" w:name="pg11802_153916"/>
    </w:p>
    <w:p>
      <w:pPr>
        <w:pStyle w:val="BookText"/>
        <w:rPr/>
      </w:pPr>
      <w:bookmarkEnd w:id="25"/>
      <w:r>
        <w:rPr>
          <w:rFonts w:ascii="Amiri" w:hAnsi="Amiri" w:eastAsia="Amiri" w:cs="Amiri"/>
          <w:color w:val="111111"/>
          <w:sz w:val="28"/>
          <w:sz w:val="28"/>
          <w:szCs w:val="28"/>
          <w:rtl w:val="true"/>
          <w:lang w:bidi="ar-SA"/>
        </w:rPr>
        <w:t>إلّا في المرأة</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10531537_73709187"/>
      <w:bookmarkStart w:id="27" w:name="_Toc10"/>
      <w:bookmarkEnd w:id="26"/>
      <w:r>
        <w:rPr>
          <w:rtl w:val="true"/>
        </w:rPr>
        <w:t>فروع صلاة الجماعة</w:t>
      </w:r>
      <w:bookmarkEnd w:id="27"/>
    </w:p>
    <w:p>
      <w:pPr>
        <w:pStyle w:val="Heading6"/>
        <w:numPr>
          <w:ilvl w:val="5"/>
          <w:numId w:val="1"/>
        </w:numPr>
        <w:rPr/>
      </w:pPr>
      <w:bookmarkStart w:id="28" w:name="__RefHeading___Toc10531539_73709187"/>
      <w:bookmarkStart w:id="29" w:name="_Toc11"/>
      <w:bookmarkEnd w:id="28"/>
      <w:r>
        <w:rPr>
          <w:rtl w:val="true"/>
        </w:rPr>
        <w:t>الحكم الذي مرَّ ذكره إنّما هو ثابتٌ في حقّ الرِّجال</w:t>
      </w:r>
      <w:bookmarkEnd w:id="29"/>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مرَّ ذكره إنّما هو ثابتٌ في حقّ الرِّجال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اعتبار عدم الحائل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ممّا لا إشكال فيه ولا خلاف، إلّاعن الحِلّي</w:t>
      </w:r>
      <w:r>
        <w:rPr>
          <w:rStyle w:val="FootnoteAnchor"/>
          <w:rtl w:val="true"/>
        </w:rPr>
        <w:footnoteReference w:id="20"/>
      </w:r>
      <w:r>
        <w:rPr>
          <w:rFonts w:ascii="Amiri" w:hAnsi="Amiri" w:eastAsia="Amiri" w:cs="Amiri"/>
          <w:color w:val="111111"/>
          <w:sz w:val="28"/>
          <w:sz w:val="28"/>
          <w:szCs w:val="28"/>
          <w:rtl w:val="true"/>
          <w:lang w:bidi="ar-SA"/>
        </w:rPr>
        <w:t>، لموثّق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بالقوم وخلفه دار فيها نساء، هل يجوز لهنّ أن يُصلّين خلفه‌؟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الإمام أسفل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بينهنّ وبينه حائطاً أو طريقاً؟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مقتدية بالمرأة فهل يعتبر عدم الحائل، كما عن الأصحاب</w:t>
      </w:r>
      <w:r>
        <w:rPr>
          <w:rStyle w:val="FootnoteAnchor"/>
          <w:rtl w:val="true"/>
        </w:rPr>
        <w:footnoteReference w:id="22"/>
      </w:r>
      <w:r>
        <w:rPr>
          <w:rFonts w:ascii="IRNazanin" w:hAnsi="IRNazanin" w:eastAsia="IRNazanin"/>
          <w:color w:val="111111"/>
          <w:sz w:val="28"/>
          <w:sz w:val="28"/>
          <w:szCs w:val="28"/>
          <w:rtl w:val="true"/>
          <w:lang w:bidi="fa-IR"/>
        </w:rPr>
        <w:t>، أم لا</w:t>
      </w:r>
      <w:r>
        <w:rPr>
          <w:rStyle w:val="FootnoteAnchor"/>
          <w:rtl w:val="true"/>
        </w:rPr>
        <w:footnoteReference w:id="2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إطلاق الصحيح، ومن 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بينهم سُترة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مصبّ الخبر الصحيح هم الرِّجال، وحيثُ أنّ استفادة الحكم للنساء في بعض الموارد، مع كون الخطاب متوجّهاً إلى الرِّجال، إنّما هو بواسطة العلم بعدم خصوصيّة الذكوريّة، وفي المقام يحتمل تلك، مضافاً الى معارضة ذلك في الصحيح </w:t>
      </w:r>
      <w:bookmarkStart w:id="30" w:name="pg11802_153917"/>
    </w:p>
    <w:p>
      <w:pPr>
        <w:pStyle w:val="BookText"/>
        <w:rPr/>
      </w:pPr>
      <w:bookmarkEnd w:id="30"/>
      <w:r>
        <w:rPr>
          <w:rFonts w:ascii="Amiri" w:hAnsi="Amiri" w:eastAsia="Amiri" w:cs="Amiri"/>
          <w:color w:val="111111"/>
          <w:sz w:val="28"/>
          <w:sz w:val="28"/>
          <w:szCs w:val="28"/>
          <w:rtl w:val="true"/>
          <w:lang w:bidi="ar-SA"/>
        </w:rPr>
        <w:t>بجريان مثله في الموثّق، فلا مناص عن الرجوع الى مايقتضيه القواعد، وقد عرفت في أوّل هذا المبحث أنّها تقتضي عدم اعتبار كلّ ما شُكّ في اعتباره، مع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أولويّة الوجه الأوّل، إذ الإتيان بالضمير المذكّر إنّما هو للتغليب، كما في سائر الموارد</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10531541_73709187"/>
      <w:bookmarkStart w:id="32" w:name="_Toc12"/>
      <w:bookmarkEnd w:id="31"/>
      <w:r>
        <w:rPr>
          <w:rtl w:val="true"/>
        </w:rPr>
        <w:t>إذا كان الحائل في بعض أحوال الصَّلاة من قيامٍ أو قعودٍ أو ركوعٍ‌</w:t>
      </w:r>
      <w:bookmarkEnd w:id="3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الحائل في بعض أحوال الصَّلاة من قيامٍ أو قعودٍ أو ركوعٍ أو سجود، فهل تبطل الجماعة أم لا؟ وجهان، بل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النائيني</w:t>
      </w:r>
      <w:r>
        <w:rPr>
          <w:rStyle w:val="FootnoteAnchor"/>
          <w:rtl w:val="true"/>
        </w:rPr>
        <w:footnoteReference w:id="24"/>
      </w:r>
      <w:r>
        <w:rPr>
          <w:rFonts w:ascii="Amiri" w:hAnsi="Amiri" w:eastAsia="Amiri" w:cs="Amiri"/>
          <w:color w:val="111111"/>
          <w:sz w:val="28"/>
          <w:sz w:val="28"/>
          <w:szCs w:val="28"/>
          <w:rtl w:val="true"/>
          <w:lang w:bidi="ar-SA"/>
        </w:rPr>
        <w:t>، بأنّ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بينهم سترة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استمرار وجود الستر في جميع أحوال الصَّلاة، لأنّه حالٌ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المعنى صلّوا في حال وجود الحائل، ومن الواضح أنّه لو كان الحائل في حال الجلوس فقط، لا يصدق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حال وجود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بأكثر موانع الصَّلاة، فإنّ أدلّتها تتضمّن النهي عن الصَّلاة معها، أو بطلانها مع وجودها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الصَّلاة من المركّبات الاعتباريّة، وتدريجي الوجود، وبتبعها تكون الجماعة كذلك، وعليه فإذا دلّ دليلٌ على اعتبار شيء أو عدمه فيها، أو بطلانها مع وجوده يدور الأمر في بادئ النظر بين كونه معتبراً في المجموع من حيث المجموع، فلا يقدح وجوده في بعض الحالات، وبين كونه معتبراً في الجميع، بمعنى اعتباره في حال التلبّس بكلّ جزءٍ من أجزائها، فيقدح وجوده ولو في حالٍ من الحالات</w:t>
      </w:r>
      <w:r>
        <w:rPr>
          <w:rFonts w:eastAsia="Amiri" w:cs="Amiri" w:ascii="Amiri" w:hAnsi="Amiri"/>
          <w:color w:val="111111"/>
          <w:sz w:val="28"/>
          <w:szCs w:val="28"/>
          <w:rtl w:val="true"/>
          <w:lang w:bidi="ar-SA"/>
        </w:rPr>
        <w:t xml:space="preserve">. </w:t>
      </w:r>
      <w:bookmarkStart w:id="33" w:name="pg11802_153918"/>
    </w:p>
    <w:p>
      <w:pPr>
        <w:pStyle w:val="BookText"/>
        <w:rPr/>
      </w:pPr>
      <w:bookmarkEnd w:id="33"/>
      <w:r>
        <w:rPr>
          <w:rFonts w:ascii="Amiri" w:hAnsi="Amiri" w:eastAsia="Amiri" w:cs="Amiri"/>
          <w:color w:val="111111"/>
          <w:sz w:val="28"/>
          <w:sz w:val="28"/>
          <w:szCs w:val="28"/>
          <w:rtl w:val="true"/>
          <w:lang w:bidi="ar-SA"/>
        </w:rPr>
        <w:t>ولكن الظاهر هو الثاني، لأن أخذه بالاعتبار الأوّل يحتاج إلى عناية زائدة، فتدبّر، فالأظهر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ما إذا كان الحائل بنفسه قصيراً، لا يمنع عن المشاهدة، إلّافي بعض أحوال الصَّلاة كالجلوس، فإنّ الأظهر فيه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ماكان يمنع المشاهدة في حال السّجود، كما إذا كان بمقدار شبرٍ أو أقلّ كعتبة الباب، لا بأس به، بلا خلافٍ ظاهر، وإن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الإشكال فيه، لعدم صدق السترة والجدار عليه عرفاً، كما هو واضح</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10531543_73709187"/>
      <w:bookmarkStart w:id="35" w:name="_Toc13"/>
      <w:bookmarkEnd w:id="34"/>
      <w:r>
        <w:rPr>
          <w:rtl w:val="true"/>
        </w:rPr>
        <w:t>إذا كان الحائل بحيث يتحقّق معه المشاهدة في حال الصَّلاة</w:t>
      </w:r>
      <w:bookmarkEnd w:id="3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الحائل بحيث يتحقّق معه المشاهدة في حال الصَّلاة، كما إذا كان زجاجاً، أو كان فيه ثقوب، أو كان شبّاكاً، وحينئذٍ فهل مثل هذا الحائل يعدّ مانعاً أم لا؟</w:t>
      </w:r>
    </w:p>
    <w:p>
      <w:pPr>
        <w:pStyle w:val="BookText"/>
        <w:rPr/>
      </w:pPr>
      <w:r>
        <w:rPr>
          <w:rFonts w:ascii="Amiri" w:hAnsi="Amiri" w:eastAsia="Amiri" w:cs="Amiri"/>
          <w:color w:val="111111"/>
          <w:sz w:val="28"/>
          <w:sz w:val="28"/>
          <w:szCs w:val="28"/>
          <w:rtl w:val="true"/>
          <w:lang w:bidi="ar-SA"/>
        </w:rPr>
        <w:t>وجهان؛ مبنيّان على أنّ ما في الحسن المتقدّم من جعل الجدار مقابلاً للسّترة، هل هو باعتبار ذات الساتر، بمعنى أنّ الساتر قد يكون جداراً وقد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الموضوع هو السّتر بالخصوص، أم غيره وإن كان ممّا يَستر، أم هو باعتبار أصل الستر؟ ليكون الجدار بنفسه من حيث هو مناطاًللحكم، سواءٌ تحقّق به السّتر أم لا؟</w:t>
      </w:r>
    </w:p>
    <w:p>
      <w:pPr>
        <w:pStyle w:val="BookText"/>
        <w:rPr/>
      </w:pPr>
      <w:r>
        <w:rPr>
          <w:rFonts w:ascii="IRNazanin" w:hAnsi="IRNazanin" w:eastAsia="IRNazanin"/>
          <w:color w:val="111111"/>
          <w:sz w:val="28"/>
          <w:sz w:val="28"/>
          <w:szCs w:val="28"/>
          <w:rtl w:val="true"/>
          <w:lang w:bidi="fa-IR"/>
        </w:rPr>
        <w:t>إذ على الأوّل لا بأس به، لعدم السّتر، وعدم المنع عن المشاهد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الثاني ففيه بأس، لصدق الجدار والحائل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أظهر، إذ الظاهر من تعليق الحكم على الجدار، وذكره في مقابل </w:t>
      </w:r>
      <w:bookmarkStart w:id="36" w:name="pg11802_153919"/>
    </w:p>
    <w:p>
      <w:pPr>
        <w:pStyle w:val="BookText"/>
        <w:rPr/>
      </w:pPr>
      <w:bookmarkEnd w:id="36"/>
      <w:r>
        <w:rPr>
          <w:rFonts w:ascii="Amiri" w:hAnsi="Amiri" w:eastAsia="Amiri" w:cs="Amiri"/>
          <w:color w:val="111111"/>
          <w:sz w:val="28"/>
          <w:sz w:val="28"/>
          <w:szCs w:val="28"/>
          <w:rtl w:val="true"/>
          <w:lang w:bidi="ar-SA"/>
        </w:rPr>
        <w:t>السترة، إنّما هو إرادة معنى آخر غير الساتر، والظاهر إرادة مطلق الحائل، وإنْ لم يمنع عن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الجدار عن مثل الشبابيك والزجاج</w:t>
      </w:r>
      <w:r>
        <w:rPr>
          <w:rStyle w:val="FootnoteAnchor"/>
          <w:rtl w:val="true"/>
        </w:rPr>
        <w:footnoteReference w:id="26"/>
      </w:r>
      <w:r>
        <w:rPr>
          <w:rFonts w:ascii="Amiri" w:hAnsi="Amiri" w:eastAsia="Amiri" w:cs="Amiri"/>
          <w:color w:val="111111"/>
          <w:sz w:val="28"/>
          <w:sz w:val="28"/>
          <w:szCs w:val="28"/>
          <w:rtl w:val="true"/>
          <w:lang w:bidi="ar-SA"/>
        </w:rPr>
        <w:t>، فممنوعة، فالأظهر 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الاقتداء خلف الشبابيك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المقاصير في الحَسَن المتقدّم، فإنّ إطلاقها يشمل ما إذا جُعِلت مشبّكة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كونها إشارة إلى المقاصير التي كانت موجودة في تلك الأزمنة، وكونها أو بعضها مشبّكة غير معلوم، مع أنّه لو سُلّم كونها للإشارة إلى الجنس، يكون ذلك بملاحظة أفرادها التي أحدثها الجبّارون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سنخ ما تعارف حدوثه في عصرهم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لما لا يُتخطّى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طيّه بخطوة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يُتخطّى للحائل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ظهور الخبر، بل صراحته في إرادة البعد</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10531545_73709187"/>
      <w:bookmarkStart w:id="38" w:name="_Toc14"/>
      <w:bookmarkEnd w:id="37"/>
      <w:r>
        <w:rPr>
          <w:rtl w:val="true"/>
        </w:rPr>
        <w:t>حكم جماعة من بجناحي من يكون بحيال الباب</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 هذا الفرع عن حكم ما لو كان الحائل بين الإمام وبعض المأمومين، أو بين بعض الصف اللّاحق والصف السابق، إلّاأنّ من هو خلف </w:t>
      </w:r>
    </w:p>
    <w:p>
      <w:pPr>
        <w:pStyle w:val="BookText"/>
        <w:rPr/>
      </w:pPr>
      <w:r>
        <w:rPr>
          <w:rFonts w:ascii="Amiri" w:hAnsi="Amiri" w:eastAsia="Amiri" w:cs="Amiri"/>
          <w:color w:val="111111"/>
          <w:sz w:val="28"/>
          <w:sz w:val="28"/>
          <w:szCs w:val="28"/>
          <w:rtl w:val="true"/>
          <w:lang w:bidi="ar-SA"/>
        </w:rPr>
        <w:t>الحائل متّصلٌ بفاقده، كما إذا كان الإمام في المحراب الداخل، وكان بعض المأمومين واقفاً بحيال الباب من الصف الأوّل إلى آخر الصفوف، والآخرون على يمين من بحيال الباب أو شماله‌؟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جماعة من بحيال الباب، كما صرّح بها في الحَسَن المتقدّم، إنّما البحث عن صحّة جماعة الباقين وعدمها؟</w:t>
      </w:r>
    </w:p>
    <w:p>
      <w:pPr>
        <w:pStyle w:val="BookText"/>
        <w:rPr/>
      </w:pPr>
      <w:r>
        <w:rPr>
          <w:rFonts w:ascii="Amiri" w:hAnsi="Amiri" w:eastAsia="Amiri" w:cs="Amiri"/>
          <w:color w:val="111111"/>
          <w:sz w:val="28"/>
          <w:sz w:val="28"/>
          <w:szCs w:val="28"/>
          <w:rtl w:val="true"/>
          <w:lang w:bidi="ar-SA"/>
        </w:rPr>
        <w:t>فقد اختلفت فيه أقوال القوم، وتشتّت فيه كلماتهم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صَلّى الإمام في محرابٍ داخل، صحّت صلاة من يُشاهده من الصف الأوّل خاصّة، وصلاة الصفوف الباقية أجمع، لأنّهم يشاهدون من يشاهده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في محرابٍ داخلٍ‌، بطلت صلاة الجناحين من الصف الأوّل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صريح جماعةٍ وظاهر آخرين خلاف ذلك، وأنّه يكفي مشاهدة من يشاهد الإمام، ولو بوسائط، سواء كان في صفّه أو في الصف المتقدّم عليه، بل لعلّ هذا هو المشهور بين الأصحاب</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فالكلام يقع في موردين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عدم الحائل بين كلّ مأمومٍ وبين الإمام، 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يكفي عدم الحائل بين المأموم وبين مأموم آخر لا حائل بينه وبين الإمام، وإنْ كان بينه وبين الإمام حائل‌؟</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المشاهدة القدّامية بين المأموم والإمام والمأمومين بعضهم مع بعضٍ‌، أم يكفي مطلق المشاهدة، ولو كانت يمينيّة أو يساريّة، بأنْ يكون مشاهداً من على يمينه أو يساره‌؟</w:t>
      </w:r>
    </w:p>
    <w:p>
      <w:pPr>
        <w:pStyle w:val="BookText"/>
        <w:rPr/>
      </w:pPr>
      <w:r>
        <w:rPr>
          <w:rFonts w:ascii="Amiri" w:hAnsi="Amiri" w:eastAsia="Amiri" w:cs="Amiri"/>
          <w:color w:val="111111"/>
          <w:sz w:val="28"/>
          <w:sz w:val="28"/>
          <w:szCs w:val="28"/>
          <w:rtl w:val="true"/>
          <w:lang w:bidi="ar-SA"/>
        </w:rPr>
        <w:t>وقد وقع الخلاف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لاعتبار عدم الحائل بين كلّ مأمومٍ والإمام، بأنّ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بينهم سُترة أو جدار فليس</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يرجع إلى المأمومين، فتكون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فتكون النتيجة أنّه إنْ كان بين المأمومين وبين الإمام سُترة أو جدار فليس تلك لهم بصلاة، وظاهر ذلك اعتبار عدم الحائل بين كلّ مأمومٍ وبين الإمام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 الضمير إلى ما اُريد منها في الفقرتين السابقتين على هذه الفقرة، وقد تضمّنت إحداهما اعتبار عدم البُعد بين الإمام والمأموم، والثانية لاعتبار عدم البُعد بين المأمومين بعضهم مع بعض، فيعدّ هذه الفقرة إجمال ما فصّل في تينك الفقرتين، ومتضمّنة لبيان اعتبار عدم الحائل على النحو الذي اعتُبر عدم البُعد، فتكون ظاهرة في إرادة أن لا يكون بين المأموم وبين الإمام أو من هو منشأ لاتّصاله بالإمام حائلٌ‌، فمن هذه الجهة لا إشكال في صحّة جماعة مَنْ بجناحي من يكون بحيال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w:t>
      </w:r>
      <w:r>
        <w:rPr>
          <w:rStyle w:val="FootnoteAnchor"/>
          <w:rtl w:val="true"/>
        </w:rPr>
        <w:footnoteReference w:id="31"/>
      </w:r>
      <w:r>
        <w:rPr>
          <w:rFonts w:ascii="Amiri" w:hAnsi="Amiri" w:eastAsia="Amiri" w:cs="Amiri"/>
          <w:color w:val="111111"/>
          <w:sz w:val="28"/>
          <w:sz w:val="28"/>
          <w:szCs w:val="28"/>
          <w:rtl w:val="true"/>
          <w:lang w:bidi="ar-SA"/>
        </w:rPr>
        <w:t>عدم الاكتفاء بالمشاهدة اليمينيّة واليساريّة، واعتبار المشاهدة القدامية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الحَسَن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بينهم سُترة أو جدار، فليس تلك لهم بصلاة إلّامن كان بحيال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هو خصوص الشخص المُصلّي بحيال الباب، في قبال جانبيه ممّن كان على يمينه ويساره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إنّما يكون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المقاصير لم تكن في زمن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قُدّم عليه، فتكون الجملة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صَلّى خلفها بصلاةٍ مَن فيها صلاةٌ إلّامن كان بحيال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التقريب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لازمه بطلان صلاة جميع الصفوف المتأخّرة، إلّامن كان بحيال الباب، لأنّه إذا حكم ببطلان طرفي الصف الأوّل، لعدم الاكتفاء بالمشاهدة اليمينيّة واليساريّة، لزم منه الحكم ببطلان طرفي الصف الثاني، لحيلولة طرفي الصف الأوّل بينهم وبين من هو بحيال الباب، فلا يمكن لهم المشاهدة إلّامن اليمين واليسار، وهذا ممّا لم يلتزم به أحد من الأصحاب، فإنّهم صرّحوا بصحّة جماعة الصفوف المتأخّرة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يُحتمل أن يكون الصف الكائن بحيال الباب، في مقابل الصفوف الواقعة على جانبيه، لا خصوص الشخص الواقف بحيال الباب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في الفقرة السابقة على الفقرة المذكورة 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 w:name="pg11802_153923"/>
    </w:p>
    <w:p>
      <w:pPr>
        <w:pStyle w:val="BookText"/>
        <w:rPr/>
      </w:pPr>
      <w:bookmarkEnd w:id="39"/>
      <w:r>
        <w:rPr>
          <w:rFonts w:ascii="Amiri" w:hAnsi="Amiri" w:eastAsia="Amiri" w:cs="Amiri"/>
          <w:color w:val="111111"/>
          <w:sz w:val="28"/>
          <w:sz w:val="28"/>
          <w:szCs w:val="28"/>
          <w:rtl w:val="true"/>
          <w:lang w:bidi="ar-SA"/>
        </w:rPr>
        <w:t>الصف، ويحتمل أن يكون الشخص الواقف بحيال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 على ما استدلّ به له واضحٌ‌، بل يدلّ على العكس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أنّ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 يكون بينه وبين من هو متّصلٌ به واسطة في اتّصاله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يُحكم بصحّة اقتدائه حائلٌ‌، فلامحالة يكون المستثنى من ذلك من جهة خروجه عن ذلك موضوعاً، فيكون المستثنى في قبال من هو وراء الحائل الذي يكون بينه وبين من اتّصل به حائلٌ‌، لا في قبال جانبيه ممّن كان على يمينه ويساره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التقريب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الاستثناء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المقاصير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استثناء عنه، فالمستثنى منه ليس من يُصلّي في طرفي الصف المنعقد قدام الباب، الذي ليس بينه وبين من هو واقفٌ بحيال الباب حائل، بل من يُصلّي خلف حائطي جناحيه،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لمن صَلّى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قَصَر البطلان على مَن يُصلّي خلف المقاصير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لا تُنافي ما قدّمناه، وعليه فالأظهر صحّة جماعة من بجناحي مَنْ يكون بحيال الباب</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0531547_73709187"/>
      <w:bookmarkStart w:id="41" w:name="_Toc15"/>
      <w:bookmarkEnd w:id="40"/>
      <w:r>
        <w:rPr>
          <w:rtl w:val="true"/>
        </w:rPr>
        <w:t>لو شكّ في وجود الحائل</w:t>
      </w:r>
      <w:bookmarkEnd w:id="41"/>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وجود الحائل، فإنْ كان مسبوقاً بالعدم، بنى على عدمه للاستصحاب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يثبت به اتّصاف صلاة المأموم بأن لا يكون بينه وبين من </w:t>
      </w:r>
    </w:p>
    <w:p>
      <w:pPr>
        <w:pStyle w:val="BookText"/>
        <w:rPr/>
      </w:pPr>
      <w:r>
        <w:rPr>
          <w:rFonts w:ascii="Amiri" w:hAnsi="Amiri" w:eastAsia="Amiri" w:cs="Amiri"/>
          <w:color w:val="111111"/>
          <w:sz w:val="28"/>
          <w:sz w:val="28"/>
          <w:szCs w:val="28"/>
          <w:rtl w:val="true"/>
          <w:lang w:bidi="ar-SA"/>
        </w:rPr>
        <w:t>يتقدّمه سُترة أو جدار، الذي هو معتبرٌ في صحّة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يُستفاد من الخبر الحَسَن أكثر من مانعيّة الحائل، وعليه فيجري 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أنّه لو لم يكن مسبوقاً بالعدم، فإنّه إن لم يجر الاستصحاب، إلّاأنّه تجري أصالة البراءة، بناءً على جريانها في الشبهات الموضوعيّة التحريميّة الضمنيّة، وببركتها يُحكم بصحّة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أوّل هذا البحث أنّ مقتضى الأصل، عدم اعتبار كلّ ما شُكّ في اعتباره في الجماعة، وجوداً أو عدماً، وسواءٌ كانت الشبهة موضوعيّة أو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من التفصيل بين سبق عدمه وعدمه، حيث حكم في الأوّل بإجراء الأصل، واعتبر في الثاني الاطمئنان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التفصيل بين حدوث الشكّ في الأثناء، وحدوثه قبل الدخول فيها، والحكم في الأوّل بجريان الاستصحاب، وفي الثاني بعدمه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2" w:name="pg11802_153925"/>
    </w:p>
    <w:p>
      <w:pPr>
        <w:pStyle w:val="BookText"/>
        <w:rPr/>
      </w:pPr>
      <w:bookmarkEnd w:id="42"/>
      <w:r>
        <w:rPr>
          <w:rFonts w:ascii="Amiri" w:hAnsi="Amiri" w:eastAsia="Amiri" w:cs="Amiri"/>
          <w:color w:val="111111"/>
          <w:sz w:val="28"/>
          <w:sz w:val="28"/>
          <w:szCs w:val="28"/>
          <w:rtl w:val="true"/>
          <w:lang w:bidi="ar-SA"/>
        </w:rPr>
        <w:t>ولا مَعَ عُلوّ الإمام في المكان بما يعتدّ به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0531549_73709187"/>
      <w:bookmarkStart w:id="44" w:name="_Toc16"/>
      <w:bookmarkEnd w:id="43"/>
      <w:r>
        <w:rPr>
          <w:rtl w:val="true"/>
        </w:rPr>
        <w:t>اعتبار عدم العلوّ</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عُلوّ مكان الإمام عن المأموم،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عُلوّ الإمام في المكان بما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عن جماعةٍ‌</w:t>
      </w:r>
      <w:r>
        <w:rPr>
          <w:rStyle w:val="FootnoteAnchor"/>
          <w:rtl w:val="true"/>
        </w:rPr>
        <w:footnoteReference w:id="3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القول بالكراهة، مدّعياً عليه الإجماع، ووافقه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وغيرها التردّد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بالمنع على طوائف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العُلوّ المانع بالشِّبر وأزيد</w:t>
      </w:r>
      <w:r>
        <w:rPr>
          <w:rStyle w:val="FootnoteAnchor"/>
          <w:rtl w:val="true"/>
        </w:rPr>
        <w:footnoteReference w:id="39"/>
      </w:r>
      <w:r>
        <w:rPr>
          <w:rFonts w:ascii="IRNazanin" w:hAnsi="IRNazanin" w:eastAsia="IRNazanin"/>
          <w:color w:val="111111"/>
          <w:sz w:val="28"/>
          <w:sz w:val="28"/>
          <w:szCs w:val="28"/>
          <w:rtl w:val="true"/>
          <w:lang w:bidi="fa-IR"/>
        </w:rPr>
        <w:t>، وهو المنسوب إلى المشهور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قدّره بالمعتدّ به</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رجوعه إلى الأوّل، كما يشهد له أنّ بعضهم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قدّره بما لا يُتخطّى،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الحاوي</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جمعٌ منهم لهذا الحكم بحَسَن زرارة المتقدّم، بدعوى أنّ المراد بالموصول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البُعد الذي لا يمكن طيّه بخطوة كان قائماً على الأرض أو مبسوطاً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خلاف الظاهر جدّاً، فإنّ الظاهر منه البُعد المبسوط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حُمِل على ما ذُكر، لزم التخصيص في الرواية حينئذٍ، من جهة أنّ العلوّ الذي لا يُتخطّى لا يعدّ مانعاً بالنسبة إلى موقف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بمفهوم موثّق عمّار المتقدّم في مسألة اعتبار عدم الحائل، وهو وإنْ كان مقتضى إطلاقه عدم انعقاد الجماعة بما إذا كان الإمام مساوياً للمأموم في الموقف، لكنّه في هذا المورد يقيّد بما ستعرف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وبموثّقه الآخر،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بقومٍ وهم في موضعٍ أسفل من موضعه الذي يُصلّي فيه‌؟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الإمام على شبه الدكّان أو على موضع أرفع من موضعهم، لم تجز صلاتهم، وإنْ كان أرفع منهم بقدر اصبعٍ أو أكثر أو أقلّ‌، إذا كان الارتفاع ببطن مسيلٍ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يقطع مسيلاً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بعض نسخه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بقدر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نسخةٍ ثالثة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بقدرٍ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نسخةٍ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يقطع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الفقيه</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أرضاً مبسوطة، وكان في موضعٍ منها ارتفاع، فقام الإمام في الموضع المرتفع، وقام من خلفه أسفل منه، والأرض مبسوطة، إلّاأنّهم في موضعٍ منحدرٍ، فلا 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بأنّه ضعيفُ السند، متهافت المتن، قاصرة الدّلالة، فلا يسوغ التعويل عليه في حكمٍ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الموثّق حجّة، لا سيّما إذا كان لعمّار الذي ادُّعي الإجماعُ‌</w:t>
      </w:r>
      <w:r>
        <w:rPr>
          <w:rStyle w:val="FootnoteAnchor"/>
          <w:rtl w:val="true"/>
        </w:rPr>
        <w:footnoteReference w:id="51"/>
      </w:r>
      <w:r>
        <w:rPr>
          <w:rFonts w:ascii="Amiri" w:hAnsi="Amiri" w:eastAsia="Amiri" w:cs="Amiri"/>
          <w:color w:val="111111"/>
          <w:sz w:val="28"/>
          <w:sz w:val="28"/>
          <w:szCs w:val="28"/>
          <w:rtl w:val="true"/>
          <w:lang w:bidi="ar-SA"/>
        </w:rPr>
        <w:t>على العمل برواياته، والتهافت ليس في محلّ الاستدلال به، ودلالته تامّة كما ستعرف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ثبوت البأس إذا كان عُلوّ الإمام على وجه التسنيم أو التسريح الشبيه به، إذا كان بقدر الشبر وأزيد، وعدم ثبوت البأس إذا كان أقلّ من الشبر، أو كان العلوّ على وجه الإنحدار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ثلاثة دعاوى‌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ثبوت البأس إذا كان العلوّ تسنيميّاً وبقدر 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أرفع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لا وصليّة وإلّا لزم المنع عن ارتفاع الإمام ولو كان أقلّ من إصبع، وهو بديهي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هذا لا يلائم 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لأنّها لو كانت وصليّة تكون مسوقة لبيان الفرد الخفيّ‌، مع أنّه ورد في بعض النسخ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جزاؤها، فليس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أرضاً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لزم المنع عن الارتفاع بأقلّ من إصبع في غير الأرض المبسوطة، وهو خلاف الضرورة، بل هو إمّا محذوفٌ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موجودٌ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دلالته على المُدّعى واضحة، وأمّا على سائر النسخ، فلأنّ المتبادر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أرفع منهم بقدر إصبع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المتيقّن منه، إرادة مايقرب من إصبعٍ‌، غايته إلى 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عدم البأس بما إذا كان العلوّ أقلّ من الشبر، وتلك بناءً على نسخة الشبر واضحة، وأمّا على سائر النسخ فإنْ قلنا بأنّ المتبادر منه مايكون غايته الشبر فكذلك، وإلّا فللشكّ‌، فيتمسّك لعدم مانعيّته بإطلاقات أدلّة الجماعة،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عدم مانعيّة العلوّ، إذا كان على وجه الإنحدار، حيث يكون العلوّ تدريجيّاً على وجهٍ لاينافى صدق انبساط الأرض، والدليل عليه ذيل الموثّق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عُلوّ الإمام، وعرفت اعتبار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بأس بعلوّ المأموم على الإمام، ولو بكثيرٍ، بلا خلافٍ ظاهر فيه، وعن جماعة دعوى الإجماع عليه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الموثّق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الرَّجل فوق بيتٍ أو غير ذلك دكّاناً كان أم غيره، وكان الإمام يُصلّي على الأرض أسفل منه، جاز للرّجل أن يُصلّي خلفه ويقتدي بصلاته، وإنْ كان أرفع منه بشيء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موثّقه الآخر المتقدّم، وخبر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خبر محمّد بن عبدالله،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يُصلّي في موضع، والّذين خلفه يُصلّون في موضعٍ أسفل منه، أو يُصلّي في موضعٍ‌، والّذين خلفه في موضعٍ أرفع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مكانهم مستوياً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لتعيّن حمله على الأفضليّة جمعاً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5" w:name="pg11802_153930"/>
    </w:p>
    <w:p>
      <w:pPr>
        <w:pStyle w:val="BookText"/>
        <w:rPr/>
      </w:pPr>
      <w:bookmarkEnd w:id="45"/>
      <w:r>
        <w:rPr>
          <w:rFonts w:ascii="Amiri" w:hAnsi="Amiri" w:eastAsia="Amiri" w:cs="Amiri"/>
          <w:color w:val="111111"/>
          <w:sz w:val="28"/>
          <w:sz w:val="28"/>
          <w:szCs w:val="28"/>
          <w:rtl w:val="true"/>
          <w:lang w:bidi="ar-SA"/>
        </w:rPr>
        <w:t>ولا يَتباعدُ المأمومُ بالخارج عن العادة من دون صفوف</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0531551_73709187"/>
      <w:bookmarkStart w:id="47" w:name="_Toc17"/>
      <w:bookmarkEnd w:id="46"/>
      <w:r>
        <w:rPr>
          <w:rtl w:val="true"/>
        </w:rPr>
        <w:t>اعتبار عدم التباعد</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يتباعد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أو من تقدّمه من المأمومين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بالخارج عن العادة، 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على المشهور بين الأصحاب نقلاً وتحصيلاً، شهرةً كادت أن تكون إجماعاً، بل هو كذلك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من أنّه إذا كان بينهما ثلاثمائة ذراع صحّت الجماعة،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w:t>
      </w:r>
      <w:r>
        <w:rPr>
          <w:rStyle w:val="FootnoteAnchor"/>
          <w:rtl w:val="true"/>
        </w:rPr>
        <w:footnoteReference w:id="57"/>
      </w:r>
      <w:r>
        <w:rPr>
          <w:rFonts w:ascii="Amiri" w:hAnsi="Amiri" w:eastAsia="Amiri" w:cs="Amiri"/>
          <w:color w:val="111111"/>
          <w:sz w:val="28"/>
          <w:sz w:val="28"/>
          <w:szCs w:val="28"/>
          <w:rtl w:val="true"/>
          <w:lang w:bidi="ar-SA"/>
        </w:rPr>
        <w:t xml:space="preserve">، ولم يتحقّق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حكاية ذلك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شُبهة في ذلك، لعدم صدق الجماعة والاجتماع مع البُعد المُفرط، 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إذا كان بينهما قدرُ ما لا يُتخطّى، فهل تنعقد الجماعة حينئذٍ أم 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والمنسوب إلى المشهور هو الأوّل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الثاني، وادّعى عليه الإجماع، وعن أبي الصّلاح</w:t>
      </w:r>
      <w:r>
        <w:rPr>
          <w:rStyle w:val="FootnoteAnchor"/>
          <w:rtl w:val="true"/>
        </w:rPr>
        <w:footnoteReference w:id="60"/>
      </w:r>
      <w:r>
        <w:rPr>
          <w:rFonts w:ascii="Amiri" w:hAnsi="Amiri" w:eastAsia="Amiri" w:cs="Amiri"/>
          <w:color w:val="111111"/>
          <w:sz w:val="28"/>
          <w:sz w:val="28"/>
          <w:szCs w:val="28"/>
          <w:rtl w:val="true"/>
          <w:lang w:bidi="ar-SA"/>
        </w:rPr>
        <w:t xml:space="preserve">وجماعةٌ من المتأخّرين كأصحاب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وغيرهم، وظاهر السيّد</w:t>
      </w:r>
      <w:r>
        <w:rPr>
          <w:rStyle w:val="FootnoteAnchor"/>
          <w:rtl w:val="true"/>
        </w:rPr>
        <w:footnoteReference w:id="64"/>
      </w:r>
      <w:r>
        <w:rPr>
          <w:rFonts w:ascii="Amiri" w:hAnsi="Amiri" w:eastAsia="Amiri" w:cs="Amiri"/>
          <w:color w:val="111111"/>
          <w:sz w:val="28"/>
          <w:sz w:val="28"/>
          <w:szCs w:val="28"/>
          <w:rtl w:val="true"/>
          <w:lang w:bidi="ar-SA"/>
        </w:rPr>
        <w:t>والكُليني</w:t>
      </w:r>
      <w:r>
        <w:rPr>
          <w:rStyle w:val="FootnoteAnchor"/>
          <w:rtl w:val="true"/>
        </w:rPr>
        <w:footnoteReference w:id="65"/>
      </w:r>
      <w:r>
        <w:rPr>
          <w:rFonts w:ascii="IRNazanin" w:hAnsi="IRNazanin" w:eastAsia="IRNazanin"/>
          <w:color w:val="111111"/>
          <w:sz w:val="28"/>
          <w:sz w:val="28"/>
          <w:szCs w:val="28"/>
          <w:rtl w:val="true"/>
          <w:lang w:bidi="fa-IR"/>
        </w:rPr>
        <w:t>والصدوق</w:t>
      </w:r>
      <w:r>
        <w:rPr>
          <w:rStyle w:val="FootnoteAnchor"/>
          <w:rtl w:val="true"/>
        </w:rPr>
        <w:footnoteReference w:id="66"/>
      </w:r>
      <w:r>
        <w:rPr>
          <w:rFonts w:ascii="IRNazanin" w:hAnsi="IRNazanin" w:eastAsia="IRNazanin"/>
          <w:color w:val="111111"/>
          <w:sz w:val="28"/>
          <w:sz w:val="28"/>
          <w:szCs w:val="28"/>
          <w:rtl w:val="true"/>
          <w:lang w:bidi="fa-IR"/>
        </w:rPr>
        <w:t>موافقته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قومٌ وبينهم وبين الإمام ما لا يُتخطّى‌، فليس ذلك الإمام لهم بإمام، وأيّ صفٍ كان أهله يُصلّون بصلاة الإمام، وبينهم وبين الصف الذي يتقدّمهم قَدَر ما لا يُتخطّى‌، فليس تلك لهم بصلاة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إمراةٍ صَلّت خلف إمام، وبينها وبينه ما لايُتخطّى‌، فليس تلك بصلاة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الفقرات الثلاث اعتبار ذلك، لظهور النفي في نفي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الاستدلال به بإيرادات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قد تعارف إرادة نفي الكمال منه، فلعلّه اُريد منه ذلك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برغم ذلك ظاهرٌ في نفي الصحّة، ويؤيّده في المقام اقترانه بحكم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الحسن مذيّلٌ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للصفوف أن تكون تامّة متواصلة بعضها الى بعض، ولا يكون بين الصفّين ما لا يُتخطّى‌، يكون ذلك قدَر مسقط جسدِ الإنسان إذا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الاستحباب، بل لا شبهة في إرادته بالنسبة إلى كون الصفوف تامّة، وحيثُ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في إرادة بيان ضدّ التواصل، فيكون المتحصّل من هذه الجملة أنّه يستحبّ تواصل الصفوف، بأنْ يكون بينها قدَرُ ما لا يُتخطّى، كقدر مسقط جسد الإنسان إذا سجد، فإنّه في هذه الصورة لا يتحقّق شيءٌ من البُعد، بل يكون سجوده عند عقب من تقدّمه، وتتّصل الصفوف، وعلى ذلك فبما أنّ الخبر يشهد بعضه على بعضٍ‌، فتكون الجمل الثلاث في الصدر محمولة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الاستحباب، بنحوٍ يصلحُ أن يكون صارفاً عن ظهور النفي في نفي الصحّة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الجُمل اعتبار ان لا يكون بين الموقفين أزيد من ما لايُتخطّى، فيتعيّن حملها على الاستحباب، لا سيّما بعد تفسيره في الذيل بأنّ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مسقط جسد الإنسان إذا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يتحقّق شيءٌ من البُعد في هذه الصورة، بل يكون سجوده عند عقب من تقدّمه، كما هو واضح، وبديهي اغتفار أزيد من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إرادة ما بين موقف المتقدّم ومسجد المتأخّر، وذلك من جهة </w:t>
      </w:r>
    </w:p>
    <w:p>
      <w:pPr>
        <w:pStyle w:val="BookText"/>
        <w:rPr/>
      </w:pPr>
      <w:r>
        <w:rPr>
          <w:rFonts w:ascii="Amiri" w:hAnsi="Amiri" w:eastAsia="Amiri" w:cs="Amiri"/>
          <w:color w:val="111111"/>
          <w:sz w:val="28"/>
          <w:sz w:val="28"/>
          <w:szCs w:val="28"/>
          <w:rtl w:val="true"/>
          <w:lang w:bidi="ar-SA"/>
        </w:rPr>
        <w:t>ظهوره في إرادة ما لايُتخطّى، باعتبار المحلّ الذي يكون مُصلّى الإنسان، وهو الفضاء الذي يتمكّن فيه من الإتيان بجميع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تواصل الصفوف، تواصلها بلحاظ حال السّجود، فكذلك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بين الصفّين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وعلى ذلك فلا موجب للحمل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ومردّدٌ بين البُعد الذي لا يتخطّى، وبين العلوّ الذي لا يتخطّى، أو الحائل الذي لا يُتخطّى، فلايتمّ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الحائل من أنّ الخبر كالصريح في إرادة البُعد والمسافة، فراجع</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ورد في موثّق عمّار المتقدّم في ائتمام المرأة مع الحائل المصرّح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للنساء أن يُصلّين خلف الإمام، في دارٍ بينهن وبينه حائط أو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ورد في المرأة، إلّاأنّه لعدم القول بالفصل بينها وبين الرّجل، يتحقّق التنافي بينه وبين الخبر الحَسَن الموجب ذلك، لحمله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الموثّق وارداً في مقام بيان عدم مانعيّة الحائل والطريق، وقابلٌ للحمل على ما إذا لم يكن بين مسجدِ المرأة وموقف الإمام قَدرُ ما لا يُتخطّى‌، فالمتعيّن ذلك، لعدم الإطلاق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 هذا الخبر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حملوه على الاستحباب لما تقدّم، فالخبر ليس مُعرَضاً عند الأصحاب عنه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اعتبار أن لا يكون بين موقف المتقدّم، ومسجد المتأخّر مسافة أزيد من ما لا يتخطّى، بحيث لا يمكن طيّه بخطوة، ولا يبعد دعوى أنّ هذاد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المقدار من الفصل يعدّ بُعداً في العادة مُخلّاً بهيئة الجماعة، وعليها فلا نزاع ولا كلام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يُستشهد للمختار بصحيح ابن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بينك وبين القبلة مربض عنز، وأكثر مايكون مربط فرس</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المتقدّم أو الإمام، كما عن المجلسي</w:t>
      </w:r>
      <w:r>
        <w:rPr>
          <w:rStyle w:val="FootnoteAnchor"/>
          <w:rtl w:val="true"/>
        </w:rPr>
        <w:footnoteReference w:id="70"/>
      </w:r>
      <w:r>
        <w:rPr>
          <w:rFonts w:ascii="Amiri" w:hAnsi="Amiri" w:eastAsia="Amiri" w:cs="Amiri"/>
          <w:color w:val="111111"/>
          <w:sz w:val="28"/>
          <w:sz w:val="28"/>
          <w:szCs w:val="28"/>
          <w:rtl w:val="true"/>
          <w:lang w:bidi="ar-SA"/>
        </w:rPr>
        <w:t>وغيره</w:t>
      </w:r>
      <w:r>
        <w:rPr>
          <w:rStyle w:val="FootnoteAnchor"/>
          <w:rtl w:val="true"/>
        </w:rPr>
        <w:footnoteReference w:id="71"/>
      </w:r>
      <w:r>
        <w:rPr>
          <w:rFonts w:ascii="Amiri" w:hAnsi="Amiri" w:eastAsia="Amiri" w:cs="Amiri"/>
          <w:color w:val="111111"/>
          <w:sz w:val="28"/>
          <w:sz w:val="28"/>
          <w:szCs w:val="28"/>
          <w:rtl w:val="true"/>
          <w:lang w:bidi="ar-SA"/>
        </w:rPr>
        <w:t>، ولا يخفى دلالته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اختصاص هذا الشرط بابتداء الصَّلاة، بل هو معتبرٌ ابتداءً واستدامة، كما هو المشهور بين الأصحاب 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الشهيد قدس سره في قواعده</w:t>
      </w:r>
      <w:r>
        <w:rPr>
          <w:rStyle w:val="FootnoteAnchor"/>
          <w:rtl w:val="true"/>
        </w:rPr>
        <w:footnoteReference w:id="72"/>
      </w:r>
      <w:r>
        <w:rPr>
          <w:rFonts w:ascii="Amiri" w:hAnsi="Amiri" w:eastAsia="Amiri" w:cs="Amiri"/>
          <w:color w:val="111111"/>
          <w:sz w:val="28"/>
          <w:sz w:val="28"/>
          <w:szCs w:val="28"/>
          <w:rtl w:val="true"/>
          <w:lang w:bidi="ar-SA"/>
        </w:rPr>
        <w:t>، فإنّه نُسب إليه القول بكونه شرطاً في الابتداء فقط، وتبعه بعضُ من تأخّر عنه</w:t>
      </w:r>
      <w:r>
        <w:rPr>
          <w:rStyle w:val="FootnoteAnchor"/>
          <w:rtl w:val="true"/>
        </w:rPr>
        <w:footnoteReference w:id="73"/>
      </w:r>
      <w:r>
        <w:rPr>
          <w:rFonts w:ascii="Amiri" w:hAnsi="Amiri" w:eastAsia="Amiri" w:cs="Amiri"/>
          <w:color w:val="111111"/>
          <w:sz w:val="28"/>
          <w:sz w:val="28"/>
          <w:szCs w:val="28"/>
          <w:rtl w:val="true"/>
          <w:lang w:bidi="ar-SA"/>
        </w:rPr>
        <w:t>، للخبر الحسن المتقدّم، فإنّه يدلّ بإطلاقه على اعتبار هذا الشرط في جميع حالات الصَّلاة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الصفوف متّصلة، وأهلها متهيّئون للجماعة، هل يجوز للبعيد أن يحرم قبل القريب، أم يعتبر في إحرامه أن يكون متأخّراً عن إحرام من يتّصل 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وجهان، أقواهما الأوّل، فإنّه وإنْ كان مقتضى ظاهر الدليل اللّفظي هو الثاني، إلّا أنّه للسيرة القطعيّة المستمرّة إلى زمان المعصوم عليه السلام، المستكشف استمرارها بالبرهان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اعتبر عدم دخول البعيد في الجماعة إلّابعد إحرام القريب وإحرازه ذلك، المستلزم ذلك للترتيب في الإحرام، لامتنع لحوق الجميع بالإمام في الجماعات الكثيرة كالجماعات المنعقدة أواخر عهد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الالتزام بكفاية تهيّؤ المتقدّم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انتهى صلاة مَنْ في الصف المتقدّم الذي هو واسطة في اتّصال المتأخّر، فعرض البُعد في الأثناء، فلا كلام في صيرورته منفرداً لو لم يرجع المتقدّم إلى الجماعة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لو عاد إليها بلا فصل، فهل تكون الجماعة باقية أم لا؟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لا يبعد دعوى أظهريّة الأوّل، من جهة أنّ البُعد العارض في الفرض نظير الحائل غير المستقرّ، تكون الأدلّة الدالّة على مانعيّة البُعد منصرفة عنه، ولا أقلّ من الشكّ‌، فالمرجع استصحاب بقاء الجماعة</w:t>
      </w:r>
      <w:r>
        <w:rPr>
          <w:rFonts w:eastAsia="Amiri" w:cs="Amiri" w:ascii="Amiri" w:hAnsi="Amiri"/>
          <w:color w:val="111111"/>
          <w:sz w:val="28"/>
          <w:szCs w:val="28"/>
          <w:rtl w:val="true"/>
          <w:lang w:bidi="ar-SA"/>
        </w:rPr>
        <w:t>.</w:t>
      </w:r>
      <w:bookmarkStart w:id="48" w:name="pg11802_153936"/>
    </w:p>
    <w:p>
      <w:pPr>
        <w:pStyle w:val="Heading5"/>
        <w:numPr>
          <w:ilvl w:val="4"/>
          <w:numId w:val="1"/>
        </w:numPr>
        <w:rPr/>
      </w:pPr>
      <w:bookmarkStart w:id="49" w:name="__RefHeading___Toc10531553_73709187"/>
      <w:bookmarkStart w:id="50" w:name="_Toc18"/>
      <w:bookmarkEnd w:id="48"/>
      <w:bookmarkEnd w:id="49"/>
      <w:r>
        <w:rPr>
          <w:rtl w:val="true"/>
        </w:rPr>
        <w:t>اعتبار عدم تقدّم المأموم على الإمام</w:t>
      </w:r>
      <w:bookmarkEnd w:id="50"/>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المأموم على الإمام، وهذا الشرط ممّا أجمع الأصحاب عليه صريحاً وظاهراً، وحكاه جماعة من الأساطين</w:t>
      </w:r>
      <w:r>
        <w:rPr>
          <w:rStyle w:val="FootnoteAnchor"/>
          <w:rtl w:val="true"/>
        </w:rPr>
        <w:footnoteReference w:id="74"/>
      </w:r>
      <w:r>
        <w:rPr>
          <w:rFonts w:ascii="Amiri" w:hAnsi="Amiri" w:eastAsia="Amiri" w:cs="Amiri"/>
          <w:color w:val="111111"/>
          <w:sz w:val="28"/>
          <w:sz w:val="28"/>
          <w:szCs w:val="28"/>
          <w:rtl w:val="true"/>
          <w:lang w:bidi="ar-SA"/>
        </w:rPr>
        <w:t>، وهو كافٍ فيه، بل الحكم المزبور من الاُمور المسلّمة عند المتشرّعة من الصدر الأوّل، على وجهٍ كاد أن يلحق بالضروريّات، ويساعده الاعتبار، فلا مورد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أنّه هل يعتبر التأخّر عنه، أم يجوز مساواته معه‌؟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7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له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المحصّل منه غير حاصل، والمنقول منه ليس بحجّة، مع أنّ مدرك المجمعين سيأتي، وستعرف عدم صحّة الاستدلال به، فلا يكون الإجماع على فرض ثبوته تعبّديّاً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أدلّة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البراءة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يتّمان إذا لم يدلّ دليلٌ بالخصوص على اعتبار التأخّر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الأمر بوقوف المأموم الواحد عن يمين الإمام في النصّ‌</w:t>
      </w:r>
      <w:r>
        <w:rPr>
          <w:rStyle w:val="FootnoteAnchor"/>
          <w:rtl w:val="true"/>
        </w:rPr>
        <w:footnoteReference w:id="77"/>
      </w: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ليست في مقام بيان هذا الحكم، كي يمكن أن يُتمسّك بإطلاقها، بل في مقام بيان حكمٍ آخر، فيمكن أن يكون المراد بها مايقابل الخَلف، فلا ينافيه التقدّم بمقدارٍ يسير، وبذلك يظهر ما في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الإذن بالوقوف حذاء الإمام، إذا لم يجد في الصف مكاناً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أمير المؤمنين عليه السلام بصحّة صلاة المُختَلفين في دعوى كلّ منهما الإمامة</w:t>
      </w:r>
      <w:r>
        <w:rPr>
          <w:rStyle w:val="FootnoteAnchor"/>
          <w:rtl w:val="true"/>
        </w:rPr>
        <w:footnoteReference w:id="78"/>
      </w:r>
      <w:r>
        <w:rPr>
          <w:rFonts w:ascii="Amiri" w:hAnsi="Amiri" w:eastAsia="Amiri" w:cs="Amiri"/>
          <w:color w:val="111111"/>
          <w:sz w:val="28"/>
          <w:sz w:val="28"/>
          <w:szCs w:val="28"/>
          <w:rtl w:val="true"/>
          <w:lang w:bidi="ar-SA"/>
        </w:rPr>
        <w:t>، إذ لا يكون هذه الدعوى إلّامع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صحّة الصَّلاة لا الجماعة، وهو موافقٌ للقاعدة، غير منافٍ لاعتبار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الأمر بقيام المرأة في وسط النساء لو صلّين جماعةً‌، وفي بعض تلك النصوص النهي عن تقدّمها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بإطلاق الأمر بقيامها وسطاً في غير محلّه، بعد عدم ورودها في مقام بيان هذا الحكم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النهي عن تقدّمها، فالظاهر إرادة التقدّم على النهج المتعارف في الجماعة،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وقوف الإمام بين يدي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ما في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بتقدّم الإمام فيما إذا كانوا ثلاثة فما فوق، بدعوى أنّه يدلّ على عدم لزومه إذا كانوا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أنّه إذا دخل جماعة المسجد قبل أن يتفرّق جميع من فيه، وأرادوا أن يُصلّوا جماعةً لا يبدو بهم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عدم الإطلاق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اُخرى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لاعتبار التأخّر ولو قليلاً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أنّ الأصل في المقام البراءة لا الاشتغال، مضافاً إلى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بتقدّم الإمام إذا كان المأموم أزيد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محمولٌ على الاستحباب قطعاً، إذ المراد بالتقدّم في هذه النصوص، وقوف الإمام في صفٍ والمأمومين في صفٍ آخر، ولا شبهة في عدم لزوم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المرويّ عن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والوارد في السّجود على القبر، والصَّلاة عند قبورهم عليهم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الصَّلاة فإنّها خلفه، يجعله الإمام، ولا يجوز أنْ يُصلّي بين يديه، ولا عن يمينه، ولا عن شماله، لأنّ الإمام لا يتقدّم عليه ولا يُساوي</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بتقريب أنّ المراد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إمام الجماعة لا إمام الأصل، وإلّا لزم اتّحاد العلّة والمعلول،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 بالنسبة إلينا، وإنْ كان مسنداً عند مصنّفه، حيث حذف الإسناد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يُصلّي بين يديه، لأنّ الإمام لا يتقدّم عليه، ويُصلّي عن يمينه وشماله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شبهة في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أضبط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تساويهما في ذلك، فحيث أنّ الخبر واحدٌ قطعاً، فهو من قبيل اشتباه الحُجّة باللّاحجّة، لا من قبيل تعارض الخبرين، فلا يصحّ الاستدلال به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على إمام الأصل، من دون أن يلزم المحذور المتقدّم، بأنْ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في حال حياته ومماته، وفي حال الصَّلاة وغيرها 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لو لم يكن أظهر ممّا قيل، لا أقلّ من تساويه معه، فيصبح الخبر من هذه الجهة مُجملاً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81"/>
      </w:r>
      <w:r>
        <w:rPr>
          <w:rFonts w:ascii="Amiri" w:hAnsi="Amiri" w:eastAsia="Amiri" w:cs="Amiri"/>
          <w:color w:val="111111"/>
          <w:sz w:val="28"/>
          <w:sz w:val="28"/>
          <w:szCs w:val="28"/>
          <w:rtl w:val="true"/>
          <w:lang w:bidi="ar-SA"/>
        </w:rPr>
        <w:t xml:space="preserve">الواردة في كيفيّة صلاة العُراة جماعةً‌، الآمرة بتقديم الإمام على المأمومين بركبتيه، وظهورها في الوجوب غير قابل للإنكار،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ظهورها في نفسها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به في مثل هذه الحالة الّتي لولا لزوم التقدّم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لكان الأولى الأمر بالتساوي، لكونه أحفظ وأستر، لا مجال للتوقّف في حمله على الوجوب، وهذا الوجه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معهوديّة تقدّم الإمام في الجماعات، ومناسبة ذلك مع عنوان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لزوم تقدّم الإمام، وأمّا مقدار التقدّم فموكولٌ إلى العرف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المعتبر تقدّم الإمام على المأموم في جميع حالات الصَّلاة، لما تقدّم في الشرط السابق</w:t>
      </w:r>
      <w:r>
        <w:rPr>
          <w:rFonts w:eastAsia="Amiri" w:cs="Amiri" w:ascii="Amiri" w:hAnsi="Amiri"/>
          <w:color w:val="111111"/>
          <w:sz w:val="28"/>
          <w:szCs w:val="28"/>
          <w:rtl w:val="true"/>
          <w:lang w:bidi="ar-SA"/>
        </w:rPr>
        <w:t>.</w:t>
      </w:r>
      <w:bookmarkStart w:id="51" w:name="pg11802_153941"/>
    </w:p>
    <w:p>
      <w:pPr>
        <w:pStyle w:val="Heading5"/>
        <w:numPr>
          <w:ilvl w:val="4"/>
          <w:numId w:val="1"/>
        </w:numPr>
        <w:rPr/>
      </w:pPr>
      <w:bookmarkStart w:id="52" w:name="__RefHeading___Toc10531555_73709187"/>
      <w:bookmarkStart w:id="53" w:name="_Toc19"/>
      <w:bookmarkEnd w:id="51"/>
      <w:bookmarkEnd w:id="52"/>
      <w:r>
        <w:rPr>
          <w:rtl w:val="true"/>
        </w:rPr>
        <w:t>التنبيه على أمرين مناسبين للمقام</w:t>
      </w:r>
      <w:bookmarkEnd w:id="53"/>
    </w:p>
    <w:p>
      <w:pPr>
        <w:pStyle w:val="Heading6"/>
        <w:numPr>
          <w:ilvl w:val="5"/>
          <w:numId w:val="1"/>
        </w:numPr>
        <w:rPr/>
      </w:pPr>
      <w:bookmarkStart w:id="54" w:name="__RefHeading___Toc10531557_73709187"/>
      <w:bookmarkStart w:id="55" w:name="_Toc20"/>
      <w:bookmarkEnd w:id="54"/>
      <w:r>
        <w:rPr>
          <w:rtl w:val="true"/>
        </w:rPr>
        <w:t>الجماعة حول الكعبة</w:t>
      </w:r>
      <w:bookmarkEnd w:id="55"/>
    </w:p>
    <w:p>
      <w:pPr>
        <w:pStyle w:val="BookText"/>
        <w:rPr/>
      </w:pPr>
      <w:r>
        <w:rPr>
          <w:rFonts w:ascii="Amiri" w:hAnsi="Amiri" w:eastAsia="Amiri" w:cs="Amiri"/>
          <w:color w:val="111111"/>
          <w:sz w:val="28"/>
          <w:sz w:val="28"/>
          <w:szCs w:val="28"/>
          <w:rtl w:val="true"/>
          <w:lang w:bidi="ar-SA"/>
        </w:rPr>
        <w:t>ثمّ إنّه لا بأس بالتنبيه على أمرين مناسبين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تجوز إقامة الجماعة حول الكعبة مستديرة، كما عن الإسكافي</w:t>
      </w:r>
      <w:r>
        <w:rPr>
          <w:rStyle w:val="FootnoteAnchor"/>
          <w:rtl w:val="true"/>
        </w:rPr>
        <w:footnoteReference w:id="82"/>
      </w:r>
      <w:r>
        <w:rPr>
          <w:rFonts w:ascii="Amiri" w:hAnsi="Amiri" w:eastAsia="Amiri" w:cs="Amiri"/>
          <w:color w:val="111111"/>
          <w:sz w:val="28"/>
          <w:sz w:val="28"/>
          <w:szCs w:val="28"/>
          <w:rtl w:val="true"/>
          <w:lang w:bidi="ar-SA"/>
        </w:rPr>
        <w:t>، والشهيدين</w:t>
      </w:r>
      <w:r>
        <w:rPr>
          <w:rStyle w:val="FootnoteAnchor"/>
          <w:rtl w:val="true"/>
        </w:rPr>
        <w:footnoteReference w:id="83"/>
      </w:r>
      <w:r>
        <w:rPr>
          <w:rFonts w:ascii="Amiri" w:hAnsi="Amiri" w:eastAsia="Amiri" w:cs="Amiri"/>
          <w:color w:val="111111"/>
          <w:sz w:val="28"/>
          <w:sz w:val="28"/>
          <w:szCs w:val="28"/>
          <w:rtl w:val="true"/>
          <w:lang w:bidi="ar-SA"/>
        </w:rPr>
        <w:t>، والمحقّق الثاني</w:t>
      </w:r>
      <w:r>
        <w:rPr>
          <w:rStyle w:val="FootnoteAnchor"/>
          <w:rtl w:val="true"/>
        </w:rPr>
        <w:footnoteReference w:id="84"/>
      </w:r>
      <w:r>
        <w:rPr>
          <w:rFonts w:ascii="Amiri" w:hAnsi="Amiri" w:eastAsia="Amiri" w:cs="Amiri"/>
          <w:color w:val="111111"/>
          <w:sz w:val="28"/>
          <w:sz w:val="28"/>
          <w:szCs w:val="28"/>
          <w:rtl w:val="true"/>
          <w:lang w:bidi="ar-SA"/>
        </w:rPr>
        <w:t>، وغيرهم</w:t>
      </w:r>
      <w:r>
        <w:rPr>
          <w:rStyle w:val="FootnoteAnchor"/>
          <w:rtl w:val="true"/>
        </w:rPr>
        <w:footnoteReference w:id="85"/>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تجوز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89"/>
      </w:r>
      <w:r>
        <w:rPr>
          <w:rFonts w:ascii="Amiri" w:hAnsi="Amiri" w:eastAsia="Amiri" w:cs="Amiri"/>
          <w:color w:val="111111"/>
          <w:sz w:val="28"/>
          <w:sz w:val="28"/>
          <w:szCs w:val="28"/>
          <w:rtl w:val="true"/>
          <w:lang w:bidi="ar-SA"/>
        </w:rPr>
        <w:t>الاستشكال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ما دلَّ على اعتبار تقدّم الإمام على المأموم، إنّما يراد به تقدّمه عليه بلحاظ الكعبة الشريفة، أو بلحاظ الدائرة المفروضة حولها، الّتي يكون مركزها وسط الكعبة، وعليه فحيثُ إنّه يمكن التقدّم بلحاظهما في الجماعة بالاستدارة، فلابدَّ من البناء على صحّتها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ما دلَّ على اعتبار التقدّم مختصٌّ بما إذا كان استقبال الإمام والمأموم إلى جهةٍ واحدة، وفي صورة الاستدارة لا دليل على اعتبار التقدّم، والأصل يقتضي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لازم ما ذُكر أن لا تكون الجماعة مشروعة في الكعبة، لعدم إمكان فرض التقدّم بذلك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فإنّ المنساق إلى الذهن ممّا دلّ على اعتبار التقدّم، هو التقدّم في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لازمه مشروعيّة الجماعة داخل الكعبة، مع كون قفا كلٍّ منهما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أوّلاً، وعدم كونه تعبّديّاً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مدرك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الصحّة،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من ثبوت السيرة عليه في عصر المعصومين عليهم السلام، دون أن ينكر أحدٌ منهم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على ما حُكي أنّ بناء المجوّزين لهذه الجماعة، على اعتبار عدم تقدّم المأموم على الإمام، غاية الأمر صريح جماعة</w:t>
      </w:r>
      <w:r>
        <w:rPr>
          <w:rStyle w:val="FootnoteAnchor"/>
          <w:rtl w:val="true"/>
        </w:rPr>
        <w:footnoteReference w:id="91"/>
      </w:r>
      <w:r>
        <w:rPr>
          <w:rFonts w:ascii="Amiri" w:hAnsi="Amiri" w:eastAsia="Amiri" w:cs="Amiri"/>
          <w:color w:val="111111"/>
          <w:sz w:val="28"/>
          <w:sz w:val="28"/>
          <w:szCs w:val="28"/>
          <w:rtl w:val="true"/>
          <w:lang w:bidi="ar-SA"/>
        </w:rPr>
        <w:t>منهم وظاهر آخرين</w:t>
      </w:r>
      <w:r>
        <w:rPr>
          <w:rStyle w:val="FootnoteAnchor"/>
          <w:rtl w:val="true"/>
        </w:rPr>
        <w:footnoteReference w:id="92"/>
      </w:r>
      <w:r>
        <w:rPr>
          <w:rFonts w:ascii="Amiri" w:hAnsi="Amiri" w:eastAsia="Amiri" w:cs="Amiri"/>
          <w:color w:val="111111"/>
          <w:sz w:val="28"/>
          <w:sz w:val="28"/>
          <w:szCs w:val="28"/>
          <w:rtl w:val="true"/>
          <w:lang w:bidi="ar-SA"/>
        </w:rPr>
        <w:t>اعتبار عدم التقدّم بلحاظ الكعبة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6" w:name="pg11802_153943"/>
    </w:p>
    <w:p>
      <w:pPr>
        <w:pStyle w:val="BookText"/>
        <w:rPr/>
      </w:pPr>
      <w:bookmarkEnd w:id="56"/>
      <w:r>
        <w:rPr>
          <w:rFonts w:ascii="Amiri" w:hAnsi="Amiri" w:eastAsia="Amiri" w:cs="Amiri"/>
          <w:color w:val="111111"/>
          <w:sz w:val="28"/>
          <w:sz w:val="28"/>
          <w:szCs w:val="28"/>
          <w:rtl w:val="true"/>
          <w:lang w:bidi="ar-SA"/>
        </w:rPr>
        <w:t>وظاهر جماعة</w:t>
      </w:r>
      <w:r>
        <w:rPr>
          <w:rStyle w:val="FootnoteAnchor"/>
          <w:rtl w:val="true"/>
        </w:rPr>
        <w:footnoteReference w:id="93"/>
      </w:r>
      <w:r>
        <w:rPr>
          <w:rFonts w:ascii="Amiri" w:hAnsi="Amiri" w:eastAsia="Amiri" w:cs="Amiri"/>
          <w:color w:val="111111"/>
          <w:sz w:val="28"/>
          <w:sz w:val="28"/>
          <w:szCs w:val="28"/>
          <w:rtl w:val="true"/>
          <w:lang w:bidi="ar-SA"/>
        </w:rPr>
        <w:t>منهم اعتباره بلحاظ الدائرة المفروضة حولها، الّتي يكون مركزها وسط الكعبة، وهما وإنْ توافقا في الدائرة الحقيقيّة حولها، إلّاأنّه ربما ينفكّ كلّ منهما من الآخر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عدم تقدّم المأموم على الإمام لمّا كان مدركه الارتكاز والإجماع والضرورة، لا يبعد دعوى اعتباره في هذه الجماعة، ولازمه كفاية أحد الأمرين، إذ في ما إذا لم يكن متقدِّماً بأحد اللّحاظين، ومتقدِّماً بلحاظ آخر، حيث إنّه لا دليل على اعتبار العدم بلحاظه أيضاً، ومقتضى الإطلاقات والأصل عدم اعتباره، فيُبنى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دليله لايشمل هذه الجماعة الثابتة مشروعيّتها بالسيرة كماتقدّم، فلابدّ فيها من الرجوع إلى الإطلاق والأصل المقتضيين لعدم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كلمات القوم في المقام</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10531559_73709187"/>
      <w:bookmarkStart w:id="58" w:name="_Toc21"/>
      <w:bookmarkEnd w:id="57"/>
      <w:r>
        <w:rPr>
          <w:rtl w:val="true"/>
        </w:rPr>
        <w:t>عدم بطلان الصلاة لو أخلَّ بأحد هذه الشروط عن غير عمدٍ وعلم</w:t>
      </w:r>
      <w:bookmarkEnd w:id="5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في موارد بطلان الجماعة، تصحّ الصلاة في ما إذا لم يخلّ بوظيفة المنفرد، وكذلك إذا أخلّ بوظيفته، لكن لم يكن الإخلال عن علمٍ وعَمد، أو كان عن جهل تقصيري، ولم يكن ما أخلّ به ممّا يوجب مطلق الإخلال به بطلان الصَّلاة وإنْ لم يكن عمديّاً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أخلَّ بأحد هذه الشروط عن غير عمدٍ وعلم، صحّت صلاته، إذ لم يات بما يوجب البطلان مطلق وجوده، وإنْ بطلت الجماعة، لأنّها شروط واقعيّة لها، كما هو ظاهر النصوص</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بعض النصوص من نفي الصَّلاة عن فاقد بعض تلك الشروط، إنّما اُريد به في نفسه أو بواسطة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المقصودة، أي الجماعة، أو نفي الصَّلاة في صورة العلم والعمد، كما يظهر لمن راجع ماذكرناه في تلك المسألة مفصّلاً</w:t>
      </w:r>
      <w:r>
        <w:rPr>
          <w:rFonts w:eastAsia="Amiri" w:cs="Amiri" w:ascii="Amiri" w:hAnsi="Amiri"/>
          <w:color w:val="111111"/>
          <w:sz w:val="28"/>
          <w:szCs w:val="28"/>
          <w:rtl w:val="true"/>
          <w:lang w:bidi="ar-SA"/>
        </w:rPr>
        <w:t>.</w:t>
      </w:r>
      <w:bookmarkStart w:id="59" w:name="pg11802_153945"/>
    </w:p>
    <w:p>
      <w:pPr>
        <w:pStyle w:val="Heading4"/>
        <w:numPr>
          <w:ilvl w:val="3"/>
          <w:numId w:val="1"/>
        </w:numPr>
        <w:rPr/>
      </w:pPr>
      <w:bookmarkStart w:id="60" w:name="__RefHeading___Toc10531561_73709187"/>
      <w:bookmarkStart w:id="61" w:name="_Toc22"/>
      <w:bookmarkEnd w:id="59"/>
      <w:bookmarkEnd w:id="60"/>
      <w:r>
        <w:rPr>
          <w:rtl w:val="true"/>
        </w:rPr>
        <w:t>فصلٌ‌</w:t>
      </w:r>
      <w:r>
        <w:rPr>
          <w:rtl w:val="true"/>
        </w:rPr>
        <w:t xml:space="preserve">: </w:t>
      </w:r>
      <w:r>
        <w:rPr>
          <w:rtl w:val="true"/>
        </w:rPr>
        <w:t>فيما تُدرَك به الرّكعة و ما تُدرَك به الجماعة</w:t>
      </w:r>
      <w:r>
        <w:rPr>
          <w:rtl w:val="true"/>
        </w:rPr>
        <w:t>:</w:t>
      </w:r>
      <w:bookmarkEnd w:id="61"/>
    </w:p>
    <w:p>
      <w:pPr>
        <w:pStyle w:val="Heading5"/>
        <w:numPr>
          <w:ilvl w:val="4"/>
          <w:numId w:val="1"/>
        </w:numPr>
        <w:rPr/>
      </w:pPr>
      <w:bookmarkStart w:id="62" w:name="__RefHeading___Toc10531563_73709187"/>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ولو أدرَك الإمام راكعاً، أدرك الرَّكعة، وإلّا فلا</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0531565_73709187"/>
      <w:bookmarkStart w:id="65" w:name="_Toc24"/>
      <w:bookmarkEnd w:id="64"/>
      <w:r>
        <w:rPr>
          <w:rtl w:val="true"/>
        </w:rPr>
        <w:t>فيما تُدْرَك به الرَّكعة</w:t>
      </w:r>
      <w:bookmarkEnd w:id="65"/>
    </w:p>
    <w:p>
      <w:pPr>
        <w:pStyle w:val="Heading6"/>
        <w:numPr>
          <w:ilvl w:val="5"/>
          <w:numId w:val="1"/>
        </w:numPr>
        <w:rPr/>
      </w:pPr>
      <w:bookmarkStart w:id="66" w:name="__RefHeading___Toc10531567_73709187"/>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تُدرَك به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تُدرَك به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هذا الفصل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تُدرَك به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تُدرَك به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9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قاصد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راكعاً أدرك الرَّكعة،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أنّه يشترط فيه الذّكر قبل أن يخرج الإمام عن حَدّ الرّاكع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97"/>
      </w:r>
      <w:r>
        <w:rPr>
          <w:rFonts w:ascii="Amiri" w:hAnsi="Amiri" w:eastAsia="Amiri" w:cs="Amiri"/>
          <w:color w:val="111111"/>
          <w:sz w:val="28"/>
          <w:sz w:val="28"/>
          <w:szCs w:val="28"/>
          <w:rtl w:val="true"/>
          <w:lang w:bidi="ar-SA"/>
        </w:rPr>
        <w:t>، والقاضي</w:t>
      </w:r>
      <w:r>
        <w:rPr>
          <w:rStyle w:val="FootnoteAnchor"/>
          <w:rtl w:val="true"/>
        </w:rPr>
        <w:footnoteReference w:id="98"/>
      </w:r>
      <w:r>
        <w:rPr>
          <w:rFonts w:ascii="Amiri" w:hAnsi="Amiri" w:eastAsia="Amiri" w:cs="Amiri"/>
          <w:color w:val="111111"/>
          <w:sz w:val="28"/>
          <w:sz w:val="28"/>
          <w:szCs w:val="28"/>
          <w:rtl w:val="true"/>
          <w:lang w:bidi="ar-SA"/>
        </w:rPr>
        <w:t>، أنّه لا تُدرك الرَّكعة إلّا بإدراك تكبيرة الركوع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في هذا الحكم اختلاف النصوص الواردة، فهي على طوائف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فيما ذهب إليه المشهور، كصحيح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وقد ركع، فكبّرت وركعت قبل أن يرفع الإمام رأسه، فقد أدركت الرّكعة، وإنْ رفع رأسه قبل أن تركع، فقد فاتتك الرّكعة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الدلاله على عدم اعتبار إدراك تكبيرة الركوع، وأنّ إدراك الرّكعة يكون بإدراك الركوع، يكون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أنّ من خاف أن يرفع الإمام رأسه، جاز له أن يركع في مكانه، ويمشي راكعاً أو بعد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استحباب إطالة الإمام ركوعه، إذا أحسَّ بمَن يُريد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صريح في المدّعى، لكنّه ليس بصريح في الدلالة على عدم اعتبار الذّكر قبل أن يرفع الإمام رأسه، نعم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إدراك الرّكعة بصِرف الإتيان بالتكبيرة قبل رفع الإمام رأسه، وإنْ لم يجتمع معه في الركوع في زمان، وهذا ممّا لم يلتزم به أحدٌ، فلابدّ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الشرطيّة الاُولى وإنْ كانت ظاهرة في ذلك، إلّاأنّ ظاهر قوله عليه السلام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إدراك الركوع، إذ الظاهر منه الأخذ أخذ عدم الرفع في جواز اللّحوق، وأيضاً الظاهر كونه مفهوماً للشرطيّة الاُولى، فتدبّر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أدرك الإمام وهو راكع،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وكبّر الرّجل وهو مُقيمٌ صلبه، ثمّ ركع قبل أن يرفع الإمام رأسه، فقد أدرك الرّكعة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خبر زيد</w:t>
      </w:r>
      <w:r>
        <w:rPr>
          <w:rStyle w:val="FootnoteAnchor"/>
          <w:rtl w:val="true"/>
        </w:rPr>
        <w:footnoteReference w:id="101"/>
      </w:r>
      <w:r>
        <w:rPr>
          <w:rFonts w:ascii="Amiri" w:hAnsi="Amiri" w:eastAsia="Amiri" w:cs="Amiri"/>
          <w:color w:val="111111"/>
          <w:sz w:val="28"/>
          <w:sz w:val="28"/>
          <w:szCs w:val="28"/>
          <w:rtl w:val="true"/>
          <w:lang w:bidi="ar-SA"/>
        </w:rPr>
        <w:t>، وقريبٌ منهما خبرا معاوية بن ميسرة</w:t>
      </w:r>
      <w:r>
        <w:rPr>
          <w:rStyle w:val="FootnoteAnchor"/>
          <w:rtl w:val="true"/>
        </w:rPr>
        <w:footnoteReference w:id="102"/>
      </w:r>
      <w:r>
        <w:rPr>
          <w:rFonts w:ascii="Amiri" w:hAnsi="Amiri" w:eastAsia="Amiri" w:cs="Amiri"/>
          <w:color w:val="111111"/>
          <w:sz w:val="28"/>
          <w:sz w:val="28"/>
          <w:szCs w:val="28"/>
          <w:rtl w:val="true"/>
          <w:lang w:bidi="ar-SA"/>
        </w:rPr>
        <w:t>وشُريح</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ظاهرٌ في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تُدرك القوم قبل أن يُكبِّر الإمام للرّكعة، فلا تدخل معهم في تلك الرّكعة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لولا اعتبار إدراك تكبيرة الركوع، لما كان مورداً للنهي عن الدخول في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أنّ من المحتمل إرادة الجماعة مع المخالفين، ويشهد له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فالوجه في النهي عن الدخول حينئذٍ عدم إجزاء قراءتهم عن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يعتبر فيه إدراك القراءة، وإنّما اعتبر إدراك تكبيرة الركوع، فهذا الاحتمال خلاف الظاهر، كما أنّ احتمال إرادة الكراهة من النهي فيه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التكبيرة قبل أن يركع الإمام، فقد أدركت الصَّلاة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 بالرّكعة التي لم تشهد تكبيرها مع الإمام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بالركعة، هو الركوع، لما عرفت من إطلاقها عليه، ولولا عدم إدراك الرّكعة مع عدم إدراك تكبيرة الركوع، لما صَحّ النهي عن الإعتداد بتلك الرّكعة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أو حسنه، عن الإمام الصادق عليه السلام في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الإمام قبل أن يركع الرَّكعة الأخيرة، فقد أدركت الصَّلاة، فإن ادركته بعدما ركع فهي الظهر أربع ركعات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الإيرادات في 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أن يكون المراد من الشرطيّة الاُولى قبل أن يُتمّها، ومن الثانية بعد الفراغ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الجمع بين الطائفتين 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الثانية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المراد من الكراهة، كونها أقلّ ثواباً بالنسبة إلى صلاة المنفرد، فهذا راجعٌ إلى عدم استحباب الجماعة بهذا النحو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كونها أقلّ ثواباً بالنسبة إلى الجماعة الّتي أدرك تكبيرة الإمام، فيرد عليه أنّ هذا لا يوجبُ النهي عن الدخول في هذه الجماعة الموجب لتفويتها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هو رجحان تأخير الائتمام إلى ما بعد، ولو في حال التشهّد، إنْ أراد إدراك فضيلة الجماعة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الطائفة الاُولى على ما إذا لم يُدرك الإمام إلّافي الركوع، والثانية على ما إذا أدركه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بعض روايات ابن مسلم كصحيحه الثاني، غيرُ قابلٍ للحمل على ذلك، فإنّ لسانه لسان عدم إدراك الصَّلاة، لا النهي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على عدم الفرق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الطائفتين متعارضتان، لا يمكن الجمع بينهما بوجهٍ‌، ولابدّ فيهما من الرجوع الى المرجّحات، وهي مع الطائفة الاُولى‌، لكونها أشهر، حتّى أنّ الشيخ رحمه الله</w:t>
      </w:r>
      <w:r>
        <w:rPr>
          <w:rStyle w:val="FootnoteAnchor"/>
          <w:rtl w:val="true"/>
        </w:rPr>
        <w:footnoteReference w:id="109"/>
      </w:r>
      <w:r>
        <w:rPr>
          <w:rFonts w:ascii="Amiri" w:hAnsi="Amiri" w:eastAsia="Amiri" w:cs="Amiri"/>
          <w:color w:val="111111"/>
          <w:sz w:val="28"/>
          <w:sz w:val="28"/>
          <w:szCs w:val="28"/>
          <w:rtl w:val="true"/>
          <w:lang w:bidi="ar-SA"/>
        </w:rPr>
        <w:t xml:space="preserve">ادّعى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إدراك الرّكعة بإدراك ركوع الإمام، بل هي مشهورة، والطائفة الثانية شاذّة نادرة، فيتعيّن العمل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مولانا الحُجّة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الرّجل يلحق الإمام وهو راكع، فيركع معه ويحتسب بتلك الرّكعة،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يسمع تكبيرة الرّكوع، فليس له أنْ يعتدّ بتلك الركعة‌؟</w:t>
      </w:r>
    </w:p>
    <w:p>
      <w:pPr>
        <w:pStyle w:val="BookText"/>
        <w:rPr/>
      </w:pPr>
      <w:r>
        <w:rPr>
          <w:rFonts w:ascii="Amiri" w:hAnsi="Amiri" w:eastAsia="Amiri" w:cs="Amiri"/>
          <w:color w:val="111111"/>
          <w:sz w:val="28"/>
          <w:sz w:val="28"/>
          <w:szCs w:val="28"/>
          <w:rtl w:val="true"/>
          <w:lang w:bidi="ar-SA"/>
        </w:rPr>
        <w:t>فأجاب عليه السلام إذا لحق مع الإمام من تسبيح الركوع تسبيحة واحدة، اعتدّ بتلك الرّكعة، وإنْ لم يسمع تكبيرة الركوع</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مدرك القول الثاني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التوقيع الشريف لضعفه في نفسه، وإعراض الأصحاب عنه لا يُعتمد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8" w:name="pg11802_153950"/>
    </w:p>
    <w:p>
      <w:pPr>
        <w:pStyle w:val="BookText"/>
        <w:rPr/>
      </w:pPr>
      <w:bookmarkEnd w:id="68"/>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المتقدّمة كالصريحة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الرّكعة بإدراك الركوع خاصّة، وعدم اعتبار إدراك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تقييد مفهوم الشرطيّة، أو رفع اليد عن مفهومها، وإنْ لم يكن شيء منها جمعاً عرفيّاً، فلابدّ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ما عليه المشهور</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0531569_73709187"/>
      <w:bookmarkStart w:id="70" w:name="_Toc26"/>
      <w:bookmarkEnd w:id="69"/>
      <w:r>
        <w:rPr>
          <w:rtl w:val="true"/>
        </w:rPr>
        <w:t>تنبيهات الركوع</w:t>
      </w:r>
      <w:bookmarkEnd w:id="70"/>
    </w:p>
    <w:p>
      <w:pPr>
        <w:pStyle w:val="Heading6"/>
        <w:numPr>
          <w:ilvl w:val="5"/>
          <w:numId w:val="1"/>
        </w:numPr>
        <w:rPr/>
      </w:pPr>
      <w:bookmarkStart w:id="71" w:name="__RefHeading___Toc10531571_73709187"/>
      <w:bookmarkStart w:id="72" w:name="_Toc27"/>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المقام التنبيه على بعض الاُمور</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10531573_73709187"/>
      <w:bookmarkStart w:id="74" w:name="_Toc28"/>
      <w:bookmarkEnd w:id="73"/>
      <w:r>
        <w:rPr>
          <w:rtl w:val="true"/>
        </w:rPr>
        <w:t>صور معيّة المأموم مع الإمام في الركوع</w:t>
      </w:r>
      <w:bookmarkEnd w:id="74"/>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لمعيّة المأموم مع الإمام في الركوع، التي هي مناط إدراك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معيتهما حال وقوف كليهما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معيتهما حال وقوف الإمام، وهوي المأموم، بأنْ كان الإمام واقفاً حين وصول المأموم إلى حَدّ الركوع، ولكن حين انتهاء هويّه إلى الركوع، أخذ الإمام في الرفع، وفي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المأموم في الركوع قبل أن يخرج الإمام عن حَدّ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معيتهما حال هوي المأموم، ونهوض الإمام، بأنْ اقترن وصول المأموم إلى حَدّ الركوع، مع أخذ الإمام في رفع الرأس 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فيها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قلنا إنّ الركوع اسمٌ للمعنى الهيئي الاسم المصدري، أو قلنا إنّه يعتبر في صدقة، انتهاء الانحناء والهويّ إلى الحَدّ، ولايكفي فيه مجرّد الوصول إلى ذلك الحَدّ، فلا كلام في أنّه لا يعتدّ بتلك الرّكعة، وتكون فائتة، وذلك لأنّ ظاهر قوله في صحيح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رَكَع قبل أن يرفع الإمام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التعبير بفعل الماضي، اعتبار تحقّق ركوع المأموم المتوقّف على الوقوف، والقرار قبل أن يرفع الإمام رأسه، أي يشرع في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قلنا إنّه يكفي في صدق الركوع، الوصول إلى الحَدّ الشرعي، ولا يعتبر انتهاء الانحناء، كما لعلّه الأظهر، فقد يُقال إنّه لا يعتدّ بتلك الرّكعة،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الركوع إلى الركوع بالمعنى الاسم المصدري، وهو عبارة عن القرار في حال الانحناء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الركوع الشرعي، أي الركوع مع ما يعتبر فيه شرعاً من الشرائط، التي منها الاستقرار والقرار، فلا يعتدّ بتلك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 المتقدّم، بدعوى كون تسبيح الركوع المذكور فيه، كنايةٌ عن استقرار الإمام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وجه لهذا الانصراف، ولا مستند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الخطابات الشرعيّة حيث أنّها مُلقاةٌ إلى العرف، فلابدّ من حملها على إرادة المفاهيم العرفيّة، فالموضوع هو الركوع العرفي دون الشرعي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 xml:space="preserve">. </w:t>
      </w:r>
      <w:bookmarkStart w:id="75" w:name="pg11802_153952"/>
    </w:p>
    <w:p>
      <w:pPr>
        <w:pStyle w:val="BookText"/>
        <w:rPr/>
      </w:pPr>
      <w:bookmarkEnd w:id="75"/>
      <w:r>
        <w:rPr>
          <w:rFonts w:ascii="Amiri" w:hAnsi="Amiri" w:eastAsia="Amiri" w:cs="Amiri"/>
          <w:color w:val="111111"/>
          <w:sz w:val="28"/>
          <w:sz w:val="28"/>
          <w:szCs w:val="28"/>
          <w:rtl w:val="true"/>
          <w:lang w:bidi="ar-SA"/>
        </w:rPr>
        <w:t>وعليه، فالأظهر على هذا المسلك، صحّة الجماعة، وكونه مدركاً الرّكعة في الفرض، ولكن 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الظاهر من الخبر المشار إليه، اعتبار تحقّق ركوع المأموم، من جهة التعبير بصيغة الماضي قبل شروع الإمام في الرفع، من جهة التعبير بالمضارع، فيشكل الحكم بالاعتداد بتلك الرّكعة حتّى على المسلك الأخير في حقيقة الركوع المتقدّم في الصورة الثانية، لفرض عدم القَبلية، واقتران وصول المأموم إلى حَدّ الركوع مع أخذ الإمام في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فالصحيح ما تبنّاه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وغيرها</w:t>
      </w:r>
      <w:r>
        <w:rPr>
          <w:rStyle w:val="FootnoteAnchor"/>
          <w:rtl w:val="true"/>
        </w:rPr>
        <w:footnoteReference w:id="114"/>
      </w:r>
      <w:r>
        <w:rPr>
          <w:rFonts w:ascii="Amiri" w:hAnsi="Amiri" w:eastAsia="Amiri" w:cs="Amiri"/>
          <w:color w:val="111111"/>
          <w:sz w:val="28"/>
          <w:sz w:val="28"/>
          <w:szCs w:val="28"/>
          <w:rtl w:val="true"/>
          <w:lang w:bidi="ar-SA"/>
        </w:rPr>
        <w:t>من فوات الرّكعة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المعاصرين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من أنّ المراد بالرفع، الرفع عن حَدّ الركوع الشرعي، لا عن حَدّ شخص الركوع المأتي به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الظاهر جدّاً، فإنّه لم يُذكر في الخبر قبل أن يرفع الإمام رأسه عن الركوع، بل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يرفع الإمام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لحوقه قبل أن يرفع الإمام عمّا هو متلبّسٌ به، فتدبّر فإنّه دقيق</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10531575_73709187"/>
      <w:bookmarkStart w:id="77" w:name="_Toc29"/>
      <w:bookmarkEnd w:id="76"/>
      <w:r>
        <w:rPr>
          <w:rtl w:val="true"/>
        </w:rPr>
        <w:t>اعتبار إدراك الركوع إنّما هو في ابتداء الجماعة</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مسألة العدول من الائتمام إلى الإنفراد، المذكورة في مسائل الشرط الأوّل من شرائط الجماعة، أنّه لا يعتبر إدراك الركوع إذا أدرك </w:t>
      </w:r>
    </w:p>
    <w:p>
      <w:pPr>
        <w:pStyle w:val="BookText"/>
        <w:rPr/>
      </w:pPr>
      <w:r>
        <w:rPr>
          <w:rFonts w:ascii="Amiri" w:hAnsi="Amiri" w:eastAsia="Amiri" w:cs="Amiri"/>
          <w:color w:val="111111"/>
          <w:sz w:val="28"/>
          <w:sz w:val="28"/>
          <w:szCs w:val="28"/>
          <w:rtl w:val="true"/>
          <w:lang w:bidi="ar-SA"/>
        </w:rPr>
        <w:t>المأموم الإمام قبل القراءة أو في أثنائها، وأنّ ما اشتهر من أنّه يعتبر إدراك الركوع في إدراك الرّكعة، ودلّت النصوص عليه إنّما هو في ابتداء الجماعة، لا مَنْ حصل منه تلك واتّصف بوصف المأموميّة وتحمل الإمام القراءة عنه، واستشهدنا له بصحيح ابن الحجّاج، فراجع</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إنّما الكلام في المقام في أنّ اعتبار إدراك جزءٍ من أجزاء الرّكعة إلى أن ينتهي إلى إدراك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يختصّ بالركعة الاُولى،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وعن الشيخ الأعظم رحمه الله</w:t>
      </w:r>
      <w:r>
        <w:rPr>
          <w:rStyle w:val="FootnoteAnchor"/>
          <w:rtl w:val="true"/>
        </w:rPr>
        <w:footnoteReference w:id="118"/>
      </w:r>
      <w:r>
        <w:rPr>
          <w:rFonts w:ascii="Amiri" w:hAnsi="Amiri" w:eastAsia="Amiri" w:cs="Amiri"/>
          <w:color w:val="111111"/>
          <w:sz w:val="28"/>
          <w:sz w:val="28"/>
          <w:szCs w:val="28"/>
          <w:rtl w:val="true"/>
          <w:lang w:bidi="ar-SA"/>
        </w:rPr>
        <w:t>فلو لم يدرك المأموم الإمام في الرّكعة الثانية بعدما أدركه في الاُولى حتّى رفع الإمام رأسه عن الركوع صحّت صلاته وجماعته وتُحتسب له ركعة‌؟</w:t>
      </w:r>
    </w:p>
    <w:p>
      <w:pPr>
        <w:pStyle w:val="BookText"/>
        <w:rPr/>
      </w:pPr>
      <w:r>
        <w:rPr>
          <w:rFonts w:ascii="Amiri" w:hAnsi="Amiri" w:eastAsia="Amiri" w:cs="Amiri"/>
          <w:color w:val="111111"/>
          <w:sz w:val="28"/>
          <w:sz w:val="28"/>
          <w:szCs w:val="28"/>
          <w:rtl w:val="true"/>
          <w:lang w:bidi="ar-SA"/>
        </w:rPr>
        <w:t xml:space="preserve">أم يعتبر ذلك فى جميع الركعات، كما هو المشهور،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وغيرها</w:t>
      </w:r>
      <w:r>
        <w:rPr>
          <w:rStyle w:val="FootnoteAnchor"/>
          <w:rtl w:val="true"/>
        </w:rPr>
        <w:footnoteReference w:id="122"/>
      </w:r>
      <w:r>
        <w:rPr>
          <w:rFonts w:ascii="Amiri" w:hAnsi="Amiri" w:eastAsia="Amiri" w:cs="Amiri"/>
          <w:color w:val="111111"/>
          <w:sz w:val="28"/>
          <w:sz w:val="28"/>
          <w:szCs w:val="28"/>
          <w:rtl w:val="true"/>
          <w:lang w:bidi="ar-SA"/>
        </w:rPr>
        <w:t>الاتّفاق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إدراك الرّكعة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وقد ركع، فكبّرتة</w:t>
      </w:r>
      <w:r>
        <w:rPr>
          <w:rFonts w:eastAsia="Amiri" w:cs="Amiri" w:ascii="Amiri" w:hAnsi="Amiri"/>
          <w:color w:val="111111"/>
          <w:sz w:val="28"/>
          <w:szCs w:val="28"/>
          <w:rtl w:val="true"/>
          <w:lang w:bidi="ar-SA"/>
        </w:rPr>
        <w:t xml:space="preserve">. </w:t>
      </w:r>
      <w:bookmarkStart w:id="78" w:name="pg11802_153954"/>
    </w:p>
    <w:p>
      <w:pPr>
        <w:pStyle w:val="BookText"/>
        <w:rPr/>
      </w:pPr>
      <w:bookmarkEnd w:id="78"/>
      <w:r>
        <w:rPr>
          <w:rFonts w:ascii="Amiri" w:hAnsi="Amiri" w:eastAsia="Amiri" w:cs="Amiri"/>
          <w:color w:val="111111"/>
          <w:sz w:val="28"/>
          <w:sz w:val="28"/>
          <w:szCs w:val="28"/>
          <w:rtl w:val="true"/>
          <w:lang w:bidi="ar-SA"/>
        </w:rPr>
        <w:t>وركعتَ قبل أن يرفع الإمام رأسه، فقد أدركت الرّكعة، وإنْ رفع رأسه قبل أن تركع فقد فاتتك الرّكعة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بإلغاء خصوصيّة المورد، أو بأنّه يستأنس من تعليق الحكم بإدراك الرّكعة على إدراك الركوع، عدم اختصاص هذا الحكم بالركعة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كونه تعبّديّاً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جاز وضعاً التأخّر عن الإمام في الائتمام، كما هو المفروض، وقد مرّ وجهه، فلا شكّ في إدراك الرّكعة ما لم يدلّ دليلٌ على اعتبار درك الركوع، فإذا أتى بما هو وظيفته في تلك الرّكعة، والمفروض بقاء الائتمام، فلا محالة يكون مُدْرِكاً للركعة، فلا مورد لجريان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إلغاء خصوصيّة المورد غير ظاهر الوجه، والاستيناس لا يكون حجّةً ما لم يصل إلى حَدّ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الاعتبار، فلو زوحم المأموم عن السّجود مع الإمام في الرّكعة الاُولى، ولم يلتحق بالركعه الثانية حتّى رفع الإمام رأسه من ركوعها، وقام وأتي بما هو وظيفته، صحّت جماعته، وتُحتسب تلك له ركعة ثانية</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10531577_73709187"/>
      <w:bookmarkStart w:id="80" w:name="_Toc30"/>
      <w:bookmarkEnd w:id="79"/>
      <w:r>
        <w:rPr>
          <w:rtl w:val="true"/>
        </w:rPr>
        <w:t>لو ركع بتخيّل إدراك الإمام راكعاً</w:t>
      </w:r>
      <w:bookmarkEnd w:id="80"/>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بتخيّل إدراك الإمام راكعاً، ولم يَدرك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 وتبعهما جمعٌ من المحقّقين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المحقّق النائيني رحمه الله</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صلاته، فيجب عليه إمّا الإنفراد أو الصبر الى أن يدخل الإمام في الرّكعة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المعاصرين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الى الصحّة وانفراده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الركوع التي لم يثبت اغتفارها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زيادة الركوع إنّما هي في مقام المتابعة، فلو لم تتحقّق المتابعة الفعليّة تكون الزيادة مغتفرة، ولذا لو سبق المأموم الإمام في رفع الراس من الركوع، فعاد إليه للمتابعة، ولم يُدرك ركوع الإمام، لم تبطل صلاته، مع أنّ ركوعه الثاني زيادة في مورد المتابعة دون تحقّق المتابعة الفعليّة، وهذا هو الذي ذُكِر مستنداً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زيادة الركوع مبتنية على عدم سقوط القراءة، إذ لو بني على سقوطها، بمقتضى مدلول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فالركوع في محلّه، ولا موجب للبطلان، وهذا هو الذي ذُكر وجهاً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الدالّة على أنّ من فاته الركوع فقد فاتته الرّكعة، تدلّ على أنّه ليس له الاعتداد بهذه الرّكعة، فالقول الثالث لا يمكن الاستناد إليه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فرض زيادة الركوع مغتفرة للوجه المذكور، فيرد عليه أنّ تلك النصوص إنّما وردت في مورد خاص، وهو الإتيان بالركوع الثاني قاصداً به المتابعة، وسيأتي الكلام في بطلان الصلاة وعدمه فيما لو لم تتحقّق المتابعة لاحقاً،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تقديرٍ لا يصحّ الاستدلال بها للمقام، إلّامع إحراز عدم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حفص بن غياث،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أدرك الجمعة، وقد ازدحم النّاس، وكبّر مع الإمام، وركع ولم يقدر على السّجود، وقام الإمام والنّاس بالركعة الثانية، وقام هذا معهم، فركع الإمام ولم يقدر هذا على الركوع في الرّكعة الثانية من الزحام، وقدر على السّجود كيف يصنع‌؟</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الرّكعة الاُولى فهي الى عند الركوع تامّة، فلمّا لم يسجد لها حتّى دخل في الرّكعة الثانية، لم يكن له ذلك، فلمّا سجد في الثانية، فإنْ كان نوى هاتين السجدتين للركعة الاُولى، فقد تمّت له الاُولى، فإذا سَلّم الإمام قام فصلّى ركعةً يسجد فيها ثمّ يتشهّد ويُسلِّم، وإنْ كان لم ينو السجدتين للركعة الاُولى، لم تجز عنه الاُولى ولا الثانية، وعليه أن يسجد سجدتين، وينوي بهما للركعة الاُولى، وعليه بعد ذلك ركعةً تامّةً يسجد فيها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بالعمل بهذه الرواية، لاشتهارها بين الأصحاب، وضعف الراوي لا يضرّ مع 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كون الراوي ثقة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المذكور يدلّ على أنّ السجدتين الواقعتين لا بنيّة الاُولى زيادة مغتفرة، وبضميمة عدم الفصل بين السّجدتين والركوع، يثبت عدم إضرار الركوع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1" w:name="pg11802_153957"/>
    </w:p>
    <w:p>
      <w:pPr>
        <w:pStyle w:val="BookText"/>
        <w:rPr/>
      </w:pPr>
      <w:bookmarkEnd w:id="81"/>
      <w:r>
        <w:rPr>
          <w:rFonts w:ascii="Amiri" w:hAnsi="Amiri" w:eastAsia="Amiri" w:cs="Amiri"/>
          <w:color w:val="111111"/>
          <w:sz w:val="28"/>
          <w:sz w:val="28"/>
          <w:szCs w:val="28"/>
          <w:rtl w:val="true"/>
          <w:lang w:bidi="ar-SA"/>
        </w:rPr>
        <w:t xml:space="preserve">وعليه، فبما أنّ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الائتمام بعد الركوع، وتحقّق الجماعة، غاية الأمر لا تُحتسب تلك ركعة، حيث أنّه لا وجه لبطلان هذه الصَّلاة، سوى زيادة الركوع، والمفروض أنّها مغتفرة، فيكون وظيفة هذا المُصلّي وظيفة من لحق الإمام بعد الركوع، والذي نبحث عن حكمه لاحقاً</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0531579_73709187"/>
      <w:bookmarkStart w:id="83" w:name="_Toc31"/>
      <w:bookmarkEnd w:id="82"/>
      <w:r>
        <w:rPr>
          <w:rtl w:val="true"/>
        </w:rPr>
        <w:t>لو شكّ في إدراك الإمام راكعاً</w:t>
      </w:r>
      <w:bookmarkEnd w:id="83"/>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إدراك الإمام راكعاً وعدمه،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كبّر ورَكَع، ثمّ شكّ في إدراكه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 شَكّ في الإدراك قبل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w:t>
      </w:r>
      <w:r>
        <w:rPr>
          <w:rStyle w:val="FootnoteAnchor"/>
          <w:rtl w:val="true"/>
        </w:rPr>
        <w:footnoteReference w:id="131"/>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عدم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دعوى الإجماع عليه، من جهة استصحاب عدم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يحكم بالإدراك لأجل استصحاب بقاء الإمام راكعاً إلى حين ركوع المأموم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القول في المقام إنّه لو كان موضوع الحكم هو اجتماع المأموم مع الإمام في الركوع، في زمان واحد، من دون دخلٍ لوصف وعنوانٍ متحصّل من ذلك، فالأظهر جريان الاستصحاب في ركوع الإمام، لأنّ موضوع الحكم على الفرض مركّبٌ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وهو ركوع المأموم محرزٌ بالوجدان، والجزء الآخر وهو </w:t>
      </w:r>
    </w:p>
    <w:p>
      <w:pPr>
        <w:pStyle w:val="BookText"/>
        <w:rPr/>
      </w:pPr>
      <w:r>
        <w:rPr>
          <w:rFonts w:ascii="Amiri" w:hAnsi="Amiri" w:eastAsia="Amiri" w:cs="Amiri"/>
          <w:color w:val="111111"/>
          <w:sz w:val="28"/>
          <w:sz w:val="28"/>
          <w:szCs w:val="28"/>
          <w:rtl w:val="true"/>
          <w:lang w:bidi="ar-SA"/>
        </w:rPr>
        <w:t>ركوع الإمام في ذلك الزمان يمكن إحرازه من خلال الأصل، فبضمّ الوجدان إلى الأصل يثبت الموضوع، ويترتّب عليه حكمه، وهو صحّة الائتمام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أصالة عدم تحقّق المركّب من حيث هو مركّبٌ‌، عدم ترتّب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أفاده المحقّق النائيني رحمه الله</w:t>
      </w:r>
      <w:r>
        <w:rPr>
          <w:rStyle w:val="FootnoteAnchor"/>
          <w:rtl w:val="true"/>
        </w:rPr>
        <w:footnoteReference w:id="133"/>
      </w:r>
      <w:r>
        <w:rPr>
          <w:rFonts w:ascii="Amiri" w:hAnsi="Amiri" w:eastAsia="Amiri" w:cs="Amiri"/>
          <w:color w:val="111111"/>
          <w:sz w:val="28"/>
          <w:sz w:val="28"/>
          <w:szCs w:val="28"/>
          <w:rtl w:val="true"/>
          <w:lang w:bidi="ar-SA"/>
        </w:rPr>
        <w:t>من أنّ الشكّ في بقاء عدم المركّب، مسبّبٌ من الشكّ في وجود أجزائه، فإذا جَرى الأصل فيها، لا تصل النوبة إلى جريان الأصل في المسبّب، لأنّه يرد عليه أنّ السببيّة في المقام ليست شرعيّة، فلا يكون الأصل في السبب حاكماً على الأصل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المركّب من حيث إنّه مركّبٌ بوصف الاجتماع، لا يكون موضوعاً للحكم، وإنّما هو مترتّب على ذوات الاجزاء المجتمعة، ولا شكّ فيها بعد ضمّ الوجدان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ذكرناه بين ما لو جهل تاريخ الركوعين، وما لو علم تاريخ أحدهما، بناءً على ما حقّقناه في الاُصول،</w:t>
      </w:r>
      <w:r>
        <w:rPr>
          <w:rStyle w:val="FootnoteAnchor"/>
          <w:rtl w:val="true"/>
        </w:rPr>
        <w:footnoteReference w:id="134"/>
      </w:r>
      <w:r>
        <w:rPr>
          <w:rFonts w:ascii="Amiri" w:hAnsi="Amiri" w:eastAsia="Amiri" w:cs="Amiri"/>
          <w:color w:val="111111"/>
          <w:sz w:val="28"/>
          <w:sz w:val="28"/>
          <w:szCs w:val="28"/>
          <w:rtl w:val="true"/>
          <w:lang w:bidi="ar-SA"/>
        </w:rPr>
        <w:t>من جريان الأصل في كلٍّ من معلوم التاريخ ومجهوله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الأثر مترتّباً على ركوع المأموم قبل أن يرفع الإمام رأسه، بحيث يحدث له صفة القَبْليّة، فالحقّ عدم جريان الأصل المزبور، لأنّ تلك الصِّفة لا تَثبت باستصحاب بقاء كون الإمام راكعاً إلّاعلى القول بالأصل المثبت، وحيث أنّ ظاهر النصوص هو الثاني، لاحظ قوله عليه السلام في صحيح ابن خالد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الإمام وهو راكع، وكبّر الرّجل وهو مقيمٌ صُلْبه، ثمّ رَكَع قبل 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يرفع الإمام رأسه، فقد أدرك الرّكعة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 لم يكن هذا العنوان دخيلاً لما تعرّض له، فالأظهر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التزم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عدم الدخول إلّامع الاطمئنان بإدراك ركوع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الدخول في الركوع، والمُضيّ في صلاته جماعةً‌، لا في الصَّلاة، فإنّ الدخول في الصَّلاة جائزٌ مع العلم بعدم الإدراك، غاية الأمر مع العلم بذلك لا يجوز له الدخول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فمنشأ الجواز في هذا الفرع وعدمه، هو ما عرفت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المحقّق النائيني رحمه الله</w:t>
      </w:r>
      <w:r>
        <w:rPr>
          <w:rStyle w:val="FootnoteAnchor"/>
          <w:rtl w:val="true"/>
        </w:rPr>
        <w:footnoteReference w:id="137"/>
      </w:r>
      <w:r>
        <w:rPr>
          <w:rFonts w:ascii="Amiri" w:hAnsi="Amiri" w:eastAsia="Amiri" w:cs="Amiri"/>
          <w:color w:val="111111"/>
          <w:sz w:val="28"/>
          <w:sz w:val="28"/>
          <w:szCs w:val="28"/>
          <w:rtl w:val="true"/>
          <w:lang w:bidi="ar-SA"/>
        </w:rPr>
        <w:t>القول بعدم جواز الدخول في الركوع في هذه الصورة، حتّى بناءً على القول بدرك الركوع في الاُولى، لعدم جريان الاستصحاب المزبور في المقام،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الأمر الاستقبالي رأساً، لإنصراف أدلّته عن شمول ما إذا كان المشكوك فيه استقباليّاً يتحقّق في المستقبل، بحيث لا يبقى الشكّ فيه في موطن وجوده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هو الحقّ من جريان الاستصحاب في الاُمور الاستقباليّة، إذا كان الأثر مترتّباً عليه فعلاً، كما هو المفروض، لا فرق بين بقاء الشكّ في موطن وجوده وعدمه، كما أنّ الانصراف أيضاً لا وجه له، وأغلب الاُمور الاستقباليّة التي يجري الاستصحاب فيها من هذا القبيل، مثلاً لو أراد استيجار زيد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لعمل خاصّ لمدّة معيّنة، وشكّ في بقائه حيّاً إلى آخر تلك المدّة، فإنّه لا شبهة من جريان الاستصحاب في بقاء حياته، مع أنّه لا يبقى الشكّ فيه في موطنه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جواز الإتيان بالركوع تحقّق الاطمئنان بإدراك ركوع الإمام تكويناً، وبالاستصحاب لا يثبت صفة الاطمئنان ببقاء الإمام في الركوع تكويناً، ومع عدم حصوله لا ينفع اجراؤه بشيء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عندنا وإنْ كان قيام الاُصول المحرزة مقام القطع الموضوعي المأخوذ على وجه الطريقيّة، إلّاأنّه لا ينفع في مثل المقام المعتبر فيه تحقّق صفة الاطمئنان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يؤخذ في شيء من النصوص صفة الاطمئنان دخيلةً في هذا الحكم، بل الموضوع خصوص إدراك ركوع الإمام لا الاطمئنان بإدراكه، راجع النصوص، فالاطمئنان لا محالة يكون طريقيّاً محضاً، ولا نقاش في قيام الاستصحاب مقام القطع الطريقي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أخذه في الموضوع، فلا وجه لمنع قيام الاستصحاب مقامه في خصوص المقام، وذلك لأنّ القطع في كلّ مورد أُخذ في الموضوع، ظاهرٌ في كون المأخوذ هو القطع الوجداني، والأمارات والاُصول المحرزة على القول بقيامهما مقامه، توجبان توسعة الموضوع، ولا علاقة لهما بالحكومة أبداً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البحث عن قيام الأمارات مقام القطع الموضوعي، إنّما هو من جهة ظهور الدليل في نفسه في إرادة الوجداني منه، وإلّا فلو كان الموضوع في نفسه هو الأعمّ‌، لم تكن الأمارات قائمة مقام القطع، ولم تكن من باب الحكومة، إذ الموضوع بنفسه شاملٌ لها، وعليه فالأظهر عدم الفرق بين الصورتين</w:t>
      </w:r>
      <w:r>
        <w:rPr>
          <w:rFonts w:eastAsia="Amiri" w:cs="Amiri" w:ascii="Amiri" w:hAnsi="Amiri"/>
          <w:color w:val="111111"/>
          <w:sz w:val="28"/>
          <w:szCs w:val="28"/>
          <w:rtl w:val="true"/>
          <w:lang w:bidi="ar-SA"/>
        </w:rPr>
        <w:t>.</w:t>
      </w:r>
      <w:bookmarkStart w:id="84" w:name="pg11802_153961"/>
    </w:p>
    <w:p>
      <w:pPr>
        <w:pStyle w:val="Heading5"/>
        <w:numPr>
          <w:ilvl w:val="4"/>
          <w:numId w:val="1"/>
        </w:numPr>
        <w:rPr/>
      </w:pPr>
      <w:bookmarkStart w:id="85" w:name="__RefHeading___Toc10531581_73709187"/>
      <w:bookmarkStart w:id="86" w:name="_Toc32"/>
      <w:bookmarkEnd w:id="84"/>
      <w:bookmarkEnd w:id="85"/>
      <w:r>
        <w:rPr>
          <w:rtl w:val="true"/>
        </w:rPr>
        <w:t>فيما تُدرَك به الجماعة</w:t>
      </w:r>
      <w:bookmarkEnd w:id="86"/>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فيما لو أدركه بعد رفع رأسه من الركوع إلى ما بعد السَّجدة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أدركه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138"/>
      </w:r>
      <w:r>
        <w:rPr>
          <w:rFonts w:ascii="Amiri" w:hAnsi="Amiri" w:eastAsia="Amiri" w:cs="Amiri"/>
          <w:color w:val="111111"/>
          <w:sz w:val="28"/>
          <w:sz w:val="28"/>
          <w:szCs w:val="28"/>
          <w:rtl w:val="true"/>
          <w:lang w:bidi="ar-SA"/>
        </w:rPr>
        <w:t>أنّه يجوز له الدخول في الجماعة، وهي تُدْرَك به بأن يكبِّر بنيّة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المعلّى بن خُنَيس،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سبقك الإمام بركعة فأدركته وقد رفع رأسه، فاسجد معه ولا تعتدّ بها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يدرك الصَّلاة مع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وهو في السَّجدة الأخيرة من صلاته، فهو مُدرِكٌ لفضل الصَّلاة مع الإمام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الاستدلال بهما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فيهما إرادة أحد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مع الإمام في الصَّلاة ومتابعته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الحضور والإمام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متابعة فيما يجده متلبّساً به من السّجود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بهما يتوقّف على إرادة الأوّل، وهي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يعارضهما خبر البصري،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الإمام ساجداً، فاثبت مكانك حتّى يرفع رأسه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الثاني خلافُ صريح خبر المُعلّى، كما أنّ الاحتمال الثالث خلاف الظاهر، بل الظاهر منهما هو الأوّل، كما يظهر لمن تدبّر فيهما، لاحظ سائر نصوص الباب، الواردة فيمن أدرك الإمام في الركوع أو في التشهّد، التي وقع فيها مثل هذا التعبير، مع ما فيها من الشواهد الموجبة لصراحتها في إرادة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البصري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محلّه من أنّ روايات مُعلّى بن خُنيس يُعتمد عليها، مع أنّ في الصحيح كفاية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سائر النصوص التي استدلّ بها في المقام، وهي خبر معاوية بن شُريح</w:t>
      </w:r>
      <w:r>
        <w:rPr>
          <w:rStyle w:val="FootnoteAnchor"/>
          <w:rtl w:val="true"/>
        </w:rPr>
        <w:footnoteReference w:id="14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والنبويّ‌</w:t>
      </w:r>
      <w:r>
        <w:rPr>
          <w:rStyle w:val="FootnoteAnchor"/>
          <w:rtl w:val="true"/>
        </w:rPr>
        <w:footnoteReference w:id="144"/>
      </w:r>
      <w:r>
        <w:rPr>
          <w:rFonts w:ascii="IRNazanin" w:hAnsi="IRNazanin" w:eastAsia="IRNazanin"/>
          <w:color w:val="111111"/>
          <w:sz w:val="28"/>
          <w:sz w:val="28"/>
          <w:szCs w:val="28"/>
          <w:rtl w:val="true"/>
          <w:lang w:bidi="fa-IR"/>
        </w:rPr>
        <w:t xml:space="preserve">،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وغيرها، 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طريقه إلى سعد بن عبد اللّه، وهو صحابيٌ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روايه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وثاقة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لتوقّفه في جواز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بلزوم زيادة الرّكن، وهو السجدتان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وبالنهي عن الدخول في الرّكعة عند فوات تكبيرها، في صحيح محمّد بن مسلم عن الإمام الباقر عليه السلام المتقدّم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يمنع من الدخول مع الانتظار، مع أنّه لا محذور فيه بناءً على ما هو المشهور من وجوب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لايعتمد على مثل هذا الوجه، في مقابل النصوص، مع أنّه قد عرفت عدم مبطليّة السّجود المأتي به للمتابعة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المقام الأوّل، أنّه لابدّ من رفع اليد عن ظاهره، للنصوص الصريحة الدالّة على جواز الدخول في حال ركوع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الدخول في تلك الحال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دخل، فهل يجب عليه أن يصبر إلى أن يرفع الإمام رأسه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السَّجدة الثانية فيتابعه بعد ذلك‌؟</w:t>
      </w:r>
    </w:p>
    <w:p>
      <w:pPr>
        <w:pStyle w:val="BookText"/>
        <w:rPr/>
      </w:pPr>
      <w:r>
        <w:rPr>
          <w:rFonts w:ascii="Amiri" w:hAnsi="Amiri" w:eastAsia="Amiri" w:cs="Amiri"/>
          <w:color w:val="111111"/>
          <w:sz w:val="28"/>
          <w:sz w:val="28"/>
          <w:szCs w:val="28"/>
          <w:rtl w:val="true"/>
          <w:lang w:bidi="ar-SA"/>
        </w:rPr>
        <w:t>أم يتابعه في السجدتين، ويكتفي بهذا التكبير لصلاته</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يتابعه فيهما ثُمّ يستأنف الصَّلاة</w:t>
      </w:r>
      <w:r>
        <w:rPr>
          <w:rStyle w:val="FootnoteAnchor"/>
          <w:rtl w:val="true"/>
        </w:rPr>
        <w:footnoteReference w:id="1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يتخيّر بين الأولين</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وأقوال، والمنسوب إلى المشهور هو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صريح جماعةٍ من القدماء</w:t>
      </w:r>
      <w:r>
        <w:rPr>
          <w:rStyle w:val="FootnoteAnchor"/>
          <w:rtl w:val="true"/>
        </w:rPr>
        <w:footnoteReference w:id="150"/>
      </w:r>
      <w:r>
        <w:rPr>
          <w:rFonts w:ascii="Amiri" w:hAnsi="Amiri" w:eastAsia="Amiri" w:cs="Amiri"/>
          <w:color w:val="111111"/>
          <w:sz w:val="28"/>
          <w:sz w:val="28"/>
          <w:szCs w:val="28"/>
          <w:rtl w:val="true"/>
          <w:lang w:bidi="ar-SA"/>
        </w:rPr>
        <w:t>، وظاهر آخرين</w:t>
      </w:r>
      <w:r>
        <w:rPr>
          <w:rStyle w:val="FootnoteAnchor"/>
          <w:rtl w:val="true"/>
        </w:rPr>
        <w:footnoteReference w:id="151"/>
      </w:r>
      <w:r>
        <w:rPr>
          <w:rFonts w:ascii="Amiri" w:hAnsi="Amiri" w:eastAsia="Amiri" w:cs="Amiri"/>
          <w:color w:val="111111"/>
          <w:sz w:val="28"/>
          <w:sz w:val="28"/>
          <w:szCs w:val="28"/>
          <w:rtl w:val="true"/>
          <w:lang w:bidi="ar-SA"/>
        </w:rPr>
        <w:t>، عدم لزوم إعادة التكبير، ولكن الأظهر هو الثاني، للخبرين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البصري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ضعف 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مبطليّة الزيادة، لا سيّما إذا كان الزائد ركناً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المُعلّى المتقدّم، يرجع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الرّكن للمتابعة لا تضرّ كما تقدّم، لا سيّما وقد دلّت النصوص الخاصّة في المقام على لزومها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رجوع الضمير الى الرّكعة، لا سيّما بعد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 سائر النصوص المتضمّنة لمثل هذا المضمون، وأنّ الاعتداد بالركعة مظنّة التوهّم لإدراك الإمام فيها، كما لو أدركه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الخبرين وخبر البصري، وقد عرفت ما في خبر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بالاستدلال له باعتبار أنّ الأمر بالسجود في الخبرين لوروده مورد توهم الحظر، لا يستفاد منه أزيد من جواز المتابعة واستحبابها، ففي الانتظار والصبر يرجع الى مايقتضيه القواعد، وهو الجواز،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جواز الدخول والمتابعة، أو الانتظار، ولكن الاحتياط بترك الدخول في الصَّلاة، قبل أن يرفع الإمام رأسه من السجدتين، أو ترك متابعته فيهما، أو المُضيّ في الصَّلاة، ثمّ الإعادة لاينبغي تركه، لذهاب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جواز المتابعة، أو استئناف الصَّلاة لو تابع، وإنْ أنكر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52"/>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فرعٍ آخر، وهو ما لو نوى المُصلّي وكبَّر فرفع الإمام رأسه قبل أن يركع، فإنّ وظيفته أن ينفرد وينتظر الى أن يفرغ الإمام عمّا بيده من الرّكعة، فيتابعه في الرّكعة اللّاحقة، ويجعلها الاُولى له، وأن يتابعه في السجدتين، ثمّ يقول بقيامه ولا يعتدّ بما أتى به من السَّجدة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ما اخترناه في 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لكنّه اختار في الفرع الثاني تعيّن الانتظار، لو بقي على اقتداءه، مع أنّ ما دلَّ على جواز المتابعة في السَّجدة الاُولى يدلّ عليه في الثانية، بل هما في الحقيقة متحدان موضوعاً وحُكماً، غاية الأمر في الثانية كان يتخيّل المأموم دَرك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منه استدلاله للمتابعة،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ركع فاركع، فإذا سجد فاسجد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الإشكال عليه، مع أنّه يدلّ عليها ما تقدّم من خبري المُعلّى وابن مسلم، مضافاً الى ما تقدّم ممّا يدلّ على عدم مبطليّة الزيادة إن كانت للمتابعة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المورد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لو أدركه بعد رفع رأسه من السَّجدة الثانية وهو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الدخول معه على المشهور شهرةً عظيمة في التشهّد الثاني، بل لم يُنقل الخلاف إلّاعن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حيث جعل أقصى إدراك الجماعة بإدراك الإمام في السَّجدة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أدلّة الرخصة في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وفحوى ما دلَّ على جوازه في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يُدرك الإمام وهو قاعدٌ يتشهّد، وليس خلفه إلّارجلٌ واحد عن يمينه‌؟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الإمام ولا يتأخّر الرّجل، ولكن يقعد الذي يدخل معه خلف الإمام، فإذا سَلّم الإمام قام الرّجل فأتمّ صلاته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أدرك الإمام وهو جالس بعد الركعتين‌؟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ولا يقعد مع الإمام حتّى يقوم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بظاهر صحيح محمّد بن مسلم المتقدّم، فإنّ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الإمام رأسه من السَّجدة الأخيرة فاتت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وبانتهاء محلّ الاقتداء، بناءً على عدم وجوب المتابعة 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الجمع بين الموثّق والصحيح، يقتضي حمل الصحيح على إرادة إدراك فضل الرّكعة مع الإمام، بإدراكه في السَّجدة الأخيرة، ولا يبعد دعوى ظهور الصحيح في نفسه في ذلك، وحمل الموثّق على إرادة دَرك الفضل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ليس مفهوم الصحيح عدم جواز الدخول، بل عدم إدراك فضل الصَّلاة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لايقاوم مع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الدخول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الجلوس أم لا؟</w:t>
      </w:r>
    </w:p>
    <w:p>
      <w:pPr>
        <w:pStyle w:val="BookText"/>
        <w:rPr/>
      </w:pPr>
      <w:r>
        <w:rPr>
          <w:rFonts w:ascii="Amiri" w:hAnsi="Amiri" w:eastAsia="Amiri" w:cs="Amiri"/>
          <w:color w:val="111111"/>
          <w:sz w:val="28"/>
          <w:sz w:val="28"/>
          <w:szCs w:val="28"/>
          <w:rtl w:val="true"/>
          <w:lang w:bidi="ar-SA"/>
        </w:rPr>
        <w:t>وجهان، بل وجوه، أظهرها التفصيل بين التشهّدين، جمعاً بين الموثّقين، حيث أنّ الأوّل يأمر بالجلوس في التشهّد الثاني، والثاني ينهي عنه في التشهّد الأوّل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عدم التعارض بينهما، إلّابضميمة عدم الفصل غير الثابت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على فرض وجوب الجلوس، هل عليه أن يتشهّد أم لا؟</w:t>
      </w:r>
    </w:p>
    <w:p>
      <w:pPr>
        <w:pStyle w:val="BookText"/>
        <w:rPr/>
      </w:pPr>
      <w:r>
        <w:rPr>
          <w:rFonts w:ascii="Amiri" w:hAnsi="Amiri" w:eastAsia="Amiri" w:cs="Amiri"/>
          <w:color w:val="111111"/>
          <w:sz w:val="28"/>
          <w:sz w:val="28"/>
          <w:szCs w:val="28"/>
          <w:rtl w:val="true"/>
          <w:lang w:bidi="ar-SA"/>
        </w:rPr>
        <w:t>فعن جملةٍ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النصوص وكلمات كثيرٍ من العلماء الأساطين خالية عن التصريح به، فالمتعيّن الإتيان به بعنوان الذكر المطلق، وفي جملةٍ من النصوص أنّ التشهّد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الإمام وقام المأموم، فهل يجب عليه استئناف التكبير، كما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يجب، كما هو المشهور، وعن غير واحدٍ دعوى الإجماع عليه</w:t>
      </w:r>
      <w:r>
        <w:rPr>
          <w:rStyle w:val="FootnoteAnchor"/>
          <w:rtl w:val="true"/>
        </w:rPr>
        <w:footnoteReference w:id="1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أقواهما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لفحوى ما تقدّم في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ولعدم الموجب للإعادة، بعد عدم الإتيان بما يبطل الصَّلاة، لما ستعرف من عدم صدق الزيادة على التشهّد المأتيّ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عليه السلام في موثّق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الرّجل فأتمّ صلاته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 بخبر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منصور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الإمامَ وهو جالسٌ قد صَلّى الركعتين، فكبّر ثمّ اجلس، فإذا قمتَ فكبِّر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الجلوس زيادة في الصَّلاة، لم يُعلم اغتفارها في المقام، لقصور الأدلّة عن إفادة عدم الاستئناف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منسوب إلى المعصوم عليه السلام، وعدم وجدان العامل به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الجلوس المأتي به لا بعنوان أنّه من أجزاء الصَّلاة، لا يصدق عليه الزيادة، لما عرفت من توقّف صدقها على مايؤتى به في المركّب الاعتباري على الإتيان به بقصد أنّه منه، مضافاً إلى الأمر به في الموثّق، وقوله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 صلاته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لزوم استئناف التكبيرة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 w:name="pg11802_153970"/>
    </w:p>
    <w:p>
      <w:pPr>
        <w:pStyle w:val="BookText"/>
        <w:rPr/>
      </w:pPr>
      <w:bookmarkEnd w:id="87"/>
      <w:r>
        <w:rPr>
          <w:rFonts w:ascii="Amiri" w:hAnsi="Amiri" w:eastAsia="Amiri" w:cs="Amiri"/>
          <w:color w:val="111111"/>
          <w:sz w:val="28"/>
          <w:sz w:val="28"/>
          <w:szCs w:val="28"/>
          <w:rtl w:val="true"/>
          <w:lang w:bidi="ar-SA"/>
        </w:rPr>
        <w:t>ولا يقرأ المأمومُ مع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في الإخفاتيّة</w:t>
      </w:r>
    </w:p>
    <w:p>
      <w:pPr>
        <w:pStyle w:val="Heading4"/>
        <w:numPr>
          <w:ilvl w:val="3"/>
          <w:numId w:val="1"/>
        </w:numPr>
        <w:rPr/>
      </w:pPr>
      <w:bookmarkStart w:id="88" w:name="__RefHeading___Toc10531583_73709187"/>
      <w:bookmarkStart w:id="89" w:name="_Toc33"/>
      <w:bookmarkEnd w:id="88"/>
      <w:r>
        <w:rPr>
          <w:rtl w:val="true"/>
        </w:rPr>
        <w:t>فصل</w:t>
      </w:r>
      <w:r>
        <w:rPr>
          <w:rtl w:val="true"/>
        </w:rPr>
        <w:t xml:space="preserve">: </w:t>
      </w:r>
      <w:r>
        <w:rPr>
          <w:rtl w:val="true"/>
        </w:rPr>
        <w:t>في أحكام الجماعة</w:t>
      </w:r>
      <w:r>
        <w:rPr>
          <w:rtl w:val="true"/>
        </w:rPr>
        <w:t>:</w:t>
      </w:r>
      <w:bookmarkEnd w:id="89"/>
    </w:p>
    <w:p>
      <w:pPr>
        <w:pStyle w:val="Heading5"/>
        <w:numPr>
          <w:ilvl w:val="4"/>
          <w:numId w:val="1"/>
        </w:numPr>
        <w:rPr/>
      </w:pPr>
      <w:bookmarkStart w:id="90" w:name="__RefHeading___Toc10531585_73709187"/>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مضافاً إلى ما مرّ في المسائل المتقدّمة، بقى بعض الاُمور يقتضي المقام البحث عنها، فيقع البحث في موارد</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0531587_73709187"/>
      <w:bookmarkStart w:id="93" w:name="_Toc35"/>
      <w:bookmarkEnd w:id="92"/>
      <w:r>
        <w:rPr>
          <w:rtl w:val="true"/>
        </w:rPr>
        <w:t>ولا يقرأ المأموم مع المَرضيّ‌</w:t>
      </w:r>
      <w:bookmarkEnd w:id="93"/>
    </w:p>
    <w:p>
      <w:pPr>
        <w:pStyle w:val="Heading6"/>
        <w:numPr>
          <w:ilvl w:val="5"/>
          <w:numId w:val="1"/>
        </w:numPr>
        <w:rPr/>
      </w:pPr>
      <w:bookmarkStart w:id="94" w:name="__RefHeading___Toc10531589_73709187"/>
      <w:bookmarkStart w:id="95" w:name="_Toc36"/>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يقرأ المأموم مع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القوم في هذه المسألة متشتّتة، حتّى قيل</w:t>
      </w:r>
      <w:r>
        <w:rPr>
          <w:rStyle w:val="FootnoteAnchor"/>
          <w:rtl w:val="true"/>
        </w:rPr>
        <w:footnoteReference w:id="165"/>
      </w:r>
      <w:r>
        <w:rPr>
          <w:rFonts w:ascii="Amiri" w:hAnsi="Amiri" w:eastAsia="Amiri" w:cs="Amiri"/>
          <w:color w:val="111111"/>
          <w:sz w:val="28"/>
          <w:sz w:val="28"/>
          <w:szCs w:val="28"/>
          <w:rtl w:val="true"/>
          <w:lang w:bidi="ar-SA"/>
        </w:rPr>
        <w:t>لم نقف على الخلاف في مسألةٍ في الفقه يبلغ ما في هذه من الأقوال، ومنشأ اختلاف الأقوال اختلاف النصوص، وتنقيح الكلام عنها يتحقّق بالبحث في مسائل</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0531591_73709187"/>
      <w:bookmarkStart w:id="97" w:name="_Toc37"/>
      <w:bookmarkEnd w:id="96"/>
      <w:r>
        <w:rPr>
          <w:rtl w:val="true"/>
        </w:rPr>
        <w:t>القراءة في الإخفاتيّة</w:t>
      </w:r>
      <w:bookmarkEnd w:id="97"/>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القراءة في أولتي الإخفاتيّة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في عدم وجوب القراءة فيهما، إنّما الكلام في أنّها مكروهة كما هو المنسوب إلى المشهور</w:t>
      </w:r>
      <w:r>
        <w:rPr>
          <w:rStyle w:val="FootnoteAnchor"/>
          <w:rtl w:val="true"/>
        </w:rPr>
        <w:footnoteReference w:id="166"/>
      </w:r>
      <w:r>
        <w:rPr>
          <w:rFonts w:ascii="Amiri" w:hAnsi="Amiri" w:eastAsia="Amiri" w:cs="Amiri"/>
          <w:color w:val="111111"/>
          <w:sz w:val="28"/>
          <w:sz w:val="28"/>
          <w:szCs w:val="28"/>
          <w:rtl w:val="true"/>
          <w:lang w:bidi="ar-SA"/>
        </w:rPr>
        <w:t xml:space="preserve">؟ أم غير جائزة،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 والمتن،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وجماعة من متأخّري المتأخّرين‌؟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لأنّه مقتضى الجمع بين النصوص المتضمّنة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الإمام في صلاةٍ لا يَجهر فيها بالقراءة، حتّى يفرغ، وكان الرّجل مأموناً على القرآن، فلا تقرأ خلفه في الأولتين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الصَّلاة التي لا يُجهر فيها بالقراءة، فإنّ ذلك جُعل إليه فلا تقرأ خلفه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خلف إمامٍ فلا تقرأنَّ شيئاً في الأولتين، وانصِت لقراءته</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النصوص الصريحة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عليه السلام عن الركعتين اللّتين يصمت فيهما الإمام، أيقرأ فيهما بالحمد، وهو إمامٌ يُقتدى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قرأت فلا بأس، وإن سكت فلا بأس</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المراد من الصمت هو الإخفات، لتعذّر إرادة معناه الحقيقي منه، 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الركعتين اللّتين يصمت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الأوليان لا الأخيرتان وذلك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سكت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قيل من إنّه متى اُطلق الجهر والإخفات يُراد منهما ما يكون في الأولتين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فهذا الخبر صريحٌ في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المرافقي والبصري،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القراءة خلف الإمام‌؟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الإمام تتولّاه وتثق به، فإنّه يُجزيك قراءته، وإنْ أحببتَ أن تقرأ فاقرأ فيما يُخافت فيه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 منجبرٌ بالشهرة،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الجواز، بل يشهد به صحيح سليمان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أيقرأ الرّجل في الاُولى والعصر خَلف الإمام، وهو لا يعلم أنّه يقرأ؟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يقرأ؛ يُكِله إلى الإمام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الكناية عن عدم سماع قراءته، لا الشكّ في قراءته إذ إرادة الشكّ في القراءة لاحتمال ترك القراءة عمداً، تنافي مع كونه إماماً مرضيّاً، المستكشف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يُكِله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الشكّ فيها لاحتمال تركها نسياناً أو اشتباهاً أبعد، لكونه محكوماً بالقراءة حينئذٍ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وإرادته منه مع حمل الصحيح على خصوص الأخيرتين، اللّتين يكون الإمام فيهما مخيّراً بين القراءة والتسبيح أبعد، إذ لاوجه حينئذٍ لقصر مورد السؤال على خصوص الظهرين، وعليه فهو من جهة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بالجواز، ممّا يقتضي أن تصبح الكراهة هي الأظهر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8" w:name="pg11802_153973"/>
    </w:p>
    <w:p>
      <w:pPr>
        <w:pStyle w:val="Heading6"/>
        <w:numPr>
          <w:ilvl w:val="5"/>
          <w:numId w:val="1"/>
        </w:numPr>
        <w:rPr/>
      </w:pPr>
      <w:bookmarkStart w:id="99" w:name="__RefHeading___Toc10531593_73709187"/>
      <w:bookmarkStart w:id="100" w:name="_Toc38"/>
      <w:bookmarkEnd w:id="98"/>
      <w:bookmarkEnd w:id="99"/>
      <w:r>
        <w:rPr>
          <w:rtl w:val="true"/>
        </w:rPr>
        <w:t>حكم القراءة في الأولتين من الجَهريّة</w:t>
      </w:r>
      <w:bookmarkEnd w:id="10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القراءة في الأولتين من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سمع قراءة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w:t>
      </w:r>
      <w:r>
        <w:rPr>
          <w:rStyle w:val="FootnoteAnchor"/>
          <w:rtl w:val="true"/>
        </w:rPr>
        <w:footnoteReference w:id="177"/>
      </w:r>
      <w:r>
        <w:rPr>
          <w:rFonts w:ascii="Amiri" w:hAnsi="Amiri" w:eastAsia="Amiri" w:cs="Amiri"/>
          <w:color w:val="111111"/>
          <w:sz w:val="28"/>
          <w:sz w:val="28"/>
          <w:szCs w:val="28"/>
          <w:rtl w:val="true"/>
          <w:lang w:bidi="ar-SA"/>
        </w:rPr>
        <w:t>في مرجوحيّة القراءة، إنّما الكلام في أنّها محرّمة كما عن ظاهر جماعة من القدماء</w:t>
      </w:r>
      <w:r>
        <w:rPr>
          <w:rStyle w:val="FootnoteAnchor"/>
          <w:rtl w:val="true"/>
        </w:rPr>
        <w:footnoteReference w:id="178"/>
      </w:r>
      <w:r>
        <w:rPr>
          <w:rFonts w:ascii="Amiri" w:hAnsi="Amiri" w:eastAsia="Amiri" w:cs="Amiri"/>
          <w:color w:val="111111"/>
          <w:sz w:val="28"/>
          <w:sz w:val="28"/>
          <w:szCs w:val="28"/>
          <w:rtl w:val="true"/>
          <w:lang w:bidi="ar-SA"/>
        </w:rPr>
        <w:t>، وصريح كثيرٍ من المتأخّرين، أم مكروهة كما هو المنسوب إلى الأشهر</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ويشهد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خلف إمامٍ‌، فلا تقرأنّ شيئاً في الأولتين، وانصت لقراءته، ولا تقرأنَّ شيئاً في الأخيرتين، فإنّ اللّه عزّ وجلّ يقول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 أَنْصِتُوا لَعَلَّكُمْ تُرْحَمُونَ‌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الثالث أو حسنه،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تأتمّ به فانصت وسبّح في نفسك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قتيبة أو حسنه، عن الإمام الصادق عليه السلام، الوارد فيما يجهر فيه بالقراءة،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تسمع الهمهمة فلا تقرأ</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الظاهرة جميعها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بالكراهة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هذه النصوص عُلِّل بالإنصات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بعضها أنّ النهي عنها إنّما يكون بملاحظة مطلوبيّة الإنصات، وحيثُ لا ريب في أنّ الإنصات ليس بواجبٍ‌، فلا مناص عن حمل النهي على الكراهة، لعدم إمكان الالتزام بحرمة شيء لأجل التوصّل إلى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يُعلّل النهي عنها في شيء من الأخبار بالإنصات، بل في بعضها جمعٌ بين الأمر بالإنصات، والنهي عن القراءة، وهذا لا يدلّ على أنّ الأوّل علّة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واستشهاده عليه السلام في صحيح زرارة بالآية الشريفة، يمكن أن يكون بلحاظ الأمر بالإنصات، لا بلحاظ النهي عن القراءة، كما هو كذلك في خبر المرافقي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الإنصات المأمور به، هو السكوت عن القراءة، لا عن كلّ شيء، لقوله عليه السلام في صحيح زرارة 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فانصت وسبّح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فيكون الأمر به باقياً على ظاهره من اللّزوم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كونه علّة، فيمكن أن يكون من قبيل الحكمة لاالعلّة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النهي عنها في مورد توهّم الوجوب، فلاظهور له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ظهوره فيها لاينكر، لاحظ قوله عليه السلام في 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صوته فهو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الإجزاء مشعرٌ بعدم المشروعيّة، ويشهد لإرادته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مافيه من الشرطيّة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يسمع صوته قرأ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حُملت الاُولى على الجواز، كان مفاد الثانية وجوب القراءة مع عدم السّماع،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جملةٍ من الروايات، جَمَع الجهريّة والإخفاتيّة في النهي عن القراءة فيهما، وحيث إنّه قام الدليل على إرادة الكراهة منه بالنسبة إلى الإخفاتيّة، فلابدّ من حمله عليها بالإضافة إلى الجهريّة أيضاً، وإلّا لزم استعمال اللّفظ في معنيين أو عموم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حقّقنا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والكراهة خارجتان عن الموضوع له، والمستعمل فيه، بل النهي في الموردين مستعملٌ في معنى واحد، وهما تنتزعان من الترخيص في الفعل وعدمه، فإرادة الحرمة منه بالنسبة إلى الجهريّة، والكراهة بالإضافة إلى الإخفاتيّة، لا توجبان استعمال اللّفظ في غير ما وضع له ولا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جواز القراءة إذا سمع قراءة الإمام، ولو همهمته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جواز القراءة، إنّما الكلام في أنّها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تكون واجبة،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وغيرها؟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تكون مستحبّة، كما هو المنسوب إلى المشهور</w:t>
      </w:r>
      <w:r>
        <w:rPr>
          <w:rStyle w:val="FootnoteAnchor"/>
          <w:rtl w:val="true"/>
        </w:rPr>
        <w:footnoteReference w:id="18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تكون مباحة، كما عن الرّاوندي</w:t>
      </w:r>
      <w:r>
        <w:rPr>
          <w:rStyle w:val="FootnoteAnchor"/>
          <w:rtl w:val="true"/>
        </w:rPr>
        <w:footnoteReference w:id="190"/>
      </w:r>
      <w:r>
        <w:rPr>
          <w:rFonts w:ascii="Amiri" w:hAnsi="Amiri" w:eastAsia="Amiri" w:cs="Amiri"/>
          <w:color w:val="111111"/>
          <w:sz w:val="28"/>
          <w:sz w:val="28"/>
          <w:szCs w:val="28"/>
          <w:rtl w:val="true"/>
          <w:lang w:bidi="ar-SA"/>
        </w:rPr>
        <w:t>، وابن نَما</w:t>
      </w:r>
      <w:r>
        <w:rPr>
          <w:rStyle w:val="FootnoteAnchor"/>
          <w:rtl w:val="true"/>
        </w:rPr>
        <w:footnoteReference w:id="191"/>
      </w:r>
      <w:r>
        <w:rPr>
          <w:rFonts w:ascii="Amiri" w:hAnsi="Amiri" w:eastAsia="Amiri" w:cs="Amiri"/>
          <w:color w:val="111111"/>
          <w:sz w:val="28"/>
          <w:sz w:val="28"/>
          <w:szCs w:val="28"/>
          <w:rtl w:val="true"/>
          <w:lang w:bidi="ar-SA"/>
        </w:rPr>
        <w:t>، والقاضي</w:t>
      </w:r>
      <w:r>
        <w:rPr>
          <w:rStyle w:val="FootnoteAnchor"/>
          <w:rtl w:val="true"/>
        </w:rPr>
        <w:footnoteReference w:id="1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وفيه بعد النهي عن القراءة،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صلاة تُجهر فيها بالقراءة، ولم تسمع فاقرأ</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الوارد في الجهريّة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تسمع فاقرأ</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هذه النصوص، وإنْ كان هو الوجوب، إلّاأنّه لابدَّ من رفع اليد عنه، وحملها على الاستحباب، لصراحة بعض النصوص في جواز الترك، كصحيح عليّ بن يقطين، عن أبي الحسن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خلف إمامٍ يُقتدى به في صلاة يُجهر فيها بالقراءة، فلايسمع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1" w:name="pg11802_153977"/>
    </w:p>
    <w:p>
      <w:pPr>
        <w:pStyle w:val="BookText"/>
        <w:rPr/>
      </w:pPr>
      <w:bookmarkEnd w:id="101"/>
      <w:r>
        <w:rPr>
          <w:rFonts w:ascii="Amiri" w:hAnsi="Amiri" w:eastAsia="Amiri" w:cs="Amiri"/>
          <w:color w:val="111111"/>
          <w:sz w:val="28"/>
          <w:sz w:val="28"/>
          <w:szCs w:val="28"/>
          <w:rtl w:val="true"/>
          <w:lang w:bidi="ar-SA"/>
        </w:rPr>
        <w:t>القراءة‌؟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صمت وإنْ قرأ</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فالجمع بين الطائفتين يقتضي القول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بالقراءة في تلك النصوص، لوروده مورد توهم الحَظر، لا يستفاد منه أزيد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الأمر بالعبادة في مورد توهّم الحَظر، محمولٌ على إرادة الاستحباب، فلو تَمّ القول بورود الأمر في هذه النصوص مورد توهّم الحَظر، 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باستحباب القراءة في هذا المورد</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0531595_73709187"/>
      <w:bookmarkStart w:id="103" w:name="_Toc39"/>
      <w:bookmarkEnd w:id="102"/>
      <w:r>
        <w:rPr>
          <w:rtl w:val="true"/>
        </w:rPr>
        <w:t>حكم القراءة في الأخيرتين من الإخفاتيّة</w:t>
      </w:r>
      <w:bookmarkEnd w:id="10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القراءة في الأخيرتين من الإخفاتيّة، فقد اختلفت فيها كلمات القوم، وكَثُرت أقوالهم، والذي يهمّنا البحث عنه في المقام عن أنّه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لا يجب على المأموم شيءٌ من القراءة والتسبيح في الأخيرتين من الإخفاتيّة، كما عن السيّد</w:t>
      </w:r>
      <w:r>
        <w:rPr>
          <w:rStyle w:val="FootnoteAnchor"/>
          <w:rtl w:val="true"/>
        </w:rPr>
        <w:footnoteReference w:id="196"/>
      </w:r>
      <w:r>
        <w:rPr>
          <w:rFonts w:ascii="Amiri" w:hAnsi="Amiri" w:eastAsia="Amiri" w:cs="Amiri"/>
          <w:color w:val="111111"/>
          <w:sz w:val="28"/>
          <w:sz w:val="28"/>
          <w:szCs w:val="28"/>
          <w:rtl w:val="true"/>
          <w:lang w:bidi="ar-SA"/>
        </w:rPr>
        <w:t>في ظاهر كلامه، وأبناء إدريس</w:t>
      </w:r>
      <w:r>
        <w:rPr>
          <w:rStyle w:val="FootnoteAnchor"/>
          <w:rtl w:val="true"/>
        </w:rPr>
        <w:footnoteReference w:id="197"/>
      </w:r>
      <w:r>
        <w:rPr>
          <w:rFonts w:ascii="Amiri" w:hAnsi="Amiri" w:eastAsia="Amiri" w:cs="Amiri"/>
          <w:color w:val="111111"/>
          <w:sz w:val="28"/>
          <w:sz w:val="28"/>
          <w:szCs w:val="28"/>
          <w:rtl w:val="true"/>
          <w:lang w:bidi="ar-SA"/>
        </w:rPr>
        <w:t>وحمزة</w:t>
      </w:r>
      <w:r>
        <w:rPr>
          <w:rStyle w:val="FootnoteAnchor"/>
          <w:rtl w:val="true"/>
        </w:rPr>
        <w:footnoteReference w:id="198"/>
      </w:r>
      <w:r>
        <w:rPr>
          <w:rFonts w:ascii="Amiri" w:hAnsi="Amiri" w:eastAsia="Amiri" w:cs="Amiri"/>
          <w:color w:val="111111"/>
          <w:sz w:val="28"/>
          <w:sz w:val="28"/>
          <w:szCs w:val="28"/>
          <w:rtl w:val="true"/>
          <w:lang w:bidi="ar-SA"/>
        </w:rPr>
        <w:t>والسّعيد</w:t>
      </w:r>
      <w:r>
        <w:rPr>
          <w:rStyle w:val="FootnoteAnchor"/>
          <w:rtl w:val="true"/>
        </w:rPr>
        <w:footnoteReference w:id="199"/>
      </w:r>
      <w:r>
        <w:rPr>
          <w:rFonts w:ascii="Amiri" w:hAnsi="Amiri" w:eastAsia="Amiri" w:cs="Amiri"/>
          <w:color w:val="111111"/>
          <w:sz w:val="28"/>
          <w:sz w:val="28"/>
          <w:szCs w:val="28"/>
          <w:rtl w:val="true"/>
          <w:lang w:bidi="ar-SA"/>
        </w:rPr>
        <w:t xml:space="preserve">والمصنّف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لا يجوز شيءٌ منهما، كما عن الحِلّي</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يجوز القراءة خاصّة، ويتعيّن التسبيح، كما عن ظاهر غير واحد</w:t>
      </w:r>
      <w:r>
        <w:rPr>
          <w:rStyle w:val="FootnoteAnchor"/>
          <w:rtl w:val="true"/>
        </w:rPr>
        <w:footnoteReference w:id="2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يتخيّر بينهما؟</w:t>
      </w:r>
    </w:p>
    <w:p>
      <w:pPr>
        <w:pStyle w:val="BookText"/>
        <w:rPr/>
      </w:pPr>
      <w:r>
        <w:rPr>
          <w:rFonts w:ascii="Amiri" w:hAnsi="Amiri" w:eastAsia="Amiri" w:cs="Amiri"/>
          <w:color w:val="111111"/>
          <w:sz w:val="28"/>
          <w:sz w:val="28"/>
          <w:szCs w:val="28"/>
          <w:rtl w:val="true"/>
          <w:lang w:bidi="ar-SA"/>
        </w:rPr>
        <w:t>وأيضاً يجب البحث عن أنّه على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الأفضل هو التسبيح، أو القراءة، أو هما سواء؟</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أشبعنا الكلام عن هذه الاُمور في مبحث القراءة من هذا الشرح، والأظهر عندنا هو الأخير، لإطلاق أدلّة التخيير، ولصحيح ابن سنان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الإجزاء في عدم تعيّنه، وكفاية كلّ منهما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القراءة خلف الإمام، وأنّه ضامنٌ لقراءة مَنْ خلفه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هذه النصوص، إرادة القراءة في الأولتين اللّتين يتعيّن فيهما تلك، دون الأخيرتين اللّتين لم يتعلّق الوجوب فيهما بالقراءة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القراءة فيهما، لا يقتضي عدم وجوب شيء عليه حتّى التسبيح، فإنّ الواجب التخييري إذا تعذّر بعض إطلاقه أو تعلّق النهي به أصبح الآخر متعيّناً، فلازم هذا لو تمّ تعيّن التسبيح، لا عدم وجوب شيءٍ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سنان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مأموناً على القرآن، فلا تقرأ خلفه في الأخيرتين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جُملةٍ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عين صحيح ابن سنان المتقدّم في أوّل المبحث، وقد وردَ فيه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سهو المحقّق في ضبط الخبر، ولو لم يتمّ ذلك فهو مرسلٌ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النهي عن القراءة، من دون أن يدلّ على عدم وجوب التسبيح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وإنْكنتَ خلف إمامٍ‌، فلا تقرأنّ شيئاً في الأولتين، وانصِتْ لقراءته، ولا تقرأنَّ شيئاً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فالأخيرتان تبعان للأولتين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مورده الجهريّة، فلا وجه للتعدّي منها إلى الإخفاتيّة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على النهي عن القراءة، ولا يدلّ على عدم جوب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يقطين المتقدّم، بدعوى أنّ الركعتين اللّتين يَصمُتُ فيهما الإمام هما الأخيرتان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اختصاصه بالأولتين من الإخفاتيّة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خالد المتقدّم بدعوى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أنّه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يدري أنّه يقرأ أو يسبِّح، فيكون مختصّاً بالأخيرتين، فجوابه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عدم الوجوب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المراد منه عدم السّماع، فراجع</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04" w:name="pg11802_153980"/>
    </w:p>
    <w:p>
      <w:pPr>
        <w:pStyle w:val="BookText"/>
        <w:rPr/>
      </w:pPr>
      <w:bookmarkEnd w:id="104"/>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السيّد</w:t>
      </w:r>
      <w:r>
        <w:rPr>
          <w:rStyle w:val="FootnoteAnchor"/>
          <w:rtl w:val="true"/>
        </w:rPr>
        <w:footnoteReference w:id="207"/>
      </w:r>
      <w:r>
        <w:rPr>
          <w:rFonts w:ascii="Amiri" w:hAnsi="Amiri" w:eastAsia="Amiri" w:cs="Amiri"/>
          <w:color w:val="111111"/>
          <w:sz w:val="28"/>
          <w:sz w:val="28"/>
          <w:szCs w:val="28"/>
          <w:rtl w:val="true"/>
          <w:lang w:bidi="ar-SA"/>
        </w:rPr>
        <w:t>والحِلّي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الأُخريان فالأولى أن يقرأ فيهما أو 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أنّه ليس عليه ذلك</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لإرسالهما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بعدم وجوب شيء فيهما ضعيفٌ‌، وأضعفُ منه القول بعدم الجواز، لأنّ مدركه بعض ما تقدّم، وقد 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بتعيّن التسبيح، وعدم جواز القراءة، فبعض النصوص وإنْ كان ظاهراً فيه، إلّاأنّ الجمع بينه وبين غيره، كصحيح ابن سنان يقتضي الحمل على الاستحباب والأفضليّة، كما مرّ تفصيله في مبحث القراءة من شرحنا هذا، فراجع</w:t>
      </w:r>
      <w:r>
        <w:rPr>
          <w:rFonts w:eastAsia="Amiri" w:cs="Amiri" w:ascii="Amiri" w:hAnsi="Amiri"/>
          <w:color w:val="111111"/>
          <w:sz w:val="28"/>
          <w:szCs w:val="28"/>
          <w:rtl w:val="true"/>
          <w:lang w:bidi="ar-SA"/>
        </w:rPr>
        <w:t>.</w:t>
      </w:r>
      <w:r>
        <w:rPr>
          <w:rStyle w:val="FootnoteAnchor"/>
          <w:rtl w:val="true"/>
        </w:rPr>
        <w:footnoteReference w:id="211"/>
      </w:r>
    </w:p>
    <w:p>
      <w:pPr>
        <w:pStyle w:val="Heading6"/>
        <w:numPr>
          <w:ilvl w:val="5"/>
          <w:numId w:val="1"/>
        </w:numPr>
        <w:rPr/>
      </w:pPr>
      <w:bookmarkStart w:id="105" w:name="__RefHeading___Toc10531597_73709187"/>
      <w:bookmarkStart w:id="106" w:name="_Toc40"/>
      <w:bookmarkEnd w:id="105"/>
      <w:r>
        <w:rPr>
          <w:rtl w:val="true"/>
        </w:rPr>
        <w:t>حكم القراءة في الأخيرتين من الجهريّة</w:t>
      </w:r>
      <w:bookmarkEnd w:id="10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القراءة في الأخيرتين من الجهريّة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فيهما للمأموم اختيار التسبيح، وذلك لأنّ صحيح زرارة المتقدّم، الدالّ على النهي عن القراءة مختصٌّ بالجهريّة، وهو أخصّ من صحيح ابن </w:t>
      </w:r>
      <w:bookmarkStart w:id="107" w:name="pg11802_153981"/>
    </w:p>
    <w:p>
      <w:pPr>
        <w:pStyle w:val="BookText"/>
        <w:rPr/>
      </w:pPr>
      <w:bookmarkEnd w:id="107"/>
      <w:r>
        <w:rPr>
          <w:rFonts w:ascii="IRNazanin" w:hAnsi="IRNazanin" w:eastAsia="IRNazanin"/>
          <w:color w:val="111111"/>
          <w:sz w:val="28"/>
          <w:sz w:val="28"/>
          <w:szCs w:val="28"/>
          <w:rtl w:val="true"/>
          <w:lang w:bidi="fa-IR"/>
        </w:rPr>
        <w:t>سنان</w:t>
      </w:r>
      <w:r>
        <w:rPr>
          <w:rStyle w:val="FootnoteAnchor"/>
          <w:rtl w:val="true"/>
        </w:rPr>
        <w:footnoteReference w:id="212"/>
      </w:r>
      <w:r>
        <w:rPr>
          <w:rFonts w:ascii="Amiri" w:hAnsi="Amiri" w:eastAsia="Amiri" w:cs="Amiri"/>
          <w:color w:val="111111"/>
          <w:sz w:val="28"/>
          <w:sz w:val="28"/>
          <w:szCs w:val="28"/>
          <w:rtl w:val="true"/>
          <w:lang w:bidi="ar-SA"/>
        </w:rPr>
        <w:t>وغيره</w:t>
      </w:r>
      <w:r>
        <w:rPr>
          <w:rStyle w:val="FootnoteAnchor"/>
          <w:rtl w:val="true"/>
        </w:rPr>
        <w:footnoteReference w:id="213"/>
      </w:r>
      <w:r>
        <w:rPr>
          <w:rFonts w:ascii="Amiri" w:hAnsi="Amiri" w:eastAsia="Amiri" w:cs="Amiri"/>
          <w:color w:val="111111"/>
          <w:sz w:val="28"/>
          <w:sz w:val="28"/>
          <w:szCs w:val="28"/>
          <w:rtl w:val="true"/>
          <w:lang w:bidi="ar-SA"/>
        </w:rPr>
        <w:t>، ممّا دلّ على التخيير، أو تضمّن الأمر بالقراءة كخبر أبي خديجة</w:t>
      </w:r>
      <w:r>
        <w:rPr>
          <w:rStyle w:val="FootnoteAnchor"/>
          <w:rtl w:val="true"/>
        </w:rPr>
        <w:footnoteReference w:id="214"/>
      </w:r>
      <w:r>
        <w:rPr>
          <w:rFonts w:ascii="Amiri" w:hAnsi="Amiri" w:eastAsia="Amiri" w:cs="Amiri"/>
          <w:color w:val="111111"/>
          <w:sz w:val="28"/>
          <w:sz w:val="28"/>
          <w:szCs w:val="28"/>
          <w:rtl w:val="true"/>
          <w:lang w:bidi="ar-SA"/>
        </w:rPr>
        <w:t>، فالجمع بين النصوص يوجبُ البناء على تعيّن التسبيح في الجهريّة، ولكن لعدم القول بالفصل، لا يمكن الالتزام بذلك،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ثبوت التخيير في الإخفاتيّة، مع أفضليّة التسبيح، وأنّ الأحوط في الجهريّة اختياره، بل لا ينبغي تركه</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0531599_73709187"/>
      <w:bookmarkStart w:id="109" w:name="_Toc41"/>
      <w:bookmarkEnd w:id="108"/>
      <w:r>
        <w:rPr>
          <w:rtl w:val="true"/>
        </w:rPr>
        <w:t>تنبيهات القراءة</w:t>
      </w:r>
      <w:bookmarkEnd w:id="109"/>
    </w:p>
    <w:p>
      <w:pPr>
        <w:pStyle w:val="Heading6"/>
        <w:numPr>
          <w:ilvl w:val="5"/>
          <w:numId w:val="1"/>
        </w:numPr>
        <w:rPr/>
      </w:pPr>
      <w:bookmarkStart w:id="110" w:name="__RefHeading___Toc10531601_73709187"/>
      <w:bookmarkStart w:id="111" w:name="_Toc42"/>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0531603_73709187"/>
      <w:bookmarkStart w:id="113" w:name="_Toc43"/>
      <w:bookmarkEnd w:id="112"/>
      <w:r>
        <w:rPr>
          <w:rtl w:val="true"/>
        </w:rPr>
        <w:t>جواز الاشتغال بالتسبيح والتحميد والصَّلاة على النبيّ وآله صلى الله عليه و آله</w:t>
      </w:r>
      <w:bookmarkEnd w:id="113"/>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جواز الاشتغال بالتسبيح والتحميد والصَّلاة على النبيّ وآله صلى الله عليه و آله عند ترك القراءة في الأولتين من الإخفاتيّة، لشهادة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يُصلّي خلف إمام يُقتدي به في الظهر والعصر،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يسبِّح ويَحمد ربّه، ويُصلّي على نبيّه صلى الله عليه و آله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بكر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للمؤمن أن يُصلّي خلف الإمام صلاةً لا يجهر فيها بالقراءة، فيقوم كأنّه جماد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فيصنع ماذا؟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الأوليين من الجهريّة، فلا كلام أيضاً في الجوار، مع عدم سماع القراءة، للعمومات، وعدم مانع عن شمولها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النصوص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ماظاهره لزوم الإنصات للقراءة،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وأنصت لقراءته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الاشتغال بالدّعاء، كصحيح أبي المعزا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فسأله حفص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خَلف الإمام وهو يجهر بالقراءة، فأدعو وأتعوّذ؟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الجمع بينهما، كحسن زرارة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فأنْصِت وسبّح في نفسك</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الأوّل بصورة السّماع، إذ لامعنى لوجوب الإنصات مع عدم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على صورة عدم السّماع لأخصيّة الأوّل عنه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على إرادة حديث النفس من التسبيح في النفس، كما هو ظاهرٌ لا الذّكر الخَفيّ‌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4" w:name="pg11802_153983"/>
    </w:p>
    <w:p>
      <w:pPr>
        <w:pStyle w:val="BookText"/>
        <w:rPr/>
      </w:pPr>
      <w:bookmarkEnd w:id="114"/>
      <w:r>
        <w:rPr>
          <w:rFonts w:ascii="Amiri" w:hAnsi="Amiri" w:eastAsia="Amiri" w:cs="Amiri"/>
          <w:color w:val="111111"/>
          <w:sz w:val="28"/>
          <w:sz w:val="28"/>
          <w:szCs w:val="28"/>
          <w:rtl w:val="true"/>
          <w:lang w:bidi="ar-SA"/>
        </w:rPr>
        <w:t>والإجماعُ‌</w:t>
      </w:r>
      <w:r>
        <w:rPr>
          <w:rStyle w:val="FootnoteAnchor"/>
          <w:rtl w:val="true"/>
        </w:rPr>
        <w:footnoteReference w:id="220"/>
      </w:r>
      <w:r>
        <w:rPr>
          <w:rFonts w:ascii="Amiri" w:hAnsi="Amiri" w:eastAsia="Amiri" w:cs="Amiri"/>
          <w:color w:val="111111"/>
          <w:sz w:val="28"/>
          <w:sz w:val="28"/>
          <w:szCs w:val="28"/>
          <w:rtl w:val="true"/>
          <w:lang w:bidi="ar-SA"/>
        </w:rPr>
        <w:t>على عدم لزوم الإنصات، لا ينافي ما ذكرناه، فتدبّر</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0531605_73709187"/>
      <w:bookmarkStart w:id="116" w:name="_Toc44"/>
      <w:bookmarkEnd w:id="115"/>
      <w:r>
        <w:rPr>
          <w:rtl w:val="true"/>
        </w:rPr>
        <w:t>المراد من السّماع هو السّماع الفعلي</w:t>
      </w:r>
      <w:bookmarkEnd w:id="116"/>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عليه الحكم في هذه النصوص، هو السّماع الفعلي في مقابل عدمه كذلك، من غير فرقٍ بين استناده إلى بُعد المأموم عن الإمام، أو كونه أصمّ أو غير ذلك من موانع السّماع، لأنّ الظاهر من كلّ عنوانٍ مأخوذ في الدليل دخل فعليّته في الحكم، وحمله على إرادة الشأني منه، يحتاجُ إلى قرينةٍ مفقودة في المقام</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0531607_73709187"/>
      <w:bookmarkStart w:id="118" w:name="_Toc45"/>
      <w:bookmarkEnd w:id="117"/>
      <w:r>
        <w:rPr>
          <w:rtl w:val="true"/>
        </w:rPr>
        <w:t>إذا سمع بعض قراءة الإمام</w:t>
      </w:r>
      <w:bookmarkEnd w:id="118"/>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بعض قراءة الإمام، ولم يسمع بعضها، ففيه وجوهٌ وأقوال</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القراءة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المقدار الذى يسمعه فلايجوز، والمقدار الذي لم يسمعه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النصوص إلى سماع الكُلّ‌، فلو لم يسمع الجميع لا يسقط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القراءة معلّقٌ على عدم السّماع، ومقتضى إطلاقه عدم سماع شيءٍ منها، فمع سماع البعض لم يتحقّق الموضوع، فلا يجوز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السّماع مطلقٌ ويكون القراءة مقيّدة بما سمع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هو الثاني، فإنّه علّق عدم الجواز في بعض النصوص على عدم السّماع، ولو الهمهمة، فإنّ سماع الهمهمة غالباً يكون بسماع البعض فتأمّل، والاحتياط سبيل النجاة</w:t>
      </w:r>
      <w:r>
        <w:rPr>
          <w:rFonts w:eastAsia="Amiri" w:cs="Amiri" w:ascii="Amiri" w:hAnsi="Amiri"/>
          <w:color w:val="111111"/>
          <w:sz w:val="28"/>
          <w:szCs w:val="28"/>
          <w:rtl w:val="true"/>
          <w:lang w:bidi="ar-SA"/>
        </w:rPr>
        <w:t xml:space="preserve">. </w:t>
      </w:r>
      <w:bookmarkStart w:id="119" w:name="pg11802_153984"/>
    </w:p>
    <w:p>
      <w:pPr>
        <w:pStyle w:val="Heading6"/>
        <w:numPr>
          <w:ilvl w:val="5"/>
          <w:numId w:val="1"/>
        </w:numPr>
        <w:rPr/>
      </w:pPr>
      <w:bookmarkStart w:id="120" w:name="__RefHeading___Toc10531609_73709187"/>
      <w:bookmarkStart w:id="121" w:name="_Toc46"/>
      <w:bookmarkEnd w:id="119"/>
      <w:bookmarkEnd w:id="120"/>
      <w:r>
        <w:rPr>
          <w:rtl w:val="true"/>
        </w:rPr>
        <w:t>لو شكّ في سماع القراءة</w:t>
      </w:r>
      <w:bookmarkEnd w:id="121"/>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سماع القراءة، أو كون المسموع صوت الإمام، أو غيره، لا يبعد القول بجواز القراءة من جهة استصحاب عدم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المتيقّن عدم السّماع، لعدم القراءة، والمشكوك فيه عدم السّماع مع فرض القراءة، لا يوجبان تعدّد المشكوك فيه والمتيقّن، كي لايجري الاستصحاب، لما حُقّق في محلّه من جريان الأصل في العدم الأزلي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السّماع في الفرض الثاني معلومٌ‌، وإنّما الشكّ في تعلّقه بصوت الإمام، فلا يجري 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يجري في تعلّقه بصوت الإمام، على المختار من جريان الأصل في العدم الأزلي، مع أنّ استصحاب عدم تحقّق المقيّد، أي عدم سماع صوت الإمام يجري، ولا يُعارضه أصالة عدم سماع صوت غيره، لعدم جريانها في نفسها لعدم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القراءة حينئذٍ</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0531611_73709187"/>
      <w:bookmarkStart w:id="123" w:name="_Toc47"/>
      <w:bookmarkEnd w:id="122"/>
      <w:r>
        <w:rPr>
          <w:rtl w:val="true"/>
        </w:rPr>
        <w:t>لا يجبُ على المأموم الطمأنينة حال قراءة الإمام</w:t>
      </w:r>
      <w:bookmarkEnd w:id="123"/>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المأموم الطمأنينة حال قراءة الإمام،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ما دلَّ على ضمان الإمام للقراءة في ضمانه لها بما يتبعها من الشرائط التي منها الطمأنينة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الطمأنينة مختصٌّ بقراءة نفسه، فهو في نفسه لايشمل حال قراءة الإمام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 القيام من أوّل قيام الإمام‌؟ أم يجب عليه ذلك ولو بأنْ‌ </w:t>
      </w:r>
      <w:bookmarkStart w:id="124" w:name="pg11802_153985"/>
    </w:p>
    <w:p>
      <w:pPr>
        <w:pStyle w:val="BookText"/>
        <w:rPr/>
      </w:pPr>
      <w:bookmarkEnd w:id="124"/>
      <w:r>
        <w:rPr>
          <w:rFonts w:ascii="Amiri" w:hAnsi="Amiri" w:eastAsia="Amiri" w:cs="Amiri"/>
          <w:color w:val="111111"/>
          <w:sz w:val="28"/>
          <w:sz w:val="28"/>
          <w:szCs w:val="28"/>
          <w:rtl w:val="true"/>
          <w:lang w:bidi="ar-SA"/>
        </w:rPr>
        <w:t>يلحقه في آخر قيامه‌؟ أم لا يجب عليه أصلاً؟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متابعته، فإنّ ذلك واجبٌ عليه، وتحقيقاً لها يجب عليه أن يقوم مع الإمام من حين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دلَّ على أنّه لو أدرك الإمام في آخر القراءة، فقد أدرك ما قبله، مختصٌّ بأوّل الشروع في الجماعة، أو مع المعذوريّة في ترك المتابعة، ولا علاقة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لا تجب المتابعة، إلّاأنّه بما أنّ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شرطٌ للصلاة، ولا دليل على ضمان الإمام لغير القراءة، فلابدّ من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القيام من شرائط القراءة لا الصَّلاة، فالإمام ضامنٌ له بتبع ضمانه للقراءة</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0531613_73709187"/>
      <w:bookmarkStart w:id="126" w:name="_Toc48"/>
      <w:bookmarkEnd w:id="125"/>
      <w:r>
        <w:rPr>
          <w:rtl w:val="true"/>
        </w:rPr>
        <w:t>القراءة خلف المخالف</w:t>
      </w:r>
      <w:bookmarkEnd w:id="126"/>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القراءة خلف من لا يُعتدّ بقراءته كالمخالفين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كثيرٍ من الأخبار</w:t>
      </w:r>
      <w:r>
        <w:rPr>
          <w:rStyle w:val="FootnoteAnchor"/>
          <w:rtl w:val="true"/>
        </w:rPr>
        <w:footnoteReference w:id="223"/>
      </w:r>
      <w:r>
        <w:rPr>
          <w:rFonts w:ascii="Amiri" w:hAnsi="Amiri" w:eastAsia="Amiri" w:cs="Amiri"/>
          <w:color w:val="111111"/>
          <w:sz w:val="28"/>
          <w:sz w:val="28"/>
          <w:szCs w:val="28"/>
          <w:rtl w:val="true"/>
          <w:lang w:bidi="ar-SA"/>
        </w:rPr>
        <w:t>الحَثّ على الصَّلاة مع المخالف، وفي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معهم في الصَّف الأوّل، كان كمَنْ صَلّى خلف رسول اللّه صلى الله عليه و آله في الصَّف الأوّل</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معهم في الصَّف الأوّل، كالشّاهر سيفه في سبيل اللّه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فلا إشكال في أصل مطلوبيّتها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حكم القراءة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w:t>
      </w:r>
      <w:r>
        <w:rPr>
          <w:rStyle w:val="FootnoteAnchor"/>
          <w:rtl w:val="true"/>
        </w:rPr>
        <w:footnoteReference w:id="226"/>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تجبُ القراءة التامّة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عدم التمكّن يكتفي منها بحديث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عدم التمكّن أصلاً تسقط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تمكّن من إتيان بعضها أتى بها خاصّة، وتسقط البقيّة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المستفاد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Style w:val="FootnoteAnchor"/>
          <w:rtl w:val="true"/>
        </w:rPr>
        <w:footnoteReference w:id="227"/>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إمامٍ لا يُقتدى به، فاقرأ خلفه، سمعتَ قرائته أو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وجوب القراءة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w:t>
      </w:r>
      <w:r>
        <w:rPr>
          <w:rStyle w:val="FootnoteAnchor"/>
          <w:rtl w:val="true"/>
        </w:rPr>
        <w:footnoteReference w:id="228"/>
      </w:r>
      <w:r>
        <w:rPr>
          <w:rFonts w:ascii="Amiri" w:hAnsi="Amiri" w:eastAsia="Amiri" w:cs="Amiri"/>
          <w:color w:val="111111"/>
          <w:sz w:val="28"/>
          <w:sz w:val="28"/>
          <w:szCs w:val="28"/>
          <w:rtl w:val="true"/>
          <w:lang w:bidi="ar-SA"/>
        </w:rPr>
        <w:t>،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خلف من لا يُقتدى به بصلاته، والإمام يجهر بالقراءة‌؟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لنفسك، وإنْ لم تُسمع نفسك فلا بأس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أنّه مع عدم إمكان القراءة بشرائطها، يأتي بها فاقدة لها، إذ المراد من إسماع النفس ما يتحقّق به مصداق القراءة، وإنْ لم يسمع باُذنيه،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والمفروض فيه كون الصَّلاة 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أقتدي به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 قبل أن يفرغ، فإنّك في حصار، فإنْ فرغ قبلك فاقطع القراءة واركع معه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الاكتفاء ببعض القراءة، مع عدم إمكان الإتيان بالتامّة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أحمد بن عائذ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مع هؤلاء في صلاة المغرب، فيعجلوني إلى ما أُؤذن واُقيم، فلا أقرأ شيئاً حتّى إذا ركعوا، واركع معهم، أيُجزيني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سقوط القراءة مع عدم الإمكان رأساً، 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يظهر منه سقوط القراءة خلفهم، محمولٌ على صورة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ظهورها في أنّ ما يؤتي به خلف المخالف، هي الصَّلاة التي وظيفته، لا سيّما بعد بيان وظيفة المأموم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الإجتزاء بالمأتي به، وعدم وجوب الإعادة أو القضاء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7" w:name="pg11802_153988"/>
    </w:p>
    <w:p>
      <w:pPr>
        <w:pStyle w:val="BookText"/>
        <w:rPr/>
      </w:pPr>
      <w:bookmarkEnd w:id="127"/>
      <w:r>
        <w:rPr>
          <w:rFonts w:ascii="Amiri" w:hAnsi="Amiri" w:eastAsia="Amiri" w:cs="Amiri"/>
          <w:color w:val="111111"/>
          <w:sz w:val="28"/>
          <w:sz w:val="28"/>
          <w:szCs w:val="28"/>
          <w:rtl w:val="true"/>
          <w:lang w:bidi="ar-SA"/>
        </w:rPr>
        <w:t>ولا يتقدّمه في الأفعال</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0531615_73709187"/>
      <w:bookmarkStart w:id="129" w:name="_Toc49"/>
      <w:bookmarkEnd w:id="128"/>
      <w:r>
        <w:rPr>
          <w:rtl w:val="true"/>
        </w:rPr>
        <w:t>لا يجوز تقدّم المأموم في الأفعال</w:t>
      </w:r>
      <w:bookmarkEnd w:id="129"/>
    </w:p>
    <w:p>
      <w:pPr>
        <w:pStyle w:val="Heading6"/>
        <w:numPr>
          <w:ilvl w:val="5"/>
          <w:numId w:val="1"/>
        </w:numPr>
        <w:rPr/>
      </w:pPr>
      <w:bookmarkStart w:id="130" w:name="__RefHeading___Toc10531617_73709187"/>
      <w:bookmarkStart w:id="131" w:name="_Toc50"/>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وجوب متابعة المأموم للإمام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البحث في ذلك بالتكلّم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المتابعة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في الأقوال</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0531619_73709187"/>
      <w:bookmarkStart w:id="133" w:name="_Toc51"/>
      <w:bookmarkEnd w:id="132"/>
      <w:r>
        <w:rPr>
          <w:rtl w:val="true"/>
        </w:rPr>
        <w:t>المتابعة في الأفعال</w:t>
      </w:r>
      <w:bookmarkEnd w:id="133"/>
    </w:p>
    <w:p>
      <w:pPr>
        <w:pStyle w:val="Heading6"/>
        <w:numPr>
          <w:ilvl w:val="5"/>
          <w:numId w:val="1"/>
        </w:numPr>
        <w:rPr/>
      </w:pPr>
      <w:bookmarkStart w:id="134" w:name="__RefHeading___Toc10531621_73709187"/>
      <w:bookmarkStart w:id="135" w:name="_Toc52"/>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w:t>
      </w:r>
      <w:r>
        <w:rPr>
          <w:rStyle w:val="FootnoteAnchor"/>
          <w:rtl w:val="true"/>
        </w:rPr>
        <w:footnoteReference w:id="231"/>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 في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الإجماع عليه مستفيضٌ‌</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النبويّان المشهوران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 فإذا ركع فاركعوا، وإذا سجد فاسجدوا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يخشى الذي يرفع رأسه والإمام ساجد، أن يحوّل اللّه رأسه رأس الحمار</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الظاهر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الركوع والسّجود من باب المثال،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بأنّهما ضعيفان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الظاهر من الأوّل بقرينة السّياق، النهي عن التأخّر الفاحش دون عدم التقدّم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المحتمل من الثاني إرادة الكراهة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الأصحاب</w:t>
      </w:r>
      <w:r>
        <w:rPr>
          <w:rStyle w:val="FootnoteAnchor"/>
          <w:rtl w:val="true"/>
        </w:rPr>
        <w:footnoteReference w:id="237"/>
      </w:r>
      <w:r>
        <w:rPr>
          <w:rFonts w:ascii="Amiri" w:hAnsi="Amiri" w:eastAsia="Amiri" w:cs="Amiri"/>
          <w:color w:val="111111"/>
          <w:sz w:val="28"/>
          <w:sz w:val="28"/>
          <w:szCs w:val="28"/>
          <w:rtl w:val="true"/>
          <w:lang w:bidi="ar-SA"/>
        </w:rPr>
        <w:t xml:space="preserve">عليهما، وتلقّيهم إيّاهما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تفريع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ظهوره في اعتبار عدم كلّ ما ينافي الائتمام والاقتداء في صحّة الجماعة، ومنه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 أيضاً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وجوب الانتظار لو فرغ المأموم عن القراءة قبل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العود إلى الركوع أو السّجود، لو رفع المأموم رأسه قبل الإمام، إذ لو لم يكن عدم التقدّم مأموراً به لما 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الجملة ممّا لا إشكال فيه، إنّما الكلام في هذا المقام في مواضع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المتابعة الواجبة، هي عدم التقدّم المجامع للمقارنة، أو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6" w:name="pg11802_153990"/>
    </w:p>
    <w:p>
      <w:pPr>
        <w:pStyle w:val="BookText"/>
        <w:rPr/>
      </w:pPr>
      <w:bookmarkEnd w:id="136"/>
      <w:r>
        <w:rPr>
          <w:rFonts w:ascii="Amiri" w:hAnsi="Amiri" w:eastAsia="Amiri" w:cs="Amiri"/>
          <w:color w:val="111111"/>
          <w:sz w:val="28"/>
          <w:sz w:val="28"/>
          <w:szCs w:val="28"/>
          <w:rtl w:val="true"/>
          <w:lang w:bidi="ar-SA"/>
        </w:rPr>
        <w:t>هي خصوص التأخّر؟</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تجب المتابعة في كلّ فعلٍ من أفعال الصَّلاة على سبيل الاستغراق، أو في معظم أفعالها؟</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التأخّر الفاحش أم لا؟</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وجوب المتابعة شرطيٌ أو نفسي، وعلى أيّ تقديرٍ ماذا يترتّب على تركها؟</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تقدّم في فعلٍ سهواً فماذا وظيفته‌؟</w:t>
      </w:r>
    </w:p>
    <w:p>
      <w:pPr>
        <w:pStyle w:val="Heading6"/>
        <w:numPr>
          <w:ilvl w:val="5"/>
          <w:numId w:val="1"/>
        </w:numPr>
        <w:rPr/>
      </w:pPr>
      <w:bookmarkStart w:id="137" w:name="__RefHeading___Toc10531623_73709187"/>
      <w:bookmarkStart w:id="138" w:name="_Toc53"/>
      <w:bookmarkEnd w:id="137"/>
      <w:r>
        <w:rPr>
          <w:rtl w:val="true"/>
        </w:rPr>
        <w:t>المراد من المتابعة</w:t>
      </w:r>
      <w:bookmarkEnd w:id="138"/>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 المتابعة اللّازمة هي عدم التقدّم</w:t>
      </w:r>
      <w:r>
        <w:rPr>
          <w:rStyle w:val="FootnoteAnchor"/>
          <w:rtl w:val="true"/>
        </w:rPr>
        <w:footnoteReference w:id="239"/>
      </w:r>
      <w:r>
        <w:rPr>
          <w:rFonts w:ascii="Amiri" w:hAnsi="Amiri" w:eastAsia="Amiri" w:cs="Amiri"/>
          <w:color w:val="111111"/>
          <w:sz w:val="28"/>
          <w:sz w:val="28"/>
          <w:szCs w:val="28"/>
          <w:rtl w:val="true"/>
          <w:lang w:bidi="ar-SA"/>
        </w:rPr>
        <w:t>، وأنّه يجوز المقارنة في الأفعال، بل عن الفخر</w:t>
      </w:r>
      <w:r>
        <w:rPr>
          <w:rStyle w:val="FootnoteAnchor"/>
          <w:rtl w:val="true"/>
        </w:rPr>
        <w:footnoteReference w:id="240"/>
      </w:r>
      <w:r>
        <w:rPr>
          <w:rFonts w:ascii="Amiri" w:hAnsi="Amiri" w:eastAsia="Amiri" w:cs="Amiri"/>
          <w:color w:val="111111"/>
          <w:sz w:val="28"/>
          <w:sz w:val="28"/>
          <w:szCs w:val="28"/>
          <w:rtl w:val="true"/>
          <w:lang w:bidi="ar-SA"/>
        </w:rPr>
        <w:t>وغيره دعوى الإجماع عليه</w:t>
      </w:r>
      <w:r>
        <w:rPr>
          <w:rStyle w:val="FootnoteAnchor"/>
          <w:rtl w:val="true"/>
        </w:rPr>
        <w:footnoteReference w:id="24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إرشادالجعفريّة</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لزوم التأخّر،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لجواز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صدر النبويّ الأوّل أنّ الغرض الائتمام، وهو يتحقّق عرفاً بإتيان الفعل مقارناً للإمام بقصد المتابعة، والقضايا المذكورة بعده تفريعاً عليه، لا ظهور لها من جهة التفريع في اعتبار التأخّر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النبويّ أنّ الأمر بالركوع والسّجود إذا ركع الإمام أو سجد، إنّما يكون من جهة مطلوبيّة الائتمام، الذي هو الغاية من جعل الإمامة المتحقّق مع المقارنة، فمقتضى إطلاق الغاية جواز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اليزدي</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بأنّ هذا يتمّ لو كان النبويّ مسوقاً لبيان مطلوبيّة الائتمام، فيكون التفريعات المذكورة في الخبر من قبيل بيان صغريات الائتمام، وليس الأمر كذلك، كيف وأنّ الائتمام غير واجبٍ قطعاً، والمتابعة واجبة كما ذكره الأصحاب، فلا محالة يكون الصدر في مقام بيان أنّ الائتمام غرض الشارع، ويكون الذيل في مقام بيان شيءٍ آخر، وهو أنّ من أراد تحصيل هذا الغرض، وجب عليه أن يأتي بالأفعال بالنحو المذكور في الذيل، وحيثُ أنّ الذيل ظاهرٌ في نفسه في التأخّر، فيدلّ النبويّ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الصدر لايتضمّن الأمر بالجماعة، كي يُقال إنّه استحبابي، إنّما يتضمّن الأمر بالائتمام بمعنى المتابعة للإمام بعد فرض إرادة الجماعة، والائتمام بهذا المعنى واجبٌ‌، وما في ذيله تفريعٌ عليه، وحيثُ أنّ ظهور العلّة والأصل مقدّمٌ على ظهور المعلول والفرع، فلا يبقى للذيل ظهورٌ في لزوم التأخّر، بعد ظهور الصدر في جواز المقارنة، فالمتّبع ظهور الصدر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الذيل أيضاً لا ظهور له في اعتبار التأخّر، إذ لا منشأ لهذه الدعوى سوى ماذكره المحقّق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الأمر بالركوع والسّجود إنّما رُتّب على تحقّق هذين الفعلين من الإمام، كما يستفاد من إتيان الشرط بصيغة الماضي، وظهوره في لزوم إتيانهما بعد تحقّقهما من الإمام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فإنّ هيئة فعل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39" w:name="pg11802_153992"/>
    </w:p>
    <w:p>
      <w:pPr>
        <w:pStyle w:val="BookText"/>
        <w:rPr/>
      </w:pPr>
      <w:bookmarkEnd w:id="139"/>
      <w:r>
        <w:rPr>
          <w:rFonts w:ascii="Amiri" w:hAnsi="Amiri" w:eastAsia="Amiri" w:cs="Amiri"/>
          <w:color w:val="111111"/>
          <w:sz w:val="28"/>
          <w:sz w:val="28"/>
          <w:szCs w:val="28"/>
          <w:rtl w:val="true"/>
          <w:lang w:bidi="ar-SA"/>
        </w:rPr>
        <w:t>الماضي، لم توضع للنسبة التحقّقية في الزمان الماضي، وإنّما وضعت للنسبة المذكورة، مجرّدةً عن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صدق الأخبار معه يتوقّف على وقوع المخبَر به في الزمان الماضي، فالدلالة على الزمان الماضي إنّما هي في الأخبار لا في الإنشاء، ولذا يكون الجزاء والشرط في القضايا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وجب الطهور والصَّلاة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متقارنين في الزمان، ومنها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النبويّ يدلّ على كفاية التقارن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أَلَهُ أنْ يُكبِّر قبل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إلّامع الإمام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بضميمة عدم القول بالفصل بين جواز المقارنة في التكبيرة وجوازها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المقارنة وإنْ كان الأحوط التأخّر</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0531625_73709187"/>
      <w:bookmarkStart w:id="141" w:name="_Toc54"/>
      <w:bookmarkEnd w:id="140"/>
      <w:r>
        <w:rPr>
          <w:rtl w:val="true"/>
        </w:rPr>
        <w:t>هل تجب المتابعة في كلّ فعلٍ من أفعال الصَّلاة</w:t>
      </w:r>
      <w:bookmarkEnd w:id="141"/>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النبويّ وجوب المتابعة في كلّ فعلٍ من الأفعال، إذ الظاهر منه أنّه تجب المتابعة في الصَّلاة الّتي هي فعلٌ تدريجي بمتابعة الإمام في أفعالها المتدرّجة، فإذا لم يتابعه في فعل واحد، صَدَق عليه أنّه مشغولٌ بالصلاة، ولم يتابع الإمام في هذه الفترة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المأموم لو رفع رأسه من السّجود أو الركوع قبل الإمام نسياناً عاد إليه، إذ لو لم تكن المتابعة لازمة في كلّ فعلٍ على سبيل الاستغراق، لما كان وجهٌ لذلك</w:t>
      </w:r>
      <w:r>
        <w:rPr>
          <w:rFonts w:eastAsia="Amiri" w:cs="Amiri" w:ascii="Amiri" w:hAnsi="Amiri"/>
          <w:color w:val="111111"/>
          <w:sz w:val="28"/>
          <w:szCs w:val="28"/>
          <w:rtl w:val="true"/>
          <w:lang w:bidi="ar-SA"/>
        </w:rPr>
        <w:t>.</w:t>
      </w:r>
      <w:bookmarkStart w:id="142" w:name="pg11802_153993"/>
    </w:p>
    <w:p>
      <w:pPr>
        <w:pStyle w:val="Heading6"/>
        <w:numPr>
          <w:ilvl w:val="5"/>
          <w:numId w:val="1"/>
        </w:numPr>
        <w:rPr/>
      </w:pPr>
      <w:bookmarkStart w:id="143" w:name="__RefHeading___Toc10531627_73709187"/>
      <w:bookmarkStart w:id="144" w:name="_Toc55"/>
      <w:bookmarkEnd w:id="142"/>
      <w:bookmarkEnd w:id="143"/>
      <w:r>
        <w:rPr>
          <w:rtl w:val="true"/>
        </w:rPr>
        <w:t>حكم التأخّر في الأفعال</w:t>
      </w:r>
      <w:bookmarkEnd w:id="144"/>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تأخّر المأموم عن الإمام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كلام من أحدٍ في جواز التأخّر عنه بقليل، بل عن بعض تعيّنه كما عرفت، وأنّه لا مانع من التأخّر في الأفعال القصيرة التي يعسر المحافظة فيها على الاجتماع مع الإمام، كالقيام بعد الركوع، والجلوس بين السجدتين، وعقيب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وقع الكلام في التأخّر عنه في الأفعال الطويلة، كالقيام والركوع والسّجود بالتأخّر المعبَّر عنه في كلماتهم بالتأخّر الفاحش، وهو ما إذا أدَّى ذلك إلى فراغ الإمام من فعله قبل فعل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بينهم عدم جوازه، بل عن جماعة دعوى الإجماع عليه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تأخّر عنه، وبقي على ما هو عليه من الحالة، حتّى يصل الإمام في الرّكعة اللّاحقة إلى مثل ذلك الفعل، فإنّه وإنْ يصدق عليه المتابعة والائتمام عرفاً، بمعنى عدم زوال هذا العنوان عنه، إلّاأنّه لو أتي بذلك الفعل لما صدق عليه عنوان المتابعة والائتمام عرفاً، وعليه فالنبويّ المتقدّم يدلّ على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لزوم ترك السّورة، واللّحوق بركوع الإمام، لو كان لا يلحق بركوعه لو قرأها، كصحيح زرارة، عن الإمام الباقر 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أدرك من الظهر أو العصر أو العشاء ركعتين، وفاتته ركعتان، قرأ في كلّ ركعةٍ ممّا أدرك خلف الإمام في نفسه باُمّ الكتاب وسورة، فإنْ لم يدرك السّورة تامّة </w:t>
      </w:r>
      <w:bookmarkStart w:id="145" w:name="pg11802_153994"/>
    </w:p>
    <w:p>
      <w:pPr>
        <w:pStyle w:val="BookText"/>
        <w:rPr/>
      </w:pPr>
      <w:bookmarkEnd w:id="145"/>
      <w:r>
        <w:rPr>
          <w:rFonts w:ascii="Amiri" w:hAnsi="Amiri" w:eastAsia="Amiri" w:cs="Amiri"/>
          <w:color w:val="111111"/>
          <w:sz w:val="28"/>
          <w:sz w:val="28"/>
          <w:szCs w:val="28"/>
          <w:rtl w:val="true"/>
          <w:lang w:bidi="ar-SA"/>
        </w:rPr>
        <w:t>أجزأته أُمّ الكتاب</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لزوم إدراك ركوع الإمام، لما كان وجهٌ للزوم ترك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منها الا كون ترك السّورة رخصة، فحيثُ لا كلام في مطلوبيّة إدراك الركوع، فيكون ذلك من جهة جواز ترك السّورة لدرك المصلحة، لا سيّما على المختار من عدم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النصوص، كون تركها عزيمة لا رخصة،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جواز التأخّر الفاحش</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10531629_73709187"/>
      <w:bookmarkStart w:id="147" w:name="_Toc56"/>
      <w:bookmarkEnd w:id="146"/>
      <w:r>
        <w:rPr>
          <w:rtl w:val="true"/>
        </w:rPr>
        <w:t>وجوب المتابعة تعبّدي</w:t>
      </w:r>
      <w:bookmarkEnd w:id="147"/>
    </w:p>
    <w:p>
      <w:pPr>
        <w:pStyle w:val="BookText"/>
        <w:rPr/>
      </w:pPr>
      <w:r>
        <w:rPr>
          <w:rFonts w:ascii="Amiri" w:hAnsi="Amiri" w:eastAsia="Amiri" w:cs="Amiri"/>
          <w:color w:val="111111"/>
          <w:sz w:val="28"/>
          <w:sz w:val="28"/>
          <w:szCs w:val="28"/>
          <w:rtl w:val="true"/>
          <w:lang w:bidi="ar-SA"/>
        </w:rPr>
        <w:t>وأمّا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 وجوب المتابعة شرطيّ أو نفسيّ؟</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248"/>
      </w:r>
      <w:r>
        <w:rPr>
          <w:rFonts w:ascii="Amiri" w:hAnsi="Amiri" w:eastAsia="Amiri" w:cs="Amiri"/>
          <w:color w:val="111111"/>
          <w:sz w:val="28"/>
          <w:sz w:val="28"/>
          <w:szCs w:val="28"/>
          <w:rtl w:val="true"/>
          <w:lang w:bidi="ar-SA"/>
        </w:rPr>
        <w:t>بين الأصحاب كون وجوبها تعبّديّاً لا تبطل الجماعة بتركها، وإنّما يترتّب عليه الإثم خاصّة، بل عن جماعة 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249"/>
      </w:r>
      <w:r>
        <w:rPr>
          <w:rFonts w:ascii="Amiri" w:hAnsi="Amiri" w:eastAsia="Amiri" w:cs="Amiri"/>
          <w:color w:val="111111"/>
          <w:sz w:val="28"/>
          <w:sz w:val="28"/>
          <w:szCs w:val="28"/>
          <w:rtl w:val="true"/>
          <w:lang w:bidi="ar-SA"/>
        </w:rPr>
        <w:t>كون وجوبها شرطيّاً، لصحّة الجماعة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والصدوق</w:t>
      </w:r>
      <w:r>
        <w:rPr>
          <w:rStyle w:val="FootnoteAnchor"/>
          <w:rtl w:val="true"/>
        </w:rPr>
        <w:footnoteReference w:id="251"/>
      </w:r>
      <w:r>
        <w:rPr>
          <w:rFonts w:ascii="Amiri" w:hAnsi="Amiri" w:eastAsia="Amiri" w:cs="Amiri"/>
          <w:color w:val="111111"/>
          <w:sz w:val="28"/>
          <w:sz w:val="28"/>
          <w:szCs w:val="28"/>
          <w:rtl w:val="true"/>
          <w:lang w:bidi="ar-SA"/>
        </w:rPr>
        <w:t>، والحِلّي</w:t>
      </w:r>
      <w:r>
        <w:rPr>
          <w:rStyle w:val="FootnoteAnchor"/>
          <w:rtl w:val="true"/>
        </w:rPr>
        <w:footnoteReference w:id="252"/>
      </w:r>
      <w:r>
        <w:rPr>
          <w:rFonts w:ascii="Amiri" w:hAnsi="Amiri" w:eastAsia="Amiri" w:cs="Amiri"/>
          <w:color w:val="111111"/>
          <w:sz w:val="28"/>
          <w:sz w:val="28"/>
          <w:szCs w:val="28"/>
          <w:rtl w:val="true"/>
          <w:lang w:bidi="ar-SA"/>
        </w:rPr>
        <w:t>أنّهاشرطٌلصحّة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وجوبها شرطيٌ أو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يترتّب على تركها على كلٍّ من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لكون وجوبها شرطيّاً بظاهر النبويّ المتقدّم، فإنّ الأمر بالأفعال المذكورة، وإنْ كان يمكن أن يكون نفسيّاً، لكن الظاهر من الأوامر المتعلّقة بأجزاء المركّب أو قيوده، كونها لبيان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صدر النبويّ‌، كون المتابعة غايةً لجعل الإمام إماماً والائتمام به، فلا تكون شرطاً لها، وهذا هو المستفاد من مجموع الأدلّة، إذ الظاهر أنّ الإمامة من جملة الاُمور الاعتباريّة الوضعية الحاصلة بجعل المأموم له ذلك، بلحاظ الأفعال الصلاتيّة، فبعدما جعل ذلك كان مقتضى إمامته متابعته له في الأفعال، وعلى ذلك، فلا يُعتنى إلى ظهور ذيله المتضمّن للقضايا المذكورة بعده تفريعاً عليه، فإنّ ظهور العلّة مقدّمٌ على ظهور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يُستشهد له مضافاً إلى ذلك، بأنّ في جملةٍ من النصوص الآتية الأمر بالعود لتحصيل المتابعة، فيما إذا ركع أو سجد قبل الإمام، أو رفع رأسه عن الركوع والسّجود قبله، فإنّه إذا كانت المتابعة شرطاً للجماعة في الصَّلاة، أو في ذلك الجزء لما كان وجهٌ للحكم بلزوم العود، فإنّ الفائت على هذا المسلك لا يتدارك كما لا يخفى، وهذا بخلاف كون وجوبها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الثاني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القول بشرطيّتها للاقتداء، لزم بطلان الجماعة بتركها، لانتفاء المشروط بانتفاء شروطه</w:t>
      </w:r>
      <w:r>
        <w:rPr>
          <w:rFonts w:eastAsia="Amiri" w:cs="Amiri" w:ascii="Amiri" w:hAnsi="Amiri"/>
          <w:color w:val="111111"/>
          <w:sz w:val="28"/>
          <w:szCs w:val="28"/>
          <w:rtl w:val="true"/>
          <w:lang w:bidi="ar-SA"/>
        </w:rPr>
        <w:t xml:space="preserve">. </w:t>
      </w:r>
      <w:bookmarkStart w:id="148" w:name="pg11802_153996"/>
    </w:p>
    <w:p>
      <w:pPr>
        <w:pStyle w:val="BookText"/>
        <w:rPr/>
      </w:pPr>
      <w:bookmarkEnd w:id="148"/>
      <w:r>
        <w:rPr>
          <w:rFonts w:ascii="Amiri" w:hAnsi="Amiri" w:eastAsia="Amiri" w:cs="Amiri"/>
          <w:color w:val="111111"/>
          <w:sz w:val="28"/>
          <w:sz w:val="28"/>
          <w:szCs w:val="28"/>
          <w:rtl w:val="true"/>
          <w:lang w:bidi="ar-SA"/>
        </w:rPr>
        <w:t>وما أفاده المحقّق الهمداني رحمه الله</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به يبطل الاقتداء في خصوص الجزء الذي تركت المتابعة فيه، دون غيره من الأجزاء السابقة واللّاحقة الّتي أتى بها مقتدياً بإمامه، فتصحّ الجماعة فيما عداه من الأجزاء، إذ لا دليل على اشتراط صحّة الجماعة في كلّ جزءٍ بصحّتها في سابقه أو لاحقه، بل الأدلّة قاضية بخلافه، فإنّه بذلك لا يُسلب عنه عنوان المأموميّة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الاقتداء أمرٌ واحدٌ مستمرّ لا أنّه ملاحظٌ بالنسبة إلى كلّ جزءٍ مستقلّاً، وعليه فبطلانه في جزءٍ يستلزم انعدامه رأساً، وعوده يحتاج إلى دليلٍ آخر مفقود، بل الدليل قاضٍ بخلافه، وهو ما دلَّ على عدم جواز العدول من الإنفراد الى الجماعة، وبذلك ظهر ما يترتّب على تركها لو كانت شرطاً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على القول بأنّ وجوبها تعبّدي لاشرطي، فإنّ تَرَكها في جميع الأفعال أو معظهما، بحيث لزم منه ذهاب هيئة الجماعة في ارتكاز المتشرّعة، الكاشف عن ذهابها شرعاً، بطلت جماعته، وإلّا فلا يترتّب عليه سوى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لبطلان الصَّلاة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الجاري على خلاف المتابعة مضادٌّ للفعل الجاري على وفقها، فعلى القول بأنّ الأمر بالشيء يقتضي النهي عن ضدّه، يلزم من حرمة ترك المتابعة فساد الصَّلاة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ضعف المبنى، وأنّ الأمر بالشيء لا يقتضي النهي عن ضدّه، ولا عدم الأمر به، بناءً على تصحيح الترتّب</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0531631_73709187"/>
      <w:bookmarkStart w:id="150" w:name="_Toc57"/>
      <w:bookmarkEnd w:id="149"/>
      <w:r>
        <w:rPr>
          <w:rtl w:val="true"/>
        </w:rPr>
        <w:t>في أنّه لو تقدّم في فعلٍ سهواً فماذا وظيفته‌؟</w:t>
      </w:r>
      <w:bookmarkEnd w:id="150"/>
    </w:p>
    <w:p>
      <w:pPr>
        <w:pStyle w:val="Heading6"/>
        <w:numPr>
          <w:ilvl w:val="5"/>
          <w:numId w:val="1"/>
        </w:numPr>
        <w:rPr/>
      </w:pPr>
      <w:bookmarkStart w:id="151" w:name="__RefHeading___Toc10531633_73709187"/>
      <w:bookmarkStart w:id="152" w:name="_Toc58"/>
      <w:bookmarkEnd w:id="151"/>
      <w:r>
        <w:rPr>
          <w:rtl w:val="true"/>
        </w:rPr>
        <w:t>اشارة</w:t>
      </w:r>
      <w:bookmarkEnd w:id="15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بناءً على ما تقدّم من أنّ وجوب المتابعة تعبّدي، هو صحّة الصَّلاة والجماعة، ولزوم الانتظار، وعدم وجوب العود لتحصيل </w:t>
      </w:r>
      <w:bookmarkStart w:id="153" w:name="pg11802_153997"/>
    </w:p>
    <w:p>
      <w:pPr>
        <w:pStyle w:val="BookText"/>
        <w:rPr/>
      </w:pPr>
      <w:bookmarkEnd w:id="153"/>
      <w:r>
        <w:rPr>
          <w:rFonts w:ascii="Amiri" w:hAnsi="Amiri" w:eastAsia="Amiri" w:cs="Amiri"/>
          <w:color w:val="111111"/>
          <w:sz w:val="28"/>
          <w:sz w:val="28"/>
          <w:szCs w:val="28"/>
          <w:rtl w:val="true"/>
          <w:lang w:bidi="ar-SA"/>
        </w:rPr>
        <w:t>المتابعة، بل عدم جوازه، إذ لو أتى بذلك الجزء الذي تقدّم فيه على الإمام كالتشهّد بقصد الجزئيّة، بطلت الصَّلاة للزيادة، وإلّا فلا تحصل المتابعة، إلّاأنّه قد وردت روايات خاصّة في موردين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رفع رأسه من الركوع أو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أهوى إلى أحدهما كذلك</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0531635_73709187"/>
      <w:bookmarkStart w:id="155" w:name="_Toc59"/>
      <w:bookmarkEnd w:id="154"/>
      <w:r>
        <w:rPr>
          <w:rtl w:val="true"/>
        </w:rPr>
        <w:t>تغتفر زيادة الرّكن لأجل المتابعة</w:t>
      </w:r>
      <w:bookmarkEnd w:id="155"/>
    </w:p>
    <w:p>
      <w:pPr>
        <w:pStyle w:val="BookText"/>
        <w:rPr/>
      </w:pPr>
      <w:r>
        <w:rPr>
          <w:rFonts w:ascii="Amiri" w:hAnsi="Amiri" w:eastAsia="Amiri" w:cs="Amiri"/>
          <w:color w:val="111111"/>
          <w:sz w:val="28"/>
          <w:sz w:val="28"/>
          <w:szCs w:val="28"/>
          <w:rtl w:val="true"/>
          <w:lang w:bidi="ar-SA"/>
        </w:rPr>
        <w:t>وملخص القول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الاُولى 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لزوم العود والمتابعة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يركع مع الإمام، يقتدي به، ثمّ يرفع رأسه قبل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بركوعه معه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بأدنى اختلاف خبر سهل الأشعري عنه عليه السلام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مع إمام يأتمّ به، ثمّ رفع رأسه من السّجود قبل أن يرفع الإمام رأسه من السّجود؟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موثّق ابن فضّال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البقاء، كموثّق غياث،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يرفع رأسه من الركوع قبل الإمام، أيعود فيركع </w:t>
      </w:r>
    </w:p>
    <w:p>
      <w:pPr>
        <w:pStyle w:val="BookText"/>
        <w:rPr/>
      </w:pPr>
      <w:r>
        <w:rPr>
          <w:rFonts w:ascii="Amiri" w:hAnsi="Amiri" w:eastAsia="Amiri" w:cs="Amiri"/>
          <w:color w:val="111111"/>
          <w:sz w:val="28"/>
          <w:sz w:val="28"/>
          <w:szCs w:val="28"/>
          <w:rtl w:val="true"/>
          <w:lang w:bidi="ar-SA"/>
        </w:rPr>
        <w:t>إذا أبطأ الإمام ويرفع رأسه معه‌؟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بحمل الاُولى على صورة السهو، وحمل الثانية على 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جمعٌ تبرّعي لا شاهد له، بل مقتضى الجمع العرفي حمل الموثّق على نفي الوجوب، والطائفة الاُولى على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ذهب إليه المشهور، وذلك لإختصاص الطائفة الاُولى بنفسها بالسهو، لأنّ الغالب عدم رفع المأموم رأسه قبل الإمام عمداً مع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الجماعة لدرك الفضل، لايتعمّد فعل الحرام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تلك الطائفة على صورة العمد بعيدٌ جدّاً، فتكون مختصّة بصورة السهو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قلنا بظهور الثانية في العمد فلا كلام، وإلّا فتُحمل على تلك الصورة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يوجّه مقالة المشهور، بأنّه لو سُلّم كون النسبة بين الطائفتين هو التباين، ولكن قيام الإجماع على وجوب الإعادة في صورة السهو تقلب النسبة وبحيث تصبح الثانية أخصّ من الاُولى، فيقيّد إطلاقها بها، ولكن هذا يتوقّف على القول بانقلاب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المورد في مقام الجمع، بأنّ الأولى تُحمل على الفضل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جمعاً عُرفيّاً، إذ الطائفة الثانية ليست دالّة على الجواز،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هي ظاهرة في عدم الجواز، فلا محالة لا تكون قرينة لصَرف ظهور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ماهو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الإعادة في صورة السهو أثم، وصحّت صلاته وجماعته، لما عرفت من أنّ الإخلال بالمتابعة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بالعود للمتابعة، كالأمر بسائر ما يعتبر في المركّب الاعتباري، ظاهر في كونه معتبراً في الجماعة، فتركه يوجب بطلان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في نفسه في أمثال المقام، وإنْ كان ظاهراً فيما ذُكر، إلّاأنّه في خصوص المقام قرينة صارفة، وهي وجوب المتابعة تعبّداً، فلا يستفاد من الأمر في هذا المورد سوى أنّ وظيفة المأموم رعاية المتابعة بالعود، فاشتراط الصَّلاة أو الجماعة به مشكوك فيه، 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نصوص العود، ليس الا جوازه، لورود الأمر فيها مورد توهم المنع، ولا تكون ظاهرة في الوجوب، وإنّما نحكم بالوجوب لأدلّة المتابعة، وقد مرّ أنّ وجوبها تعبّدي لا شرطي،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المأموم رأسه قبل الذّكر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عمديّاً بطلت صلاته، للإخلال بالذِّكر، نعم على القول بجواز العود كلامٌ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سهويّاً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تبطل صلاته لو ترك العود، من جهة استلزامه ترك الذّكر الواجب، لأنّه لو عاد ليأتي بالذِّكر؟ </w:t>
      </w:r>
    </w:p>
    <w:p>
      <w:pPr>
        <w:pStyle w:val="BookText"/>
        <w:rPr/>
      </w:pPr>
      <w:r>
        <w:rPr>
          <w:rFonts w:ascii="Amiri" w:hAnsi="Amiri" w:eastAsia="Amiri" w:cs="Amiri"/>
          <w:color w:val="111111"/>
          <w:sz w:val="28"/>
          <w:sz w:val="28"/>
          <w:szCs w:val="28"/>
          <w:rtl w:val="true"/>
          <w:lang w:bidi="ar-SA"/>
        </w:rPr>
        <w:t>أم لا من جهة فوات محلّ الذّكر؟</w:t>
      </w:r>
    </w:p>
    <w:p>
      <w:pPr>
        <w:pStyle w:val="BookText"/>
        <w:rPr/>
      </w:pPr>
      <w:r>
        <w:rPr>
          <w:rFonts w:ascii="Amiri" w:hAnsi="Amiri" w:eastAsia="Amiri" w:cs="Amiri"/>
          <w:color w:val="111111"/>
          <w:sz w:val="28"/>
          <w:sz w:val="28"/>
          <w:szCs w:val="28"/>
          <w:rtl w:val="true"/>
          <w:lang w:bidi="ar-SA"/>
        </w:rPr>
        <w:t>أم يفصّل بين كون الإخلال بالذِّكر عمديّاً فتبطل صلاته، وبين كونه مع الغفلة فتصحّ؟</w:t>
      </w:r>
    </w:p>
    <w:p>
      <w:pPr>
        <w:pStyle w:val="BookText"/>
        <w:rPr/>
      </w:pPr>
      <w:r>
        <w:rPr>
          <w:rFonts w:ascii="Amiri" w:hAnsi="Amiri" w:eastAsia="Amiri" w:cs="Amiri"/>
          <w:color w:val="111111"/>
          <w:sz w:val="28"/>
          <w:sz w:val="28"/>
          <w:szCs w:val="28"/>
          <w:rtl w:val="true"/>
          <w:lang w:bidi="ar-SA"/>
        </w:rPr>
        <w:t>وجوهٌ‌، أقواها الأخير، وذلك يظهر بعد بيان أمرٍ وهو</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الركوع أو السّجود المأتي به للمتابعة، ليس بنفسه من أجزاء الصَّلاة، ولا يتّصل المأتي به بما أتى به أوّلاً، ليكون هو وما قبله ركوعاً واحداً، بل هو واجبٌ نفسي، ولذا لا يضرّ الإخلال به ولو كان عاصياً، وعلى هذا فمحلّ الذّكر لا محالة يكون فائتاً، لأنّ محلّه الركوع الذي هو من أجزاء الصَّلاة، فإنْ كان ترك الذّكر عمديّاً بطلت الصَّلاة للإخلال به، وإلّا صحّت وإنْ لم يُعد، بل لو عاد ليس له الإتيان بالذِّكر الذي هو من الاجزاء</w:t>
      </w:r>
      <w:r>
        <w:rPr>
          <w:rFonts w:eastAsia="Amiri" w:cs="Amiri" w:ascii="Amiri" w:hAnsi="Amiri"/>
          <w:color w:val="111111"/>
          <w:sz w:val="28"/>
          <w:szCs w:val="28"/>
          <w:rtl w:val="true"/>
          <w:lang w:bidi="ar-SA"/>
        </w:rPr>
        <w:t>.</w:t>
      </w:r>
      <w:bookmarkStart w:id="156" w:name="pg11802_154001"/>
    </w:p>
    <w:p>
      <w:pPr>
        <w:pStyle w:val="Heading6"/>
        <w:numPr>
          <w:ilvl w:val="5"/>
          <w:numId w:val="1"/>
        </w:numPr>
        <w:rPr/>
      </w:pPr>
      <w:bookmarkStart w:id="157" w:name="__RefHeading___Toc10531637_73709187"/>
      <w:bookmarkStart w:id="158" w:name="_Toc60"/>
      <w:bookmarkEnd w:id="156"/>
      <w:bookmarkEnd w:id="157"/>
      <w:r>
        <w:rPr>
          <w:rtl w:val="true"/>
        </w:rPr>
        <w:t>الرجوع أو السجود قبل الإمام</w:t>
      </w:r>
      <w:bookmarkEnd w:id="15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المُصلّي أو سجد قبل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عمداً لايجوز له المتابعة، لاستلزامها الزيادة غير المغتفرة، وحينئذٍ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تصحّ صلاته أم لا؟</w:t>
      </w:r>
    </w:p>
    <w:p>
      <w:pPr>
        <w:pStyle w:val="BookText"/>
        <w:rPr/>
      </w:pPr>
      <w:r>
        <w:rPr>
          <w:rFonts w:ascii="Amiri" w:hAnsi="Amiri" w:eastAsia="Amiri" w:cs="Amiri"/>
          <w:color w:val="111111"/>
          <w:sz w:val="28"/>
          <w:sz w:val="28"/>
          <w:szCs w:val="28"/>
          <w:rtl w:val="true"/>
          <w:lang w:bidi="ar-SA"/>
        </w:rPr>
        <w:t>أم يجب التفصيل بين ما لو ركع قبل تماميّة قراءة الإمام فلا تصحّ‌، وبين ما لو ركع بعدها فتصحّ؟</w:t>
      </w:r>
    </w:p>
    <w:p>
      <w:pPr>
        <w:pStyle w:val="BookText"/>
        <w:rPr/>
      </w:pPr>
      <w:r>
        <w:rPr>
          <w:rFonts w:ascii="Amiri" w:hAnsi="Amiri" w:eastAsia="Amiri" w:cs="Amiri"/>
          <w:color w:val="111111"/>
          <w:sz w:val="28"/>
          <w:sz w:val="28"/>
          <w:szCs w:val="28"/>
          <w:rtl w:val="true"/>
          <w:lang w:bidi="ar-SA"/>
        </w:rPr>
        <w:t>وجوهٌ أقواها الأخير، 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ذلك قبل تماميّة قراءة الإمام، فحيثُ أنّ الركوع غير مأمورٍ به، بل الركوع المأمور به إمّا الركوع بعد قراءة المصلّي نفسه، أو قراءة من هو ضامن لقراءته، ففي أثنائها لا أمر بالركوع، ممّا يعني أنّ الرّكوع المأتي به زيادة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بعدها، صحّت صلاته، من جهة أنّه لا وجه للبطلان سوى ترك المتابعة، وقد مرَّ أنّه لا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سهواً، فلا إشكال في عدم بطلان الصَّلاة والجماعة، وإنْ كان في أثناء قراءة الإمام، لأنّ اعتبار القراءة مخصوصٌ بحال الذّكر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القاعدة عدم جواز العود للمتابعة، لاستلزامه الزيادة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يدلّ على الجواز موثّق ابن فضّال،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كان خلف إمامٍ يأتمّ به، فيركع قبل أن يركع الإمام، وهو يظنّ أنّ الإمام قد ركع، فلمّا رآه لم يركع رفع رأسه ثمّ أعاد الركوع مع الإمام، أيفسد ذلك عليه صلاته، أم تجوز تلك الرّكعة‌؟ </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صلاته ولا تفسد صلاته بما صَنَع</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ومورده وإنْ كان هو الظانّ‌، إلّاأنّه يتعدّى إلى الناسي الشريك معه في المعذوريّة في هذا الفصل، كما أنّ مورده وإن كان هو الركوع، إلّاأنّه لعدم الفصل بينه وبين السّجود، يثبت فيه أيضاً، 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العود أم لا؟</w:t>
      </w:r>
    </w:p>
    <w:p>
      <w:pPr>
        <w:pStyle w:val="BookText"/>
        <w:rPr/>
      </w:pPr>
      <w:r>
        <w:rPr>
          <w:rFonts w:ascii="Amiri" w:hAnsi="Amiri" w:eastAsia="Amiri" w:cs="Amiri"/>
          <w:color w:val="111111"/>
          <w:sz w:val="28"/>
          <w:sz w:val="28"/>
          <w:szCs w:val="28"/>
          <w:rtl w:val="true"/>
          <w:lang w:bidi="ar-SA"/>
        </w:rPr>
        <w:t>وقد استدلّ للأوّل بأنّ الموثّق وإنْ كان لايدلّ على الوجوب، ولا يستفاد منه أزيد من الجواز، إلّاأنّه إذا ثبت جوازه وجب للمتابعة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الركوع الثاني من أجزاء الصَّلاة، تمّ ذلك وإلّا فلا، لأنّ دليل وجوب المتابعة مختصٌّ بالأفعال الصلاتيّة،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الركوع الصلاتي هو الأوّل أو الثاني أو هما معاً؟</w:t>
      </w:r>
    </w:p>
    <w:p>
      <w:pPr>
        <w:pStyle w:val="BookText"/>
        <w:rPr/>
      </w:pPr>
      <w:r>
        <w:rPr>
          <w:rFonts w:ascii="Amiri" w:hAnsi="Amiri" w:eastAsia="Amiri" w:cs="Amiri"/>
          <w:color w:val="111111"/>
          <w:sz w:val="28"/>
          <w:sz w:val="28"/>
          <w:szCs w:val="28"/>
          <w:rtl w:val="true"/>
          <w:lang w:bidi="ar-SA"/>
        </w:rPr>
        <w:t>وجوهٌ‌، أقواها الأوّل، وذلك لأنّ ركوعه الأوّل قد وقع في محلّه كما هو المفروض، فيكون ركوعاً صلاتيّاً، وكون الثاني ركوعاً صلاتيّاً يحتاج إلى دليلٍ آخر، وهو مفقود فإنّ ما دلَّ على المتابعة لا نظر له إلى ذلك، وعليه فيجب عليه الذّكر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يترتّب على ذلك، عدم بطلان الجماعة لو ترك العود، وإنْ كان ركوعه في أثناء قراءة الإمام، كما لا يخفى‌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9" w:name="pg11802_154003"/>
    </w:p>
    <w:p>
      <w:pPr>
        <w:pStyle w:val="Heading6"/>
        <w:numPr>
          <w:ilvl w:val="5"/>
          <w:numId w:val="1"/>
        </w:numPr>
        <w:rPr/>
      </w:pPr>
      <w:bookmarkStart w:id="160" w:name="__RefHeading___Toc10531639_73709187"/>
      <w:bookmarkStart w:id="161" w:name="_Toc61"/>
      <w:bookmarkEnd w:id="159"/>
      <w:bookmarkEnd w:id="160"/>
      <w:r>
        <w:rPr>
          <w:rtl w:val="true"/>
        </w:rPr>
        <w:t>المتابعة في الأقوال</w:t>
      </w:r>
      <w:bookmarkEnd w:id="161"/>
    </w:p>
    <w:p>
      <w:pPr>
        <w:pStyle w:val="Heading6"/>
        <w:numPr>
          <w:ilvl w:val="5"/>
          <w:numId w:val="1"/>
        </w:numPr>
        <w:rPr/>
      </w:pPr>
      <w:bookmarkStart w:id="162" w:name="__RefHeading___Toc10531641_73709187"/>
      <w:bookmarkStart w:id="163" w:name="_Toc62"/>
      <w:bookmarkEnd w:id="162"/>
      <w:r>
        <w:rPr>
          <w:rtl w:val="true"/>
        </w:rPr>
        <w:t>المتابعة في تكبيرة الإحرام</w:t>
      </w:r>
      <w:bookmarkEnd w:id="16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المتابعة في الأقوال، والكلام فيه يقع في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المتابعة في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المتابعة في غيرها من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ولا خلاف في جواز التأخّر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يُكبّر إلّامع الإمام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من عدم جواز التأخّر لابدّ من تأويله بإرادة عدم التقدّم، وإلّا فقد اتّفقت النصوص والفتاوى على جواز ذلك، كما لا ينبغي التوقّف في عدم جواز التقدّم، لعدم تحقّق الإقتداء مع عدم الإمام، ولخبر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المقارنة، أم يشترط التأخّر فيها؟</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يعتبر عدم الشروع فيها إلّابعد فراغ الإمام منها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أم يكفي التأخّر عن أوّلها؟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هو الأوّل، لعدم الدليل على اعتبار التأخّر، ولخبر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لعدم جواز المقارنة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صحّة الجماعة وانعقادها، تحقّق الاقتداء من المُصلّي، فما دام لم يُكبِّر لا يعدّ مُصليّاً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إنّما دلّ على اقتداء المأموم بالإمام في صلاته والائتمام به، ولا يتوقّف صدق ذلك على صدق اسم المُصلّي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لازم هذا الوجه الذي استدلّ به للقول الثاني هو القول الثالث، إذ التكبيرة من أجزاء الصَّلاة، فبالشروع فيها يصدق الشروع في الصَّلاة، فيصدق عليه أنّه مُصلٍّ وإنْ لم يفرغ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التبعيّة والإئتمام مع المقارنة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فاسدة، فإنّ التبعيّة تصدقُ عرفاً مع المقارنة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المرويّ عن أبي سعيد الخُدري،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فاعدلوا صفوفكم، وأقيموها، وسوّوا الفُرَج، وإذا قال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تخيّل دلالته على لزوم التأخّر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الأمر بالتكبيرة عُلّق فيه على تحقّق التكبير من الإمام، المستفاد من إتيان الشرط بصيغة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الجزاء صدر بالفاء، الدالّة على التأخّر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وشيءٌ منهما لا 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4" w:name="pg11802_154005"/>
    </w:p>
    <w:p>
      <w:pPr>
        <w:pStyle w:val="BookText"/>
        <w:rPr/>
      </w:pPr>
      <w:bookmarkEnd w:id="164"/>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المتابعة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فاء الجزاء لا تدلّ على التأخّر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كَبّر فكبّروا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دلالته على لزوم التأخّر، فقد سبق عدم ثبوت اعتماد الأصحاب على النسخة المتضمّنة لهذه الجملة، ولذلك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المقارنة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0531643_73709187"/>
      <w:bookmarkStart w:id="166" w:name="_Toc63"/>
      <w:bookmarkEnd w:id="165"/>
      <w:r>
        <w:rPr>
          <w:rtl w:val="true"/>
        </w:rPr>
        <w:t>المتابعة في سائر الأقوال</w:t>
      </w:r>
      <w:bookmarkEnd w:id="166"/>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المشهور</w:t>
      </w:r>
      <w:r>
        <w:rPr>
          <w:rStyle w:val="FootnoteAnchor"/>
          <w:rtl w:val="true"/>
        </w:rPr>
        <w:footnoteReference w:id="264"/>
      </w:r>
      <w:r>
        <w:rPr>
          <w:rFonts w:ascii="Amiri" w:hAnsi="Amiri" w:eastAsia="Amiri" w:cs="Amiri"/>
          <w:color w:val="111111"/>
          <w:sz w:val="28"/>
          <w:sz w:val="28"/>
          <w:szCs w:val="28"/>
          <w:rtl w:val="true"/>
          <w:lang w:bidi="ar-SA"/>
        </w:rPr>
        <w:t>جواز التقدّم في الأقوال على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عدم جوازه، واستدلّ‌</w:t>
      </w:r>
      <w:r>
        <w:rPr>
          <w:rStyle w:val="FootnoteAnchor"/>
          <w:rtl w:val="true"/>
        </w:rPr>
        <w:footnoteReference w:id="267"/>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بإطلاقات معاقد الإجماعات المحكيّة على لزوم المتابعة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 المتقدّم بدعوى أنّ ذكر التكبيرة فيه إنّما هو من باب المثال، كذكر الركوع والسّجود، الّذين هما مثالٌ للأفعال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إمامة الإمام متابعة المأموم وعدم التقدّم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مجال للتمسّك بها بعد تصريح الأكثر بخلافها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النسخة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كَبّر فكبّروا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يثبت اعتماد الأصحاب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يُحتمل الاختصاص بالتكبيرة، من جهة أنّه ليس هناك صلاة قبلها كي تنعقد الجماعة، بخلاف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المغروس في أذهان المتشرّعة، أنّ الإمامة المجعولة للإمام إنّما تكون بلحاظ الأفعال دون الأقوال المردّدة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لايجب الإتيان به للمأموم كالقراءة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يكون الرّاجح فيه مخالفة المأموم للإمام، كالوظيفة المجعولة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مايكون المأموم مخيّراً بين أن يختار الفرد الذي اختاره الإمام، وأن يختار غيره كذكر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المتابعة، ويؤيّده عدم وجوب إسماع الإمام للمأمومين إيّاها، بل لا يمكن في كثير من الموارد، ولو تنزّلنا عن ذلك، وشككنا في اعتباره، فإنّ مقتضى الأصل الذي أسّسناه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بعدم جواز التقدّم في التسليم قياساً له بالتكبير، ولكنّه مع الفارق، إذ مضافاً إلى الخصوصيّة المشار إليها في التكبيرة، المفقودة في التسليمة، يشهد لجواز التقدّم فيها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خلف 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فيُطيل الإمام التشهّد؟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مَنْ خلفه ويَمضي لحاجته إنْ أحبّ‌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المعزا عنه عليه السلام</w:t>
      </w:r>
      <w:r>
        <w:rPr>
          <w:rStyle w:val="FootnoteAnchor"/>
          <w:rtl w:val="true"/>
        </w:rPr>
        <w:footnoteReference w:id="270"/>
      </w:r>
      <w:r>
        <w:rPr>
          <w:rFonts w:ascii="Amiri" w:hAnsi="Amiri" w:eastAsia="Amiri" w:cs="Amiri"/>
          <w:color w:val="111111"/>
          <w:sz w:val="28"/>
          <w:sz w:val="28"/>
          <w:szCs w:val="28"/>
          <w:rtl w:val="true"/>
          <w:lang w:bidi="ar-SA"/>
        </w:rPr>
        <w:t xml:space="preserve">، المعمول به بين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خلف إمامٍ‌، فيسلِّم قبل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الهمداني رحمه الله</w:t>
      </w:r>
      <w:r>
        <w:rPr>
          <w:rStyle w:val="FootnoteAnchor"/>
          <w:rtl w:val="true"/>
        </w:rPr>
        <w:footnoteReference w:id="272"/>
      </w:r>
      <w:r>
        <w:rPr>
          <w:rFonts w:ascii="Amiri" w:hAnsi="Amiri" w:eastAsia="Amiri" w:cs="Amiri"/>
          <w:color w:val="111111"/>
          <w:sz w:val="28"/>
          <w:sz w:val="28"/>
          <w:szCs w:val="28"/>
          <w:rtl w:val="true"/>
          <w:lang w:bidi="ar-SA"/>
        </w:rPr>
        <w:t>من حملهما على صورة قصد الإنفراد، يدفعه الإطلاق وترك الاستفصال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67" w:name="pg11802_154008"/>
    </w:p>
    <w:p>
      <w:pPr>
        <w:pStyle w:val="BookText"/>
        <w:rPr/>
      </w:pPr>
      <w:bookmarkEnd w:id="167"/>
      <w:r>
        <w:rPr>
          <w:rFonts w:ascii="Amiri" w:hAnsi="Amiri" w:eastAsia="Amiri" w:cs="Amiri"/>
          <w:color w:val="111111"/>
          <w:sz w:val="28"/>
          <w:sz w:val="28"/>
          <w:szCs w:val="28"/>
          <w:rtl w:val="true"/>
          <w:lang w:bidi="ar-SA"/>
        </w:rPr>
        <w:t>ولابدَّ من نيّة الإئتمام، ويَجوزُ مع اختلافهما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المأموم واحداً استحبَّ أن يقف عن يمينه، وإنْ كانوا جماعةً فخلفه،</w:t>
      </w:r>
    </w:p>
    <w:p>
      <w:pPr>
        <w:pStyle w:val="Heading5"/>
        <w:numPr>
          <w:ilvl w:val="4"/>
          <w:numId w:val="1"/>
        </w:numPr>
        <w:rPr/>
      </w:pPr>
      <w:bookmarkStart w:id="168" w:name="__RefHeading___Toc10531645_73709187"/>
      <w:bookmarkStart w:id="169" w:name="_Toc64"/>
      <w:bookmarkEnd w:id="168"/>
      <w:r>
        <w:rPr>
          <w:rtl w:val="true"/>
        </w:rPr>
        <w:t>ولابدّ للمأموم من نيّة الائتمام</w:t>
      </w:r>
      <w:bookmarkEnd w:id="169"/>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نيّة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مجمعٌ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تفصيل القول في ذلك في شرائط الجماعة، فراجع</w:t>
      </w:r>
      <w:r>
        <w:rPr>
          <w:rFonts w:eastAsia="Amiri" w:cs="Amiri" w:ascii="Amiri" w:hAnsi="Amiri"/>
          <w:color w:val="111111"/>
          <w:sz w:val="28"/>
          <w:szCs w:val="28"/>
          <w:rtl w:val="true"/>
          <w:lang w:bidi="ar-SA"/>
        </w:rPr>
        <w:t>.</w:t>
      </w:r>
      <w:r>
        <w:rPr>
          <w:rStyle w:val="FootnoteAnchor"/>
          <w:rtl w:val="true"/>
        </w:rPr>
        <w:footnoteReference w:id="274"/>
      </w:r>
    </w:p>
    <w:p>
      <w:pPr>
        <w:pStyle w:val="Heading5"/>
        <w:numPr>
          <w:ilvl w:val="4"/>
          <w:numId w:val="1"/>
        </w:numPr>
        <w:rPr/>
      </w:pPr>
      <w:bookmarkStart w:id="170" w:name="__RefHeading___Toc10531647_73709187"/>
      <w:bookmarkStart w:id="171" w:name="_Toc65"/>
      <w:bookmarkEnd w:id="170"/>
      <w:r>
        <w:rPr>
          <w:rtl w:val="true"/>
        </w:rPr>
        <w:t>ويجوزُ أن يأتمّ المفترض بالمفترض مع اختلافهما في الفرض</w:t>
      </w:r>
      <w:bookmarkEnd w:id="171"/>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يأتمّ المفترض بالمفترض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اختلافهما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275"/>
      </w:r>
      <w:r>
        <w:rPr>
          <w:rFonts w:ascii="Amiri" w:hAnsi="Amiri" w:eastAsia="Amiri" w:cs="Amiri"/>
          <w:color w:val="111111"/>
          <w:sz w:val="28"/>
          <w:sz w:val="28"/>
          <w:szCs w:val="28"/>
          <w:rtl w:val="true"/>
          <w:lang w:bidi="ar-SA"/>
        </w:rPr>
        <w:t>، وقد تقدّم تفصيل القول في ذلك في أوّل مبحث الجماعة</w:t>
      </w:r>
      <w:r>
        <w:rPr>
          <w:rStyle w:val="FootnoteAnchor"/>
          <w:rtl w:val="true"/>
        </w:rPr>
        <w:footnoteReference w:id="276"/>
      </w:r>
      <w:r>
        <w:rPr>
          <w:rFonts w:ascii="Amiri" w:hAnsi="Amiri" w:eastAsia="Amiri" w:cs="Amiri"/>
          <w:color w:val="111111"/>
          <w:sz w:val="28"/>
          <w:sz w:val="28"/>
          <w:szCs w:val="28"/>
          <w:rtl w:val="true"/>
          <w:lang w:bidi="ar-SA"/>
        </w:rPr>
        <w:t>عند بيان ضابط ما يصحّ الائتمام فيه من الصّلوات وما لا يصحّ‌</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0531649_73709187"/>
      <w:bookmarkStart w:id="173" w:name="_Toc66"/>
      <w:bookmarkEnd w:id="172"/>
      <w:r>
        <w:rPr>
          <w:rtl w:val="true"/>
        </w:rPr>
        <w:t>وإذا كان المأموم واحداً استحبَّ أنْ يقف عن يمينه</w:t>
      </w:r>
      <w:bookmarkEnd w:id="173"/>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المأموم واحداً استحبَّ أنْ يقف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يمين الإمام لا خلفه ولا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جماعةً فخلفه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يمينه ولا يساره، كما هو المشهور بين الأصحاب شهرة عظيمة</w:t>
      </w:r>
      <w:r>
        <w:rPr>
          <w:rStyle w:val="FootnoteAnchor"/>
          <w:rtl w:val="true"/>
        </w:rPr>
        <w:footnoteReference w:id="277"/>
      </w:r>
      <w:r>
        <w:rPr>
          <w:rFonts w:ascii="Amiri" w:hAnsi="Amiri" w:eastAsia="Amiri" w:cs="Amiri"/>
          <w:color w:val="111111"/>
          <w:sz w:val="28"/>
          <w:sz w:val="28"/>
          <w:szCs w:val="28"/>
          <w:rtl w:val="true"/>
          <w:lang w:bidi="ar-SA"/>
        </w:rPr>
        <w:t xml:space="preserve">، بل لم يُنقل الخلاف عن أحدٍ سوى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وظاهر أبي علي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الحكم جملة من النصوص، كصحيح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الرجلان يؤمّ أحدهما صاحبه، يقوم عن يمينه، فإنْ كانوا أكثر من </w:t>
      </w:r>
    </w:p>
    <w:p>
      <w:pPr>
        <w:pStyle w:val="BookText"/>
        <w:rPr/>
      </w:pPr>
      <w:r>
        <w:rPr>
          <w:rFonts w:ascii="Amiri" w:hAnsi="Amiri" w:eastAsia="Amiri" w:cs="Amiri"/>
          <w:color w:val="111111"/>
          <w:sz w:val="28"/>
          <w:sz w:val="28"/>
          <w:szCs w:val="28"/>
          <w:rtl w:val="true"/>
          <w:lang w:bidi="ar-SA"/>
        </w:rPr>
        <w:t>إلّا العاري فإنّه يجلس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المرأة، ولو صَلّينَّ مع الرِّجال تأخّرن عنهم،</w:t>
      </w:r>
    </w:p>
    <w:p>
      <w:pPr>
        <w:pStyle w:val="BookText"/>
        <w:rPr/>
      </w:pPr>
      <w:r>
        <w:rPr>
          <w:rFonts w:ascii="Amiri" w:hAnsi="Amiri" w:eastAsia="Amiri" w:cs="Amiri"/>
          <w:color w:val="111111"/>
          <w:sz w:val="28"/>
          <w:sz w:val="28"/>
          <w:szCs w:val="28"/>
          <w:rtl w:val="true"/>
          <w:lang w:bidi="ar-SA"/>
        </w:rPr>
        <w:t>ذلك قاموا خلفه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النصوص في بادئ النظر وإنْ كان هو الوجوب، إلّاأنّه بدوي يزول بملاحظة القرائن الداخليّة والخارجيّة، ولذا فهم المشهور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يُستثنى من استحباب الوقوف خلف الإمام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العاري، فإنّه يجلس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مبحث لباس المُصلّي مفصّلاً، فراجع</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أمّت النساء فإنّها تقوم في وسط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النصوص كمرسل ابن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تؤمّ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وسطاً بينهنّ ولا تتقدمهن</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الأخبار في أنفسها وإنْ كان هو الوجوب، إلّاأنّه لعدم إفتاء أحدٍ به، وورود النصوص مورد توهّم رجحان التقدّم، وغير ذلك من القرائن، تُحمل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صلينَّ مع الرِّجال تأخّرن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به في جملةٍ من النصوص، كصحيح هشام، عن الإمام الصادق عليه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أمَّ المرأة كانت خلفه عن يمينه سجودها مع ركبتيه</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الأخبار وإنْ كانت ظاهرة في وجوب التأخّر، إلّاأنّه يشكل البناء عليه، بناءً على عدم حرمة محاذاة الرّجل للمرأة في الصَّلاة، كما بنينا عليه،، لما يظهر من كلماتهم من التسالم على عدم الفرق بين المقامين، وعن غير واحدٍ دعوى ذلك صريحاً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في نفس هذه الأخبار من الاختلاف في تحديد المقدار المعتبر من التأخّر، وغير ذلك من القرائن الصارفة عن هذا الظهور، وعليه فعدم الوجوب أقوى، والاحتياط طريق النجاة</w:t>
      </w:r>
      <w:r>
        <w:rPr>
          <w:rFonts w:eastAsia="Amiri" w:cs="Amiri" w:ascii="Amiri" w:hAnsi="Amiri"/>
          <w:color w:val="111111"/>
          <w:sz w:val="28"/>
          <w:szCs w:val="28"/>
          <w:rtl w:val="true"/>
          <w:lang w:bidi="ar-SA"/>
        </w:rPr>
        <w:t>.</w:t>
      </w:r>
      <w:bookmarkStart w:id="174" w:name="pg11802_154011"/>
    </w:p>
    <w:p>
      <w:pPr>
        <w:pStyle w:val="BookText"/>
        <w:rPr/>
      </w:pPr>
      <w:bookmarkEnd w:id="174"/>
      <w:r>
        <w:rPr>
          <w:rFonts w:ascii="Amiri" w:hAnsi="Amiri" w:eastAsia="Amiri" w:cs="Amiri"/>
          <w:color w:val="111111"/>
          <w:sz w:val="28"/>
          <w:sz w:val="28"/>
          <w:szCs w:val="28"/>
          <w:rtl w:val="true"/>
          <w:lang w:bidi="ar-SA"/>
        </w:rPr>
        <w:t>ويُعتبر في الإمام التكليف</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0531651_73709187"/>
      <w:bookmarkStart w:id="176" w:name="_Toc67"/>
      <w:bookmarkEnd w:id="175"/>
      <w:r>
        <w:rPr>
          <w:rtl w:val="true"/>
        </w:rPr>
        <w:t>فصلٌ‌</w:t>
      </w:r>
      <w:r>
        <w:rPr>
          <w:rtl w:val="true"/>
        </w:rPr>
        <w:t xml:space="preserve">: </w:t>
      </w:r>
      <w:r>
        <w:rPr>
          <w:rtl w:val="true"/>
        </w:rPr>
        <w:t>في شرائط الإمام</w:t>
      </w:r>
      <w:bookmarkEnd w:id="176"/>
    </w:p>
    <w:p>
      <w:pPr>
        <w:pStyle w:val="Heading5"/>
        <w:numPr>
          <w:ilvl w:val="4"/>
          <w:numId w:val="1"/>
        </w:numPr>
        <w:rPr/>
      </w:pPr>
      <w:bookmarkStart w:id="177" w:name="__RefHeading___Toc10531653_73709187"/>
      <w:bookmarkStart w:id="178" w:name="_Toc6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0531655_73709187"/>
      <w:bookmarkStart w:id="180" w:name="_Toc69"/>
      <w:bookmarkEnd w:id="179"/>
      <w:r>
        <w:rPr>
          <w:rtl w:val="true"/>
        </w:rPr>
        <w:t>التكليف</w:t>
      </w:r>
      <w:bookmarkEnd w:id="180"/>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يعتبر أن يكون عاقلاً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كونه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وفاق</w:t>
      </w:r>
      <w:r>
        <w:rPr>
          <w:rStyle w:val="FootnoteAnchor"/>
          <w:rtl w:val="true"/>
        </w:rPr>
        <w:footnoteReference w:id="284"/>
      </w:r>
      <w:r>
        <w:rPr>
          <w:rFonts w:ascii="Amiri" w:hAnsi="Amiri" w:eastAsia="Amiri" w:cs="Amiri"/>
          <w:color w:val="111111"/>
          <w:sz w:val="28"/>
          <w:sz w:val="28"/>
          <w:szCs w:val="28"/>
          <w:rtl w:val="true"/>
          <w:lang w:bidi="ar-SA"/>
        </w:rPr>
        <w:t xml:space="preserve">،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وإلى أنّه لا عبادة للمجنون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يُصلينّ أحدكم خلف المجنون، و ولد الزِّنا</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أدواريّاً، فالمعروف جواز الائتمام به حال إفاقته، لعدم صدق المجنون عليه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المتيقّن إرادته من النصوص، إذ غيره لا يحتاج إلى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وبإمكان عروضه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يؤمَن احتلامه حال الجنون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كما ترى، فالأظهر هو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اعتبار كونه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بين الأصحاب</w:t>
      </w:r>
      <w:r>
        <w:rPr>
          <w:rStyle w:val="FootnoteAnchor"/>
          <w:rtl w:val="true"/>
        </w:rPr>
        <w:footnoteReference w:id="286"/>
      </w:r>
      <w:r>
        <w:rPr>
          <w:rFonts w:ascii="Amiri" w:hAnsi="Amiri" w:eastAsia="Amiri" w:cs="Amiri"/>
          <w:color w:val="111111"/>
          <w:sz w:val="28"/>
          <w:sz w:val="28"/>
          <w:szCs w:val="28"/>
          <w:rtl w:val="true"/>
          <w:lang w:bidi="ar-SA"/>
        </w:rPr>
        <w:t xml:space="preserve">، وهو بناءً على عدم شرعيّة عبادات الصبي واضحٌ‌، وأمّا بناءً على شرعيّتها، كما قوّيناها فيشهد لاعتباره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انصراف أدلّة الجماعة إلى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الغلام قبل أن يحتلم، ولايؤمّ حتّى يحتلم، فإنْ أَمَّ جازت صلاته وفسدت صلاة من خلفه</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المنجبر ضعف سنده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إمامة المراهق،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طلحة، عن جعفر، عن أبيه، عن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الغلام يالذي لم يحتلم، وأن يؤمّ‌</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غياث</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صَدَقة الغلام وعتقه، ويؤمّ النّاس إذا كان له عشر سنين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معارضان لخبر إسحاق، المعمول به بين الأصحاب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القائل بمضمونه، ووهنه بالإعراض، لا سيّما مع اشتماله على جواز صَدَقته وعتقه المخالف لفتوى القوم، والاُصول 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1" w:name="pg11802_154013"/>
    </w:p>
    <w:p>
      <w:pPr>
        <w:pStyle w:val="BookText"/>
        <w:rPr/>
      </w:pPr>
      <w:bookmarkEnd w:id="181"/>
      <w:r>
        <w:rPr>
          <w:rFonts w:ascii="Amiri" w:hAnsi="Amiri" w:eastAsia="Amiri" w:cs="Amiri"/>
          <w:color w:val="111111"/>
          <w:sz w:val="28"/>
          <w:sz w:val="28"/>
          <w:szCs w:val="28"/>
          <w:rtl w:val="true"/>
          <w:lang w:bidi="ar-SA"/>
        </w:rPr>
        <w:t>أيضاً معارض مع خبر إسحاق، لعدم صحّة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قبل عشر سنين، وخبر إسحاق مقدّمٌ‌، فالأظهر هو المنع فيه</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0531657_73709187"/>
      <w:bookmarkStart w:id="183" w:name="_Toc70"/>
      <w:bookmarkEnd w:id="182"/>
      <w:r>
        <w:rPr>
          <w:rtl w:val="true"/>
        </w:rPr>
        <w:t>الإيمان</w:t>
      </w:r>
      <w:bookmarkEnd w:id="18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كونه معترفاً بامامة الأئمّة الاثني عشر عليهم السلام، واعتباره ممّا لا ريب فيه، ونُقل الإجماع عليه من جماعة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خلف المخالفين‌؟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هم عندي إلّابمنزلة الجدر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الصَّلاة خلف من وَقَف على أبيك وجدّك‌؟ فأجاب عليه عليه السلام لا تُصلِّ وراءه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184" w:name="pg11802_154014"/>
    </w:p>
    <w:p>
      <w:pPr>
        <w:pStyle w:val="BookText"/>
        <w:rPr/>
      </w:pPr>
      <w:bookmarkEnd w:id="184"/>
      <w:r>
        <w:rPr>
          <w:rFonts w:ascii="Amiri" w:hAnsi="Amiri" w:eastAsia="Amiri" w:cs="Amiri"/>
          <w:color w:val="111111"/>
          <w:sz w:val="28"/>
          <w:sz w:val="28"/>
          <w:szCs w:val="28"/>
          <w:rtl w:val="true"/>
          <w:lang w:bidi="ar-SA"/>
        </w:rPr>
        <w:t>والعدالة</w:t>
      </w:r>
    </w:p>
    <w:p>
      <w:pPr>
        <w:pStyle w:val="Heading5"/>
        <w:numPr>
          <w:ilvl w:val="4"/>
          <w:numId w:val="1"/>
        </w:numPr>
        <w:rPr/>
      </w:pPr>
      <w:bookmarkStart w:id="185" w:name="__RefHeading___Toc10531659_73709187"/>
      <w:bookmarkStart w:id="186" w:name="_Toc71"/>
      <w:bookmarkEnd w:id="185"/>
      <w:r>
        <w:rPr>
          <w:rtl w:val="true"/>
        </w:rPr>
        <w:t>شرط العدالة</w:t>
      </w:r>
      <w:bookmarkEnd w:id="186"/>
    </w:p>
    <w:p>
      <w:pPr>
        <w:pStyle w:val="Heading6"/>
        <w:numPr>
          <w:ilvl w:val="5"/>
          <w:numId w:val="1"/>
        </w:numPr>
        <w:rPr/>
      </w:pPr>
      <w:bookmarkStart w:id="187" w:name="__RefHeading___Toc10531661_73709187"/>
      <w:bookmarkStart w:id="188" w:name="_Toc72"/>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واعتبارها فيه ممّا لا خلاف فيه، بل هو المقطوع به في كلام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296"/>
      </w:r>
      <w:r>
        <w:rPr>
          <w:rFonts w:ascii="Amiri" w:hAnsi="Amiri" w:eastAsia="Amiri" w:cs="Amiri"/>
          <w:color w:val="111111"/>
          <w:sz w:val="28"/>
          <w:sz w:val="28"/>
          <w:szCs w:val="28"/>
          <w:rtl w:val="true"/>
          <w:lang w:bidi="ar-SA"/>
        </w:rPr>
        <w:t>، ويشهد له 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يُصلّي، فخرج الإمام وقد صَلّى الرّجل ركعة من صلاة الفريضة‌؟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ركعة اُخرى وينصرف، ويجعلها تطوّعاً، وليدخل مع الإمام في صلاته، وإنْ لم يكن إمام عَدلٍ‌، فليبنِ على صلاته كماهو</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للنهي عن الصَّلاة خلف شارب الخمر والنبيذ، والأغلف، معلّلاً بأنّه ضيّع من السُنّة أعظمها، والمجاهر بالفسق والفاجر ونحو ذلك</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للأمر بالصلاة خلف من يُوثَقُ بدينه</w:t>
      </w:r>
      <w:r>
        <w:rPr>
          <w:rStyle w:val="FootnoteAnchor"/>
          <w:rtl w:val="true"/>
        </w:rPr>
        <w:footnoteReference w:id="299"/>
      </w:r>
      <w:r>
        <w:rPr>
          <w:rFonts w:ascii="IRNazanin" w:hAnsi="IRNazanin" w:eastAsia="IRNazanin"/>
          <w:color w:val="111111"/>
          <w:sz w:val="28"/>
          <w:sz w:val="28"/>
          <w:szCs w:val="28"/>
          <w:rtl w:val="true"/>
          <w:lang w:bidi="fa-IR"/>
        </w:rPr>
        <w:t xml:space="preserve">إذ المراد </w:t>
      </w:r>
    </w:p>
    <w:p>
      <w:pPr>
        <w:pStyle w:val="BookText"/>
        <w:rPr/>
      </w:pPr>
      <w:r>
        <w:rPr>
          <w:rFonts w:ascii="Amiri" w:hAnsi="Amiri" w:eastAsia="Amiri" w:cs="Amiri"/>
          <w:color w:val="111111"/>
          <w:sz w:val="28"/>
          <w:sz w:val="28"/>
          <w:szCs w:val="28"/>
          <w:rtl w:val="true"/>
          <w:lang w:bidi="ar-SA"/>
        </w:rPr>
        <w:t>بالوثوق بديانته إحراز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فاعتبارها فيه ممّا 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لمن يعرف نفسه بعدم العدالة أن يتصدّى للإمامة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القول فيه يقتضي التكلّم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الجواز، بمعنى أنّ الإمام إذا علم بعدم عدالة نفسه لا تنعقد بصلاته الجماعة، ولا يترتّب عليها آثارها، وذلك لاعتبار العدالة، وستعرف أنّها أمرٌ واقعي يكون حسن الظاهر كاشفاً عنه، وطريقاً إليه، فمع كون الإمام فاسقاً لا يكون الائتمام متحقّقاً، وإنْ كان صلاة المأموم صحيحة لو كان مُحرِزاً لعدالته، فلو كان ذلك معلوماً للإمام فهو عالمٌ بعدم تحقّق الائتمام والجماعة، فلا يجوز له أن يرتّب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على عدم الجواز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السياري،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مواليك يجتمعون، فتحضر الصَّلاة فيتقدّم بعضهم فيُصلّي بهم جماعة‌؟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يؤمّهم ليس بينه وبين اللّه طلبة، فليفعل</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لأنّ أئمّة الرِّجال ضعفوا السياري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9" w:name="pg11802_154016"/>
    </w:p>
    <w:p>
      <w:pPr>
        <w:pStyle w:val="BookText"/>
        <w:rPr/>
      </w:pPr>
      <w:bookmarkEnd w:id="189"/>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ناظرٌ إلى الحكم الوضعي، وقد ادّعى بعض المحقّقين رحمه الله</w:t>
      </w:r>
      <w:r>
        <w:rPr>
          <w:rStyle w:val="FootnoteAnchor"/>
          <w:rtl w:val="true"/>
        </w:rPr>
        <w:footnoteReference w:id="301"/>
      </w:r>
      <w:r>
        <w:rPr>
          <w:rFonts w:ascii="Amiri" w:hAnsi="Amiri" w:eastAsia="Amiri" w:cs="Amiri"/>
          <w:color w:val="111111"/>
          <w:sz w:val="28"/>
          <w:sz w:val="28"/>
          <w:szCs w:val="28"/>
          <w:rtl w:val="true"/>
          <w:lang w:bidi="ar-SA"/>
        </w:rPr>
        <w:t>أنّ المراد منه إنْ من كان ذا نفس قدسيّة، بحيثُ لا يكون مقصوده من التقدّم إلّاالإتيان بالوظيفة، من دون أن يحدث له نشاط من جهة الترأس عليهم، فليُصلِّ بهم وإلّا فليَدَع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قوله عليه السلام بعد السؤال مرَّة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قلوبهم كلّها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قلوب المؤمنين إنّما تتوجّه إلى أداء الوظيفة، فلو كان قلب من يتقدّم أيضاً كذلك، له أن يتقدّم، وعلى هذا فيكون الخبر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الحرمة، والأصل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البحث في هذا المقام أبحاث دقيقة علميّة نافعة، وقد استوفينا الكلام فيها حين تدريس المباحث المتعلّقة بالاجتهاد والتقليد، وقد تصدّى لتحريرها وتقريرها وإخراجها إلى عالم الظهور، أحد الأفاضل ممّن حضروا أبحاثنا، وحيث أنّ ما كتبه وحرّره من تقريراتنا كان وافياً بما نقّحناه، مؤدّياً لما حقّقناه، فلذا أذكر في المقام عين ما كتبه في مبحث العدالة</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0531663_73709187"/>
      <w:bookmarkStart w:id="191" w:name="_Toc73"/>
      <w:bookmarkEnd w:id="190"/>
      <w:r>
        <w:rPr>
          <w:rtl w:val="true"/>
        </w:rPr>
        <w:t>مفهوم العدالة</w:t>
      </w:r>
      <w:bookmarkEnd w:id="191"/>
    </w:p>
    <w:p>
      <w:pPr>
        <w:pStyle w:val="Heading6"/>
        <w:numPr>
          <w:ilvl w:val="5"/>
          <w:numId w:val="1"/>
        </w:numPr>
        <w:rPr/>
      </w:pPr>
      <w:bookmarkStart w:id="192" w:name="__RefHeading___Toc10531665_73709187"/>
      <w:bookmarkStart w:id="193" w:name="_Toc74"/>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في هذه المسألة يقتضي التكلّم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مفهوم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الطريق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تنبيهات هذه المسألة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فالعدالة لغةً هي الاستواء والاستقامة</w:t>
      </w:r>
      <w:r>
        <w:rPr>
          <w:rStyle w:val="FootnoteAnchor"/>
          <w:rtl w:val="true"/>
        </w:rPr>
        <w:footnoteReference w:id="302"/>
      </w:r>
      <w:r>
        <w:rPr>
          <w:rFonts w:ascii="Amiri" w:hAnsi="Amiri" w:eastAsia="Amiri" w:cs="Amiri"/>
          <w:color w:val="111111"/>
          <w:sz w:val="28"/>
          <w:sz w:val="28"/>
          <w:szCs w:val="28"/>
          <w:rtl w:val="true"/>
          <w:lang w:bidi="ar-SA"/>
        </w:rPr>
        <w:t xml:space="preserve">، أو ما يقاربهما </w:t>
      </w:r>
    </w:p>
    <w:p>
      <w:pPr>
        <w:pStyle w:val="BookText"/>
        <w:rPr/>
      </w:pPr>
      <w:r>
        <w:rPr>
          <w:rFonts w:ascii="Amiri" w:hAnsi="Amiri" w:eastAsia="Amiri" w:cs="Amiri"/>
          <w:color w:val="111111"/>
          <w:sz w:val="28"/>
          <w:sz w:val="28"/>
          <w:szCs w:val="28"/>
          <w:rtl w:val="true"/>
          <w:lang w:bidi="ar-SA"/>
        </w:rPr>
        <w:t>مفهوماً، كما صرّح به غير واحدٍ</w:t>
      </w:r>
      <w:r>
        <w:rPr>
          <w:rStyle w:val="FootnoteAnchor"/>
          <w:rtl w:val="true"/>
        </w:rPr>
        <w:footnoteReference w:id="303"/>
      </w:r>
      <w:r>
        <w:rPr>
          <w:rFonts w:ascii="Amiri" w:hAnsi="Amiri" w:eastAsia="Amiri" w:cs="Amiri"/>
          <w:color w:val="111111"/>
          <w:sz w:val="28"/>
          <w:sz w:val="28"/>
          <w:szCs w:val="28"/>
          <w:rtl w:val="true"/>
          <w:lang w:bidi="ar-SA"/>
        </w:rPr>
        <w:t>، بل هو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بين الأصحاب في بيان ما هو المراد من لفظها، الواقع في كلمات الشارع، 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العلّامة</w:t>
      </w:r>
      <w:r>
        <w:rPr>
          <w:rStyle w:val="FootnoteAnchor"/>
          <w:rtl w:val="true"/>
        </w:rPr>
        <w:footnoteReference w:id="304"/>
      </w:r>
      <w:r>
        <w:rPr>
          <w:rFonts w:ascii="IRNazanin" w:hAnsi="IRNazanin" w:eastAsia="IRNazanin"/>
          <w:color w:val="111111"/>
          <w:sz w:val="28"/>
          <w:sz w:val="28"/>
          <w:szCs w:val="28"/>
          <w:rtl w:val="true"/>
          <w:lang w:bidi="fa-IR"/>
        </w:rPr>
        <w:t>ومن تأخّر عنه</w:t>
      </w:r>
      <w:r>
        <w:rPr>
          <w:rStyle w:val="FootnoteAnchor"/>
          <w:rtl w:val="true"/>
        </w:rPr>
        <w:footnoteReference w:id="305"/>
      </w:r>
      <w:r>
        <w:rPr>
          <w:rFonts w:ascii="Amiri" w:hAnsi="Amiri" w:eastAsia="Amiri" w:cs="Amiri"/>
          <w:color w:val="111111"/>
          <w:sz w:val="28"/>
          <w:sz w:val="28"/>
          <w:szCs w:val="28"/>
          <w:rtl w:val="true"/>
          <w:lang w:bidi="ar-SA"/>
        </w:rPr>
        <w:t>، وهو أنّها كيفيّة نفسانيّة باعثة على ملازمة التقوى، وإنْ اختلفوا في التعبير عنها بالكيفيّة، أو الحالة، أو المَلَكة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نُسِب هذا القول إلى المشهور</w:t>
      </w:r>
      <w:r>
        <w:rPr>
          <w:rStyle w:val="FootnoteAnchor"/>
          <w:rtl w:val="true"/>
        </w:rPr>
        <w:footnoteReference w:id="306"/>
      </w:r>
      <w:r>
        <w:rPr>
          <w:rFonts w:ascii="IRNazanin" w:hAnsi="IRNazanin" w:eastAsia="IRNazanin"/>
          <w:color w:val="111111"/>
          <w:sz w:val="28"/>
          <w:sz w:val="28"/>
          <w:szCs w:val="28"/>
          <w:rtl w:val="true"/>
          <w:lang w:bidi="fa-IR"/>
        </w:rPr>
        <w:t>، بل إلى العلماء، أو الفقهاء، أو المؤالف والمخالف</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عبارة عن مجرّد ترك المعاصي، أو خصوص الكبائر،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وأبي الصلاح</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المجلسي والسبزواري</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أنّ هذا هو الأشهر في معناها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والصدوق</w:t>
      </w:r>
      <w:r>
        <w:rPr>
          <w:rStyle w:val="FootnoteAnchor"/>
          <w:rtl w:val="true"/>
        </w:rPr>
        <w:footnoteReference w:id="314"/>
      </w:r>
      <w:r>
        <w:rPr>
          <w:rFonts w:ascii="Amiri" w:hAnsi="Amiri" w:eastAsia="Amiri" w:cs="Amiri"/>
          <w:color w:val="111111"/>
          <w:sz w:val="28"/>
          <w:sz w:val="28"/>
          <w:szCs w:val="28"/>
          <w:rtl w:val="true"/>
          <w:lang w:bidi="ar-SA"/>
        </w:rPr>
        <w:t>من أنّها الاجتناب عن المعاصي عن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الإسلام، وعدم ظهور الفسق، وهو المحكيّ عن ابن الجنيد والمفيد</w:t>
      </w:r>
      <w:r>
        <w:rPr>
          <w:rStyle w:val="FootnoteAnchor"/>
          <w:rtl w:val="true"/>
        </w:rPr>
        <w:footnoteReference w:id="315"/>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حُسْن الظاهر كما نُسب إلى جماعةٍ‌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الأعظم قدس سره في رسالة العدالة</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رجوع القول الأوّل إلى الثالث، إذ لا كلام في زوال العدالة بارتكاب الكبيرة، ويحدث الفسق، وحينئذٍ إنْ بقيتِ المَلَكة، ثبت اعتبار الاجتناب الفعلي في العدالة، وإنْ ارتفعت ثبت ملازمة المَلَكة للاجتناب الفعلي، فمراد الأولين من المَلَكة الباعثة على الاجتناب، الباعثة فعلاً، لا ما من شأنها أن تبعث، ولو تخلّف عنها البعث لغَلَبة الهوى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أنّ ارتكاب الكبيرة حتّى على القول الأوّل مُضرٌّبالعدالة، إلّا أنّ ذلك لا يوجب تساوي القولين، إذ مَنْ كان فيه مَلَكة العدالة، ولم يرتكب الكبيرة، لعدم الابتلاء بها، كما إذا بلغ صاحب المَلَكة قبل أن يبتلي بها، أو لم يرتكبها لا للمَلَكة بل لاستحيائه من النّاس ونحوه، فإنّه على القول الأوّل عادلٌ‌، وعلى الثالث ليس بعادل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الشيخ رحمه الله</w:t>
      </w:r>
      <w:r>
        <w:rPr>
          <w:rStyle w:val="FootnoteAnchor"/>
          <w:rtl w:val="true"/>
        </w:rPr>
        <w:footnoteReference w:id="318"/>
      </w:r>
      <w:r>
        <w:rPr>
          <w:rFonts w:ascii="Amiri" w:hAnsi="Amiri" w:eastAsia="Amiri" w:cs="Amiri"/>
          <w:color w:val="111111"/>
          <w:sz w:val="28"/>
          <w:sz w:val="28"/>
          <w:szCs w:val="28"/>
          <w:rtl w:val="true"/>
          <w:lang w:bidi="ar-SA"/>
        </w:rPr>
        <w:t xml:space="preserve">في جعل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وعدم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4" w:name="pg11802_154019"/>
    </w:p>
    <w:p>
      <w:pPr>
        <w:pStyle w:val="BookText"/>
        <w:rPr/>
      </w:pPr>
      <w:bookmarkEnd w:id="194"/>
      <w:r>
        <w:rPr>
          <w:rFonts w:ascii="Amiri" w:hAnsi="Amiri" w:eastAsia="Amiri" w:cs="Amiri"/>
          <w:color w:val="111111"/>
          <w:sz w:val="28"/>
          <w:sz w:val="28"/>
          <w:szCs w:val="28"/>
          <w:rtl w:val="true"/>
          <w:lang w:bidi="ar-SA"/>
        </w:rPr>
        <w:t xml:space="preserve">ظهور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العدالة، بأنّه يقتضي كون العدالة من الاُمور التي يكون وجودها الواقعي عين وجودها الذهني، وهو لا يجامع مع كون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واقعيّاً، لا دخل للذّهن فيه، وحينئذٍ لو ارتكب الشخص المعاصي في علم اللّه، من دون أن يعلمه أحدٌ، لزم كونه عادلاً واقعاً، لأنّ فيه حُسن الظاهر، ولم يظهر الفسق منه لأحدٍ، وفاسقاً واقعاً لأنّه ارتكب المعصية خفاء، مع أنّه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قدس سره فرض كون الفسق أمراً واقعيّاً، ثمّ أشكل عليه بذلك، مع أنّه على هذين القولين في العدالة ليس كذلك، لأنّه ضدّ العدالة، فليس هو أيضاً أمراً واقعيّاً، ومن كان في علم اللّه مرتكباً للكبيرة مع عدم ظهور ذلك لأحدٍ، لا يعدّ فاسقاً واقعاً برغم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العدالة هو حُسن الظاهر، بأنّه يلزم أن تكون العدالة من الأوصاف ذات الإضافة، ليكون شخصٌ واحدٌ عادلاً عند من حَسُن ظاهره عنده، وفاسقاً عند من لم يكن له حُسن الظاهر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ذلك، ويلتزم به هذا القائل، ألا ترى أنّ من يقول بأنّ حُسن الظاهر طريقٌ إلى العدالة، يقول بطريقيّته عند من كان له حسن الظاهر عنده، ويرتّب عليه آثار العدالة دون المطّلع على ارتكابه المعصية</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0531667_73709187"/>
      <w:bookmarkStart w:id="196" w:name="_Toc75"/>
      <w:bookmarkEnd w:id="195"/>
      <w:r>
        <w:rPr>
          <w:rtl w:val="true"/>
        </w:rPr>
        <w:t>أدلّة كون العدالة هي حُسنُ الظاهر</w:t>
      </w:r>
      <w:bookmarkEnd w:id="1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كون العدالة هي حُسنُ الظاهر بوجوه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هو مقتضى الجمع بين ما دلَّ على اعتبار العدالة في إمام </w:t>
      </w:r>
    </w:p>
    <w:p>
      <w:pPr>
        <w:pStyle w:val="BookText"/>
        <w:rPr/>
      </w:pPr>
      <w:r>
        <w:rPr>
          <w:rFonts w:ascii="Amiri" w:hAnsi="Amiri" w:eastAsia="Amiri" w:cs="Amiri"/>
          <w:color w:val="111111"/>
          <w:sz w:val="28"/>
          <w:sz w:val="28"/>
          <w:szCs w:val="28"/>
          <w:rtl w:val="true"/>
          <w:lang w:bidi="ar-SA"/>
        </w:rPr>
        <w:t>الجماعة، الظاهر في كونها شرطاً واقعيّاً، وما دلَّ على صحّة الصَّلاة بعدما ظهر الفسق من الإمام، فإنّه يستفاد منهما أنّ العدالة أمرٌ ظاهري غير قابل لانكشاف الخلاف، لا مَلَكة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إنّما يدلّ على صحّة الصَّلاة، لا صحّة الائتمام، وصحّة الصَّلاة غالباً تكون على القاعدة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إلّامن خمس</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بناءً على عدم اختصاص الحديث بالنّاسي، كما هو الحقّ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تعيين موضوع الحكم بذلك، بعد إمكان كون العدالة شرطاً عمليّاً لصحّة الائتمام، أو الالتزام بإجزاء الأمر الظاهري، وبعد دلالة الدليل على عدم كون العدالة هي حُسن الظاهر، فلا أقلّ من أن يكون مُجملاً، وتعيين أحدها من بينها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مقتضى الجمع بين ما دلَّ على اعتبار العدالة في قبول الشهادة، وبين ما دلَّ على أنّ حُسن الظاهر شرطٌ في قبول الشهادة، فيستفاد من ذلك أنّ العدالة هي حُسن الظاهر، لعدم كونهما شرطين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 عليه الطائفة الثانية، هي كفاية حُسن الظاهر في ترتيب أحكام العدالة، وهذا يلائم مع كونه طريقاً إليها، بل الظاهر من جملةٍ منها ذلك، لاحظ قوله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مروءته، وظهرت عدالته، ووجبتْ اُخوّته، وحرُمت غيبته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أنّه عليه السلام رتّب من خلال هذا الخبر ظهور العدالة على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أبي يعفور الآتي، بعد تفسير العدالة بما هو ظاهرٌ في كونها أمراً واقعيّاً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 أن يكون ساتراً لجميع عيوبه</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فان ستر العيوب هو حُسن الظاهر،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الأصحاب</w:t>
      </w:r>
      <w:r>
        <w:rPr>
          <w:rStyle w:val="FootnoteAnchor"/>
          <w:rtl w:val="true"/>
        </w:rPr>
        <w:footnoteReference w:id="322"/>
      </w:r>
      <w:r>
        <w:rPr>
          <w:rFonts w:ascii="Amiri" w:hAnsi="Amiri" w:eastAsia="Amiri" w:cs="Amiri"/>
          <w:color w:val="111111"/>
          <w:sz w:val="28"/>
          <w:sz w:val="28"/>
          <w:szCs w:val="28"/>
          <w:rtl w:val="true"/>
          <w:lang w:bidi="ar-SA"/>
        </w:rPr>
        <w:t>تقديم الجارح على المعدِّل عند التعارض، وعلّلوا ذلك بأنّ في ذلك تصديقاً لهما، لأنّ المعدِّل يدّعي عدم رؤيته منه شيئاً، والجارح يشهد بالرؤية، فتقديم قول الجارح ملائمٌ مع تصديق المعدل، وبديهي أنّ هذا لا يلائم إلّامع القول بأنّ العدالة هي حُسن الظاهر، وغير ملائمٍ مع كونها من الاُمور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ترد آيةٌ ولا رواية على تقديم قول الجارح، معلّلةً بالتعليل المذكور، وما دام لم يتمّ الوجه المذكور، فلا يمكن الاعتماد عليه على تقدير القول بأنّ العدالة من الاُمورالواقعيّة، لزم عدم الاعتماد عليه، لا أن يُجعل دليلاً على أنّ العدالة من الاُمور الظاهريّة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التعليل يلائم مع كون العدالة هي المَلَكة، مع اعتبار عدم صدور الكبيرة منه، إمّا لأخذه قيداً فيها، أو لدليلٍ خارجي، إذ لو اُحرز وجود المَلَكة، يكفي في الحكم بتحقّق الجزء الآخر، أصالة العدم أو أصالة الصحّة، وعليه فشهادة الجارح تكون حاكمة على شهادة المعدّل، لأنّ الجارح يدّعي العلم بصدور الكبيرة، والمعدِّل لا يدّعي العلم بعدمه، وإنّما يشهد به اعتماداً على الأصل،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يعارض الأصلُ الدليلَ‌، ولا يدّعي الجارح عدم المَلَكة حتّى يتعارضان، بل ربما يعترف بها، بل يدّعي صدور الكبيرة كما عرفت، وعليه فيتمّ ماذكروه من أنّ العمل بشهادة الجارح تصديقٌ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المعدِّل ربما تكون لحُسن الظاهر، الكاشف عن المَلَكة، لا العلم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علقمة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تره بعينِكَ يرتكبُ ذنباً، ولم يَشهَدْ عليه بذلك شاهدان، فهو من أهل العدالة والسِّتر، وشهادته مقبولة، وإنْ كان في نفسه مُذْنباً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أنّ الذّنب المُستَتر به غير منافٍ للعدالة، فالعبرة في عدالة الرّجل أن يكون ظاهره ظاهراً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إرادة بيان العدالة عند الشخص في مرحلة الظاهر، وليس ذلك إلّاببيان ماهو الطريق إليها، كما لا يخفى على المتأمِّل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بينه وبين ما دلَّ على طريقيّة حُسن الظاهر، إنّما يكون بالالتزام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ثبت عدم قيام الدليل على أنّ العدالة هي حُسن الظاهر أو الإسلام مع عدم ظهور الفسق، فاعلم أنّ مقتضى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بعضها، والآتي بعضها الآخر التي تكون متضمّنة لطريقيّة 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العدالة من الاُمور الواقعيّة، مع أنّ هذا يناسب مع مفهومها اللّغوي المرتكز في الأذهان، وهي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الاستقامة، فإنّ الاستقامة العمليّة إنّما تكون بعدم الفسق واقعاً، لا عدم ظهوره للناس، فهذان القولان ساقطان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7" w:name="pg11802_154023"/>
    </w:p>
    <w:p>
      <w:pPr>
        <w:pStyle w:val="Heading6"/>
        <w:numPr>
          <w:ilvl w:val="5"/>
          <w:numId w:val="1"/>
        </w:numPr>
        <w:rPr/>
      </w:pPr>
      <w:bookmarkStart w:id="198" w:name="__RefHeading___Toc10531669_73709187"/>
      <w:bookmarkStart w:id="199" w:name="_Toc76"/>
      <w:bookmarkEnd w:id="197"/>
      <w:bookmarkEnd w:id="198"/>
      <w:r>
        <w:rPr>
          <w:rtl w:val="true"/>
        </w:rPr>
        <w:t>أدلّة كون العدالة هي مجرّد ترك المعاصي</w:t>
      </w:r>
      <w:bookmarkEnd w:id="199"/>
    </w:p>
    <w:p>
      <w:pPr>
        <w:pStyle w:val="BookText"/>
        <w:rPr/>
      </w:pPr>
      <w:r>
        <w:rPr>
          <w:rFonts w:ascii="Amiri" w:hAnsi="Amiri" w:eastAsia="Amiri" w:cs="Amiri"/>
          <w:color w:val="111111"/>
          <w:sz w:val="28"/>
          <w:sz w:val="28"/>
          <w:szCs w:val="28"/>
          <w:rtl w:val="true"/>
          <w:lang w:bidi="ar-SA"/>
        </w:rPr>
        <w:t>قد استدلّ للقول بأنّ العدالة هي مجرّد ترك المعاصي، وعدم اعتبار المَلَكة فيها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المولى الأعظم الوحيد البهبهاني رحمه الله</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حصول المَلَكة بالنسبة إلى كلّ المعاصي، إنّما يكون في غاية الندرة إنْ فرض تحقّقه، وبديهي أنّ العدالة ممّا تعمّ به البلوى، وتكثر إليه الحاجات في العبادات والمعاملات، فلو كان الأمر كما يقولون، لزم اختلال النظام، مع أنّ القطع حاصلٌ بأنّه لم يكن في زمان المعصومين عليهم السلام على هذا النهج، ألا ترى أنّه ورد في الأخبار أنّ إمام الجماعة إذا أحدث أو حَدَث له مانعٌ آخر، أخذ بيد آخر وأقامه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السيّد الصَّدر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الوافية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وأوضحه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الوسط بين البلادة والجُربزة يُسمّى حكمة، وبين إفراط الشهوة وتفريطها هي العِفّة، وبين الظلم والانظلام هي الشجاعة، فإذا اعتدلت هذه القوى حصلت كيفيّة واحدة شبيهة بالمزاج، وبعد حصولها يلزمها التقوى والمروّة، وهذه الصِّفة الحميدة تكون في الأوحدي الذي لا يسمع الدّهر مثله إلّانادراً، والاحتياج إلى العدالة عامٌ لازم في كلّ طائفةٍ من كلّ فرقة من سكان البرّ والبحر حفظاً لنظام الشريعة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فُسّرت العدالة بها، ليس ما أفاده السيّد </w:t>
      </w:r>
    </w:p>
    <w:p>
      <w:pPr>
        <w:pStyle w:val="BookText"/>
        <w:rPr/>
      </w:pPr>
      <w:r>
        <w:rPr>
          <w:rFonts w:ascii="Amiri" w:hAnsi="Amiri" w:eastAsia="Amiri" w:cs="Amiri"/>
          <w:color w:val="111111"/>
          <w:sz w:val="28"/>
          <w:sz w:val="28"/>
          <w:szCs w:val="28"/>
          <w:rtl w:val="true"/>
          <w:lang w:bidi="ar-SA"/>
        </w:rPr>
        <w:t>الصدر رحمه الله، فإنّ ما ذكره هي العدالة الأخلاقيّة، حيث فسَّر علماء الأخلاق</w:t>
      </w:r>
      <w:r>
        <w:rPr>
          <w:rStyle w:val="FootnoteAnchor"/>
          <w:rtl w:val="true"/>
        </w:rPr>
        <w:footnoteReference w:id="326"/>
      </w:r>
      <w:r>
        <w:rPr>
          <w:rFonts w:ascii="Amiri" w:hAnsi="Amiri" w:eastAsia="Amiri" w:cs="Amiri"/>
          <w:color w:val="111111"/>
          <w:sz w:val="28"/>
          <w:sz w:val="28"/>
          <w:szCs w:val="28"/>
          <w:rtl w:val="true"/>
          <w:lang w:bidi="ar-SA"/>
        </w:rPr>
        <w:t>العدالة بأنّها مَلَكة يقتدر بها العقل العَمَلي على تعديل القوى الثلاث؛ من العاقلة والشهويّة والغَضَبيّة على حسب ما يقتضيه العقل النظري،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عند علماء الأخلاق</w:t>
      </w:r>
      <w:r>
        <w:rPr>
          <w:rStyle w:val="FootnoteAnchor"/>
          <w:rtl w:val="true"/>
        </w:rPr>
        <w:footnoteReference w:id="327"/>
      </w:r>
      <w:r>
        <w:rPr>
          <w:rFonts w:ascii="Amiri" w:hAnsi="Amiri" w:eastAsia="Amiri" w:cs="Amiri"/>
          <w:color w:val="111111"/>
          <w:sz w:val="28"/>
          <w:sz w:val="28"/>
          <w:szCs w:val="28"/>
          <w:rtl w:val="true"/>
          <w:lang w:bidi="ar-SA"/>
        </w:rPr>
        <w:t>كاعتدال المزاج في القالب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ليست معتبرة في العدالة الّتي هي موضوعٌ للأحكام الشرعيّة، لأنّها كما قيل قلّما توجد إلّافي الأوحدي في كلّ عصر ومصر، بل المراد بها الحالة الواحدة الحاصلة للنفس من خشية اللّه، باعثةً على فعل الواجبات وترك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يتركها لعدم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للدّواعي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حالة الخوف عند كلّ معصيةٍ‌، بحيث أنّه بعد ذلك يرى من نفسه عدم تأبيها عن ارتكابه، ولكن عند الابتلاء بفردٍ آخر يحصل له فردٌ آخر من الخوف يمنع عن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لوجود حالةٍ وجدانيّة مستمرّة، باعثة إلى ترك المحرّمات وفعل الواجبات، وأثرُ ذلك أنّه في حال عدم صدور المعصية، وعدم الابتلاء بها، يفرح بعدم ارتكابه المعصية حين الابتلاء، ويكون بانياً على عدم ارتكابها عند الابتلاء بها، كلّما توجّه لذلك، وهذه الرابعة هي المراد من مَلَكة العدالة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الصفة النفسانيّة كسائر الصفات النفسانيّة، والأعراض الخارجيّة،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00" w:name="pg11802_154025"/>
    </w:p>
    <w:p>
      <w:pPr>
        <w:pStyle w:val="BookText"/>
        <w:rPr/>
      </w:pPr>
      <w:bookmarkEnd w:id="200"/>
      <w:r>
        <w:rPr>
          <w:rFonts w:ascii="Amiri" w:hAnsi="Amiri" w:eastAsia="Amiri" w:cs="Amiri"/>
          <w:color w:val="111111"/>
          <w:sz w:val="28"/>
          <w:sz w:val="28"/>
          <w:szCs w:val="28"/>
          <w:rtl w:val="true"/>
          <w:lang w:bidi="ar-SA"/>
        </w:rPr>
        <w:t>ذات مراتبَ مختلفة، أعلاها مرتبة العصمة، وأدناها العدالة المعتبرة في امام الجماعة وقبول الشهادة ونحوهما، وهي الحالة الباعثة في الحال المتعارف للإنسان، وإنْ كانت بحيث يغلب عليها إذا كان مقتضى المعصية أقوى منها في الإقتضاء، كما إذا عَرَضت له حالة كأنّه لا يملك نفسه من مخالفة الشهوة والغضب، لغَلَبة القوّة الشهويّة والغضبيّة، ولكن مع وجود تلك الحالة يندم من ذلك، وعلى هذا يُحمل ما قيل من إنّ المعصية تصدر من ذي المَلَكة كثيراً</w:t>
      </w:r>
      <w:r>
        <w:rPr>
          <w:rStyle w:val="FootnoteAnchor"/>
          <w:rtl w:val="true"/>
        </w:rPr>
        <w:footnoteReference w:id="328"/>
      </w:r>
      <w:r>
        <w:rPr>
          <w:rFonts w:ascii="Amiri" w:hAnsi="Amiri" w:eastAsia="Amiri" w:cs="Amiri"/>
          <w:color w:val="111111"/>
          <w:sz w:val="28"/>
          <w:sz w:val="28"/>
          <w:szCs w:val="28"/>
          <w:rtl w:val="true"/>
          <w:lang w:bidi="ar-SA"/>
        </w:rPr>
        <w:t>، وهذه الصفة ليست نادرة في النّاس، كما ذكره الوحيد البهبهاني قدس سره بحيث يلزم من إناطة الأحكام بها اختلال النظام، بل هي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بزوال العدالة عند عروض ما ينافيها من المعصية، ورجوعها بمجرّد التوبة، أقوى شاهدٍ على أنّ العدالة ليست هي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العدالة عند القائلين بأنّها مَلَكة، ليست هي المَلَكة المجرّدة، بل هي مقيّدة بعدم عروض ما ينافيها، فعند عروضه تنعدم العدالة وإنْ كانت المَلَكة باقية، وأمّا رجوعها بالتوبة، فهو إنّما يكون لأجل ما دلَّ من النصوص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الحقيقة العدالة عندهم عبارة عن المَلَكة، مع عدم كون الشخص مأخوذاً بالمعصية</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0531671_73709187"/>
      <w:bookmarkStart w:id="202" w:name="_Toc77"/>
      <w:bookmarkEnd w:id="201"/>
      <w:r>
        <w:rPr>
          <w:rtl w:val="true"/>
        </w:rPr>
        <w:t>أدلّة اعتبار المَلَكة في العدالة والجواب عنها</w:t>
      </w:r>
      <w:bookmarkEnd w:id="20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الأعظم رحمه الله</w:t>
      </w:r>
      <w:r>
        <w:rPr>
          <w:rStyle w:val="FootnoteAnchor"/>
          <w:rtl w:val="true"/>
        </w:rPr>
        <w:footnoteReference w:id="329"/>
      </w:r>
      <w:r>
        <w:rPr>
          <w:rFonts w:ascii="Amiri" w:hAnsi="Amiri" w:eastAsia="Amiri" w:cs="Amiri"/>
          <w:color w:val="111111"/>
          <w:sz w:val="28"/>
          <w:sz w:val="28"/>
          <w:szCs w:val="28"/>
          <w:rtl w:val="true"/>
          <w:lang w:bidi="ar-SA"/>
        </w:rPr>
        <w:t>في رسالته في العدالة على اعتبار وجود المَلَكة في العدالة بوجوه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مراده منه أنّ العدالة مع ثبوت المَلَكة قطعيّة، ومع عدمها مشكوكٌ فيها،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فإنّما هو إذا لم يقم دليلٌ على أحد الطرفين، وستعرف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المنقول المعتضد 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الأقوال في المسألة، فلا مجال للاعتماد على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هذا الإجماع، لم يكن إجماعاً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الأخبارالدالّة على اعتبار الوثوق بدين إمام الجماعة وورعه، مع العلم بأنّه لا يحصل الوثوق بمجرّد تركه المعاصي في جميع ما مضى من عمره، ما لم يُعلم أو يُظنّ فيه مَلَكة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يمكن حصول الوثوق بتركه المعاصي في جميع ما مضى من عمره، كذلك يمكن حصوله بتركه إيّاها في المستقبل، لداعٍ نفساني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مَلَكة فعل الواجبات وترك المعاصي، ربما تكون هي التديّن والخوف من العقوبة، وربما قد تكون لداعٍ آخر من تحبيب نفسه عند النّاس، أو غير مذموم، ومعروفاً بالدّيانة والصَّلاح عندهم، ومع وجود الثانية يحصل الوثوق بتركه المعاصي، مع أنّها ليست عدالة بناءً على القول بكونها مَلَكة باعثة على فعل الواجبات وترك المحرّمات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المحقّق الإصفهاني رحمه الله</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من أنّه إذا ترك المعصية في زمانٍ‌، يُجديه الاستصحاب في ما بعده لترتيب الآثار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بالنسبة إلى ترك المحرّمات، وأمّا بالنسبة إلى فعل الواجبات فغير مُجدٍ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331"/>
      </w:r>
      <w:r>
        <w:rPr>
          <w:rFonts w:ascii="Amiri" w:hAnsi="Amiri" w:eastAsia="Amiri" w:cs="Amiri"/>
          <w:color w:val="111111"/>
          <w:sz w:val="28"/>
          <w:sz w:val="28"/>
          <w:szCs w:val="28"/>
          <w:rtl w:val="true"/>
          <w:lang w:bidi="ar-SA"/>
        </w:rPr>
        <w:t>الدالّة على اعتبار امتلاك الشاهد صفات الأمانة والعِفّة والصيانة والصلاح وغيرها من الصفات النفسانيّة، مع الإجماع على عدم اعتبارها زيادةً على العدالة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المأمونيّة تعني كون غيره في أمن منه، فيجري فيها ما ذكرناه في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العفّة فسيأتي الكلام فيها فانتظر، وأمّا الصيانة فتتحقّق بصيانة الجوارح، وحفظها عن ارتكاب المعاصي، وأمّا الصلاح فعدم كونه مَلَكة أوضح من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وعليهم‌؟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 والعَفاف، وكفّ البطن والفرج، واليد واللِّسان، ويُعرف باجتناب الكبائر التي أوعد اللّه عليها النّار، من شُرب الخمر والزِّنا وعُقوق الوالدين، والفرار من الزحف وغير ذلك، والدلالة على ذلك أن يكون ساتراً لجميع عيوبه، حتّى يحرم على المسلمين ما وراء ذلك من عثراته وعيوبه، وتفتيش ما وراء ذلك، ويجبُ عليهم تزكيته، وإظهار عدالته في النّاس، الحديث</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الحديث في مقام تعريف العدالة اشتمل على ما يعدّ من الصفات النفسانيّة وهو العفاف، إذ الظاهر من هذه الصفة النفسانيّة هي الاستحياء من اللّه تعالى، فلا يجوز أن يكون أخصّ من العدالة، بل لابدّ أن يكون مساوياً لها أو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كونه في مقام بيان معرفة الطريق إلى العدالة، بعد كونها واضحة بحسب المفهوم، لا عن تعيين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يتعيّن حمله على السؤال عن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حمله على المعرّف المنطقي، لا المُعرّف الشرعي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 كونه في مقام بيان الطريق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اُريد به بيان الطريق إلى العدالة، فحمل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السّتر والعفاف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الطريق إليها يصبح لغواً، لكونه أخصّ‌، لأنّه قد يكون ساتراً لعيوبه الظاهرة، وليس ستيراً وعفيفاً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بيان الطريق إلى الأوّل، حتّى يكون طريقاً إلى الطريق، فهو أيضاً يلزم منه لغوية الطريق الأوّل، إذ لاحاجة غالباً إلى ذكر أمارة تُذكر لها أمارة اُخرى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جعله معرّفاً شرعيّاً، كان لازمه حمل الصفات المذكورة فتكون مجرّد ملكاتها معرفةً وطريقاً إلى العدالة، التي لاتكون هي حينئذٍ إلّانفس اجتناب المعاصي، وهذا بعيد غايته، لأنّ طريقيّة مَلَكة ترك المعاصي لتركها ليست من الاُمور التي تُعدّ معرّفاً منطقيّاً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إليها بعض الأعاظم</w:t>
      </w:r>
      <w:r>
        <w:rPr>
          <w:rStyle w:val="FootnoteAnchor"/>
          <w:rtl w:val="true"/>
        </w:rPr>
        <w:footnoteReference w:id="334"/>
      </w:r>
      <w:r>
        <w:rPr>
          <w:rFonts w:ascii="IRNazanin" w:hAnsi="IRNazanin" w:eastAsia="IRNazanin"/>
          <w:color w:val="111111"/>
          <w:sz w:val="28"/>
          <w:sz w:val="28"/>
          <w:szCs w:val="28"/>
          <w:rtl w:val="true"/>
          <w:lang w:bidi="fa-IR"/>
        </w:rPr>
        <w:t>وجهاً آخر،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الستر والعفاف المذكورين فيه من سِنخ الملكات، وكف البطن والفرج من سِنخ الأفعال، فلو كان ذلك طريقاً إلى العدالة، لزم كون العدالة أمراً آخر وراء ماذكر، وهذا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ما ذكرناه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الإصفهاني رحمه الله</w:t>
      </w:r>
      <w:r>
        <w:rPr>
          <w:rStyle w:val="FootnoteAnchor"/>
          <w:rtl w:val="true"/>
        </w:rPr>
        <w:footnoteReference w:id="335"/>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العفّة إنّما هي اعتدال القوّة البهيميّة، وهي إنّما تكون باعثة على ترك المعاصي المناسبة مع القوّة البهيميّة، ولا يُعقل أن تكون باعثة على تَرك جميع الكبائر المناسبة للقوّة البهيميّة، وغيرها من القوى، وإتيان الواجبات، فهي بهذا المعنى لازمٌ أعمّ للملكة المقصودة هنا، وعليه فلا مناص من الالتزام بعدم إرادة هذا المعنى منها في الصحيح، وحملها على إرادة معنى آخر، فلا وجه لجعلها من الصفات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العفّة عند علماء الأخلاق، عبارة عن اعتدال القوّة البهيميّة خاصّة، ولكن في عُرف المتشرّعة، وبحسب المتفاهم العرفي، وتصريح اللّغويين، معناها أعمٌّ من ذلك، وهو الامتناع عن جميع المعاصي، ومنها ترك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العفّة لم تُذكر وحدها في التعريف، بل هي مع الستر الذي فسَّره الشيخ الأعظم بالإستحياء من اللّه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Style w:val="FootnoteAnchor"/>
          <w:rtl w:val="true"/>
        </w:rPr>
        <w:footnoteReference w:id="336"/>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تلك العناوين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مشتملة على المَلَكة، فإنّه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ستير أو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إلّابالنسبة إلى من كان الستر والعفاف مَلَكة له، ولكنّها لاتدلّ على المَلَكة الخاصّة الّتي هي الديانة، لإمكان أن تكون من جهة اُخرى مثل كونه محبوباً عند النّاس أو غير مذمومٍ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النفسانيّة الباعثة على فعل الواجبات وترك المحرّمات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لأجل وجود فضائل نفسانيّة مضادّة للرذائل النفسانيّة المقتضية لفعل ما 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لأجل الخشية من اللّه تعالى استشعاراً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هي الاستحياء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هي الخوف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هي الخوف ممّا يترتّب على فعل الكبيرة، من زوال محبوبيّته عند النّاس أو غير ذلك، كما يشير إليه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شرب الخمر لغير اللّه تعالى‌، سقاه اللّه من الرَّحيق المختوم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فيتركه لغير اللّه‌؟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لنفسه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تكون من أقسام المَلَكة، حتّى الأخيرة منها، إلّاأنّها ليست مَلَكة حاصلة له من جهة التديّن، كيف وهي في الغالب تكون رذيلة أو كبيرة، ناشئة من تدليس أو رياء أو طلب سمعة أو طلب الجاه ونحو ذلك، وعلى ذلك فالعناوين المذكورة وإنْ كانت مشتملة على المَلَكة، إلّاأنّها لأعميّة تلك المَلَكة من مَلَكة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الديانة، يمكن جعلها طريقاً تعبّديّاً إلى ثبوت العدالة، فلا موجب لرفع اليد عن ظاهر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لو سُلّم كون العفّة من الملكات، فإنّه لا ريب في ظهورها في مَلَكة الديانة، دون المَلَكة التي بنفسها 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الباعث لفعل الواجبات وترك المحرّمات، حتّى الخفيّة منها كالرِّياء، لا يكون إلّامَلَكة الديانة الّتي أدنى مراتبها الخوف من العقاب، وأمّا الخوف من ترتّب مفسدة اُخرى على فعل الكبيرة، من زوال محبوبيّته عند النّاس وما ضاهاها، فإنّما يُجدي داعياً في المعاصي الظاهريّة دون الخفيّة، فالمَلَكة الباعثة لفعل الواجبات، وترك المحرّمات برمّتها ليست إلّامَلَكة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المذكورات في صدر الحديث، ليس شيءٌ منها من الصفات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عمدة نظر الشيخ رحمه الله إليه، فاعتباره فضيلةً للقوّة الشهويّة اصطلاحٌ أخلاقي، وإلّا فإنّ معناه في اللّغة والمتفاهم العرفي منه، ليس إلّاعبارة عن الامتناع والكفّ عن ما لا يحلّ أو لا يجمل، 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العفاف، أي كفّ النفس عن المحرّمات، وعن سؤال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عفَّ بطنه وفَرجه، أي صانهما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واعفه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راجع هذه الكلمة في الروايات والأدعية، ولاحظ الاستعمالات العرفيّة، يظهر له عدم كونها من الصفات النفسانيّة، بل هي من عناوين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الشيخ الأعظم رحمه الله</w:t>
      </w:r>
      <w:r>
        <w:rPr>
          <w:rStyle w:val="FootnoteAnchor"/>
          <w:rtl w:val="true"/>
        </w:rPr>
        <w:footnoteReference w:id="339"/>
      </w:r>
      <w:r>
        <w:rPr>
          <w:rFonts w:ascii="Amiri" w:hAnsi="Amiri" w:eastAsia="Amiri" w:cs="Amiri"/>
          <w:color w:val="111111"/>
          <w:sz w:val="28"/>
          <w:sz w:val="28"/>
          <w:szCs w:val="28"/>
          <w:rtl w:val="true"/>
          <w:lang w:bidi="ar-SA"/>
        </w:rPr>
        <w:t>بأنّه مرادفٌ للعفاف، فيجري فيه ما ذكرناه في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السّتر مقابلُ الظهور، وعدم كونه من الصفات النفسانيّة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ذُكر السّتر في الحديث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 كلّه أن يكون ساتراً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حُمل السَّتر في الذيل أيضاً على ما حُمل الأوّل عليه، لزم اتّحاد الدليل والمدلول، وهو ممنوع، فلابدّ من حمله على ما يرادف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اتّحاد الدليل والمدلول، لا يتوقّف على الالتزام بذلك، فإنّه يمكن دفع هذا المحذور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السّتر في كلا الموردين محمولٌ على معناه اللّغوي، وهو ما يقابل الظهور، غاية الأمر في المدلول محمولٌ على عدم ظهور آثار الرذائل النفسانيّة في الخارج، المساوق لعدم فعليّتها وتحقّقها في الخارج، وفي الدليل محمولٌ على عدم إظهاره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الشيخ الأعظم رحمه الله</w:t>
      </w:r>
      <w:r>
        <w:rPr>
          <w:rStyle w:val="FootnoteAnchor"/>
          <w:rtl w:val="true"/>
        </w:rPr>
        <w:footnoteReference w:id="34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تحقّقه على وجهٍ يكون من الأوصاف الثابتة للشخص، لا من الأفعال الحادثة الصادرة عنه في زمانٍ من الأزمنة، ولا يكون ذلك إلّامع الحالة الموجبة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رجوعه قدس سره عنه في ذيل كلامه، والتزامه بأنّ الكفّ مساوقٌ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أنّه لا حقيقة للكفّ سوى الإجتناب عن اختيارٍ، وأمّا كون الدّاعي إليه هي مَلَكة الديانة أو غيرها، فلا يمكن استفادته من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عدم صدق الكفّ إلّامع وجود الحالة الموجبة، فإنّه لا يختصّ ذلك بما إذا كانت تلك الحالة حالة واحدة مستمرّة التي هي مَلَكة العدالة، بل يصدق مع حالة خوفٍ حاصلة على سبيل الاتّفاق، تمنعه عن الإقدام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هذه الاُمور ليست من الصفات النفسانيّة، فحقيقة العدالة ليست إلّااجتناب المعاصي، وإتيان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وإنْ كان متيناً غايته، إلّاأنّ إتيان جميع الواجبات، وترك جميع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الخفيّة منها كالرِّياء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إلّامع داعٍ إلهي وهي مَلَكة الديانة، وأمّا الحياء من النّاس، فهو إنّما يكون داعيا لترك المعاصي الظاهرة، بل لو كان الدّاعي غير إلهي، يكون بحسب الغالب نفسه من الكبائر من تدليس ونحوه، فلا يترتّب على هذا البحث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 صيرورة الشخص أوان بلوغه عادلاً، إذا لم يصدر عنه فعل الحرام، وأتى بالواجبات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التي هي بمعنى الاستقامة العَمَليّة على جادّة الشرع، وعدم الانحراف عنها يميناً ويساراً، تتوقّف على الابتلاء بالمعصية، ووجود الدّاعي إليها، ليصبح سالكاً كي يصدق عليه كونه مستقيماً، إذ غير السالك لا يصدق عليه ذلك، كما لا يخفى‌، وكذلك بحسب ما ورد من تفسيرها في الصحيح، إذ العفّة والسَّتر والكفّ لا تصدق إلّامع الابتلاء، ووجود الدّاعي، أو كونه مع حالٍ تقتضي تلك الحالة ترك المعصية عند ابتلائه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عن الزلل في القول والعمل</w:t>
      </w:r>
      <w:r>
        <w:rPr>
          <w:rFonts w:eastAsia="Amiri" w:cs="Amiri" w:ascii="Amiri" w:hAnsi="Amiri"/>
          <w:color w:val="111111"/>
          <w:sz w:val="28"/>
          <w:szCs w:val="28"/>
          <w:rtl w:val="true"/>
          <w:lang w:bidi="ar-SA"/>
        </w:rPr>
        <w:t xml:space="preserve">. </w:t>
      </w:r>
      <w:bookmarkStart w:id="203" w:name="pg11802_154034"/>
    </w:p>
    <w:p>
      <w:pPr>
        <w:pStyle w:val="Heading6"/>
        <w:numPr>
          <w:ilvl w:val="5"/>
          <w:numId w:val="1"/>
        </w:numPr>
        <w:rPr/>
      </w:pPr>
      <w:bookmarkStart w:id="204" w:name="__RefHeading___Toc10531673_73709187"/>
      <w:bookmarkStart w:id="205" w:name="_Toc78"/>
      <w:bookmarkEnd w:id="203"/>
      <w:bookmarkEnd w:id="204"/>
      <w:r>
        <w:rPr>
          <w:rtl w:val="true"/>
        </w:rPr>
        <w:t>طرق معرفة العدالة</w:t>
      </w:r>
      <w:bookmarkEnd w:id="205"/>
    </w:p>
    <w:p>
      <w:pPr>
        <w:pStyle w:val="Heading6"/>
        <w:numPr>
          <w:ilvl w:val="5"/>
          <w:numId w:val="1"/>
        </w:numPr>
        <w:rPr/>
      </w:pPr>
      <w:bookmarkStart w:id="206" w:name="__RefHeading___Toc10531675_73709187"/>
      <w:bookmarkStart w:id="207" w:name="_Toc79"/>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طُرق معرفة العدالة، وما توهّم طريقيّته، وهي بعد العلم الحاصل من المصاحبة أو الشياع، أو غيرهما، اُمور منها الإسلام مع عدم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لطريقيّته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القولي والعَمَلي، كما ادّعاه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سبيل إلى دعوى الإجماع، مع ما في كلماتهم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المجمعين بما أنّه معلومٌ لا يعتمد عليه، وإن ثبت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الفسق يتحقّق بفعل المحرّم وترك الواجب، وهو في الأوّل مسبوقٌ بالعدم، وفي الثاني ليس كذلك، بل مقتضى الاستصحاب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حادثة، ولا مجال لإثباتها باستصحاب أمرٌ عدمي وهو عدم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في أقوال المسلمين وأفعالهم، وهي تقتضي الحكم بعدم صدور الفسق، فيكون عدلاً لعدم الواسطة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لأصالة الصحّة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فعل المسلم وقوله على الوجه الحَسَن، الذى دلّت النصوص عليه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صدر فعلٌ قابلٌ لوقوعه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يترتّب </w:t>
      </w:r>
    </w:p>
    <w:p>
      <w:pPr>
        <w:pStyle w:val="BookText"/>
        <w:rPr/>
      </w:pPr>
      <w:r>
        <w:rPr>
          <w:rFonts w:ascii="Amiri" w:hAnsi="Amiri" w:eastAsia="Amiri" w:cs="Amiri"/>
          <w:color w:val="111111"/>
          <w:sz w:val="28"/>
          <w:sz w:val="28"/>
          <w:szCs w:val="28"/>
          <w:rtl w:val="true"/>
          <w:lang w:bidi="ar-SA"/>
        </w:rPr>
        <w:t>عليه الأثر، وعلى وجهٍ فاسد، يُحمل على الأوّل ويُبنى عليه، وهي بكلا معنييها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إنّما تكون في مقام بيان عدم اتّهام المسلم، وعدم سوء الظنّ به، لا الالتزام بكون الصادر منه حَسَنٌ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يتمّ في ما إذا صدر فعلٌ قابلٌ لوقوعه على وجهين، لا في مثل المقام ممّا يكون الشكّ في أصل صدور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حال المسلم أنّه لايترك الواجبات، ولا يفعل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منشؤه الغلبة،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مع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تفيد سوى الظنّ‌، وهو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منشؤه غير ذلك فعلى المستدلّ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المقتضي والمانع، بدعوى أنّ التديّن والإعتراف بصدق النبيّ صلى الله عليه و آله، وصحّة شريعته، مقتضٍ لفعل ما أمر به، وترك ما نهي عنه، فإذا شكّ في تحقّق المقتضي بعد الشكّ في وجود المانع، وجب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المذكورة لا مدرك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بالنبوّة وصحّة الشريعة، ليس مقتضياً لذلك، وإنّما المقتضى له الخوف من العقاب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الاعتماد على مجرّد إسلام المرء وعدم ظهور الفسق منه كافياً للحكم بالعدالة، لما انتظمت الاُمور والأحكام لم ينظم للحكام خصوصاً في المدن الكبيرة، وللقاضي القريب القادم اليها من بلد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إذا اعتبرنا حصول العلم بها والوثوق، وأمّا لو اكتفينا بحُسن الظاهر، فلا يلزم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الاكتفاء بشهادة كلّ أحدٍ، وقد قيّد إطلاقه بدليلٍ منفصل دالّ على اعتبار العدالة في الشاهد، فمن عُلم فسقه ترد شهادته، والمرجع فيما عداه إطلاق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يتمّ إذا جاز التمسّك بالعام في الشبهة المصداقية، وأمّا على المختار من عدم جوازه، فلا يتمّ‌،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فعدل منهم اثنان، ولم يعدل الآخران‌؟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أربعة من المسلمين، ليس يُعرفون بشهادة الزور، اُجيزت شهادتهم جميعاً، واُقيم الحَدّ على الذي شَهدوا عليه، إنّما عليهم أن يشهدوا بما أبصروا وعلموا، وعلى الوالي أن يُجيز شهادتهم، إلّا أن يكونوا معروفين بالفسق</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علقمة،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تُقبل شهادته، ومن لاتُقبل‌؟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لو لم تُقبل شهادة المقترفين للذّنوب، لما قُبِلت إلّاشهادة الأنبياء والأوصياء عليهم السلام، لأنّهم المعصومون دون سائر الخلق، فمن لم تره بعينك يرتكب ذنباً، ولم يشهد عليه بذلك شاهدان، فهو من أهل العدالة والسِّتر، وشهادته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مقبولة وإنْ كان في نفسه مذنباً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سيّابة،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من يلعب بالحَمام‌؟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لا يُعرف بفسق</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أمير المؤمنين عليه السلام إنّه قال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أنّ المسلمين عدولٌ بعضهم على بعض، إلّامجلوداً بحَدٍّ لم يتُب منه، أو معروفاً بشهادة الزور أو ظنين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البزنطي، عن أبي الحسن عليه السلام عمّن أشهد رجلين ناصبيّين على الطلاق، أيكون طلاقاً؟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على الفطرة اُجيزت شهادته على الطلاق، بعد أن يُعرف منه خير</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المُغيرة</w:t>
      </w:r>
      <w:r>
        <w:rPr>
          <w:rStyle w:val="FootnoteAnchor"/>
          <w:rtl w:val="true"/>
        </w:rPr>
        <w:footnoteReference w:id="348"/>
      </w:r>
      <w:r>
        <w:rPr>
          <w:rFonts w:ascii="IRNazanin" w:hAnsi="IRNazanin" w:eastAsia="IRNazanin"/>
          <w:color w:val="111111"/>
          <w:sz w:val="28"/>
          <w:sz w:val="28"/>
          <w:szCs w:val="28"/>
          <w:rtl w:val="true"/>
          <w:lang w:bidi="fa-IR"/>
        </w:rPr>
        <w:t>، وهو متّحدُ المضمون مع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روايات اُخر استدلّ بها لهذا القول، ولكن لوضوح فساد الاستدلال بها أغمضنا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بوجهين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دلالتها، لابدَّ من صرفها عن ظاهرها، وحملها على إرادة ما يجتمع مع اعتبار حُسن الظاهر، لما ستعرف من النصوص الدالّة على اعتبار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8" w:name="pg11802_154038"/>
    </w:p>
    <w:p>
      <w:pPr>
        <w:pStyle w:val="BookText"/>
        <w:rPr/>
      </w:pPr>
      <w:bookmarkEnd w:id="208"/>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تتمّ دلالتها على هذا القول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المراد من عدم معروفيّته بالفسق، عدم معروفيّته حتّى عند المعاشرين معه، وهذا ملازمٌ مع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صدره وإنْ تضمّن قبول شهادة المقترف بالذّنب، إلّاأنّ ذيله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أهل العدالة والسّتر وشهادته مقبولة وإنْ كان في نفسه مذنباً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اعتبار حُسن الظاهر، ويوجبُ تقييد الصدر بما إذا كان ذنبه مستوراً لا يعرفه أهله وأبناء محلّته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مجملٌ وقد استثني منه الظنين، وهو كلّ فاسقٍ‌، كما يُشير إليه صحيح أبي بصير،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والخائن‌؟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 الظنين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عليه السلام اقتصر في الجواب على بيان الحكم الكلّي، وهو أنّه تقبل شهادة من كان معروفاً بالخير والصلاح، وليس ذلك إلّاحُسن الظاهر، ولعلّ الإجابة بما لا ينطبق على السؤال من جهة التقيّة</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0531677_73709187"/>
      <w:bookmarkStart w:id="210" w:name="_Toc80"/>
      <w:bookmarkEnd w:id="209"/>
      <w:r>
        <w:rPr>
          <w:rtl w:val="true"/>
        </w:rPr>
        <w:t>طريقيّة حسن الظاهر</w:t>
      </w:r>
      <w:bookmarkEnd w:id="21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لإعتباره وكفايته جملةٌ من النصوص</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أبي يعفور المتقدّم، الوارد فيه 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والدلالة على ذلك كلّه أن يكون ساتراً لجميع عيوبه، حتّى يحرم على المسلمين ما وراء ذلك من عثراته وعيوبه، وتفتيش ماوراء ذلك، ويجبُ عليهم تزكيته، وإظهار عدالته في النّاس، ويكون منه التعاهد للصّلوات الخمس إذا واظب عليهنّ‌، وحفظ مواقيتهن بحضور جماعة من المسلمين، وأن لا يتخلّف عن جماعتهم في مصلّاهم إلّامن علّة، فإذا كان كذلك لازماً لمصلّاه عند حضور الصّلوات الخمس، فإذا سُئل في قبيلته ومحلّته،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إلّاخيراً، مواظباً على الصّلوات، متعاهداً لأوقاتها في مصلّاه، فإنّ ذلك يُجيز شهادته وعدالته بين المسلمين الحديث</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ذلك، ومتضمّن لبيان المراد من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اعتبر فيه عدم التخلّف عن جماعة المسلمين، وهو غير معتبر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علّل ذلك في ذيل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يمكن الشهادة على الرّجل بأنّه يُصلّي إذا كان لا يحضر مصلّاه، ويتعاهد جماعة المسلمين، وإنّما جُعل الجماعة والاجتماع إلى الصَّلاة، لكي يُعرف من يُصلّي ومن لا يُصلّي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 الرّجل ظاهراً مأموناً، جازت شهادته، ولا يُسأل عن باطنه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مروّته، وظهرت عدالته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خبر سماعة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جملةٍ من النصوص المتقدّم بعضها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 بالفسق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حُسن الظاهر ذات مراتب، أولى مرتبته مجهول الحال، وآخر مرتبته المعصوم، فأيّ مرتبةٍ منها جُعلت طريقاً إلى ثبوت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والباطن أمران إضافيّان، فالظاهر لأهل البلد باطنٌ بالنسبة إلى الغريب، والظاهر لأهل المحلّة باطنٌ لباقي أهل البلد، والظاهر للجيران باطنٌ لباقي أهل المحلّة، والظاهر لأهل البيت باطنٌ للجيران، والظاهر لزوجة الشخص باطنٌ لغيرها، وقد تكون السلسلة بالعكس</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هو ما ذكره عليه السلام في صحيح ابن أبي يعفور،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 إذا كان بالإضافة إلى من عاشره وخالطه بالنسبة إلى غير ما يكون التفتيش عنه منهيّاً عنه، فاعلاً لما وجب عليه، وتاركاً لما نُهي عنه، فهو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عن هذه الحالة في النصوص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ساتراً لعيوبه، من جهة أنّه لم يظهر منه لمن عاشره عيبٌ شرعي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ظاهره ظاهراً مأموناً، من جهة أنّه لم يظهر منه لأصحابه خيانة 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طريق شرعي إلى العدالة، وكلّ من أحرز له ذلك بمعاشرته معه، أو أحرزه صاحبه، وجب عليه ترتيب آثار العدالة، وإنْ كان عند غيره غير محرز، فلو كان الشخص معاشراً لأهل بيته خاصّة، وكان عند معاشرته معهم لايظهر منه عيبٌ شرعي، يكون هو حَسنُ الظاهر، فهم وكلّ من أحرز هذا المعنى منه، عليهم ترتيب آثار العدالة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هذه النصوص، كفاية حُسنَ الظاهر، ولو لم يفد الظنّ الفعلي، فضلاً عن الوثوق به، بل الظاهر من النصوص عدم اعتبار ذلك مع قطع النظر عن الإطلاق،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يُسأل عن باطنه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فإنّ الظاهر منه أنّه لايُلتفت إلى الباطن بعد كون ظاهره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ظاهره ظاهراً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لتوصيف الظاهر بالأمانة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يحرم على المسلمين التفتيش عمّا وراء ذلك من عثراته وعيوبه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تدبّر في النصوص، يظهر له أنّها تدلّ على عدم اعتبار إفادة الظنّ بالإطلاق وغيره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اعتبار إفادة حُسن الظاهر الظنّ الفعلي بالعدالة الواقعيّة، وقد اختاره الشيخ الأعظم رحمه الله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واستدلّ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النصوص إلى صورة إفادته الظنّ المذكور، بدعوى ورود الأخبار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ممنوعة، مع أنّ الانصراف الناشيء عن غلبة الوجود، غير صالح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خمس صلوات في اليوم واللّيلة في جماعةٍ‌، فظنّوا به خيراً، وأجيزوا شهادته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اعتبار هذا السبب، إنّما هو لكونه مظنّة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بترتيب الأثر، بلسان الأمر بتحصيل الظنّ‌، بنفسه دليلٌ على عدم اعتبار حصول الظنّ‌، وإلّا فالظنّ عند حصول السبب ليس أمراً اختياريّاً لتعلّق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حضور الشخص في الجماعة في الصّلوات الخمس بمنزلة الظنّ‌، ويكون طريقاً إلى العدالة، لا أنّ طريقيّته منوطة بحصول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منهم الشيخ الأعظم رحمه الله</w:t>
      </w:r>
      <w:r>
        <w:rPr>
          <w:rStyle w:val="FootnoteAnchor"/>
          <w:rtl w:val="true"/>
        </w:rPr>
        <w:footnoteReference w:id="35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الوثوق بها، 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بالانصراف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ظاهره ظاهراً مأموناً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كون ظاهره موجباً للوثوق بباطنه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ظاهره موجباً لحصول الأمن الفعلي، ومعلومٌ أنّه مساوقٌ للوثوق بباطنه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يقيّد إطلاق هذه الروايات، بما ورد في الجماعة والشهادة، ممّا دلّ على اعتبار الوثاقة بالأمانة والورع في الإمام والشاهد،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 وأمانته</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بدعوى</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الأدلّة، اعتبار الوثوق من باب الموضوعيّة، لا من باب الطريقيّة والكاشفيّة، فإذا كان كذلك، فلا ينفع الطريق غير المفيد للوثوق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مأمونيّة ظاهره، بمعنى عدم ظهور ما يوجب الخيانة منه شرعاً عند المعاشرة معه، إذ حينئذٍ تتّصف أفعاله الظاهرة بالأمانة وعدم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الأدلّة التي أُخذ فيها العلم أو الوثوق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اعتباره من باب الطريقيّة والكاشفيّة، ممّا يعني حكومة أدلّة حسن الظاهر عليها، كحكومة سائر أدلّة الطرق والأمارات كالبيّنة عليها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التزمنا بأخذ الوثوق من باب الموضوعيّة، فحيثُ أنّ الدليل مختصٌّ بالائتمام، يصبح هذا شرطاً آخر في الجماعة، ويكون خارجاً عن محلّ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1" w:name="pg11802_154044"/>
    </w:p>
    <w:p>
      <w:pPr>
        <w:pStyle w:val="BookText"/>
        <w:rPr/>
      </w:pPr>
      <w:bookmarkEnd w:id="211"/>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حُسن الظاهر طريقاً تعبّديّاً، لا يعتبر فيه الوثوق أو الظنّ بالعدالة الواقعيّة، وعليه فما أفاده جماعة من اعتبار حصول العلم أو الظنّ ممّا لا شاهد له</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10531679_73709187"/>
      <w:bookmarkStart w:id="213" w:name="_Toc81"/>
      <w:bookmarkEnd w:id="212"/>
      <w:r>
        <w:rPr>
          <w:rtl w:val="true"/>
        </w:rPr>
        <w:t>طريقيّة الشهادة</w:t>
      </w:r>
      <w:bookmarkEnd w:id="213"/>
    </w:p>
    <w:p>
      <w:pPr>
        <w:pStyle w:val="Heading6"/>
        <w:numPr>
          <w:ilvl w:val="5"/>
          <w:numId w:val="1"/>
        </w:numPr>
        <w:rPr/>
      </w:pPr>
      <w:bookmarkStart w:id="214" w:name="__RefHeading___Toc10531681_73709187"/>
      <w:bookmarkStart w:id="215" w:name="_Toc82"/>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طريقيتها في الجملة، وتحقيق القول فيها يتمّ من خلال البحث عن عدّة موارد</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0531683_73709187"/>
      <w:bookmarkStart w:id="217" w:name="_Toc83"/>
      <w:bookmarkEnd w:id="216"/>
      <w:r>
        <w:rPr>
          <w:rtl w:val="true"/>
        </w:rPr>
        <w:t>شهادة العدلين</w:t>
      </w:r>
      <w:bookmarkEnd w:id="217"/>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طريقيّة شهادة العدلين بالعدالة، ويشهد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بعض أدلّتها والعموم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نصوص الباب، المتضمّن أنّ النبيّ صلى الله عليه و آله كان يبعث رجلين من أصحابه لتزكية الشهود المجهولين، فيعمل بقولهما جرحاً وتعديلاً</w:t>
      </w:r>
      <w:r>
        <w:rPr>
          <w:rStyle w:val="FootnoteAnchor"/>
          <w:rtl w:val="true"/>
        </w:rPr>
        <w:footnoteReference w:id="362"/>
      </w:r>
      <w:r>
        <w:rPr>
          <w:rFonts w:ascii="Amiri" w:hAnsi="Amiri" w:eastAsia="Amiri" w:cs="Amiri"/>
          <w:color w:val="111111"/>
          <w:sz w:val="28"/>
          <w:sz w:val="28"/>
          <w:szCs w:val="28"/>
          <w:rtl w:val="true"/>
          <w:lang w:bidi="ar-SA"/>
        </w:rPr>
        <w:t>، وهو وإنْ ورد في خصوص مورد حكم الحاكم، إلّاأنّ الظاهر بواسطة القرائن الداخليّة والخارجيّة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الأعظم رحمه الله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لإثبات العدالة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قبول شهادة القابلة إذا سُئِل عنها فعُدِّلت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اعتبارها في الجرح، مثل قوله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تره بعينك يرتكبُ معصيةً‌، ولم يَشهد عليه شاهدان، فهو مِنْ أهل السّتر والعدالة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التعرّض فيه لما يَثبت به العدالة، وأنّ طريقه شهادة العدلين، أو الشياع المفيد للقطع،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بشهادة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المقطوع به عدم إرادة الإطلاق منه، بحيث يدلّ على ثبوتها بالتعديل بأيّ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اُريد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الخبر يدلّ على ثبوت العدالة بعدم شهادة الشاهدين بفسقه، فثبوتها بشهادتهما بالعدالة أولى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الخبر إمّا ظاهرٌ بنفسه، أو بضميمة سائر النصوص في كونه بصدد جعل الطريقيّة لحُسن الظاهر، لاحظ ما تقدّم، وعليه فلا أولويّة محرَزة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بها أنّه يدلّ على ثبوت الفسق بشهادة شاهدين، فيدلّ بالأولويّة على ثبوت العدالة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كيف وأنّ إحراز الفسق أسهلُ بمراتب من إحراز العدالة، بل إحرازها في غاية الصعوبة، فتدبّر،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هل تكون معتبرة تعبّداً، حتّى لو كان الظنّ على خلافها؟ أو يشترط عدم الظنّ على خلافها؟ أو يشترط إفادتها الظنّ؟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مبنيّة على ملاحظة إطلاق أدلّة اعتبارها، وانصرافها إلى صورة إفادة </w:t>
      </w:r>
    </w:p>
    <w:p>
      <w:pPr>
        <w:pStyle w:val="BookText"/>
        <w:rPr/>
      </w:pPr>
      <w:r>
        <w:rPr>
          <w:rFonts w:ascii="Amiri" w:hAnsi="Amiri" w:eastAsia="Amiri" w:cs="Amiri"/>
          <w:color w:val="111111"/>
          <w:sz w:val="28"/>
          <w:sz w:val="28"/>
          <w:szCs w:val="28"/>
          <w:rtl w:val="true"/>
          <w:lang w:bidi="ar-SA"/>
        </w:rPr>
        <w:t xml:space="preserve">الظنّ أو صورة عدم الظنّ بالخلاف،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أفاده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اعتبار إفادة حُسن الظاهر الوثوق في حجّيته، من دعوى انصراف الأدلّة، وتقييد إطلاق الأدلّة بما ورد في صلاة الجماعة، ممّا دلّ على اعتبار الوثاقة بالأمانة والورع، لابدّ له من اعتبار إفادة الوثوق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 الوثوق معتبراً من باب الموضوعيّة، فلا ينفع الطريق غير المفيد للوثوق، ولو كان بيّنةً‌، ولكن بما أنّ الانصراف ممنوع، وظاهر الأدلّة اعتبار الوثوق من باب الطريقيّة، فالأظهر حجيّتها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الشيخ الأعظم رحمه الله</w:t>
      </w:r>
      <w:r>
        <w:rPr>
          <w:rStyle w:val="FootnoteAnchor"/>
          <w:rtl w:val="true"/>
        </w:rPr>
        <w:footnoteReference w:id="364"/>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كان احتمال الخلاف مستنداً إلى احتمال تعمّد الكذب، فلا يعتنى به ولو كان 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احتمال الخلاف مستنداً إلى احتمال الخطأ والاشتباه فيعتبر الظنّ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أدلّة حجيّة الخبر، عدم الاعتناء باحتمال تعمّد الكذب، ومقتضى إطلاقها عدم الاعتناء به حتّى مع الظنّ بالخلاف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لما ذهب إليه فيه بأنّ احتمال خطأ المُخبر إنّما ينفيه ظاهر حال المُخبر المعتبر عند كافّة العقلاء، وهو إنّما يختصّ بما إذا كان احتمال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8" w:name="pg11802_154047"/>
    </w:p>
    <w:p>
      <w:pPr>
        <w:pStyle w:val="BookText"/>
        <w:rPr/>
      </w:pPr>
      <w:bookmarkEnd w:id="218"/>
      <w:r>
        <w:rPr>
          <w:rFonts w:ascii="Amiri" w:hAnsi="Amiri" w:eastAsia="Amiri" w:cs="Amiri"/>
          <w:color w:val="111111"/>
          <w:sz w:val="28"/>
          <w:sz w:val="28"/>
          <w:szCs w:val="28"/>
          <w:rtl w:val="true"/>
          <w:lang w:bidi="ar-SA"/>
        </w:rPr>
        <w:t>الخطأ موهوماً لندرة 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الاستدلالين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استدلّ به في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ظاهر أدلّة حجيّة البيّنة، عدم الاعتناء بكلا الاحتمالين،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في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مرجعيّة أصالة عدم الخطأ المبنيّة على بناء العقلاء ثابتة حتّى مع الظنّ بالخلاف، ألا ترى أنّ الكلام الصادر من المتكلّم يتطرّق فيه هذا الاحتمال، ومع ذلك يكون ظهوره حجّة وإنْ لم يظنّ بالوفاق، وليس للعبد الاعتذار عن مخالفة ظهور كلام المولى بعدم الظنّ بالوفاق، أو بالظنّ بالخلاف، فالأظهر حجيّتها مطلقاً</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0531685_73709187"/>
      <w:bookmarkStart w:id="220" w:name="_Toc84"/>
      <w:bookmarkEnd w:id="219"/>
      <w:r>
        <w:rPr>
          <w:rtl w:val="true"/>
        </w:rPr>
        <w:t>شهادة العَدل الواحد</w:t>
      </w:r>
      <w:bookmarkEnd w:id="220"/>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تثبت بشهادة العدل الواحد العدالة، لما عرفت في المسألة العشرين من حجيّة الخبر الواحد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لعدم حجّيته في المقام بما ورد من إرسال النبيّ صلى الله عليه و آله رجلين من أصحابه لتحقيق حال الشهود من أهل محلّتهم وقبيلتهم</w:t>
      </w:r>
      <w:r>
        <w:rPr>
          <w:rStyle w:val="FootnoteAnchor"/>
          <w:rtl w:val="true"/>
        </w:rPr>
        <w:footnoteReference w:id="365"/>
      </w:r>
      <w:r>
        <w:rPr>
          <w:rFonts w:ascii="Amiri" w:hAnsi="Amiri" w:eastAsia="Amiri" w:cs="Amiri"/>
          <w:color w:val="111111"/>
          <w:sz w:val="28"/>
          <w:sz w:val="28"/>
          <w:szCs w:val="28"/>
          <w:rtl w:val="true"/>
          <w:lang w:bidi="ar-SA"/>
        </w:rPr>
        <w:t>ممّا يدلّ على أنّه لو كانت شهادة الرّجل المعدّل الواحد كافية لما أرسل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ضعيف السند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 أعمٌّ من اللّزوم والتعيّن، كما هو واضح</w:t>
      </w:r>
      <w:r>
        <w:rPr>
          <w:rFonts w:eastAsia="Amiri" w:cs="Amiri" w:ascii="Amiri" w:hAnsi="Amiri"/>
          <w:color w:val="111111"/>
          <w:sz w:val="28"/>
          <w:szCs w:val="28"/>
          <w:rtl w:val="true"/>
          <w:lang w:bidi="ar-SA"/>
        </w:rPr>
        <w:t xml:space="preserve">. </w:t>
      </w:r>
      <w:bookmarkStart w:id="221" w:name="pg11802_154048"/>
    </w:p>
    <w:p>
      <w:pPr>
        <w:pStyle w:val="Heading6"/>
        <w:numPr>
          <w:ilvl w:val="5"/>
          <w:numId w:val="1"/>
        </w:numPr>
        <w:rPr/>
      </w:pPr>
      <w:bookmarkStart w:id="222" w:name="__RefHeading___Toc10531687_73709187"/>
      <w:bookmarkStart w:id="223" w:name="_Toc85"/>
      <w:bookmarkEnd w:id="221"/>
      <w:bookmarkEnd w:id="222"/>
      <w:r>
        <w:rPr>
          <w:rtl w:val="true"/>
        </w:rPr>
        <w:t>ثبوت العدالة بالشَّهادة الفعليّة</w:t>
      </w:r>
      <w:bookmarkEnd w:id="223"/>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العدالة بالشهادة الفعليّة، بمعنى أنْ يفعل العدلان فعلاً يدلّ على عدالته، كأن يقتديا به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الشهيد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w:t>
      </w:r>
      <w:r>
        <w:rPr>
          <w:rStyle w:val="FootnoteAnchor"/>
          <w:rtl w:val="true"/>
        </w:rPr>
        <w:footnoteReference w:id="366"/>
      </w:r>
      <w:r>
        <w:rPr>
          <w:rFonts w:ascii="Amiri" w:hAnsi="Amiri" w:eastAsia="Amiri" w:cs="Amiri"/>
          <w:color w:val="111111"/>
          <w:sz w:val="28"/>
          <w:sz w:val="28"/>
          <w:szCs w:val="28"/>
          <w:rtl w:val="true"/>
          <w:lang w:bidi="ar-SA"/>
        </w:rPr>
        <w:t>، وهو الأظهر، لصدق النبأ والخبر على الفعل كالقول، لكونه مُنبئاً ومُخبِراً عمّا في ضمير الفاعل، ولأجله يتّصف بالصدق والكذب، فيشمله ما دلَّ على حجيّة البيّنة وخبر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 ذلك شمول بناء العقلاء الذي هو عمدة أدلّة حجيّة الخبر للفعل، وعليه فما عن الشيخ الأعظم</w:t>
      </w:r>
      <w:r>
        <w:rPr>
          <w:rStyle w:val="FootnoteAnchor"/>
          <w:rtl w:val="true"/>
        </w:rPr>
        <w:footnoteReference w:id="367"/>
      </w:r>
      <w:r>
        <w:rPr>
          <w:rFonts w:ascii="Amiri" w:hAnsi="Amiri" w:eastAsia="Amiri" w:cs="Amiri"/>
          <w:color w:val="111111"/>
          <w:sz w:val="28"/>
          <w:sz w:val="28"/>
          <w:szCs w:val="28"/>
          <w:rtl w:val="true"/>
          <w:lang w:bidi="ar-SA"/>
        </w:rPr>
        <w:t>قدس سره من انصراف الأدلّة بأجمعها إلى القول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إرادة تصديقه في مطلق ما يدلّك ويُنبئك عليه، ويُرشدك إليه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هذا لا وجه له سوى المناط، وهو غير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يتأمّل أحدٌ في العمل بتعديلات أهل الرِّجال المكتوبة في كتبهم، إذ لو اختصّت الأدلّة بالقول لم يكن دليلٌ على حجيّة المكتوبات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بأنّ الكتابة حيث أنّها نقش القول المخصوص بما له من المعنى‌، فهي خبرٌ ورواية ونَبأ لكن بوجوده الكَتبي، وهذا بخلاف الفعل، فإنّه يدلّ على المعنى فقط، وليس وجوداً حقيقيّاً للخبر والرواية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الوجود الكَتبي غير الوجود الخارجي، وترتيب أثر الثاني على </w:t>
      </w:r>
      <w:bookmarkStart w:id="224" w:name="pg11802_154049"/>
    </w:p>
    <w:p>
      <w:pPr>
        <w:pStyle w:val="BookText"/>
        <w:rPr/>
      </w:pPr>
      <w:bookmarkEnd w:id="224"/>
      <w:r>
        <w:rPr>
          <w:rFonts w:ascii="Amiri" w:hAnsi="Amiri" w:eastAsia="Amiri" w:cs="Amiri"/>
          <w:color w:val="111111"/>
          <w:sz w:val="28"/>
          <w:sz w:val="28"/>
          <w:szCs w:val="28"/>
          <w:rtl w:val="true"/>
          <w:lang w:bidi="ar-SA"/>
        </w:rPr>
        <w:t>الأوّل يحتاج إلى دليل مثبت لذلك، ومجرّد المسامحة العرفيّة والعناية لا يُجدي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المحقّق الإصفهاني رحمه الله</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الاكتفاء بالشهادة الفعليّة، بأنّ الفعل لايكون إلّاكاشفاً عن اعتقاد الفاعل بالعدالة، لأنّ عدالتهما لا تقتضي أزيد من ذلك، وهذا بخلاف القول، فإنّه من جهة وضع الألفاظ لنفس المعاني الواقعيّة، كاشفٌ عن الواقع، فلا يقاس الفعل في كيفيّة الدلالة على نفس المعنى بالقول، فلا يكون الفعل حينئذٍ دالّاً على أمرٍ ذي أثر بحسب المورد، لأنّ جواز الاقتداء وأشباهه مرتبة على العدالة، لا على اعتقاد المُخبر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ماحقّقناه في مبحث الوضع،</w:t>
      </w:r>
      <w:r>
        <w:rPr>
          <w:rStyle w:val="FootnoteAnchor"/>
          <w:rtl w:val="true"/>
        </w:rPr>
        <w:footnoteReference w:id="370"/>
      </w:r>
      <w:r>
        <w:rPr>
          <w:rFonts w:ascii="Amiri" w:hAnsi="Amiri" w:eastAsia="Amiri" w:cs="Amiri"/>
          <w:color w:val="111111"/>
          <w:sz w:val="28"/>
          <w:sz w:val="28"/>
          <w:szCs w:val="28"/>
          <w:rtl w:val="true"/>
          <w:lang w:bidi="ar-SA"/>
        </w:rPr>
        <w:t>من أنّ حقيقته هو الالتزام بذكر اللّفظ عند إرادة تفهيم المعنى، وعليه فلا يكون اللّفظ أيضاً كاشفاً عن المعنى الواقعي، بل عن إرادة تفهيمه، فلا فرق بين القول والفعل، وعليه فالأظهر حجيّة الشهادة الفعليّة</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0531689_73709187"/>
      <w:bookmarkStart w:id="226" w:name="_Toc86"/>
      <w:bookmarkEnd w:id="225"/>
      <w:r>
        <w:rPr>
          <w:rtl w:val="true"/>
        </w:rPr>
        <w:t>الشّياع الظنّي</w:t>
      </w:r>
      <w:bookmarkEnd w:id="22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عبارة عن إخبار جماعةٍ يفيد إخبارهم الظنّ بالعدالة، والكلام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في كلّ موردٍ يعسر إقامة البيّنة عليه والعلم به، أو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في خصوص المقام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لحجيّته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البيّنة إذا اُقيمت على الحقّ‌، أيحلّ للقاضي أن يقضي بقول البيّنة من غير مسألةٍ إذا لم يعرفهم‌؟</w:t>
      </w:r>
    </w:p>
    <w:p>
      <w:pPr>
        <w:pStyle w:val="BookText"/>
        <w:rPr/>
      </w:pPr>
      <w:r>
        <w:rPr>
          <w:rFonts w:ascii="Amiri" w:hAnsi="Amiri" w:eastAsia="Amiri" w:cs="Amiri"/>
          <w:color w:val="111111"/>
          <w:sz w:val="28"/>
          <w:sz w:val="28"/>
          <w:szCs w:val="28"/>
          <w:rtl w:val="true"/>
          <w:lang w:bidi="ar-SA"/>
        </w:rPr>
        <w:t>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والمناكح، والذّبائح، والمواريث والشهادات، فإذا كان ظاهره ظاهراً مأموناً جازت شهادته، ولا يسأل عن باطنه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الحكم هي النسبة الخبريّة، وظهور هذه النسبة عبارة عن الشيوع والاستفاضة، فيدلّ المرسل على أنّه يجوز الأخذ بهذا الظهور الخبري في هذه الاُمور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إرادة النسبة من الحكم لا الخبريّة، وظهور النسبة عبارة عن ظهور الحال، وهو غير ظهور الخبر عنها وشيوعه، ألا ترى أنّه ربما تكون عدالة زيد أو ولديّته لعمرو ظاهرة، دون أن يكون الخبر عنها شائعاً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إرادة ذلك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صريحٌ في أنّ المراد من الظاهر ما هو في قبال الباطن، هذا وقد ورد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فالأمر أوضح، فيكون المتحصّل من الخبر أنّه في هذه الموارد الخمسة يجوز الأخذ بظاهر الحال، ففي مورد الشهادات مثلاً إذا كان الشاهد ظاهر الصلاح عند النّاس تقبل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المتضمّن لقصّة إسماعيل،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إنّي لم أره يشرب الخمر، إنّي سمعتُ النّاس يقولون،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يُصدّق اللّه ويُصدّق للمؤمنين، فإذا شهد عندك المؤمنون فصدّقهم، ولا تأتمن شارب الخمر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امر بترتيب آثار الواقع على مجرّد قول النّاس، الذي هو عبارة عن الشياع، وجعل عليه السلام من يقول النّاس عنه إنّه يشرب الخمر شارباً للخمر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ليس ترتيب آثار الواقع بأجمعها، بل خصوص ماينفع المُخبَر إليه، ولا يضرّ 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تصديق المُخبِر المأمور به في الخبر وبين العمل على طبق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ذكرناه قوله عليه السلام في خبرٍ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وبَصَرك عن اخيك، فإنْ شَهد عندك خمسون قسامة أنّه قال قولاً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فصدّقه وكذّبهم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أمر بتكذيب خمسين قسامة، وتصديق قول الواحد، وليس ذلك إلّالما ذكرناه، فتدبّر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الحاصل من الشّياع، أقوى من الظنّ الحاصل من البيّنة العادلة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كون ملاك حجيّة البيّنة إفادتها الظنّ‌، بل الثابت خلافه،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دليل الانسداد في كلّ ما يعسر إقامة البيّنة عليه، كالنسب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العلم فيها عَسِرٌ، وكذلك البيّنة العادلة، ويلزم من إجراء الأصل من أصالة عدم النسب، أو عدم الوقف، الوقوع في خلاف الواقع كثيراً، والاحتياط متعذّرٌ أو متعسّر، فلا مناص عن التنزّل إلى مرتبة الظنّ‌، لقبح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الثانية لا تفيد، ما لم ينضمّ إليها فرض أنّ الوقوع في خلاف الواقع مناف لغرض الشارع، إذ لو لم يُحرز ذلك كما في باب الطهارة لما كان مانع من إجراء الأصل، وحيث أنّ هذا غير ثابتٍ‌، فلا يتمّ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حجيّة الشياع الظنّي مطلقاً، ولا في كلّ ما يعسر إقامة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الأعظم</w:t>
      </w:r>
      <w:r>
        <w:rPr>
          <w:rStyle w:val="FootnoteAnchor"/>
          <w:rtl w:val="true"/>
        </w:rPr>
        <w:footnoteReference w:id="376"/>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مسألة العدالة على حجّيته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استدلّ به على حجيّة مطلق الظنّ بالعدالة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ذيل رواية ابن أبي يعفور،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سُئل عنه في قبيلته ومحلّته قالوا ما رأينا منه إلّاخيراً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أنّ النبيّ صلى الله عليه و آله كان يبعث رجلين لتحقيق حال الشهود المجهولين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محلّتهم وقبيلتهم، وكان صلى الله عليه و آله يقبل قولهما إذا رجعا بخبر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المستمرّة الجارية من ترتيب آثار العدالة على الشخص، بمجرّد التسامع والتظافر، فإنّ الخلق الكثير يقتدون بالإمام في الصَّلاة ولم يشهد عند كلّ أحدٍ عَدْلان على عدالة الإمام، بل لم يحصل لهم إلّاالظنّ بالتسامع ونحو ذلك، وأيّده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على الفطرة وعُرِف بالصّلاح</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من عدم الدليل عليها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ذيل الصحيح،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منه التعاهد للصّلوات الخمس، إذا واظبَ عليهنّ‌، وحفظ مواقيتهنّ بحضور جماعة المسلمين، وأنْ لا يتخلّف عن جماعتهم في مصلّاهم إلّامن علّة، فإذا كان كذلك لازماً لمصلّاه عند حضور الصّلوات الخمس، فإذا سُئل عنه في قبيلته ومحلّته،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مواظباً على الصّلوات، متعاهداً لأوقاتها في مصلّاه، فإنّ ذلك يجيز شهادته وعدالته بين المسلمين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إنّما هو سوقه لبيان طريقٍ نافع للعدالة لمن ليس له معاشرة مع شخص إلّافي أوقات حضور الصَّلاة مع الجماعة، وأنّ حضوره للجماعة دليلٌ شرعاً على كونه تاركاً لما نهى اللّه تعالى عنه، وعاملاً بكلّ ما أمر اللّه تعالى به، فيكون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مترتّبة على لزوم مصلّاه، وتعاهده لحضوره الجماعة، ويكون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تعاهد لذلك يكون لا محالةت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مذكوراً بالخير بين النّاس، وحُسن الظاهر عندهم، ويشعر بذلك تصديره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من الرواية في مقام جعل الطريقيّة للتعاهد لحضور الجماعات، وأنّ ذلك يوجب كونه حَسَن الظاهر بين المسلمين، 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يُجيز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سُئل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المتحصّل منه أنّه إن تعاهد الصّلوات، وصار بحيث إذا سُئل عنه قالوا ما رأينا منه إلّاخيراً، فإنّه تجيز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إلّاعن 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خبر خيره وصلاحه وعدالته شائعاً، وجعل ذلك طريقاً لثبوت العدالة، فهو لم يَجعل وحده طريقاً، بل مع التعاهد لحضور الجماعات، فلا يمكن الاستدلال به للمقام،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مع أنّ الظاهر أنّ المراد به قبول شهادة الرّجلين إذا أخبرا بكون الشاهد المجهول ظاهر الصلاح عند قومه، لا أنّ الشائع عندهم كونه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دعوى ثبوت السيرة من المتشرّعة المبالين بأمر الدِّين، واتّصالها بزمان المعصومين عليهم السلام عليترتيب آثارالعدالة بمجرّد الشياع الظنّي،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المعروف بالصلاح غير ظهور خبر صلاحه، هذا لو كان المراد به معروفيّته بالصلاح بين النّاس، ويمكن أن يكون المراد به معرفة من يريد ترتيب الآثار على صلاحه، وعليه فعدم إشعاره بما ادّعى أوضح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الشياع الظنّي لا يعدّ من طرق ثبوت العدالة</w:t>
      </w:r>
      <w:r>
        <w:rPr>
          <w:rFonts w:eastAsia="Amiri" w:cs="Amiri" w:ascii="Amiri" w:hAnsi="Amiri"/>
          <w:color w:val="111111"/>
          <w:sz w:val="28"/>
          <w:szCs w:val="28"/>
          <w:rtl w:val="true"/>
          <w:lang w:bidi="ar-SA"/>
        </w:rPr>
        <w:t xml:space="preserve">. </w:t>
      </w:r>
      <w:bookmarkStart w:id="227" w:name="pg11802_154055"/>
    </w:p>
    <w:p>
      <w:pPr>
        <w:pStyle w:val="Heading6"/>
        <w:numPr>
          <w:ilvl w:val="5"/>
          <w:numId w:val="1"/>
        </w:numPr>
        <w:rPr/>
      </w:pPr>
      <w:bookmarkStart w:id="228" w:name="__RefHeading___Toc10531691_73709187"/>
      <w:bookmarkStart w:id="229" w:name="_Toc87"/>
      <w:bookmarkEnd w:id="227"/>
      <w:bookmarkEnd w:id="228"/>
      <w:r>
        <w:rPr>
          <w:rtl w:val="true"/>
        </w:rPr>
        <w:t>الوثوق بالعدالة</w:t>
      </w:r>
      <w:bookmarkEnd w:id="22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الأعظم</w:t>
      </w:r>
      <w:r>
        <w:rPr>
          <w:rStyle w:val="FootnoteAnchor"/>
          <w:rtl w:val="true"/>
        </w:rPr>
        <w:footnoteReference w:id="381"/>
      </w:r>
      <w:r>
        <w:rPr>
          <w:rFonts w:ascii="Amiri" w:hAnsi="Amiri" w:eastAsia="Amiri" w:cs="Amiri"/>
          <w:color w:val="111111"/>
          <w:sz w:val="28"/>
          <w:sz w:val="28"/>
          <w:szCs w:val="28"/>
          <w:rtl w:val="true"/>
          <w:lang w:bidi="ar-SA"/>
        </w:rPr>
        <w:t>، لطريقيته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إلّاخلف من تثق بدينه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ظاهره ظاهراً مأموناً جازت شهادته</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بتقريب أنّ ظاهر هذا الخبر جواز شهادته فيما لو كان ظاهره موجباً للوثوق بباطنه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أنّه لا يجب التآخي غير الثقة المُعتمد، فقوله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حصول الوثوق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المتيقّن من جميع الإطلاقات الدالّة على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مناقشة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فلاختصاصه بصلاة الجماعة، والمدّعى أعمّ من ذلك، وما قيل من إنّه لا إطلاق له، فلعلّه الوثوق الخاص، والحاصل من البيّنة أو الطريق المعتبر الآخر، وإنْ كان يرد على من التزم بتقييد حجيّة تلك الطرق بصورة إفادتها الوثوق، ولكن لا يرد على ما اخترناه من حجيّتها مطلقاً، إذ عليه لو التزم بإرادة الوثوق الخاص، اللّغوية أو تقييد أدلّة تلك الطرق بما إذا أفاد الوثوق، كما لا يخفى‌</w:t>
      </w:r>
      <w:r>
        <w:rPr>
          <w:rFonts w:eastAsia="Amiri" w:cs="Amiri" w:ascii="Amiri" w:hAnsi="Amiri"/>
          <w:color w:val="111111"/>
          <w:sz w:val="28"/>
          <w:szCs w:val="28"/>
          <w:rtl w:val="true"/>
          <w:lang w:bidi="ar-SA"/>
        </w:rPr>
        <w:t xml:space="preserve">. </w:t>
      </w:r>
      <w:bookmarkStart w:id="230" w:name="pg11802_154056"/>
    </w:p>
    <w:p>
      <w:pPr>
        <w:pStyle w:val="BookText"/>
        <w:rPr/>
      </w:pPr>
      <w:bookmarkEnd w:id="230"/>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ظاهره إرادة كون ظاهره ظاهراً مأموناً، من حيث عدم ظهور الخيانة منه شرعاً عند المخالفة، فراجع</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مع أنّه لو تمّ ما ذكرناه، فإنّما يدلّ على طريقيّة حُسْنِ الظاهر، الموجب لمطلق الوثوق لا الوثوق المطلق، وبه يظهر ما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يرد على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وجوب التآخي من له ظاهرٌ حَسَن، وإنْ لم يثق به، ولم يدلّ دليل على عدم وجوب التآخي مع غير الثقة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الأدلّة إنّما تدلّ على طريقيّة حُسن الظاهر من غير دخل لحصول الوثوق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لحجيّته ببناء العقلاء على العمل مع الوثوق معاملة العلم، ولذا قيل إنّه علم عادي، ولازم هذا حجّيته في جميع الموارد</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0531693_73709187"/>
      <w:bookmarkStart w:id="232" w:name="_Toc88"/>
      <w:bookmarkEnd w:id="231"/>
      <w:r>
        <w:rPr>
          <w:rtl w:val="true"/>
        </w:rPr>
        <w:t>الظنّ بالعدالة</w:t>
      </w:r>
      <w:bookmarkEnd w:id="23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طريقيّته لثبوتها بوجهين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العلم بالعدالة منسدٌّ، ولا يجوز الرجوع في جميع موراد الجهل بها إلى أصالة عدمها، وإلّا لبطل أكثر الحقوق، بل ما قام للمسلمين سوق، فيتعيّن الرجوع فيها إلى الظنّ‌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يتمّ لو لم يجعل الشارع طريقاً تعبّديّاً إليها، وقد جعل ذلك لما تقدّم </w:t>
      </w:r>
      <w:bookmarkStart w:id="233" w:name="pg11802_154057"/>
    </w:p>
    <w:p>
      <w:pPr>
        <w:pStyle w:val="BookText"/>
        <w:rPr/>
      </w:pPr>
      <w:bookmarkEnd w:id="233"/>
      <w:r>
        <w:rPr>
          <w:rFonts w:ascii="Amiri" w:hAnsi="Amiri" w:eastAsia="Amiri" w:cs="Amiri"/>
          <w:color w:val="111111"/>
          <w:sz w:val="28"/>
          <w:sz w:val="28"/>
          <w:szCs w:val="28"/>
          <w:rtl w:val="true"/>
          <w:lang w:bidi="ar-SA"/>
        </w:rPr>
        <w:t>من حجيّة حُسن الظاهر وغيره، ومعه لا يتمّ المقدّمة الاُولى، إذ باب العلم وإنْ كان منسدّاً إلّاأنّ باب العلمي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الكرخي،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خمس صلوات في اليوم واللّيلة في جماعةٍ‌، فظنّوا به خيراً وأجيزوا شهادته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به كلّ الخير</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في غير محلّه، إذ الأخير وإنْ كان مرسلاً، إلّاأنّ الأوّل مسندٌ، والمشهور وإنْ حكموا بضعفه، إلّاأنّ الأظهر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بالظنّ لا يعقل، لأنّه عند حصوله يكون سببه خارجاً عن الاختيار، فيدلّان بدلالة الإقتضاء على أنّ الظنّ بكون الرّجل من أهل الخير والصلاح، سببٌ لترتّب أحكامه، وأنّ حضوره الجماعة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لورودهما في مقام بيان حكم المُنزل لا المنزّل عليه، لا إطلاق لهما من تلك الجهة، وعليه فلابدّ من الأخذ بالمتيقّن، وهو حجيّة خصوص الظنّ القوي، المُعبّر عنه عرفاً بالوثوق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طريقيّة الظنّ‌</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10531695_73709187"/>
      <w:bookmarkStart w:id="235" w:name="_Toc89"/>
      <w:bookmarkEnd w:id="234"/>
      <w:r>
        <w:rPr>
          <w:rtl w:val="true"/>
        </w:rPr>
        <w:t>تعديل الشخص بقيام الطريق إلى عدالته</w:t>
      </w:r>
      <w:bookmarkEnd w:id="2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تعديل الشخص بمجرّد قيام الطريق إلى عدالته عنده من حَسُن الظاهر والبيّنة وغيرهما أم لا؟ </w:t>
      </w:r>
    </w:p>
    <w:p>
      <w:pPr>
        <w:pStyle w:val="BookText"/>
        <w:rPr/>
      </w:pPr>
      <w:r>
        <w:rPr>
          <w:rFonts w:ascii="Amiri" w:hAnsi="Amiri" w:eastAsia="Amiri" w:cs="Amiri"/>
          <w:color w:val="111111"/>
          <w:sz w:val="28"/>
          <w:sz w:val="28"/>
          <w:szCs w:val="28"/>
          <w:rtl w:val="true"/>
          <w:lang w:bidi="ar-SA"/>
        </w:rPr>
        <w:t>وجهان، أقواهما الأوّل،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لا كلام في أنّ المأخوذ في موضوع جواز الشهادة، هو العلم بالمشهود به، للنصوص الكثيرة الدالّة عليه، إلّاأنّ الظاهر منها أنّ العلم مأخوذٌ على وجه الطريقيّة، لا على وجه الصفتيّة، خلافاً للشيخ الأعظم رحمه الله، إذ الظاهر منها أنّ النظر فيها إلى ثبوت الواقع، لا تحقّق هذا الوصف من حيث هو، وعليه فبناءً على ما اخترناه تبعاً للشيخ الأعظم رحمه الله</w:t>
      </w:r>
      <w:r>
        <w:rPr>
          <w:rStyle w:val="FootnoteAnchor"/>
          <w:rtl w:val="true"/>
        </w:rPr>
        <w:footnoteReference w:id="389"/>
      </w:r>
      <w:r>
        <w:rPr>
          <w:rFonts w:ascii="Amiri" w:hAnsi="Amiri" w:eastAsia="Amiri" w:cs="Amiri"/>
          <w:color w:val="111111"/>
          <w:sz w:val="28"/>
          <w:sz w:val="28"/>
          <w:szCs w:val="28"/>
          <w:rtl w:val="true"/>
          <w:lang w:bidi="ar-SA"/>
        </w:rPr>
        <w:t>من قيام الطرق والأمارات بأدلّة اعتبارها مقام القطع الطريقي المحض، والمأخوذ في الموضوع على وجه الطريقيّة، تجوز الشهادة مستندة إلى أيّة أمارة قائمة على الشيء، بل بناءً على ما حقّقناه من قيام الاُصول</w:t>
      </w:r>
      <w:r>
        <w:rPr>
          <w:rStyle w:val="FootnoteAnchor"/>
          <w:rtl w:val="true"/>
        </w:rPr>
        <w:footnoteReference w:id="390"/>
      </w:r>
      <w:r>
        <w:rPr>
          <w:rFonts w:ascii="Amiri" w:hAnsi="Amiri" w:eastAsia="Amiri" w:cs="Amiri"/>
          <w:color w:val="111111"/>
          <w:sz w:val="28"/>
          <w:sz w:val="28"/>
          <w:szCs w:val="28"/>
          <w:rtl w:val="true"/>
          <w:lang w:bidi="ar-SA"/>
        </w:rPr>
        <w:t>المحرزة مقام القطع المأخوذ في الموضوع من حيث أنّه مقتضٍ للبناء العملي، والجري على وفق ما تعلّق القطع به، لا من حيث أنّه انكشاف للواقع، تجوز الشهادة مستندةً إلى الاستصحاب، إذا ثبت كون العلم المأخوذ في الشهادة مأخوذاً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فالنصوص الدالّة على جواز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مستندةً إلى الاستصحاب الذي عقد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كتاب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تطبيقها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التوقّف في جواز الشهادة مستندةً إلى الأمارة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من استدلاله على عدم جواز الشهادة بالمِلْك، بالاستناد إليها، بأنّه لإعتبار العلم في الشهادة لا يجوز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بل الشهادة المستندة إليها تعدّ تدليساً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موثّق حفص، الوارد في مقام بيان جواز الشهادة بالمِلْك مستندة إلى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جاز لك أن تشتريه ويصير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وتحلف عليه، ولا يجوز أن تنسبه إلى من صار مِلْكه مِنْ قِبَله إليك‌؟</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ذلك، هو التلازم بين جواز ترتيب الأثر في عمل نفسه، وجواز الشهادة به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الواردة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صحيح ابن أبي يعفور المتقدّم</w:t>
      </w:r>
      <w:r>
        <w:rPr>
          <w:rStyle w:val="FootnoteAnchor"/>
          <w:rtl w:val="true"/>
        </w:rPr>
        <w:footnoteReference w:id="393"/>
      </w:r>
      <w:r>
        <w:rPr>
          <w:rFonts w:ascii="Amiri" w:hAnsi="Amiri" w:eastAsia="Amiri" w:cs="Amiri"/>
          <w:color w:val="111111"/>
          <w:sz w:val="28"/>
          <w:sz w:val="28"/>
          <w:szCs w:val="28"/>
          <w:rtl w:val="true"/>
          <w:lang w:bidi="ar-SA"/>
        </w:rPr>
        <w:t>،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ذلك كلّه أن يكون ساتراً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عليهم تزكيته وإظهار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لم يكن لأحد أن يشهد بالصلاح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حدّثهم فلم يُكْذِبهم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أن يظهروا في النّاس عدالته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الخبر المتضمّن إرسال النبيّ صلى الله عليه و آله رجلين من أصحابه لتحقيق حال الشهود إنّهما ربما كانا يرجعان بخيرٍ، لما رأوا مَنْ ذَكَرهم بالخير في قبيلتهم، وكان النبيّ صلى الله عليه و آله يقبل ذلك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النصوص برغم أنّ موردها حُسن الظاهر والشياع، إلّاأنّه يثبت في غيرهما من الأمارات بضميمة عدم القول بالفصل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جواز تعديل الشخص بقيام الطريق على عدالته، بل الأظهر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36" w:name="pg11802_154060"/>
    </w:p>
    <w:p>
      <w:pPr>
        <w:pStyle w:val="BookText"/>
        <w:rPr/>
      </w:pPr>
      <w:bookmarkEnd w:id="236"/>
      <w:r>
        <w:rPr>
          <w:rFonts w:ascii="IRNazanin" w:hAnsi="IRNazanin" w:eastAsia="IRNazanin"/>
          <w:color w:val="111111"/>
          <w:sz w:val="28"/>
          <w:sz w:val="28"/>
          <w:szCs w:val="28"/>
          <w:rtl w:val="true"/>
          <w:lang w:bidi="fa-IR"/>
        </w:rPr>
        <w:t>جوازه لو استصحب عدالته</w:t>
      </w:r>
      <w:r>
        <w:rPr>
          <w:rFonts w:eastAsia="IRNazanin" w:cs="IRNazanin"/>
          <w:color w:val="111111"/>
          <w:sz w:val="28"/>
          <w:szCs w:val="28"/>
          <w:rtl w:val="true"/>
          <w:lang w:bidi="fa-IR"/>
        </w:rPr>
        <w:t>.</w:t>
      </w:r>
    </w:p>
    <w:p>
      <w:pPr>
        <w:pStyle w:val="Heading6"/>
        <w:numPr>
          <w:ilvl w:val="5"/>
          <w:numId w:val="1"/>
        </w:numPr>
        <w:rPr/>
      </w:pPr>
      <w:bookmarkStart w:id="237" w:name="__RefHeading___Toc10531697_73709187"/>
      <w:bookmarkStart w:id="238" w:name="_Toc90"/>
      <w:bookmarkEnd w:id="237"/>
      <w:r>
        <w:rPr>
          <w:rtl w:val="true"/>
        </w:rPr>
        <w:t>بيان اُمور</w:t>
      </w:r>
      <w:r>
        <w:rPr>
          <w:rtl w:val="true"/>
        </w:rPr>
        <w:t>:</w:t>
      </w:r>
      <w:bookmarkEnd w:id="238"/>
    </w:p>
    <w:p>
      <w:pPr>
        <w:pStyle w:val="Heading6"/>
        <w:numPr>
          <w:ilvl w:val="5"/>
          <w:numId w:val="1"/>
        </w:numPr>
        <w:rPr/>
      </w:pPr>
      <w:bookmarkStart w:id="239" w:name="__RefHeading___Toc10531699_73709187"/>
      <w:bookmarkStart w:id="240" w:name="_Toc91"/>
      <w:bookmarkEnd w:id="239"/>
      <w:r>
        <w:rPr>
          <w:rtl w:val="true"/>
        </w:rPr>
        <w:t>اعتبار المروّة في العدالة وعدمه</w:t>
      </w:r>
      <w:bookmarkEnd w:id="240"/>
    </w:p>
    <w:p>
      <w:pPr>
        <w:pStyle w:val="BookText"/>
        <w:rPr/>
      </w:pPr>
      <w:r>
        <w:rPr>
          <w:rFonts w:ascii="Amiri" w:hAnsi="Amiri" w:eastAsia="Amiri" w:cs="Amiri"/>
          <w:color w:val="111111"/>
          <w:sz w:val="28"/>
          <w:sz w:val="28"/>
          <w:szCs w:val="28"/>
          <w:rtl w:val="true"/>
          <w:lang w:bidi="ar-SA"/>
        </w:rPr>
        <w:t>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من تأخّر عن العلّامة رحمه الله</w:t>
      </w:r>
      <w:r>
        <w:rPr>
          <w:rStyle w:val="FootnoteAnchor"/>
          <w:rtl w:val="true"/>
        </w:rPr>
        <w:footnoteReference w:id="395"/>
      </w:r>
      <w:r>
        <w:rPr>
          <w:rFonts w:ascii="Amiri" w:hAnsi="Amiri" w:eastAsia="Amiri" w:cs="Amiri"/>
          <w:color w:val="111111"/>
          <w:sz w:val="28"/>
          <w:sz w:val="28"/>
          <w:szCs w:val="28"/>
          <w:rtl w:val="true"/>
          <w:lang w:bidi="ar-SA"/>
        </w:rPr>
        <w:t xml:space="preserve">اعتبار المروّة في مفهوم العدالة، حيث عرّفوها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راسخة تبعثُ عليملازمة التقوى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يلوح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كذا في رسالة العدالة للشيخ الأعظم رحمه الله أيضاً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الشهرة على اعتبارها في عدالة الشاهد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الماحوزيّة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حكاية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جعلها جزءٌ من مفهوم العدالة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صريح جماعة، وظاهر آخرين كالمفيد</w:t>
      </w:r>
      <w:r>
        <w:rPr>
          <w:rStyle w:val="FootnoteAnchor"/>
          <w:rtl w:val="true"/>
        </w:rPr>
        <w:footnoteReference w:id="399"/>
      </w:r>
      <w:r>
        <w:rPr>
          <w:rFonts w:ascii="Amiri" w:hAnsi="Amiri" w:eastAsia="Amiri" w:cs="Amiri"/>
          <w:color w:val="111111"/>
          <w:sz w:val="28"/>
          <w:sz w:val="28"/>
          <w:szCs w:val="28"/>
          <w:rtl w:val="true"/>
          <w:lang w:bidi="ar-SA"/>
        </w:rPr>
        <w:t>والحِلّي</w:t>
      </w:r>
      <w:r>
        <w:rPr>
          <w:rStyle w:val="FootnoteAnchor"/>
          <w:rtl w:val="true"/>
        </w:rPr>
        <w:footnoteReference w:id="400"/>
      </w:r>
      <w:r>
        <w:rPr>
          <w:rFonts w:ascii="Amiri" w:hAnsi="Amiri" w:eastAsia="Amiri" w:cs="Amiri"/>
          <w:color w:val="111111"/>
          <w:sz w:val="28"/>
          <w:sz w:val="28"/>
          <w:szCs w:val="28"/>
          <w:rtl w:val="true"/>
          <w:lang w:bidi="ar-SA"/>
        </w:rPr>
        <w:t>والصدوقين</w:t>
      </w:r>
      <w:r>
        <w:rPr>
          <w:rStyle w:val="FootnoteAnchor"/>
          <w:rtl w:val="true"/>
        </w:rPr>
        <w:footnoteReference w:id="401"/>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وولده في موضعٍ‌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الإرشاد</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المروّة في العدالة، بل هو المنسوب</w:t>
      </w:r>
      <w:r>
        <w:rPr>
          <w:rStyle w:val="FootnoteAnchor"/>
          <w:rtl w:val="true"/>
        </w:rPr>
        <w:footnoteReference w:id="406"/>
      </w:r>
      <w:r>
        <w:rPr>
          <w:rFonts w:ascii="Amiri" w:hAnsi="Amiri" w:eastAsia="Amiri" w:cs="Amiri"/>
          <w:color w:val="111111"/>
          <w:sz w:val="28"/>
          <w:sz w:val="28"/>
          <w:szCs w:val="28"/>
          <w:rtl w:val="true"/>
          <w:lang w:bidi="ar-SA"/>
        </w:rPr>
        <w:t>إلى المشهور بين من تقدّم على العلّامة، وهو الذي اختاره جمعٌ من محقّقي من تأخّر عن الشيخ الأعظم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الفصل في المقام أنّ المروّة تُطلق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اللّغوى وهي الإنسانيّة أو ما يقاربها، فهي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الرّجل والمراة،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تفسيرها بالرجوليّة أو كمالها خطأ واشتباه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الإنسانيّة في المقام، هو ما يقتضي الاعتدال في القوى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العاقلة والشهويّة والغضبيّة، إذ الإنسان إذا وافق قوّته الغضبيّة كان سَبُعاً، كما أنّه إذا وافق قوّته الشهويّة كان بهيمةً‌، فالمروّة هي الصفة الجامعة لمكارم الأخلاق ومحاسن الآداب، وركوب المروّة بهذا المعنى يعدّ من فضائل النفس، كما أنّ ركوب ما ينافيها يُنبئ عن رذيلة نفسانيّة، وهي بهذا المعنى لا تعتبر في العدالة قطعاً، لما مرّ من عدم اعتبار العدالة الأخلاقيّة المرادفة لهذا المعنى، وأنّها غير العدالة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يُحمل ما ورد في بعض النصوص من أنّ المروّة ستّة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 الحضر، وثلاثة في السّفر، أمّا التي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فتلاوة القرآن، وعمارة المسجد، واتّخاذ الإخوان في اللّه، وأمّا التي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الزاد، وحُسن الخُلُق، والمزاح في غير المعاصي</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ما في خبر هشام،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مروّة له، ولا مروّة لمن لا عقل له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مَنْ لا عقل له ليس له ما به يمتاز فعل ما ينبغي فعله عن فعل ما لا ينبغي فعله، فليس له الصفة المعبّر عنها بالإنسانيّة، ومن ليس له تلك ليس له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التي استعملت في النصوص اُريد بها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المصطلح في هذا الباب، وهو أنْ لا يفعل ما يتنفّر النفوس عنه عادةً‌، ويختلف ذلك باختلاف الأشخاص والأزمنة والأمكنة، وخلاف المروّة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الطعن في عِرْض الرّجل، كما إذا لبس فقيهاً كبيراً ثياب المهرّجين والسَّفلة من غير داعٍ إلى ذلك وخرج إلى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نقصان عقل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شيئاً من ذلك، وإنّما يكون ممّا يُستهجن عادةً من دون قبح شرعي أو عقلي فيه، كالأكل في الأسواق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منافاتهما للعدالة، أمّا الأوّل، فللأمر بحفظ العِرْض، وأمّا الثاني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منافاته للعدالة، وأخذ المروّة في مفهومها بوجوه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منافيات المروّة، منافية لمعنى العدالة التي تعني عرفاً ولغةً الاستواء والاستقامة، فإذا كان الرّجل بحيث لا يُبالي بالأشياء المنكرة عرفاً، لا يعدّ من أهل الاستقامة لديهم، فلا يشمله ما أُخذ في موضوعه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الشرعيّة، هي الاستقامة على جادّة الشرع، وعدم الميل عنها يميناً وشمالاً، لا مطلق الاستقامة، فخلاف المروّة لا ينافي مثل هذه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يكشف ذلك عن رذيلة نفسانيّة، كقصر الهمّة ونحوه، فهو ينافي العدالة الأخلاقيّة، التي عرفت أنّها أخصّ من العدالة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المراد منه ستر العيوب الشرعيّة والعرفيّة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لا ريب في عدم إرادة ستر كلّ شيء، وإرادة ستر العيوب، لا محالة يكون المراد منه ستر العيوب الشرعيّة، لأنّه المتبادر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 البطن والفَرْج واليد واللِّسان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بناءً على أنّ منافيات المروّة غالباً من شهوات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بكفّ الجوارح، ليس كفّها عن كلّ ما تشتهيه حتّى المباحات، بل المراد كفّها عن المحرّمات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 أن يكون ساتراً لجميع عيوبه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ارتكاب منافيات المروّة عيبٌ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التوقّف في عدم إرادة كلّ ما يعدُّ منقصة من العيوب، وإلّا لزم تخصيص الأكثر، فلا محالة يكون المراد به العيوب الشرعيّة، مضافاً إلى أنّها المنساق منها عند إطلاقها في كلمات الشارع الأقدس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تمّت دلالة هذه الفقرة، كان لازمها دخلها في الطريق المُثبت لها، لا في مفهومها،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اعتبار المروّة في مفهوم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ركوبها معتبرٌ في طريقيّة حُسن الظاهر، ومع فقدها لا يكون حُسن الظاهر كاشفاً، فإنّ فعل منافي المروّة يكشف عن قلّة المبالاة بالدِّين، بحيث لا يوثّق معه بالتحرّز عن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طريقيّة حُسن الظاهر، وإنْ لم يفد الظنّ الشخصي، فضلاً عن الوثوق، وعليه فلا وجه لاعتباره،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المبالاة بعادات النّاس، لا يكشف عن عدم المبالاة وأخذ الحيطة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عن جميع ما ذكرناه، وسَلّمنا ظهور ما تقدّم في اعتبارها في العدالة أو طريقها، لا مناص عن صرفها عن ظاهرها، إذ قوله عليه السلام في خبر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 ولم يشهد عليه بذلك شاهدان، فهو من أهل العدالة والسّتر، وشهادته مقبولة</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يكون حاكماً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الواردة في باب الشهادات، الدالّة على كفاية الاجتناب عن العيوب الشرعيّة، كصحيح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أربعة من المسلمين، ليس يُعرَفون بشهادة الزور، اُجيزت شهادتهم</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اعتبارها في العدالة ولا في طريقها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41" w:name="pg11802_154065"/>
    </w:p>
    <w:p>
      <w:pPr>
        <w:pStyle w:val="Heading6"/>
        <w:numPr>
          <w:ilvl w:val="5"/>
          <w:numId w:val="1"/>
        </w:numPr>
        <w:rPr/>
      </w:pPr>
      <w:bookmarkStart w:id="242" w:name="__RefHeading___Toc10531701_73709187"/>
      <w:bookmarkStart w:id="243" w:name="_Toc92"/>
      <w:bookmarkEnd w:id="241"/>
      <w:bookmarkEnd w:id="242"/>
      <w:r>
        <w:rPr>
          <w:rtl w:val="true"/>
        </w:rPr>
        <w:t>كلام حول الكبيرة والصغيرة</w:t>
      </w:r>
      <w:bookmarkEnd w:id="243"/>
    </w:p>
    <w:p>
      <w:pPr>
        <w:pStyle w:val="Heading6"/>
        <w:numPr>
          <w:ilvl w:val="5"/>
          <w:numId w:val="1"/>
        </w:numPr>
        <w:rPr/>
      </w:pPr>
      <w:bookmarkStart w:id="244" w:name="__RefHeading___Toc10531703_73709187"/>
      <w:bookmarkStart w:id="245" w:name="_Toc93"/>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بينهم التفصيل بين الكبيرة والصغيرة، وأنّ الكبيرة فعلها منافٍ للعدالة مطلقاً، وأنّ الصغيرة لا تنافيها إلّامع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الأمر يقع في جهات</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0531705_73709187"/>
      <w:bookmarkStart w:id="247" w:name="_Toc94"/>
      <w:bookmarkEnd w:id="246"/>
      <w:r>
        <w:rPr>
          <w:rtl w:val="true"/>
        </w:rPr>
        <w:t>انقسام المعاصي الى كبائر وصغائر</w:t>
      </w:r>
      <w:bookmarkEnd w:id="247"/>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w:t>
      </w:r>
      <w:r>
        <w:rPr>
          <w:rStyle w:val="FootnoteAnchor"/>
          <w:rtl w:val="true"/>
        </w:rPr>
        <w:footnoteReference w:id="412"/>
      </w:r>
      <w:r>
        <w:rPr>
          <w:rFonts w:ascii="Amiri" w:hAnsi="Amiri" w:eastAsia="Amiri" w:cs="Amiri"/>
          <w:color w:val="111111"/>
          <w:sz w:val="28"/>
          <w:sz w:val="28"/>
          <w:szCs w:val="28"/>
          <w:rtl w:val="true"/>
          <w:lang w:bidi="ar-SA"/>
        </w:rPr>
        <w:t>انقسام المعاصي الى كبائر وصغائر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نسبتهُ إلى قاطبة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نسبته إلى العلماء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من الأصحاب، منهم المفيد، والقاضي</w:t>
      </w:r>
      <w:r>
        <w:rPr>
          <w:rStyle w:val="FootnoteAnchor"/>
          <w:rtl w:val="true"/>
        </w:rPr>
        <w:footnoteReference w:id="415"/>
      </w:r>
      <w:r>
        <w:rPr>
          <w:rFonts w:ascii="Amiri" w:hAnsi="Amiri" w:eastAsia="Amiri" w:cs="Amiri"/>
          <w:color w:val="111111"/>
          <w:sz w:val="28"/>
          <w:sz w:val="28"/>
          <w:szCs w:val="28"/>
          <w:rtl w:val="true"/>
          <w:lang w:bidi="ar-SA"/>
        </w:rPr>
        <w:t>، والتقي</w:t>
      </w:r>
      <w:r>
        <w:rPr>
          <w:rStyle w:val="FootnoteAnchor"/>
          <w:rtl w:val="true"/>
        </w:rPr>
        <w:footnoteReference w:id="416"/>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والطبرسي</w:t>
      </w:r>
      <w:r>
        <w:rPr>
          <w:rStyle w:val="FootnoteAnchor"/>
          <w:rtl w:val="true"/>
        </w:rPr>
        <w:footnoteReference w:id="418"/>
      </w:r>
      <w:r>
        <w:rPr>
          <w:rFonts w:ascii="Amiri" w:hAnsi="Amiri" w:eastAsia="Amiri" w:cs="Amiri"/>
          <w:color w:val="111111"/>
          <w:sz w:val="28"/>
          <w:sz w:val="28"/>
          <w:szCs w:val="28"/>
          <w:rtl w:val="true"/>
          <w:lang w:bidi="ar-SA"/>
        </w:rPr>
        <w:t>، والحِلّي</w:t>
      </w:r>
      <w:r>
        <w:rPr>
          <w:rStyle w:val="FootnoteAnchor"/>
          <w:rtl w:val="true"/>
        </w:rPr>
        <w:footnoteReference w:id="419"/>
      </w:r>
      <w:r>
        <w:rPr>
          <w:rFonts w:ascii="Amiri" w:hAnsi="Amiri" w:eastAsia="Amiri" w:cs="Amiri"/>
          <w:color w:val="111111"/>
          <w:sz w:val="28"/>
          <w:sz w:val="28"/>
          <w:szCs w:val="28"/>
          <w:rtl w:val="true"/>
          <w:lang w:bidi="ar-SA"/>
        </w:rPr>
        <w:t>إنكار ذلك، وأنّ المعاصي جميعها كبيرة، والاختلاف بالكبر والصغر إنّما هو بالإضافة إلى معصيه اُخرى، ونَسب الشيخ</w:t>
      </w:r>
      <w:r>
        <w:rPr>
          <w:rStyle w:val="FootnoteAnchor"/>
          <w:rtl w:val="true"/>
        </w:rPr>
        <w:footnoteReference w:id="420"/>
      </w:r>
      <w:r>
        <w:rPr>
          <w:rFonts w:ascii="Amiri" w:hAnsi="Amiri" w:eastAsia="Amiri" w:cs="Amiri"/>
          <w:color w:val="111111"/>
          <w:sz w:val="28"/>
          <w:sz w:val="28"/>
          <w:szCs w:val="28"/>
          <w:rtl w:val="true"/>
          <w:lang w:bidi="ar-SA"/>
        </w:rPr>
        <w:t>ذلك إلى الأصحاب، وكذلك الطبرسي في المجمع</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إدريس الحِلّي</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انقسام الذّنوب إلى كبائر وصغائر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لم يذهب إليه رحمه الله إلّافي هذا الكتاب، ولا ذَهَب إليه أحدٌ من أصحابنا، لأنّه لا صغائر عندنا في المعاصي إلّابالإضافة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الصحيحة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باجتناب الكبائر الّتي أوعد اللّه عليها النّار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معي بعض أصحابنا إلى أبي الحسن عليه السلام يسأله عن الكبائر كم هي وما هي‌؟</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 اجتَنَب ما وَعَد اللّه عليه النّار كفّر عنه سيّئاته إذا كان مؤمناً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محمّد بن مسلم</w:t>
      </w:r>
      <w:r>
        <w:rPr>
          <w:rStyle w:val="FootnoteAnchor"/>
          <w:rtl w:val="true"/>
        </w:rPr>
        <w:footnoteReference w:id="426"/>
      </w:r>
      <w:r>
        <w:rPr>
          <w:rFonts w:ascii="Amiri" w:hAnsi="Amiri" w:eastAsia="Amiri" w:cs="Amiri"/>
          <w:color w:val="111111"/>
          <w:sz w:val="28"/>
          <w:sz w:val="28"/>
          <w:szCs w:val="28"/>
          <w:rtl w:val="true"/>
          <w:lang w:bidi="ar-SA"/>
        </w:rPr>
        <w:t>، وأبي بصير</w:t>
      </w:r>
      <w:r>
        <w:rPr>
          <w:rStyle w:val="FootnoteAnchor"/>
          <w:rtl w:val="true"/>
        </w:rPr>
        <w:footnoteReference w:id="427"/>
      </w:r>
      <w:r>
        <w:rPr>
          <w:rFonts w:ascii="Amiri" w:hAnsi="Amiri" w:eastAsia="Amiri" w:cs="Amiri"/>
          <w:color w:val="111111"/>
          <w:sz w:val="28"/>
          <w:sz w:val="28"/>
          <w:szCs w:val="28"/>
          <w:rtl w:val="true"/>
          <w:lang w:bidi="ar-SA"/>
        </w:rPr>
        <w:t>، والحلبي</w:t>
      </w:r>
      <w:r>
        <w:rPr>
          <w:rStyle w:val="FootnoteAnchor"/>
          <w:rtl w:val="true"/>
        </w:rPr>
        <w:footnoteReference w:id="428"/>
      </w:r>
      <w:r>
        <w:rPr>
          <w:rFonts w:ascii="Amiri" w:hAnsi="Amiri" w:eastAsia="Amiri" w:cs="Amiri"/>
          <w:color w:val="111111"/>
          <w:sz w:val="28"/>
          <w:sz w:val="28"/>
          <w:szCs w:val="28"/>
          <w:rtl w:val="true"/>
          <w:lang w:bidi="ar-SA"/>
        </w:rPr>
        <w:t>، وعُبيد بن زرارة</w:t>
      </w:r>
      <w:r>
        <w:rPr>
          <w:rStyle w:val="FootnoteAnchor"/>
          <w:rtl w:val="true"/>
        </w:rPr>
        <w:footnoteReference w:id="42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ومسعدة بن صَدَقة</w:t>
      </w:r>
      <w:r>
        <w:rPr>
          <w:rStyle w:val="FootnoteAnchor"/>
          <w:rtl w:val="true"/>
        </w:rPr>
        <w:footnoteReference w:id="430"/>
      </w:r>
      <w:r>
        <w:rPr>
          <w:rFonts w:ascii="Amiri" w:hAnsi="Amiri" w:eastAsia="Amiri" w:cs="Amiri"/>
          <w:color w:val="111111"/>
          <w:sz w:val="28"/>
          <w:sz w:val="28"/>
          <w:szCs w:val="28"/>
          <w:rtl w:val="true"/>
          <w:lang w:bidi="ar-SA"/>
        </w:rPr>
        <w:t>، وعبد العظيم بن عبد اللّه الحَسَني</w:t>
      </w:r>
      <w:r>
        <w:rPr>
          <w:rStyle w:val="FootnoteAnchor"/>
          <w:rtl w:val="true"/>
        </w:rPr>
        <w:footnoteReference w:id="431"/>
      </w:r>
      <w:r>
        <w:rPr>
          <w:rFonts w:ascii="Amiri" w:hAnsi="Amiri" w:eastAsia="Amiri" w:cs="Amiri"/>
          <w:color w:val="111111"/>
          <w:sz w:val="28"/>
          <w:sz w:val="28"/>
          <w:szCs w:val="28"/>
          <w:rtl w:val="true"/>
          <w:lang w:bidi="ar-SA"/>
        </w:rPr>
        <w:t>الواردة في تعداد الكبائر، وغير ذلك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الشريفة فيمكن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بالكبائر فيها جميع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السيّئات المُكفّر عنها؛ سيّئات المؤمنين قبل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المتحصّل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اجتنبتم هذه الكبائر التي ذكرناها في هذه السّورة، نكفِّر عنكم ما وقع منها منكم في الماضي، فيكون مساق هذه الآية الشريفة مساق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يمكن أن يكون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إذا عزمتم على اجتناب جميع المعاصي، واجتنبتموها، كفّرنا عنكم سيّئاتكم السابقة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المعصية،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جميع المعاصي، نُكفِّر ما نويتم فعله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يؤثّر نيّة المعصية عقاباً ولا ذمّاً ما لم يتلبّس بها، وهو ممّا ثبت في الأخبار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التي لم يستغفر منها، ومقابلها ما تاب عنها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حسن ابن أبي عمير،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الكبائر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لم يُسأل عن الصغائر،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 مع الاستغفار، ولا صغير مع الإصرار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عليه السلام فيه الإصرار بأنّ من لم يندم عليها كان مُصرّاً، والمُصرّ لا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لإرادة جميع المعاصي من الكبائر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الخبر الحسن، وما هو مثله مضموناً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أنّ كلّ معصيةٍ لا تخلو إمّا أنّها كبيرة أو شديدة، فقد جاء في موثّق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كلّها شديدة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التحذير من استحقار الذّنب، معلّلاً بأنّه قد يكون غضب اللّه فيه، 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يستقلنّ أحدكم شيئاً من المعاصي، فإنّه لا يدري في أيّها سَخَط اللّه</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أنّ الكبائر ما أوعد اللّه عليه النّار، كحسن ابن محبوب المتقدّم، بضميمة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فَإِنَّ لَهُ نارَ جَهَنَّمَ خالِدِينَ فِيها أَبَداً</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فإنّها متضمّنة للإيعاد بالنّار على كلّ معصية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الجواب عن صحيح ابن أبي يعفور، وحسن ابن محبوب، وحمل هذه النصوص على إرادة الإيعاد على شيءٍ بالخصوص خلاف الظاهر، يحتاج إلى قرينة، مع أنّ من جملة ما ذكر في صحيح عبد العظيم من الكبائر،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8" w:name="pg11802_154069"/>
    </w:p>
    <w:p>
      <w:pPr>
        <w:pStyle w:val="BookText"/>
        <w:rPr/>
      </w:pPr>
      <w:bookmarkEnd w:id="248"/>
      <w:r>
        <w:rPr>
          <w:rFonts w:ascii="Amiri" w:hAnsi="Amiri" w:eastAsia="Amiri" w:cs="Amiri"/>
          <w:color w:val="111111"/>
          <w:sz w:val="28"/>
          <w:sz w:val="28"/>
          <w:szCs w:val="28"/>
          <w:rtl w:val="true"/>
          <w:lang w:bidi="ar-SA"/>
        </w:rPr>
        <w:t>ما لم يتوعّد اللّه عليه النّار بالخصوص، فإنّ جملةٍ منها لم يتعرّض القرآن لعقوبتها، ككتمان الشهادة، وجملةٍ منها نَطَق الكتابُ بعقوبات اُخر عليها غير النّار، كأكل الرِّبا والغَلول والسِّحر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المتضمّنة لتعداد الكبائر، فهي من جهة ما فيها من الاختلاف على خلاف المطلوب أدلّ‌، وقد عقد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الجهاد باباً لتعيين الكبائر</w:t>
      </w:r>
      <w:r>
        <w:rPr>
          <w:rStyle w:val="FootnoteAnchor"/>
          <w:rtl w:val="true"/>
        </w:rPr>
        <w:footnoteReference w:id="439"/>
      </w:r>
      <w:r>
        <w:rPr>
          <w:rFonts w:ascii="Amiri" w:hAnsi="Amiri" w:eastAsia="Amiri" w:cs="Amiri"/>
          <w:color w:val="111111"/>
          <w:sz w:val="28"/>
          <w:sz w:val="28"/>
          <w:szCs w:val="28"/>
          <w:rtl w:val="true"/>
          <w:lang w:bidi="ar-SA"/>
        </w:rPr>
        <w:t>، اشتملت نصوصه على أربعين أو أكثر، وهي مختلفة في عددها، وستمرّ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كلّ ذنبٍ كبير، وأنّ الاختلاف بالكبر والصغر إنّما هو بالإضافة إلى معصية اُخرى‌</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0531707_73709187"/>
      <w:bookmarkStart w:id="250" w:name="_Toc95"/>
      <w:bookmarkEnd w:id="249"/>
      <w:r>
        <w:rPr>
          <w:rtl w:val="true"/>
        </w:rPr>
        <w:t>ما به تمتاز الكبيرة عن الصغيرة</w:t>
      </w:r>
      <w:bookmarkEnd w:id="250"/>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بانقسام المعاصي إلى الكبائر والصغائر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عمّا تمتاز به الكبيرة عن الصغيرة شرعاً؟ وقد ذكر الشيخ الأعظم رحمه الله</w:t>
      </w:r>
      <w:r>
        <w:rPr>
          <w:rStyle w:val="FootnoteAnchor"/>
          <w:rtl w:val="true"/>
        </w:rPr>
        <w:footnoteReference w:id="440"/>
      </w:r>
      <w:r>
        <w:rPr>
          <w:rFonts w:ascii="Amiri" w:hAnsi="Amiri" w:eastAsia="Amiri" w:cs="Amiri"/>
          <w:color w:val="111111"/>
          <w:sz w:val="28"/>
          <w:sz w:val="28"/>
          <w:szCs w:val="28"/>
          <w:rtl w:val="true"/>
          <w:lang w:bidi="ar-SA"/>
        </w:rPr>
        <w:t>أنّها تمتاز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المعتبر على أنّها كبيرة، كما ورد في بعض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المعتبر على أنّها ممّا أوجب اللّه عليه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في القرآن على ثبوت العقاب عليها بالخصوص</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العقل والنقل على أشدّية معصيتها ممّا ثبت كونه من الكبيرة أو مساواتها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النَّص بعدم قبول شهادة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الواقعى لصيرورة المعصية كبيرة، كون مفسدتها قويّة، والموجب ذلك لصيرورة مبغوضيّتها شديدة، المترتّب على ذلك كون العقوبة المترتّبة عليها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الكاشف عن ذلك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فالضابطالكلّي الذي ذكر في النصوص، هو أنّ كلّ ما أوعد اللّه عليه النّار فهو كبير، كما ورد في جملةٍ من الصحاح أنّ الذّنب الكبير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أوجبَ اللّه عليه النّار</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أخصّ من الثاني، من جهة أنّ إيجابه تعالى العقاب وإثباته كما يصدق مع إيجابه نفسه كذلك، يصدق لو جعل العقاب من النبيّ صلى الله عليه و آله أو الإمام عليه السلام بتفويضٍ منه تعالى إليهما، وهذا بخلاف الإيعاد والإخبار، فإنّ إيعاد كلٍّ من اللّه تعالى والمعصوم عليه السلام إيعاده بنفسه، لا إيعادٌ مِنْ قِبل غيره، وعلى ذلك فالضابط الثاني أعمّ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أُخذ بالظاهر، كان ظاهر الثاني أيضاً إيجاب اللّه تعالى بلا واسطة، ولو بُني على التصرّف، أمكن التصرّف في الأوّل بجعل إيعاده تعالى أعمّ من إيعاده بنفسه أو بإخبار المعصوم عليه السلام عن إيعاد اللّه تعالى‌، فالحقّ أنّهما ضابط واحد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المراد بايعاد اللّه تعالى وإيجابه هو المعنى الأعمّ‌، لأنّه مقتضى الجمع بين هذه النصوص، وبين صحيح عبد العظيم الحسني،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لاستدلاله عليه السلام فيه على اعتبار ترك الصَّلاة من الكبائر بأنّ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متعمّداً فقد بَرئ مِنْ ذمّة اللّه وذمّة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إيعاد اللّه أعمٌّ من إيعاده تعالى بنفسه في الكتاب صريحاً، أو بضمّ بعض الآيات إلى بعض، ففي المثال المقصود من الصحيح إثبات الكبرى بما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لأنّ من خرج عن ذمّة اللّه فليس له عهدٌ منه تعالى‌، والجمع بين الصحيح المشار إليه، وبين النصوص المتضمّنة أنّ الضابط لمعرفة الكبائر إيعاد اللّه عليها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عَدّ جملةٍ من المعاصي من الكبائر الّتي نصّ في الكتاب بترتيب عقوبات اُخر عليها، كما يظهر لمن 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حمل النّار على العذاب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معرفة الكبيرة أن يُقال، 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النبيّ أو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العذاب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فسائر الاُمور التي ذكرها الشيخ الأعظم في مقام الضابط غير الأخير تُرجع الى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ثبت أشدّية معصيةٍ ممّا أوعد اللّه تعالى عليه، لا محالة تكون هي ممّا أوعد اللّه عليه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ميزاناً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كون فعل الصغيرة مضرّاً بالعدالة فواضح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عدم إضراره بها، فلأنّ تلك النصوص، تدلّ على أنّ المعصية الفلانية كالفسق مانعة عن قبول الشهادة، وليس المانع منحصراً في الفسق، كي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1" w:name="pg11802_154072"/>
    </w:p>
    <w:p>
      <w:pPr>
        <w:pStyle w:val="BookText"/>
        <w:rPr/>
      </w:pPr>
      <w:bookmarkEnd w:id="251"/>
      <w:r>
        <w:rPr>
          <w:rFonts w:ascii="Amiri" w:hAnsi="Amiri" w:eastAsia="Amiri" w:cs="Amiri"/>
          <w:color w:val="111111"/>
          <w:sz w:val="28"/>
          <w:sz w:val="28"/>
          <w:szCs w:val="28"/>
          <w:rtl w:val="true"/>
          <w:lang w:bidi="ar-SA"/>
        </w:rPr>
        <w:t>تدلّ على أنّ تلك المعصية موجبة للفسق لتكون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الوحيد هو ما في جملةٍ من النصوص، وهو كون الفعل ممّا أوعد اللّه تعالى عليه النّار</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0531709_73709187"/>
      <w:bookmarkStart w:id="253" w:name="_Toc96"/>
      <w:bookmarkEnd w:id="252"/>
      <w:r>
        <w:rPr>
          <w:rtl w:val="true"/>
        </w:rPr>
        <w:t>اشتراط العدالة باجتناب جميع المعاصي</w:t>
      </w:r>
      <w:bookmarkEnd w:id="253"/>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القائلين بانقسام الذّنوب إلى الكبائر والصغائر، أنّ فعل الصغيرة لا يقدح في العدالة، بل ادّعى الشيخ الأعظم رحمه الله</w:t>
      </w:r>
      <w:r>
        <w:rPr>
          <w:rStyle w:val="FootnoteAnchor"/>
          <w:rtl w:val="true"/>
        </w:rPr>
        <w:footnoteReference w:id="44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تدلّ على تكفير الصغائر باجتناب الكبائر، وعليه ففعل الصغيرة، من المُجتَنب عن الكبائر، يعدّ دائماً من المقتضي المقرون بالمانع، الذي لا يؤثّر ارتكابه، وهو أولى من التوبة، لأنّها رفع وهذا دفع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فعل المعصية لا يكون موجباً لعدم اتّصاف الفاعل بالعدالة لو تاب وندم، بل إنّما يكون موجباً لذلك ما دام هو مطالب بتلك المعصية، فإذا فرضنا رفع المطالبة، فإنّه لا مانع من اتّصاف الفاعل بالعدالة، ولهذا لا كلام في أنّ المعصية التي تاب عنها مرتكبها لا تكون موجبة لعدم اتّصاف الفاعل بالعدالة، وعلى هذا فبما أنّ فعل الصغيرة من المُجتَنِب عن الكبائر لا يعدّ معصيةً يكون فاعلها مأخوذاً بجريرتها، بل لا يكون مطالباً ومحاسباً على تلك المعصية، فلا يضرّ ذلك بالعدالة، ولا يوجب ارتفاعها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التي لا توجب البُعد عن المولى كالصغيرة، لا تكون سبباً لرفع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يمكن استفادته من الآية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انقسام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عدم العقاب على فعل الصغيره من المُجْتَنِب عن الكبائر، فيكون سبيل هذه الآية سبيل ما دلَّ على تكفير الأعمال الصالحة للسيّئات، من غير فرق بين الكبائر والصغائر، ولا تدلّ على عدم مبغوضيّة الفعل، ولا على عدم كونه موجباً للبُعد عن اللّه تعالى، ولا على عدم كونه موجباً للانحراف عن جادّة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العدالة إنّما يدور مدار ذلك، لا مدار العقاب، فلا يكون من المقتضي المقرون بالمانع، وهذا بخلاف التوبة، فإنّها توجبُ اتّصاف فاعل المعصية بالعدالة، لما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توجبُ عود الفاعل إلى جادّة الشرع بعد الانحراف عنها، وعليه فلا وجه لقياس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ابن أبي يعفور في مقام تعريف مفهوم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باجتناب الكبائر الّتي أوعد اللّه عليها النّار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يكون معرّفاً للعدالة، أو معرِّفاً لمعرّفها، أو تتمّةً له، وعلى كلّ تقدير 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عليه لا يدلّ إلّاعلى أنّ اجتناب الكبائر طريقٌ إلى ثبوت العدالة، وأمّا أنّها بأيّ شيءٍ تَثبت، فلابدّ فيه من الرجوع إلى صدر الصحيح، وهو بإطلاقه يدلّ على أنّ حقيقة العدالة ليس إلّاستر جميع المعاصي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ذكر السَّتر والعفاف، الَّذين عرفتَ أنّ مقتضى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إطلاقهما ترك جميع العيوب الشرعيّة بعدم فعلها، فذكر ذلك إمّا لشدّة الإهتمام بالمعاصي الكبيرة، أو للتنبيه على التلازم الغالبي بين ترك جميع الكبائر وبين ترك جميع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الكبيرة مقرونة غالباً بالدّواعي النفسانيّة الدنيئة، والقوى الحيوانيّة دون الصغائر، فمن كانت درجة إيمانه بدرجةٍ توجب ترك جميع الكبائر، لا محالة يترك الصَّغائر التي يكفي في تركها أُولى درجات الإيمان، فلا يدلّ على عدم إضرار الصغيرة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كان يمكن تصحيحه بنحوٍ لا يرد عليه ما أورده الشيخ الأعظم رحمه الله بقوله</w:t>
      </w:r>
      <w:r>
        <w:rPr>
          <w:rStyle w:val="FootnoteAnchor"/>
          <w:rtl w:val="true"/>
        </w:rPr>
        <w:footnoteReference w:id="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يُراد من المعرّفين كليهما معنى واحد، وإمّا أن يُراد من كلّ منهما معنى، وعلى الأوّل يلزم التكرار، وعلى الثاني يلزم تغاير الشارحين لمفهوم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السَّتر والعفاف والكف من العناوين المتولّدة من ترك المعاصي مع وجود الدّاعي بمدافعة الهوى‌، وترجيح جانب الترك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مثل هذا التصرّف لداعي حفظ النفس، وصونه من الانحراف عن جادّة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فالمعرّف الأوّل هو العنوان التوليدي، والثاني هو المعنون، فيكون المتحصّل من الصحيح أنّ الاستقامة العمليّة على جادّة الشرع تُعرف بأحد الأمرين المتلازمين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بالصون المتقدّم رتبةً على الإجتناب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بنفس الإجتناب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يتعيّن أن يقال عن مثل هذا التصرّف الصادر منه بأنّ التعبير باجتناب الكبائر إنّما يكون للملازمة الغالبيّة بين تركها وترك جميع المعاصي، لما في صدر الصحيح من تفسير العدالة بالسّتر، الذي هو عنوانٌ لعدم فعل شيء من المعاصي، ولمفهوم قوله في خبر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أقلّ من الإجمال، ممّا يوجب عدم صحّة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بعض أكابر المحقّقين، وهو</w:t>
      </w:r>
      <w:r>
        <w:rPr>
          <w:rStyle w:val="FootnoteAnchor"/>
          <w:rtl w:val="true"/>
        </w:rPr>
        <w:footnoteReference w:id="447"/>
      </w:r>
      <w:r>
        <w:rPr>
          <w:rFonts w:ascii="Amiri" w:hAnsi="Amiri" w:eastAsia="Amiri" w:cs="Amiri"/>
          <w:color w:val="111111"/>
          <w:sz w:val="28"/>
          <w:sz w:val="28"/>
          <w:szCs w:val="28"/>
          <w:rtl w:val="true"/>
          <w:lang w:bidi="ar-SA"/>
        </w:rPr>
        <w:t>أنّ الذّنوب التي ليست في أنظار أهل الشرع كبيرة، يتسامحون في أمرها عادةً‌، فكثيراً ما لا يلتفتون إلى حُرمتها حال الارتكاب، أو يلتفتون إليها ولكن يكتفون في ارتكابها بأعذار عرفيّة، كالخروج عن مجلس الغيبة حياءً‌، فالظاهر أنّ ذلك لا ينافي اتّصاف بالفعل عرفاً بكونه من أهل السّتر والعفاف، وهذا بخلاف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المتبادر من إطلاق كون الرّجل عَدْلاً في الدِّين، ليس إلّا إرادة كونه كافّاً نفسه عن مطلق ما يراه معصية، ومجتنباً عن كلّ ما هو كبيرٌ، ولم يظهر من صحيح ابن أبي يعفور ولا من غيره من الأخبار ما ينافي ذلك، فمَن شَهد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اُلقي إليهم الخطاب بإشهاد ذوي عدل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موصوفاً بهذه الصفة، جرى عليه حكمه، وإنْ كانت شهادتهم بذلك مبنيّة على بعض المسامحات المغتفرة لديهم، كسائر الموضوعات التي تعلّق بها حكمٌ شرعيّ ممّا يتحمّل المسامحات العرفيّة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بالمسامحات العرفيّة في تطبيق المفهوم على المصداق، بل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4" w:name="pg11802_154076"/>
    </w:p>
    <w:p>
      <w:pPr>
        <w:pStyle w:val="BookText"/>
        <w:rPr/>
      </w:pPr>
      <w:bookmarkEnd w:id="254"/>
      <w:r>
        <w:rPr>
          <w:rFonts w:ascii="Amiri" w:hAnsi="Amiri" w:eastAsia="Amiri" w:cs="Amiri"/>
          <w:color w:val="111111"/>
          <w:sz w:val="28"/>
          <w:sz w:val="28"/>
          <w:szCs w:val="28"/>
          <w:rtl w:val="true"/>
          <w:lang w:bidi="ar-SA"/>
        </w:rPr>
        <w:t>تُضرب على الجدار، ولا يعتنى بها، فبعد كون مفهوم العدالة هو الاستقامة على جادّة الشرع، فإنّ مسامحة أهل العرف في عَدّ الانحراف اليسير استقامة لا يُعتنى بها، مع أنّه في صدر كلامه يُقرّ بأنّ صدور الصغيرة إذا كان عن عمدٍ والتفات تفصيلي إلى حرمتها كالكبيرة منافٍ للعدالة، وعليه فلا وجه لما أفاده من أنّ أهل العرف يكتفون في ارتكابها بأعذار عرفيّة،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فعل الصغيرة مضرّاً بالعدالة كالكبيرة على فرض صحّة الانقسام إليهما</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0531711_73709187"/>
      <w:bookmarkStart w:id="256" w:name="_Toc97"/>
      <w:bookmarkEnd w:id="255"/>
      <w:r>
        <w:rPr>
          <w:rtl w:val="true"/>
        </w:rPr>
        <w:t>الإصرار على الصغائر</w:t>
      </w:r>
      <w:bookmarkEnd w:id="256"/>
    </w:p>
    <w:p>
      <w:pPr>
        <w:pStyle w:val="Heading6"/>
        <w:numPr>
          <w:ilvl w:val="5"/>
          <w:numId w:val="1"/>
        </w:numPr>
        <w:rPr/>
      </w:pPr>
      <w:bookmarkStart w:id="257" w:name="__RefHeading___Toc10531713_73709187"/>
      <w:bookmarkStart w:id="258" w:name="_Toc98"/>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448"/>
      </w:r>
      <w:r>
        <w:rPr>
          <w:rFonts w:ascii="Amiri" w:hAnsi="Amiri" w:eastAsia="Amiri" w:cs="Amiri"/>
          <w:color w:val="111111"/>
          <w:sz w:val="28"/>
          <w:sz w:val="28"/>
          <w:szCs w:val="28"/>
          <w:rtl w:val="true"/>
          <w:lang w:bidi="ar-SA"/>
        </w:rPr>
        <w:t>أنّ الإصرار على الصغائر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الجهة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موضوعه</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0531715_73709187"/>
      <w:bookmarkStart w:id="260" w:name="_Toc99"/>
      <w:bookmarkEnd w:id="259"/>
      <w:r>
        <w:rPr>
          <w:rtl w:val="true"/>
        </w:rPr>
        <w:t>حكم الإصرار</w:t>
      </w:r>
      <w:bookmarkEnd w:id="260"/>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الأعظم رحمه الله</w:t>
      </w:r>
      <w:r>
        <w:rPr>
          <w:rStyle w:val="FootnoteAnchor"/>
          <w:rtl w:val="true"/>
        </w:rPr>
        <w:footnoteReference w:id="449"/>
      </w:r>
      <w:r>
        <w:rPr>
          <w:rFonts w:ascii="Amiri" w:hAnsi="Amiri" w:eastAsia="Amiri" w:cs="Amiri"/>
          <w:color w:val="111111"/>
          <w:sz w:val="28"/>
          <w:sz w:val="28"/>
          <w:szCs w:val="28"/>
          <w:rtl w:val="true"/>
          <w:lang w:bidi="ar-SA"/>
        </w:rPr>
        <w:t>على كونه من الكبائر بوجوه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 ولا كبيرة مع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الوارد في خبري ابن سنان</w:t>
      </w:r>
      <w:r>
        <w:rPr>
          <w:rStyle w:val="FootnoteAnchor"/>
          <w:rtl w:val="true"/>
        </w:rPr>
        <w:footnoteReference w:id="450"/>
      </w:r>
      <w:r>
        <w:rPr>
          <w:rFonts w:ascii="Amiri" w:hAnsi="Amiri" w:eastAsia="Amiri" w:cs="Amiri"/>
          <w:color w:val="111111"/>
          <w:sz w:val="28"/>
          <w:sz w:val="28"/>
          <w:szCs w:val="28"/>
          <w:rtl w:val="true"/>
          <w:lang w:bidi="ar-SA"/>
        </w:rPr>
        <w:t>وابن أبي عُمير</w:t>
      </w:r>
      <w:r>
        <w:rPr>
          <w:rStyle w:val="FootnoteAnchor"/>
          <w:rtl w:val="true"/>
        </w:rPr>
        <w:footnoteReference w:id="451"/>
      </w:r>
      <w:r>
        <w:rPr>
          <w:rFonts w:ascii="Amiri" w:hAnsi="Amiri" w:eastAsia="Amiri" w:cs="Amiri"/>
          <w:color w:val="111111"/>
          <w:sz w:val="28"/>
          <w:sz w:val="28"/>
          <w:szCs w:val="28"/>
          <w:rtl w:val="true"/>
          <w:lang w:bidi="ar-SA"/>
        </w:rPr>
        <w:t>، وحديث المناهي</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في الصغيرة راجعٌ إلى خصوص وصف الصغريّة وإن كان في الكبيرة راجعاً إلى نفي ذاتها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أنّ الإصرار بنفسه من الكبائر، وإنْ كان المُصرّ عليه من الصغائر، لأنّه إنّما ينفي الصغيرة ذاتها، أو وصف صِغَرها، وعليه فلابدّ من الالتزام بأنّ النفي فيه أيضاً راجع إلى نفي ذاتها حكماً، لا إلى وصف الصِغَريّة،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لا ينقلب عمّا هو عليه، فالصغيرة بسبب الإصرار لا تنقلب كبيرة، كما أنّ مفسدتها الضعيفة بسببه لا تنقلب قويّة كي تصير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التزام أحدٌ بذلك، فإنّهم إنّما التزموا بأنّ الإصرار من حيث إنّه أمن مِن مَكر اللّه بنفسه يعدّ من الكبائر، لا أنّه يصبح سبباً لصيرورة المُصرّ عليه من الكبائر، فهذه الجمله تدلّ على أنّ الإصرار يوجب رفع أثر الصغيرة وهو التكفير باجتناب الكبائر، وهذا لا يلزم كون الإصرار بنفسه محرّماً، فضلاً عن كونه من الكبائر كي يستدلّ به عليه،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عليه السلام في 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 على الذّنب أمنٌ مِن 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ورد من أنّ الأمنَ لمَكر اللّه من الكبائر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الإغماض عمّا في سنده، إنّه مختصٌّ بالإصرار على الكبائر، إذ الإصرار على الصغيرة بعد كونها مكفّرة باجتناب الكبائر، وعدم مؤأخذة الشارع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فعلها، لا يكون أمناً مِنْ أخذه تعالى‌، فيتّحد مفاده مع ما في حَسن ابن أبي عُمير، عن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والمُصرّ لا يُغفر له، لأنّه غير مؤمّنٍ لعقوبة ما ارتكب ولو كان مؤمّناً بعقوبة لنَدِم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فهو يختصّ بالإصرار على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الحسن كالصحيح إلى الفضل بن شاذان، في تعداد الكبائر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والإصرار على صغائر الذّنوب</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والإصرار على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 على صغائر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العبارة الأخيرة واردة في خبر الأعمش</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ورد في الخبر الحسن، فمقتضى إطلاقه وإنْ يفيد أنّ الإصرار على الصغيرة يعدّ من الكبائر أيضاً، إلّاأنّه للتعليل لذلك في حَسن ابن أبي عمير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يختصّ بالإصرار على الكبائر، كما عرفت، يختصّ هذا أيضاً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الأعمش، فإنّ الاستدلال به على القول بعدم كونه من الكبائر أولى‌، لأنّ الوارد في هذا الخبر قوله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والكبائر محرّمة، وهي الشرك باللّه وقتل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والملاهي التي تصدّ عن ذِكر اللّه عزّ وجلّ مكروهة، كالغناء، وضرب الأوتار، والإصرار على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1" w:name="pg11802_154079"/>
    </w:p>
    <w:p>
      <w:pPr>
        <w:pStyle w:val="BookText"/>
        <w:rPr/>
      </w:pPr>
      <w:bookmarkEnd w:id="261"/>
      <w:r>
        <w:rPr>
          <w:rFonts w:ascii="IRNazanin" w:hAnsi="IRNazanin" w:eastAsia="IRNazanin"/>
          <w:color w:val="111111"/>
          <w:sz w:val="28"/>
          <w:sz w:val="28"/>
          <w:szCs w:val="28"/>
          <w:rtl w:val="true"/>
          <w:lang w:bidi="fa-IR"/>
        </w:rPr>
        <w:t>صغائر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 تغيير التعبير، وإطلاق حكم الكراهة على هذه المعاصي وحكم الحرمة على الكبائر، شاهدٌ على اختلافهما في مراتب المبغوضيّة، فلا يدلّ على أنّها أيضاً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أنّ الإصرار على الصغائر من الكبائر</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0531717_73709187"/>
      <w:bookmarkStart w:id="263" w:name="_Toc100"/>
      <w:bookmarkEnd w:id="262"/>
      <w:r>
        <w:rPr>
          <w:rtl w:val="true"/>
        </w:rPr>
        <w:t>موضوع الإصرار</w:t>
      </w:r>
      <w:bookmarkEnd w:id="263"/>
    </w:p>
    <w:p>
      <w:pPr>
        <w:pStyle w:val="BookText"/>
        <w:rPr/>
      </w:pPr>
      <w:r>
        <w:rPr>
          <w:rFonts w:ascii="Amiri" w:hAnsi="Amiri" w:eastAsia="Amiri" w:cs="Amiri"/>
          <w:color w:val="111111"/>
          <w:sz w:val="28"/>
          <w:sz w:val="28"/>
          <w:szCs w:val="28"/>
          <w:rtl w:val="true"/>
          <w:lang w:bidi="ar-SA"/>
        </w:rPr>
        <w:t>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كلماتهم في بيان موضوع الإصرار وتحديده من حيث أنّه بمعنى فعل المعصية مع عدم التوبة، أو بمعنى فعلها مع العزم على العود، أو بمعنى الإكثار من فعلها، أو المداومة عليه،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الإصرار في اللّغة بمعنى الإقامة والمداومة والملازمة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أصررتَ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ودُمتَ‌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على الشيء يُصرُّ إصراراً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 وداومه، وثبت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وقريبٌ منهاكلمات غيرهم</w:t>
      </w:r>
      <w:r>
        <w:rPr>
          <w:rStyle w:val="FootnoteAnchor"/>
          <w:rtl w:val="true"/>
        </w:rPr>
        <w:footnoteReference w:id="461"/>
      </w:r>
      <w:r>
        <w:rPr>
          <w:rFonts w:ascii="Amiri" w:hAnsi="Amiri" w:eastAsia="Amiri" w:cs="Amiri"/>
          <w:color w:val="111111"/>
          <w:sz w:val="28"/>
          <w:sz w:val="28"/>
          <w:szCs w:val="28"/>
          <w:rtl w:val="true"/>
          <w:lang w:bidi="ar-SA"/>
        </w:rPr>
        <w:t>، والظاهر أنّه ليس للشارع فيه حقيقة شرعيّة أو متشرّعيّة، بل استعماله في كلمات الشارع الأقدس إنّما يكون مطابقة لمعناه اللّغوي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فالظاهر أنّه لو فعل الذّنب، ولم يتُب منه، يصدق الإصرار، وذلك </w:t>
      </w:r>
    </w:p>
    <w:p>
      <w:pPr>
        <w:pStyle w:val="BookText"/>
        <w:rPr/>
      </w:pPr>
      <w:r>
        <w:rPr>
          <w:rFonts w:ascii="Amiri" w:hAnsi="Amiri" w:eastAsia="Amiri" w:cs="Amiri"/>
          <w:color w:val="111111"/>
          <w:sz w:val="28"/>
          <w:sz w:val="28"/>
          <w:szCs w:val="28"/>
          <w:rtl w:val="true"/>
          <w:lang w:bidi="ar-SA"/>
        </w:rPr>
        <w:t>لأنّه يكون للذنب آثار وتوابع تبقى في نفس الإنسان المذنب، من الانحراف عن جادّة الشرع، والبُعد عن اللّه تعالى‌، واستحقاق العقوبة على فعله، والتي تكون إبقاؤها وإعدامها بيد المذنب، فإنّه إن تابَ صار كمَن لا ذنب له، وإلّا تكون آثار الذّنوب باقية، فلو لم يتب يصدق عليه أنّه أقام على الذّنب، ولزمه، وداومه، وثبت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أصرّ مَن استغفر</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يستغفر فقد أصرّ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الباقر عليه السلام 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هو أن يذنب الذَّنب فلا يستغفر اللّه، ولا يُحدِّث نفسه بالتوبة، فذلك الإصرار</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الكاظم عليه السلام في حسن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لم يندم عليها كان مُصرّاً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 الإمام عليه السلام في حديث جنود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منها، وجَعَل ضدّها الإصرار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من أذنب ولم يندم ولم يتب كان مُصرّاً، وإنْ تابَ ثمّ عاد إليه لا يصدق الإصرار، إذ التوبة توجبُ صيرورة الأوّل كأنْ لم يكن، وعلى ذلك فلو سُلّم صحّة انقسام الذّنوب إلى الصغائر والكبائر، وتمّ ما عليه المشهور من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الإصرار على الصغائر يعدّ من الكبائر، لم تبق ثمرة لثبوت الصغائر،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الإصفهاني رحمه الله</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من أنّ الصغيرة إذا صدرت من المجتنب للكبائر، تكون حال صدورها مقرونة بالمانع عن تاثيرها في العقوبة، فلا محالة لا تؤثّر في العقوبة، حتّى تحتاج إلى التوبة في رفعها، فلا يتحقّق الإصرار إلّابفعلها مرة بعد أولى وكرةً بعد اُخرى‌، لا بعدم الندم، حيث إنّ الذَّنب مكفِّرٌ على الفرض، فيكون كما إذا تخلّلت التوبة المانعة من تحقّق الإصرار، وحيث أنّ هذه الصورة هي مورد الكلام فيصحّ لنا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الإصرار على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يهمّنا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الشيء مرةً بعد أولى، وكرّة بعد اُخرى‌، من دون تحقّقه بعدم الندم أو العزم على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ثبت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انقسام الذّنوب إلى الكبائر والصغائر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العقاب على الصغيرة، وأمّا سائر آثار الذّنب فهي ثابتة لها، ولأجلها يصدق الإصرار، ويكون للتوبة مجال، وتشمله أدلّة وجوب التوبة، ويؤكّد ذلك 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تكفير الصغيرة باجتناب الكبائر بتخلّل التوبة، قياسٌ مع الفارق، إذ في التوبة ورد النص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شيءٌ من آثار الذّنب بعدها، وهذا بخلاف التكفير باجتناب الكبائر وبالأعمال الصالحة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ما اختاره الشيخ الأعظم رحمه الله</w:t>
      </w:r>
      <w:r>
        <w:rPr>
          <w:rStyle w:val="FootnoteAnchor"/>
          <w:rtl w:val="true"/>
        </w:rPr>
        <w:footnoteReference w:id="466"/>
      </w:r>
      <w:r>
        <w:rPr>
          <w:rFonts w:ascii="Amiri" w:hAnsi="Amiri" w:eastAsia="Amiri" w:cs="Amiri"/>
          <w:color w:val="111111"/>
          <w:sz w:val="28"/>
          <w:sz w:val="28"/>
          <w:szCs w:val="28"/>
          <w:rtl w:val="true"/>
          <w:lang w:bidi="ar-SA"/>
        </w:rPr>
        <w:t xml:space="preserve">الملتزم بأنّه يصدق الإصرار مع العزم على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مستنده في اعتباره العزم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مقابل إطلاق النصوص المقتضي لكفاية عدم الندم، هو هذا الوجه الذي استند إليه المحقّق الإصفهاني قدس سره</w:t>
      </w:r>
      <w:r>
        <w:rPr>
          <w:rStyle w:val="FootnoteAnchor"/>
          <w:rtl w:val="true"/>
        </w:rPr>
        <w:footnoteReference w:id="467"/>
      </w:r>
      <w:r>
        <w:rPr>
          <w:rFonts w:ascii="Amiri" w:hAnsi="Amiri" w:eastAsia="Amiri" w:cs="Amiri"/>
          <w:color w:val="111111"/>
          <w:sz w:val="28"/>
          <w:sz w:val="28"/>
          <w:szCs w:val="28"/>
          <w:rtl w:val="true"/>
          <w:lang w:bidi="ar-SA"/>
        </w:rPr>
        <w:t>، بضميمة أنّ صورة العزم على العود إلى المعصية خارجة عمّا ذُكر سابقاً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الكبائر لم يُسئل عن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لدعوى خروج الصورة المفروضة عن تحت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رحمه الله</w:t>
      </w:r>
      <w:r>
        <w:rPr>
          <w:rStyle w:val="FootnoteAnchor"/>
          <w:rtl w:val="true"/>
        </w:rPr>
        <w:footnoteReference w:id="468"/>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كان العزم على المعصية مستمرّاً من حين ارتكاب الصغيرة، فلا يعتبر اتّحاد المعصية سنخاً ونوعاً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إذا حَدَث بعد فعلها قبل التوبة، فيعتبر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رحمه الله استدلّ له في مقابل إطلاق النصوص، بأنّ العرف يأباه، أي إنّه مع عدم اتّحاد المعصية وعدم العزم عليه من زمان الفعل السابق، لا يصدق الإصرار عرفاً، فإنّ غاية ما قيل في توجيه كلامه رحمه الله، أنّ الإصرار لا بدَّ فيه من نحو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اتّحاد المقصود مع المأتى به، أو استمرار العزم ووحدته الاتّصاليّة من المتلبّس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تسليم المبنى من اعتبار العزم في صدق 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بالمعصية التي نُسب إليها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ذات ما هو معصية، أي شرب الخمر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بعنوان أنّه معصية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هناك اتّحادٌ وإن عزم عليه من حين ارتكاب المعصية السابقة، فإنّ العزم على فعلٍ ليس إصرارٌ على الفعل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4" w:name="pg11802_154083"/>
    </w:p>
    <w:p>
      <w:pPr>
        <w:pStyle w:val="BookText"/>
        <w:rPr/>
      </w:pPr>
      <w:bookmarkEnd w:id="264"/>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الإصرار وإنْ لم يكن العزم مستمرّاً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من ذلك كلّه، اشتراط فعل المعصية أن يكون مرّةً بعد أولى، وكرّةً بعد اُخرى‌، فتدبّر في أطراف ما ذكرناه كي لا تبادر بالإشكال</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0531719_73709187"/>
      <w:bookmarkStart w:id="266" w:name="_Toc101"/>
      <w:bookmarkEnd w:id="265"/>
      <w:r>
        <w:rPr>
          <w:rtl w:val="true"/>
        </w:rPr>
        <w:t>البحث عن مفهوم التوبة وحقيقتها</w:t>
      </w:r>
      <w:bookmarkEnd w:id="266"/>
    </w:p>
    <w:p>
      <w:pPr>
        <w:pStyle w:val="Heading6"/>
        <w:numPr>
          <w:ilvl w:val="5"/>
          <w:numId w:val="1"/>
        </w:numPr>
        <w:rPr/>
      </w:pPr>
      <w:bookmarkStart w:id="267" w:name="__RefHeading___Toc10531721_73709187"/>
      <w:bookmarkStart w:id="268" w:name="_Toc102"/>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ويقع الكلام أوّلاً في حقيقتها، ثمّ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الرجوع لغةً‌، وتُنسب إلى العبد وإلى اللّه سبحانه، فتوبة العبد رجوعه عن المعصية إلى الطاعة، وتبديل البُعد عن اللّه إلى القرب إليه، وتوبة اللّه تعالى الرجوع عن العقوبة إلى اللّطف والتفّضل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 ذُكر لها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العِلْمي، وهو الرجوع من الجهل والغرور إلى العلم والإقرار، أي معرفة ضرر الذّنوب، وأنّها حجابٌ بين العبد ومحبوبه، وسمومٌ قاتلة لمن يباشرها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من المسرّة إلى ضدّها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من الفرح بالظفر على المعصية، إلى التألّم من فوات المحبوب، والتأسّف على فعل الذّنوب، ويعبّر عن التألّم والتأسّف بالندم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العزم على عدم العود إلى المعصية أبداً، وليس المراد به القصد والإرادة، كي يُقال إنّه لا يتحقّق إلّابعد الوثوق بحصول ما عَزم عليه، بل المراد به البناء الملائم مع عدم الوثوق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طلب المغفرة وعفوه تعالى عنه طلباً قلبيّاً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المراتب الأربع من مراتب التوبة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الاستقامة العَمَليّة، أي من فعل المعصية إلى تركها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التدارك والتلافي لما فات من قضاء أو إيفاء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المرتبتين الأولتين المتلازمتين في التحقّق، من مقدّمات التوبة المسقطة لعقوبة ماصدر منه، بل هما من توابع الإيمان باللّه وبرسوله، وقد اُشير إلى ذلك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يذنُب ذنباً إلّاساءَه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وساءته سيّئته،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خبر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فعلم أنّ اللّه مطّلعٌ عليه، إنْ شاء عذّبه وإنْ شاء غَفَر له، غُفِر له وإنْ لم يستغفر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ضعف سنده، لابدّ من تأويله إلى إرادة العلم الذي يؤثّر في النفس، ويُثمر العمل، وإلّا فكلّ مسلّمٍ مقرٌّ بهذه الاُمور، فيلزم عدم عقاب مسلمٍ‌، هذا مضافاً إلى النصوص الاُخر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المرتبتان الأخيرتان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ثمرات التوبة، لا أنّهما داخلتان في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النصوص على أنّها التوبة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الندامة توبة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أذنب ذنباً فندم عليه، إلّا غفر اللّه له قبل أن يستغفر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والظاهر أنّها أدنى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ملازمتها في التحقّق لهذه المرتبة، يشهد لاعتبارها فيها ما في الخبر الوارد في مقام بيان حقيقة التوبة 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تصديق القلب، وإضمار أن لا يعود إلى الذّنب الذي استغفر منه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معتبرة في التوبة، وقد جعلت هي في الآيات والروايات غير التوبة، فقد ورد في غير موضعٍ من سورة هود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رَبَّكُمْ ثُمَّ تُوبُوا إِلَيْهِ‌</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المشهور الوارد المحصي جنود العقل والجهل،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عدّهما جُنْدين، وكذلك في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المتضمّنة أنّ دواء الذّنوب الاستغفار</w:t>
      </w:r>
      <w:r>
        <w:rPr>
          <w:rStyle w:val="FootnoteAnchor"/>
          <w:rtl w:val="true"/>
        </w:rPr>
        <w:footnoteReference w:id="476"/>
      </w:r>
      <w:r>
        <w:rPr>
          <w:rFonts w:ascii="Amiri" w:hAnsi="Amiri" w:eastAsia="Amiri" w:cs="Amiri"/>
          <w:color w:val="111111"/>
          <w:sz w:val="28"/>
          <w:sz w:val="28"/>
          <w:szCs w:val="28"/>
          <w:rtl w:val="true"/>
          <w:lang w:bidi="ar-SA"/>
        </w:rPr>
        <w:t>ونحو ذلك، فالمراد بالإستغفار فيها التوبة، لصدقه عليها، لأنّها موجبة للغفران والعفو</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التوبة الندامة، والعزم على عدم العود إلى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9" w:name="pg11802_154086"/>
    </w:p>
    <w:p>
      <w:pPr>
        <w:pStyle w:val="Heading6"/>
        <w:numPr>
          <w:ilvl w:val="5"/>
          <w:numId w:val="1"/>
        </w:numPr>
        <w:rPr/>
      </w:pPr>
      <w:bookmarkStart w:id="270" w:name="__RefHeading___Toc10531723_73709187"/>
      <w:bookmarkStart w:id="271" w:name="_Toc103"/>
      <w:bookmarkEnd w:id="269"/>
      <w:bookmarkEnd w:id="270"/>
      <w:r>
        <w:rPr>
          <w:rtl w:val="true"/>
        </w:rPr>
        <w:t>حكم التوبة</w:t>
      </w:r>
      <w:bookmarkEnd w:id="271"/>
    </w:p>
    <w:p>
      <w:pPr>
        <w:pStyle w:val="BookText"/>
        <w:rPr/>
      </w:pPr>
      <w:r>
        <w:rPr>
          <w:rFonts w:ascii="Amiri" w:hAnsi="Amiri" w:eastAsia="Amiri" w:cs="Amiri"/>
          <w:color w:val="111111"/>
          <w:sz w:val="28"/>
          <w:sz w:val="28"/>
          <w:szCs w:val="28"/>
          <w:rtl w:val="true"/>
          <w:lang w:bidi="ar-SA"/>
        </w:rPr>
        <w:t xml:space="preserve">أمّا حكم التوبة فقد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وجوبها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دافعة للضرر الذي هو العقاب أو الخوف منه، ودفع الضرر عن النفس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قطعاً وجوب النّدم على فعل القبيح، أو الإخلال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بهذين الأمرين، ولعلّه إلى الثاني نظر الشيخ الأعظم رحمه الله</w:t>
      </w:r>
      <w:r>
        <w:rPr>
          <w:rStyle w:val="FootnoteAnchor"/>
          <w:rtl w:val="true"/>
        </w:rPr>
        <w:footnoteReference w:id="47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أنّه حَكَم بوجوبه عقلاً كلّ مَنْ قال بالحُسن 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تبيّن أنّ مورد البحث هو الندم، والعزم على عدم العود إلى المعصية أبداً، وأمّا سائر المراتب فبعضها من المعارف الواجبة كالمرتبة الاُولى، وبعضها واجبٌ من حيث نفسه، لا من حيث إسقاط العقاب، كالمرتبتين الأخيرتين، وبعضها وهو طلب المغفرة سيأتي التعرّض لبيان حُكمه يقتضي البحث في هذين الأمرين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الذي استدلّ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يستفاد منه الوجوب الجعلي الشرعي، لأنّ حكم العقل بوجوب دفع الضرر، ليس هو إلّادركه بترتّبه لو لم يدفعه، ومثل هذا الحكم العقلي الذي يكون المُدْرَك العقلاني فيه هو ترتّب العقاب، لا يكون منشئاً للحكم الشرعي، ويكون نظير الحكم بوجوب الطاعة </w:t>
      </w:r>
    </w:p>
    <w:p>
      <w:pPr>
        <w:pStyle w:val="BookText"/>
        <w:rPr/>
      </w:pPr>
      <w:r>
        <w:rPr>
          <w:rFonts w:ascii="Amiri" w:hAnsi="Amiri" w:eastAsia="Amiri" w:cs="Amiri"/>
          <w:color w:val="111111"/>
          <w:sz w:val="28"/>
          <w:sz w:val="28"/>
          <w:szCs w:val="28"/>
          <w:rtl w:val="true"/>
          <w:lang w:bidi="ar-SA"/>
        </w:rPr>
        <w:t>وحرمة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المراد دَركُ العقل حُسن التوبة من جهة أنّ بها يدفع الضرر، فمآله إلى الأمر الأوّل الذي عرفت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أنّ العقل يرى حُسن الندامة، والعزم على عدم العود إلى المعصية، مع قطع النظر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بنحوٍ يُستكشف منه وجوب ذلك، كما لا يُستكشف من دركه قُبح العزم على المعصية حرمته، ولذا لا شيء على العزم عليها، وإنْ كان من مساوئ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والروايات الآمرة بالتوبة، فهي غير ظاهرة في الوجوب المولوي الشرعي، من جهة الحكم العقلي المتقدّم، وما فيها من التعليل بدفع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التوبة من حيث اندراجه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من مكر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الكبائر محرّمٌ شرعاً، ولكن ليس عدم الندم وعدم العزم على عدم العود دائماً كذلك، كما لا يخفى‌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فالحقّ أنّ وجوب التوبة وجوب إرشادي</w:t>
      </w:r>
      <w:r>
        <w:rPr>
          <w:rFonts w:eastAsia="Amiri" w:cs="Amiri" w:ascii="Amiri" w:hAnsi="Amiri"/>
          <w:color w:val="111111"/>
          <w:sz w:val="28"/>
          <w:szCs w:val="28"/>
          <w:rtl w:val="true"/>
          <w:lang w:bidi="ar-SA"/>
        </w:rPr>
        <w:t>.</w:t>
      </w:r>
      <w:bookmarkStart w:id="272" w:name="pg11802_154088"/>
    </w:p>
    <w:p>
      <w:pPr>
        <w:pStyle w:val="BookText"/>
        <w:rPr/>
      </w:pPr>
      <w:bookmarkEnd w:id="272"/>
      <w:r>
        <w:rPr>
          <w:rFonts w:ascii="Amiri" w:hAnsi="Amiri" w:eastAsia="Amiri" w:cs="Amiri"/>
          <w:color w:val="111111"/>
          <w:sz w:val="28"/>
          <w:sz w:val="28"/>
          <w:szCs w:val="28"/>
          <w:rtl w:val="true"/>
          <w:lang w:bidi="ar-SA"/>
        </w:rPr>
        <w:t>وطهارة المولد</w:t>
      </w:r>
    </w:p>
    <w:p>
      <w:pPr>
        <w:pStyle w:val="Heading5"/>
        <w:numPr>
          <w:ilvl w:val="4"/>
          <w:numId w:val="1"/>
        </w:numPr>
        <w:rPr/>
      </w:pPr>
      <w:bookmarkStart w:id="273" w:name="__RefHeading___Toc10531725_73709187"/>
      <w:bookmarkStart w:id="274" w:name="_Toc104"/>
      <w:bookmarkEnd w:id="273"/>
      <w:r>
        <w:rPr>
          <w:rtl w:val="true"/>
        </w:rPr>
        <w:t>اعتبار طهارة المولد</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ممّا يُعتبر في إمام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عبَّر عنها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اعتبار هذا الشرط</w:t>
      </w:r>
      <w:r>
        <w:rPr>
          <w:rStyle w:val="FootnoteAnchor"/>
          <w:rtl w:val="true"/>
        </w:rPr>
        <w:footnoteReference w:id="479"/>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480"/>
      </w:r>
      <w:r>
        <w:rPr>
          <w:rFonts w:ascii="Amiri" w:hAnsi="Amiri" w:eastAsia="Amiri" w:cs="Amiri"/>
          <w:color w:val="111111"/>
          <w:sz w:val="28"/>
          <w:sz w:val="28"/>
          <w:szCs w:val="28"/>
          <w:rtl w:val="true"/>
          <w:lang w:bidi="ar-SA"/>
        </w:rPr>
        <w:t>، ويشهد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خلف المجنون وولد الزِّنا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يؤمّون النّاس على كلّ حال، وعَدَّ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وولد الزِّنا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غيرهما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كونه ابن الزنا أم طاهر المولد، فهل يجوز الاقتداء به أم 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مبنيّان على أنّ الشرط المذكور أمرٌ وجودي، وهو طهارة المولد، ففي هذه الصورة لا أصل فيها لنحرز وجوده، فلا يصحّ الاقتداء مع الشكّ‌</w:t>
      </w:r>
      <w:r>
        <w:rPr>
          <w:rFonts w:eastAsia="Amiri" w:cs="Amiri" w:ascii="Amiri" w:hAnsi="Amiri"/>
          <w:color w:val="111111"/>
          <w:sz w:val="28"/>
          <w:szCs w:val="28"/>
          <w:rtl w:val="true"/>
          <w:lang w:bidi="ar-SA"/>
        </w:rPr>
        <w:t xml:space="preserve">. </w:t>
      </w:r>
      <w:bookmarkStart w:id="275" w:name="pg11802_154089"/>
    </w:p>
    <w:p>
      <w:pPr>
        <w:pStyle w:val="BookText"/>
        <w:rPr/>
      </w:pPr>
      <w:bookmarkEnd w:id="275"/>
      <w:r>
        <w:rPr>
          <w:rFonts w:ascii="Amiri" w:hAnsi="Amiri" w:eastAsia="Amiri" w:cs="Amiri"/>
          <w:color w:val="111111"/>
          <w:sz w:val="28"/>
          <w:sz w:val="28"/>
          <w:szCs w:val="28"/>
          <w:rtl w:val="true"/>
          <w:lang w:bidi="ar-SA"/>
        </w:rPr>
        <w:t>لا يَؤُمَّ القاعدُ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أمرٌ عدمي، بمعنى أنّ كونه ولد الزِّنا مانعٌ‌، فيحرز ذلك بالأصل، وهو استصحاب عدم كونه متولّدٌ عن السّفاح بناءً على جريانه في العدم الأزلي، فيجوز الاقتداء به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الثاني، حيث أنّ المذكور في النصوص هو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أفاده</w:t>
      </w:r>
      <w:r>
        <w:rPr>
          <w:rStyle w:val="FootnoteAnchor"/>
          <w:rtl w:val="true"/>
        </w:rPr>
        <w:footnoteReference w:id="483"/>
      </w:r>
      <w:r>
        <w:rPr>
          <w:rFonts w:ascii="Amiri" w:hAnsi="Amiri" w:eastAsia="Amiri" w:cs="Amiri"/>
          <w:color w:val="111111"/>
          <w:sz w:val="28"/>
          <w:sz w:val="28"/>
          <w:szCs w:val="28"/>
          <w:rtl w:val="true"/>
          <w:lang w:bidi="ar-SA"/>
        </w:rPr>
        <w:t xml:space="preserve">المحقّق الهمداني رحمه الله تبعاً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على الأوّل أيضاً يجوز الاقتداء، لأصالة طهارة المولد، وكونه عن نكاحٍ صحيح، فإنّها معوّل عليها عند العقلاء والمتشرّعة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جملةٍ من الموارد، ولا يتمّ في جميع موارده، مثلاً في لقيط دار الحرب الذي لم يُحرز كونه طاهر المولد، لا مجال للظنّ بقيام بناء من العقلاء والمتشرّعة على كونه كذلك</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0531727_73709187"/>
      <w:bookmarkStart w:id="277" w:name="_Toc105"/>
      <w:bookmarkEnd w:id="276"/>
      <w:r>
        <w:rPr>
          <w:rtl w:val="true"/>
        </w:rPr>
        <w:t>في إمامة القاعدُ القائمَ‌</w:t>
      </w:r>
      <w:bookmarkEnd w:id="27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الإمام قاعداً للقائمين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القاعدُ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484"/>
      </w:r>
      <w:r>
        <w:rPr>
          <w:rFonts w:ascii="Amiri" w:hAnsi="Amiri" w:eastAsia="Amiri" w:cs="Amiri"/>
          <w:color w:val="111111"/>
          <w:sz w:val="28"/>
          <w:sz w:val="28"/>
          <w:szCs w:val="28"/>
          <w:rtl w:val="true"/>
          <w:lang w:bidi="ar-SA"/>
        </w:rPr>
        <w:t>، وعن جماعةٍ منهم الشيخ</w:t>
      </w:r>
      <w:r>
        <w:rPr>
          <w:rStyle w:val="FootnoteAnchor"/>
          <w:rtl w:val="true"/>
        </w:rPr>
        <w:footnoteReference w:id="485"/>
      </w:r>
      <w:r>
        <w:rPr>
          <w:rFonts w:ascii="Amiri" w:hAnsi="Amiri" w:eastAsia="Amiri" w:cs="Amiri"/>
          <w:color w:val="111111"/>
          <w:sz w:val="28"/>
          <w:sz w:val="28"/>
          <w:szCs w:val="28"/>
          <w:rtl w:val="true"/>
          <w:lang w:bidi="ar-SA"/>
        </w:rPr>
        <w:t>والمصنّف</w:t>
      </w:r>
      <w:r>
        <w:rPr>
          <w:rStyle w:val="FootnoteAnchor"/>
          <w:rtl w:val="true"/>
        </w:rPr>
        <w:footnoteReference w:id="486"/>
      </w:r>
      <w:r>
        <w:rPr>
          <w:rFonts w:ascii="Amiri" w:hAnsi="Amiri" w:eastAsia="Amiri" w:cs="Amiri"/>
          <w:color w:val="111111"/>
          <w:sz w:val="28"/>
          <w:sz w:val="28"/>
          <w:szCs w:val="28"/>
          <w:rtl w:val="true"/>
          <w:lang w:bidi="ar-SA"/>
        </w:rPr>
        <w:t>رحمه الله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الصدوق،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صَلّى‌ </w:t>
      </w:r>
    </w:p>
    <w:p>
      <w:pPr>
        <w:pStyle w:val="BookText"/>
        <w:rPr/>
      </w:pPr>
      <w:r>
        <w:rPr>
          <w:rFonts w:ascii="Amiri" w:hAnsi="Amiri" w:eastAsia="Amiri" w:cs="Amiri"/>
          <w:color w:val="111111"/>
          <w:sz w:val="28"/>
          <w:sz w:val="28"/>
          <w:szCs w:val="28"/>
          <w:rtl w:val="true"/>
          <w:lang w:bidi="ar-SA"/>
        </w:rPr>
        <w:t>بأصحابه جالساً، فلمّا فَرَغ،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بعدي جالساً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ادّعى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88"/>
      </w:r>
      <w:r>
        <w:rPr>
          <w:rFonts w:ascii="Amiri" w:hAnsi="Amiri" w:eastAsia="Amiri" w:cs="Amiri"/>
          <w:color w:val="111111"/>
          <w:sz w:val="28"/>
          <w:sz w:val="28"/>
          <w:szCs w:val="28"/>
          <w:rtl w:val="true"/>
          <w:lang w:bidi="ar-SA"/>
        </w:rPr>
        <w:t>أنّ هذا الخبر مرويٌّ عند الخاصّة والعامّة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الشيخ</w:t>
      </w:r>
      <w:r>
        <w:rPr>
          <w:rStyle w:val="FootnoteAnchor"/>
          <w:rtl w:val="true"/>
        </w:rPr>
        <w:footnoteReference w:id="489"/>
      </w:r>
      <w:r>
        <w:rPr>
          <w:rFonts w:ascii="Amiri" w:hAnsi="Amiri" w:eastAsia="Amiri" w:cs="Amiri"/>
          <w:color w:val="111111"/>
          <w:sz w:val="28"/>
          <w:sz w:val="28"/>
          <w:szCs w:val="28"/>
          <w:rtl w:val="true"/>
          <w:lang w:bidi="ar-SA"/>
        </w:rPr>
        <w:t>عن السكوني، عن الإمام الصادق، عن أبيه، عن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المقيّد المطلَقين، ولا صاحب الفالج الأصحّاء، ولا صاحب التيمّم المتوضّئين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عن الشِّعبي،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المقيّد المطلقين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المنع واضحة، وضعف السند ينجبر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الحكم،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يختصّ هذا الحكم بمورد النص، كما عن الشيخ</w:t>
      </w:r>
      <w:r>
        <w:rPr>
          <w:rStyle w:val="FootnoteAnchor"/>
          <w:rtl w:val="true"/>
        </w:rPr>
        <w:footnoteReference w:id="4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يتعدّى إلى كلّ ناقصٍ وكامل، كما عن جماعة‌؟</w:t>
      </w:r>
    </w:p>
    <w:p>
      <w:pPr>
        <w:pStyle w:val="BookText"/>
        <w:rPr/>
      </w:pPr>
      <w:r>
        <w:rPr>
          <w:rFonts w:ascii="Amiri" w:hAnsi="Amiri" w:eastAsia="Amiri" w:cs="Amiri"/>
          <w:color w:val="111111"/>
          <w:sz w:val="28"/>
          <w:sz w:val="28"/>
          <w:szCs w:val="28"/>
          <w:rtl w:val="true"/>
          <w:lang w:bidi="ar-SA"/>
        </w:rPr>
        <w:t xml:space="preserve">أم يُفصَّل بين ما إذا اختلفا في الأفعال كالاضطجاع والقيام فيتعدّى إليه، وبين ما إذا اتّفقا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إمامة المتيمّم للمتوضّئ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يتعدّى؟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للتعميم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الشيخ الأعظم رحمه الله</w:t>
      </w:r>
      <w:r>
        <w:rPr>
          <w:rStyle w:val="FootnoteAnchor"/>
          <w:rtl w:val="true"/>
        </w:rPr>
        <w:footnoteReference w:id="493"/>
      </w:r>
      <w:r>
        <w:rPr>
          <w:rFonts w:ascii="Amiri" w:hAnsi="Amiri" w:eastAsia="Amiri" w:cs="Amiri"/>
          <w:color w:val="111111"/>
          <w:sz w:val="28"/>
          <w:sz w:val="28"/>
          <w:szCs w:val="28"/>
          <w:rtl w:val="true"/>
          <w:lang w:bidi="ar-SA"/>
        </w:rPr>
        <w:t>وهو وحدة المناط، وهو كما ترى‌، لعدم إحرازه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استقراء الموارد الجزئيّة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انصراف أدلّة الجماعة إلى الائتمام، بمن لا يكون صلاته من حيث هي، أنقص من صلاة المأموم، وهو أضعف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الشكّ في الصحّة كافٍ في الحكم بالعدم، لأصالة عدم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في أوّل هذا المبحث، من أنّ الأصل في كلّ ما شُكّ في اعتباره في الجماعة، هو عدم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من أنّ الائتمام هيئة اجتماعيّة، يقتضي أن تكون الصَّلاة مشتركة بين الإمام والمأموم، وأنّ صلاة الإمام هي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تمّ لكان مختصّاً بالأفعال، ولا يشمل الأقوال والشرائط كالوضوء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فيها أيضاً، فإنّ حقيقة الإئتمام إنّما هي الإتيان بافعال الصَّلاة مربوطة بما يأتي به الإمام من الأفعال، وفي تحقّق هذا المعنى لا فرق بين كون صلاة الإمام كاملة أم ناقصة، فإذاً لا دليل على التعميم، فيدور الأمر بين الأوّل والثالث، ومقتضى القواعد وإن كان هو الأوّل، إلّاأنّ صحيح جميل والذي يتحدّث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قومٍ أجنبَ وليس معه من الماء ما يكفيه للغُسل، ومعهم ما يتوضّأون به، أيتوضّأ بعضهم ويُصلّي بهم‌؟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يتيمم الجُنُب، ويُصلّي بهم، فإنّ اللّه جعل التراب طهوراً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أنّ الائتمام يجوز في صورة كون صلاه الإمام مع البدل الاضطراري، بلا اختصاص للطهور، وذلك للتعليل، إلّاأنّه لا يستفاد منه الجواز حتّى 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78" w:name="pg11802_154092"/>
    </w:p>
    <w:p>
      <w:pPr>
        <w:pStyle w:val="BookText"/>
        <w:rPr/>
      </w:pPr>
      <w:bookmarkEnd w:id="278"/>
      <w:r>
        <w:rPr>
          <w:rFonts w:ascii="Amiri" w:hAnsi="Amiri" w:eastAsia="Amiri" w:cs="Amiri"/>
          <w:color w:val="111111"/>
          <w:sz w:val="28"/>
          <w:sz w:val="28"/>
          <w:szCs w:val="28"/>
          <w:rtl w:val="true"/>
          <w:lang w:bidi="ar-SA"/>
        </w:rPr>
        <w:t>الاختلاف في الأفعال كالاضطجاع والقيام، فإنّ المحذور المتوهم في هذا الفرض، ليس من ناحية نقصان صلاة الإمام وكمال صلاة المأموم خاصّة، بل هنا يكون المحذور المتوهّم شيئاً آخر، وهو عدم اتّفاق الإمام والمأموم في جميع أحوال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عدم جواز إمامة القاعد للقاعدين، لإطلاق المرسل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إذ لو سُلّم الإطلاق، ولم ندّع انصرافه عن الفرض، لابدَّ من تقييده بصحيح ابن سنان الوارد في جماعة العُراة، الدالّ على الجواز في الفرض</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0531729_73709187"/>
      <w:bookmarkStart w:id="280" w:name="_Toc106"/>
      <w:bookmarkEnd w:id="279"/>
      <w:r>
        <w:rPr>
          <w:rtl w:val="true"/>
        </w:rPr>
        <w:t>في إمامة الاُمّي</w:t>
      </w:r>
      <w:bookmarkEnd w:id="28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الإمام اُميّاً؛ أي لا يَحسن القراءة أو أبعاضها، كما صرّح به غير واحدٍ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 بينهم، إذا كان يؤمّ بقارئ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يُستشهد له بوجوه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المصنّف رحمه الله</w:t>
      </w:r>
      <w:r>
        <w:rPr>
          <w:rStyle w:val="FootnoteAnchor"/>
          <w:rtl w:val="true"/>
        </w:rPr>
        <w:footnoteReference w:id="499"/>
      </w:r>
      <w:r>
        <w:rPr>
          <w:rFonts w:ascii="Amiri" w:hAnsi="Amiri" w:eastAsia="Amiri" w:cs="Amiri"/>
          <w:color w:val="111111"/>
          <w:sz w:val="28"/>
          <w:sz w:val="28"/>
          <w:szCs w:val="28"/>
          <w:rtl w:val="true"/>
          <w:lang w:bidi="ar-SA"/>
        </w:rPr>
        <w:t xml:space="preserve">، وهو أنّ المستفاد من النصوص المتضمّنة أنّ الإمام 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لقراءة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 قراءته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الناهية عن القراءة خلف الإمام، ليست مخصّصة لما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بل يكون النهي لتحمّل الإمام القراءة </w:t>
      </w:r>
    </w:p>
    <w:p>
      <w:pPr>
        <w:pStyle w:val="BookText"/>
        <w:rPr/>
      </w:pPr>
      <w:r>
        <w:rPr>
          <w:rFonts w:ascii="Amiri" w:hAnsi="Amiri" w:eastAsia="Amiri" w:cs="Amiri"/>
          <w:color w:val="111111"/>
          <w:sz w:val="28"/>
          <w:sz w:val="28"/>
          <w:szCs w:val="28"/>
          <w:rtl w:val="true"/>
          <w:lang w:bidi="ar-SA"/>
        </w:rPr>
        <w:t>عنه، وعليه فمع عجزه لا يتحقّق التحمّل، فتفسد صلاة المأموم، لخلوّه عن القراءة مع قدرته عليها، وعدم تحمّل الإمام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يقتضيه هذا الوجه، عدم سقوط القراءة عن المأموم، لا عدم جواز الائتمام، إلّابناءً على حجيّة العام في عكس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والإجماع هو قيام الملازمة بين صحّة الجماعة وسقوط القراءة، ومع عدم سقوطها لا وجه للحكم بصحّة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على اشتراط كون الإمام مأموناً على القرآن، كمصحّح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خلف الإمام في صلاة لا يُجهر فيها بالقراءة، حتّى يفرغ، وكان الرّجل مأموناً على القرآن، فلا تقرأ خلفه في الأولتين،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التسبيح في الأخيرتين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وجوب القراءه خلف غير المأمون على القرآن، ولو من جهة الاُميّة أو اللّحن، بل الظاهر الاختصاص بهاتين الجهتين، ولا يكون ناظراً إلى ترك القراءة خلف الإمام، كنايةً عن عدم جواز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بأس بإمامة العبد إذا كان قارئاً، كخبر أبي البختري</w:t>
      </w:r>
      <w:r>
        <w:rPr>
          <w:rStyle w:val="FootnoteAnchor"/>
          <w:rtl w:val="true"/>
        </w:rPr>
        <w:footnoteReference w:id="502"/>
      </w:r>
      <w:r>
        <w:rPr>
          <w:rFonts w:ascii="Amiri" w:hAnsi="Amiri" w:eastAsia="Amiri" w:cs="Amiri"/>
          <w:color w:val="111111"/>
          <w:sz w:val="28"/>
          <w:sz w:val="28"/>
          <w:szCs w:val="28"/>
          <w:rtl w:val="true"/>
          <w:lang w:bidi="ar-SA"/>
        </w:rPr>
        <w:t>، فإنّه بمفهومه يدلّ على عدم جواز إمامته إذا كان اُميّاً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وبملاحظة انصراف القراءة في المنطوق، يظهر وجه دلالة المفهوم على عدم جواز الاقتداء مع اللّحن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281" w:name="pg11802_154094"/>
    </w:p>
    <w:p>
      <w:pPr>
        <w:pStyle w:val="BookText"/>
        <w:rPr/>
      </w:pPr>
      <w:bookmarkEnd w:id="281"/>
      <w:r>
        <w:rPr>
          <w:rFonts w:ascii="Amiri" w:hAnsi="Amiri" w:eastAsia="Amiri" w:cs="Amiri"/>
          <w:color w:val="111111"/>
          <w:sz w:val="28"/>
          <w:sz w:val="28"/>
          <w:szCs w:val="28"/>
          <w:rtl w:val="true"/>
          <w:lang w:bidi="ar-SA"/>
        </w:rPr>
        <w:t>ولا الأُميُّ القارئَ‌، ولا المؤوف اللِّسان صحيحه، ولا المرأة رجلاً ولا 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يؤُمَّ الاُميُّ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 ولا المؤوف اللِّسان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تشاركا الاُميّة أو اللّحن جاز الائتمام إجماعاً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10531731_73709187"/>
      <w:bookmarkStart w:id="283" w:name="_Toc107"/>
      <w:bookmarkEnd w:id="282"/>
      <w:r>
        <w:rPr>
          <w:rtl w:val="true"/>
        </w:rPr>
        <w:t>في إمامة المرأة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إذا كان المأموم رجلاً،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504"/>
      </w:r>
      <w:r>
        <w:rPr>
          <w:rFonts w:ascii="Amiri" w:hAnsi="Amiri" w:eastAsia="Amiri" w:cs="Amiri"/>
          <w:color w:val="111111"/>
          <w:sz w:val="28"/>
          <w:sz w:val="28"/>
          <w:szCs w:val="28"/>
          <w:rtl w:val="true"/>
          <w:lang w:bidi="ar-SA"/>
        </w:rPr>
        <w:t>، حكاه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له الخبرالمرسل المروى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 المرأة الرِّجال، ولا تؤمّ الخُنثى الرِّجال</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سنده منجبرٌ بالعمل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ولا المرأة الخُنثى‌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أن تؤمّ المرأةُ النساءَ في الفريضة، كما هو المشهور</w:t>
      </w:r>
      <w:r>
        <w:rPr>
          <w:rStyle w:val="FootnoteAnchor"/>
          <w:rtl w:val="true"/>
        </w:rPr>
        <w:footnoteReference w:id="506"/>
      </w:r>
      <w:r>
        <w:rPr>
          <w:rFonts w:ascii="Amiri" w:hAnsi="Amiri" w:eastAsia="Amiri" w:cs="Amiri"/>
          <w:color w:val="111111"/>
          <w:sz w:val="28"/>
          <w:sz w:val="28"/>
          <w:szCs w:val="28"/>
          <w:rtl w:val="true"/>
          <w:lang w:bidi="ar-SA"/>
        </w:rPr>
        <w:t>، بل عن جماعةٍ دعوى الإجماع عليه</w:t>
      </w:r>
      <w:r>
        <w:rPr>
          <w:rStyle w:val="FootnoteAnchor"/>
          <w:rtl w:val="true"/>
        </w:rPr>
        <w:footnoteReference w:id="5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لايجوز، كما عن أبي عليّ‌</w:t>
      </w:r>
      <w:r>
        <w:rPr>
          <w:rStyle w:val="FootnoteAnchor"/>
          <w:rtl w:val="true"/>
        </w:rPr>
        <w:footnoteReference w:id="508"/>
      </w:r>
      <w:r>
        <w:rPr>
          <w:rFonts w:ascii="Amiri" w:hAnsi="Amiri" w:eastAsia="Amiri" w:cs="Amiri"/>
          <w:color w:val="111111"/>
          <w:sz w:val="28"/>
          <w:sz w:val="28"/>
          <w:szCs w:val="28"/>
          <w:rtl w:val="true"/>
          <w:lang w:bidi="ar-SA"/>
        </w:rPr>
        <w:t>وعَلَم الهدى</w:t>
      </w:r>
      <w:r>
        <w:rPr>
          <w:rStyle w:val="FootnoteAnchor"/>
          <w:rtl w:val="true"/>
        </w:rPr>
        <w:footnoteReference w:id="509"/>
      </w:r>
      <w:r>
        <w:rPr>
          <w:rFonts w:ascii="Amiri" w:hAnsi="Amiri" w:eastAsia="Amiri" w:cs="Amiri"/>
          <w:color w:val="111111"/>
          <w:sz w:val="28"/>
          <w:sz w:val="28"/>
          <w:szCs w:val="28"/>
          <w:rtl w:val="true"/>
          <w:lang w:bidi="ar-SA"/>
        </w:rPr>
        <w:t>وجماعة من المتأخّرين</w:t>
      </w:r>
      <w:r>
        <w:rPr>
          <w:rStyle w:val="FootnoteAnchor"/>
          <w:rtl w:val="true"/>
        </w:rPr>
        <w:footnoteReference w:id="510"/>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بعض أصحابنا،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تؤمّ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وسطاً بينهن ولا تتقدّمهن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تؤمّ النساء؟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والمُنساق إلى الذهن منهما إرادة الجماعة في الفريضة، الّتي تعمّ بها البلوى، لا مثل صلاة الاستسقاء من النوافل التي يجوز الاجتماع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زياد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كيف تُصلّي النساء على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صلاة المكتوبة أيؤمّ بعضهنّ بعضاً؟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بيان أحكام اُخر، كرفع الصوت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جواز إمامتها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وبإزاء هذه الأخبار نصوصٌ تدلّ على المنع في الفريضة، كصحيح هشام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عن المرأة هل تؤمّ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تؤمّهنّ في النافلة، فأمّا في المكتوبة فلا</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يمكن الجمع بينهما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الاُولى بالثانية، والبناء على المنع في الفريضة، والجواز في النافلة، كما ذهب إليه الجماعة المتقدّم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إباء نصوص الجواز، عن الحمل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وصفي المكتوبة والنافلة على الجماعة، فيكون مفاد الروايات المانعة، عدم جواز إمامتها في الجماعة الواجبة كصلاة الجمعة، ومفاد المجوّزة جوازها في ما يستحبّ فيه الجماعة كاليوميّة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مخالفٌ للمعهود من هذين اللّفظين، مع أنّه لا يصحّ ذلك مع ما ورد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تؤمّ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إلّاعلى الميّت</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أخبار المنع لأصحيّة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بناءً على تعذّر الجمع العرفي، ولكنّه ممكنٌ بحمل نصوص المنع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إمامتها على الكراهة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84" w:name="pg11802_154097"/>
    </w:p>
    <w:p>
      <w:pPr>
        <w:pStyle w:val="BookText"/>
        <w:rPr/>
      </w:pPr>
      <w:bookmarkEnd w:id="284"/>
      <w:r>
        <w:rPr>
          <w:rFonts w:ascii="Amiri" w:hAnsi="Amiri" w:eastAsia="Amiri" w:cs="Amiri"/>
          <w:color w:val="111111"/>
          <w:sz w:val="28"/>
          <w:sz w:val="28"/>
          <w:szCs w:val="28"/>
          <w:rtl w:val="true"/>
          <w:lang w:bidi="ar-SA"/>
        </w:rPr>
        <w:t>والهاشميُّ‌، وصاحبُ المسجد والمنزل أولى‌</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0531733_73709187"/>
      <w:bookmarkStart w:id="286" w:name="_Toc108"/>
      <w:bookmarkEnd w:id="285"/>
      <w:r>
        <w:rPr>
          <w:rtl w:val="true"/>
        </w:rPr>
        <w:t>في مَن أولى بالإمامة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والهاشميّ‌، وصاحبُ المسجد والمنزل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كما هو المشهور</w:t>
      </w:r>
      <w:r>
        <w:rPr>
          <w:rStyle w:val="FootnoteAnchor"/>
          <w:rtl w:val="true"/>
        </w:rPr>
        <w:footnoteReference w:id="516"/>
      </w:r>
      <w:r>
        <w:rPr>
          <w:rFonts w:ascii="Amiri" w:hAnsi="Amiri" w:eastAsia="Amiri" w:cs="Amiri"/>
          <w:color w:val="111111"/>
          <w:sz w:val="28"/>
          <w:sz w:val="28"/>
          <w:szCs w:val="28"/>
          <w:rtl w:val="true"/>
          <w:lang w:bidi="ar-SA"/>
        </w:rPr>
        <w:t>على ما نُسِب إليهم، بل بلا خلافٍ في الأخيرين، وعن غير واحدٍ دعوى الإجماع على ذلك</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أولويّته، ما عن النبيّ صلى الله عليه و آله بطريقٍ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قريشاً ولا تتقدّموها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تثبت به الأولويّة لقاعدة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المسجد الرّاتب فيه، فيشهد لأولويّته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يؤمّكُم أكثركم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أهل مسجدٍ أحقّ بالصّلاة في مسجدهم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 القوم أقدمهم هجرةً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المسجد أحقّ بمسجده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لأولويّته خبر أبي عُبيدة، عن الإمام الصادق عليه السلام، عن </w:t>
      </w:r>
    </w:p>
    <w:p>
      <w:pPr>
        <w:pStyle w:val="BookText"/>
        <w:rPr/>
      </w:pPr>
      <w:r>
        <w:rPr>
          <w:rFonts w:ascii="Amiri" w:hAnsi="Amiri" w:eastAsia="Amiri" w:cs="Amiri"/>
          <w:color w:val="111111"/>
          <w:sz w:val="28"/>
          <w:sz w:val="28"/>
          <w:szCs w:val="28"/>
          <w:rtl w:val="true"/>
          <w:lang w:bidi="ar-SA"/>
        </w:rPr>
        <w:t>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يتقدمنّ أحدكم الرّجل في منزله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الحكم ممّا لا ريب فيه، إذ هذه النصوص وإنْ كانت ضعيفة الاسناد، إلّاأنّه يُعتمد عليها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ولعمل الأصحاب بها، إنّما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أولويّة صاحب المسجد هل هي على نحو الإطلاق أم لا؟</w:t>
      </w:r>
    </w:p>
    <w:p>
      <w:pPr>
        <w:pStyle w:val="BookText"/>
        <w:rPr/>
      </w:pPr>
      <w:r>
        <w:rPr>
          <w:rFonts w:ascii="Amiri" w:hAnsi="Amiri" w:eastAsia="Amiri" w:cs="Amiri"/>
          <w:color w:val="111111"/>
          <w:sz w:val="28"/>
          <w:sz w:val="28"/>
          <w:szCs w:val="28"/>
          <w:rtl w:val="true"/>
          <w:lang w:bidi="ar-SA"/>
        </w:rPr>
        <w:t>الأظهر هو الثاني، إذ لا مانع من إمامة غيره في غير وقت إمامته، ولا في وقته في غير مكان إمامته، بل في محلٍّ آخر من ذلك المسجد، إذا لم تزاحم إمامته إمامة الرّاتب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سبقه غيره إلى ذلك المكان في يومٍ‌، هل يكون صاحب المسجد أولى أم السابق‌؟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إلى الثاني المحقّق النائيني رحمه الله مدّعياً أنّ إمامته في الأيّام الماضية، لا توجب أحقّيّته بالإمامة في هذا اليوم، إذا كان مسبوقاً بغيره في هذا اليوم،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لمن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ذلك إلغاء خصوصيّة صاحب المسجد، وهو خلاف ما تقدّم، مع أنّ مورد الكلام ليس وقف الراتب في شخص ذلك المكان الذي سبقه غيره، كي يستدلّ بما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لمن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ائتمام النّاس به في ذلك المسجد وإنْ كان واقفا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أولويّة صاحب المسجد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الأولويّة هل هي عليوجه اللّزوم والإيجاب، بحيث لايجوز</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لغير الراتب مزاحمة الراتب، أم تكون على سبيل الاستحباب والفضيلة‌؟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هو الثاني</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وهو الأظهر، لأنّ مستند هذه الأولويّة ضعيف السند، وهو بضميمة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لإثبات الإستحباب، ولا يصلح لإثبات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سنده منجبرٌ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عملهم به لعلّه لقاعدة التسامح لا للاعتماد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الأولويّة لها جانبٌ أخلاقي اجتماعي، قد لوحظ فيها مراعاة حقّهم الذي هو أشبه شيء بحق السَّبق والأحقيّة الثابتة لأولياء الميّت بالنسبة إلى تجهيزه، لا لفضيلةٍ ذاتيّة فيها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521"/>
      </w:r>
      <w:r>
        <w:rPr>
          <w:rFonts w:ascii="Amiri" w:hAnsi="Amiri" w:eastAsia="Amiri" w:cs="Amiri"/>
          <w:color w:val="111111"/>
          <w:sz w:val="28"/>
          <w:sz w:val="28"/>
          <w:szCs w:val="28"/>
          <w:rtl w:val="true"/>
          <w:lang w:bidi="ar-SA"/>
        </w:rPr>
        <w:t>، ولذلك لو أذن صاحب المسجد أو المنزل لغيره، جاز وانتفت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الساكن فيه، وإنْ لم يكن مالكاً لعينه، بل يكفي فيه مِلْك المنفعة، كما صرّح به غير واحدٍ</w:t>
      </w:r>
      <w:r>
        <w:rPr>
          <w:rStyle w:val="FootnoteAnchor"/>
          <w:rtl w:val="true"/>
        </w:rPr>
        <w:footnoteReference w:id="522"/>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87" w:name="pg11802_154100"/>
    </w:p>
    <w:p>
      <w:pPr>
        <w:pStyle w:val="BookText"/>
        <w:rPr/>
      </w:pPr>
      <w:bookmarkEnd w:id="287"/>
      <w:r>
        <w:rPr>
          <w:rFonts w:ascii="Amiri" w:hAnsi="Amiri" w:eastAsia="Amiri" w:cs="Amiri"/>
          <w:color w:val="111111"/>
          <w:sz w:val="28"/>
          <w:sz w:val="28"/>
          <w:szCs w:val="28"/>
          <w:rtl w:val="true"/>
          <w:lang w:bidi="ar-SA"/>
        </w:rPr>
        <w:t>ويُقدَّم الأقرأ، فالأفقه، فالأقدم هجرةً‌، فالأسنّ‌، فالأصبح</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0531735_73709187"/>
      <w:bookmarkStart w:id="289" w:name="_Toc109"/>
      <w:bookmarkEnd w:id="288"/>
      <w:r>
        <w:rPr>
          <w:rtl w:val="true"/>
        </w:rPr>
        <w:t>مراتب الأئمّة</w:t>
      </w:r>
      <w:bookmarkEnd w:id="289"/>
    </w:p>
    <w:p>
      <w:pPr>
        <w:pStyle w:val="BookText"/>
        <w:rPr/>
      </w:pPr>
      <w:r>
        <w:rPr>
          <w:rFonts w:ascii="Amiri" w:hAnsi="Amiri" w:eastAsia="Amiri" w:cs="Amiri"/>
          <w:color w:val="111111"/>
          <w:sz w:val="28"/>
          <w:sz w:val="28"/>
          <w:szCs w:val="28"/>
          <w:rtl w:val="true"/>
          <w:lang w:bidi="ar-SA"/>
        </w:rPr>
        <w:t xml:space="preserve">إذا اتّفق المأمومون على إمام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اختلفوا فأراد كلٌّ منهم تقديم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الأجود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فالأفقه، فالأقدم هجرةً‌، فالأسنّ‌، فالأصبح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خلاف هذا الترتيب، ففي خبر أبي عُبيدة،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 أقرأهم للقرآن، فإنْ كانوا في القراءة سواء، فأقدمهم هجرةً‌، فإنْ كانوا في الهجرة سواء، فأكبرهم سنّاً، فإنْ كانوا في السِّن سواء، فليؤمّهم أعلمهم بالسُّنة وأفقههم في الدِّين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ينبغي التوقّف في تقديم خبر أبي عبييدة على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الأخبار الواردة في فضل الصَّلاة خلف العالم، وعدم أهليّة غيره للتقدم عليه، أنّ الأفقه مقدَّمٌ على غيره مطلقاً، وحيث أنّ أصل الترجيح ليس بلازمٍ‌، فلا وجه لإطالة الكلام في بيان ما به يُجمع بين النصوص</w:t>
      </w:r>
      <w:r>
        <w:rPr>
          <w:rFonts w:eastAsia="Amiri" w:cs="Amiri" w:ascii="Amiri" w:hAnsi="Amiri"/>
          <w:color w:val="111111"/>
          <w:sz w:val="28"/>
          <w:szCs w:val="28"/>
          <w:rtl w:val="true"/>
          <w:lang w:bidi="ar-SA"/>
        </w:rPr>
        <w:t>.</w:t>
      </w:r>
      <w:bookmarkStart w:id="290" w:name="pg11802_154101"/>
    </w:p>
    <w:p>
      <w:pPr>
        <w:pStyle w:val="BookText"/>
        <w:rPr/>
      </w:pPr>
      <w:bookmarkEnd w:id="290"/>
      <w:r>
        <w:rPr>
          <w:rFonts w:ascii="Amiri" w:hAnsi="Amiri" w:eastAsia="Amiri" w:cs="Amiri"/>
          <w:color w:val="111111"/>
          <w:sz w:val="28"/>
          <w:sz w:val="28"/>
          <w:szCs w:val="28"/>
          <w:rtl w:val="true"/>
          <w:lang w:bidi="ar-SA"/>
        </w:rPr>
        <w:t>ويُكره أنْ يأتمّ الحاضر بالمسافر، والمُتطهِّر بالمتيمّم،</w:t>
      </w:r>
    </w:p>
    <w:p>
      <w:pPr>
        <w:pStyle w:val="Heading5"/>
        <w:numPr>
          <w:ilvl w:val="4"/>
          <w:numId w:val="1"/>
        </w:numPr>
        <w:rPr/>
      </w:pPr>
      <w:bookmarkStart w:id="291" w:name="__RefHeading___Toc10531737_73709187"/>
      <w:bookmarkStart w:id="292" w:name="_Toc110"/>
      <w:bookmarkEnd w:id="291"/>
      <w:r>
        <w:rPr>
          <w:rtl w:val="true"/>
        </w:rPr>
        <w:t>مَنْ يُكره الإئتمام به</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يأتمّ الحاضرُ بالمسافر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على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وقد تقدّم تفصيل القول فيه في أوّل هذا المبحث، عند بيان ضابط ما يصحّ الإئتمام فيه من الصَّلاة، وما لايصحّ‌، وعرفت أنّ الأظهر هو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أنْ يأتمّ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المُتطهِّر بالمتيمّم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526"/>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رحمه الله</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نعرفُ فيه خلافاً إلّاما حُكي عن محمّد بن الحسن الشيباني من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خبر عُبّاد المرويّ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المتيمّم بقومٍ متوضّئين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خبر السكوني، وإنْ كان هو المنع، إلّا أنّه يتعيّن حملهما على الكراهة، بواسطة النصوص الكثيرة الصريحة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المتقدّم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أجنبَ ثمّ تيمّم، فأمّنا ونحن 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والسَّليم بالأجذم والأبرص، والمَحدُود بعد توبته،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أنْ يأتمّ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 بالأجذم والأبرص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5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انفردت به الإماميّة، كراهة إمامة الأبرص والأجذم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جُملةٍ من القدماء المنع</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فإنّه وإنْ كان المنع ظاهرُ جملةٍ من النصوص، كحسن زرارة، أو صحيحه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يُصلينَّ أحدكم خلف المجذوم والأبرص</w:t>
      </w:r>
      <w:r>
        <w:rPr>
          <w:rStyle w:val="FootnoteAnchor"/>
          <w:rtl w:val="true"/>
        </w:rPr>
        <w:footnoteReference w:id="532"/>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 إلّاأنّه يتعيّن حملها على الكراهة جمعاً بينها وبين النصوص الصريحة في الجواز، كخبر عبد اللّه بن يزيد،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المجذوم والأبرص يؤمّان المسلمين‌؟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حسين بن أبي العلاء</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أن يؤمّ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 بعدتوبته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المتأخّرين</w:t>
      </w:r>
      <w:r>
        <w:rPr>
          <w:rStyle w:val="FootnoteAnchor"/>
          <w:rtl w:val="true"/>
        </w:rPr>
        <w:footnoteReference w:id="535"/>
      </w:r>
      <w:r>
        <w:rPr>
          <w:rFonts w:ascii="Amiri" w:hAnsi="Amiri" w:eastAsia="Amiri" w:cs="Amiri"/>
          <w:color w:val="111111"/>
          <w:sz w:val="28"/>
          <w:sz w:val="28"/>
          <w:szCs w:val="28"/>
          <w:rtl w:val="true"/>
          <w:lang w:bidi="ar-SA"/>
        </w:rPr>
        <w:t>، أمّا قبلها فلايجوز لفسقه، إذ الحَدُّ لا يوجبُ صيرورته عادلاً، وإنْ كان مُكفِّراًلذنوبه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الائتمام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 القدماء</w:t>
      </w:r>
      <w:r>
        <w:rPr>
          <w:rStyle w:val="FootnoteAnchor"/>
          <w:rtl w:val="true"/>
        </w:rPr>
        <w:footnoteReference w:id="536"/>
      </w:r>
      <w:r>
        <w:rPr>
          <w:rFonts w:ascii="IRNazanin" w:hAnsi="IRNazanin" w:eastAsia="IRNazanin"/>
          <w:color w:val="111111"/>
          <w:sz w:val="28"/>
          <w:sz w:val="28"/>
          <w:szCs w:val="28"/>
          <w:rtl w:val="true"/>
          <w:lang w:bidi="fa-IR"/>
        </w:rPr>
        <w:t>المنع عن الاقتداء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 وعَدّ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المشهور بين المتأخّرين الكراهة، واستدلّوا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بمفهوم بعض الأخبار الدالّة على أنّ خمسة لا يؤمّون النّاس، ولم يعدّ منهم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وبأولويته من الكافر إذا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إلّاخلف من تثِق بدينه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مفهوم العدد ليس حجّة، مع أنّه يُقيّد بما دلّ على المنع خلف المحدود لأخصيّته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إطلاق له من هذه الجهة، كي يدلّ على عدم اعتبار شيء آخر، وعلى فرض التنزّل، وتسليم دلالته على ذلك، يُقيّد بما دلّ على المنع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فالأقوى هو ما عليه جماعة من القدماء من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والأغلف، ويُكره إمامة مَن يكرهه المأمومون،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أنْ يؤمّ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المعذور في تركه الختان، كما صرّح به غير واحدٍ</w:t>
      </w:r>
      <w:r>
        <w:rPr>
          <w:rStyle w:val="FootnoteAnchor"/>
          <w:rtl w:val="true"/>
        </w:rPr>
        <w:footnoteReference w:id="539"/>
      </w:r>
      <w:r>
        <w:rPr>
          <w:rFonts w:ascii="Amiri" w:hAnsi="Amiri" w:eastAsia="Amiri" w:cs="Amiri"/>
          <w:color w:val="111111"/>
          <w:sz w:val="28"/>
          <w:sz w:val="28"/>
          <w:szCs w:val="28"/>
          <w:rtl w:val="true"/>
          <w:lang w:bidi="ar-SA"/>
        </w:rPr>
        <w:t>، للنهي عنه في خبري أصبغ بن نُباتة</w:t>
      </w:r>
      <w:r>
        <w:rPr>
          <w:rStyle w:val="FootnoteAnchor"/>
          <w:rtl w:val="true"/>
        </w:rPr>
        <w:footnoteReference w:id="540"/>
      </w:r>
      <w:r>
        <w:rPr>
          <w:rFonts w:ascii="Amiri" w:hAnsi="Amiri" w:eastAsia="Amiri" w:cs="Amiri"/>
          <w:color w:val="111111"/>
          <w:sz w:val="28"/>
          <w:sz w:val="28"/>
          <w:szCs w:val="28"/>
          <w:rtl w:val="true"/>
          <w:lang w:bidi="ar-SA"/>
        </w:rPr>
        <w:t>، وعبد اللّه بن طلحة</w:t>
      </w:r>
      <w:r>
        <w:rPr>
          <w:rStyle w:val="FootnoteAnchor"/>
          <w:rtl w:val="true"/>
        </w:rPr>
        <w:footnoteReference w:id="541"/>
      </w:r>
      <w:r>
        <w:rPr>
          <w:rFonts w:ascii="Amiri" w:hAnsi="Amiri" w:eastAsia="Amiri" w:cs="Amiri"/>
          <w:color w:val="111111"/>
          <w:sz w:val="28"/>
          <w:sz w:val="28"/>
          <w:szCs w:val="28"/>
          <w:rtl w:val="true"/>
          <w:lang w:bidi="ar-SA"/>
        </w:rPr>
        <w:t>، لكنّهما لضعف سنديهما لا يصلحان لإثبات المنع، فتأمّل، فان ثبوت الكراهية بهما حينئذٍ لايخلو عن تأمّل، لا سيّما ما ورد في خبر عمرو بن خالد،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الأغلف لا يؤمّ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يكون تَرَك ذلك خوفاً على نفسه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دليل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إمامة مَن يَكرهه المأمومون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عبد الملك ابن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تُقبل لهم صلاة، وعَدَّ منهم من يكرهه المأمومون</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ونحوه خبر ابن أبي يعفور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وظاهرها الكراهة، وحملها على المخالف لا وجه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والأعرابي بالمهاجر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يُكره عند المشهور بين المتأخّرين</w:t>
      </w:r>
      <w:r>
        <w:rPr>
          <w:rStyle w:val="FootnoteAnchor"/>
          <w:rtl w:val="true"/>
        </w:rPr>
        <w:footnoteReference w:id="547"/>
      </w:r>
      <w:r>
        <w:rPr>
          <w:rFonts w:ascii="Amiri" w:hAnsi="Amiri" w:eastAsia="Amiri" w:cs="Amiri"/>
          <w:color w:val="111111"/>
          <w:sz w:val="28"/>
          <w:sz w:val="28"/>
          <w:szCs w:val="28"/>
          <w:rtl w:val="true"/>
          <w:lang w:bidi="ar-SA"/>
        </w:rPr>
        <w:t xml:space="preserve">أن يؤمّ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 بالمهاجر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القدماء المنع</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ظواهر النصوص، يقتضي البناء على المنع، إلّاإذا هاجر، ففي صحيح زرارة 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والأعرابي لا يؤمّ المهاجرين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خبرا أبي بصير، وعبد اللّه بن طلحة، وفي 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يؤمّون النّاس، وعَدّ منهم الأعرابي</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الأعرابي غالباً لا يكون جامعاً لشرائط الإمامة، ولو من باب القصور، وتكون الأخبار مختصّة بهذا المورد، فلا دليل على الكراهة أو المنع بقول مطلق، وإنْ كانت قريبة، إلّاأنّ الاحتياط سبيل النجاة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93" w:name="pg11802_154106"/>
    </w:p>
    <w:p>
      <w:pPr>
        <w:pStyle w:val="Heading4"/>
        <w:numPr>
          <w:ilvl w:val="3"/>
          <w:numId w:val="1"/>
        </w:numPr>
        <w:rPr/>
      </w:pPr>
      <w:bookmarkStart w:id="294" w:name="__RefHeading___Toc10531739_73709187"/>
      <w:bookmarkStart w:id="295" w:name="_Toc111"/>
      <w:bookmarkEnd w:id="293"/>
      <w:bookmarkEnd w:id="294"/>
      <w:r>
        <w:rPr>
          <w:rtl w:val="true"/>
        </w:rPr>
        <w:t>مسائل</w:t>
      </w:r>
      <w:r>
        <w:rPr>
          <w:rtl w:val="true"/>
        </w:rPr>
        <w:t>:</w:t>
      </w:r>
      <w:bookmarkEnd w:id="295"/>
    </w:p>
    <w:p>
      <w:pPr>
        <w:pStyle w:val="Heading5"/>
        <w:numPr>
          <w:ilvl w:val="4"/>
          <w:numId w:val="1"/>
        </w:numPr>
        <w:rPr/>
      </w:pPr>
      <w:bookmarkStart w:id="296" w:name="__RefHeading___Toc10531741_73709187"/>
      <w:bookmarkStart w:id="297" w:name="_Toc112"/>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الإمامُ استنابَ‌، ولو ماتَ أو اُغمي عليه قَدّموا إماماً،</w:t>
      </w:r>
    </w:p>
    <w:p>
      <w:pPr>
        <w:pStyle w:val="Heading5"/>
        <w:numPr>
          <w:ilvl w:val="4"/>
          <w:numId w:val="1"/>
        </w:numPr>
        <w:rPr/>
      </w:pPr>
      <w:bookmarkStart w:id="298" w:name="__RefHeading___Toc10531743_73709187"/>
      <w:bookmarkStart w:id="299" w:name="_Toc113"/>
      <w:bookmarkEnd w:id="298"/>
      <w:r>
        <w:rPr>
          <w:rtl w:val="true"/>
        </w:rPr>
        <w:t>العدول من إمامٍ إلى آخر</w:t>
      </w:r>
      <w:bookmarkEnd w:id="29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متعلّقة بموضوع صلاة الجماعة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الإمام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النصوص، كصحيح سليمان،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يؤمّ القوم، فيُحدث، ويقدّم رجلاً قد سبق بركعةٍ‌،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رجلاً قد سبق بركعة، ولكن يأخذ بيد غيره فيقدّمه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اُغمي عليه، قدّموا إماماً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أَمَّ قوماً فصلّى بهم ركعة، ثمّ 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رجلاً آخر، ويعتدّون بالرّكعة، ويطرحون الميّت خلفهم</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نصٌّ خاصٌّ دالّ عليه، إلّاأنّ الظاهر تسالم الأصحاب على عموم الحكم لكلّ عذرٍ موجبٍ لخروج الإمام عن أهليّة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استفادة ذلك من النصوص الخاصّة الواردة في الأعذار الطارئة للإمام، من الحَدَث والرّعاف، والأذى في البطن، ودخول الإمام في الصَّلاة على غير طهارة نسياناً، وما لو كان الإمام مسافراً، إذ التدبّر فيها يوجبُ القطع بعدم اختصاص الحكم بالأعذار المنصوصة، وأنّ الحكم المذكور عامٌّ يشمل كلّ عذرٍ يمنع الإمام عن إتمام صلاته؛ كالاستدبار أو الموت أو نحوهما، أو عن الإمامة إمّا لإتمام صلاته، أو لفقد بعض شرائط الإمامة، أو لتذكّر كونه جُنُباً، أو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هذه الموارد بين استخلاف أحد المأمومين أو الأجنبي، لإطلاق النصوص، بل صريح بعضها، كخبر زرارة،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إمامٍ أمَّ قوماً، فذكرَ أنّه لم يكن على وضوء، فانصرف وأخذ بيد رجل وأدخله فقدّمه، ولم يعلم الذي قُدِّم ما صَلّى القوم‌؟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بهم، فإنْ أخطأ سبّح القوم به، وبنى على صلاة الذي كان قبله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صحيح جميل</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على الظاهر بين أن يستخلفه الإمام، أو يقدّمه المأمومون، أو يتقدّم بنفسه،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ولصحيح علي بن جعفر، عن أخيه 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أحدثَ فانصرف، ولم يقدِّم أحداً، ما حال القوم‌؟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لهم بإمامٍ‌، فليقدّم بعضهم، الحديث</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استخلاف الأجنبي، ليس إقامته مقامه في الإتيان بما بقي من أجزاء الصَّلاة، إذ ليس هذه صلاة، فلا وجه للبناء على صحّة الائتمام، بل المراد أن يأتي بصلاته والمأمومون يربطون بها بقيّة صلاتهم، والظاهر أنّ هذا واضحٌ لايحتاج إلى إطالة الكلام فيه، كما فعله بعض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أصدر الإمام المُبطل اختياراً، فهل يجوز الاستنابة،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أم 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مبنيّان على فهم خصوصيّة العُذر في هذا الحكم، أو عدمه، والاحتياط سبيل النجاة</w:t>
      </w:r>
      <w:r>
        <w:rPr>
          <w:rFonts w:eastAsia="Amiri" w:cs="Amiri" w:ascii="Amiri" w:hAnsi="Amiri"/>
          <w:color w:val="111111"/>
          <w:sz w:val="28"/>
          <w:szCs w:val="28"/>
          <w:rtl w:val="true"/>
          <w:lang w:bidi="ar-SA"/>
        </w:rPr>
        <w:t>.</w:t>
      </w:r>
      <w:bookmarkStart w:id="300" w:name="pg11802_154109"/>
    </w:p>
    <w:p>
      <w:pPr>
        <w:pStyle w:val="BookText"/>
        <w:rPr/>
      </w:pPr>
      <w:bookmarkEnd w:id="300"/>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الإمام وهو في نافلةٍ‌، قطعها</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0531745_73709187"/>
      <w:bookmarkStart w:id="302" w:name="_Toc114"/>
      <w:bookmarkEnd w:id="301"/>
      <w:r>
        <w:rPr>
          <w:rtl w:val="true"/>
        </w:rPr>
        <w:t>إقامة الجماعة في أثناء الصَّلاة</w:t>
      </w:r>
      <w:bookmarkEnd w:id="3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الإمام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نافلةٍ‌،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واستانفَمع الإمام الفريضة، بلا خلاف فيهٍ في الجملة، بل عن غير واحدٍ دعوى الإجماع عليه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ممّا تقتضيه القواعد، بناءً على جواز قطع النافلة كما قوّيناه، فإنّه لايرتاب أحدٌ بعد التدبّر في النصوص الواردة في فضل الجماعة أهمّيتها من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عمرو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أبو عبد اللّه عليه السلام عن الرواية التي يَرُوون أنّه لا يتطوّع في وقت فريضةٍ ما حَدّ هذا الوقت‌؟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المُقيم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يختلفون في الإقامة، فقال المُقيم الذي يُصلّي معه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اختصاصه بالإبتداء، وعدم شموله إدامة ما 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خلاف الإطلاق، إذ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التلبّس بالتطوّع، سواءٌ أكان في الابتداء أو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مورد هذا الحكم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ما إذا خاف فوات آخر ما يُجزي في انعقاد أوّل الجماعة، بأن خَشي عدم إدراك ركوع الرّكعة الاُولى‌، كما هو الظاهر من كلمات القوم</w:t>
      </w:r>
      <w:r>
        <w:rPr>
          <w:rStyle w:val="FootnoteAnchor"/>
          <w:rtl w:val="true"/>
        </w:rPr>
        <w:footnoteReference w:id="5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كان في فَريضةٍ أتمّها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مطلق إدراك فضيلة الجماعة ولو بإدراك ركعةٍ من آخرها، كما عن الأردبيلي</w:t>
      </w:r>
      <w:r>
        <w:rPr>
          <w:rStyle w:val="FootnoteAnchor"/>
          <w:rtl w:val="true"/>
        </w:rPr>
        <w:footnoteReference w:id="5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مطلق فوات شيءٍ منها حتّى الجزء الأوّل من الفاتحة، وإلى ذلك يرجع ما عن جماعةٍ‌</w:t>
      </w:r>
      <w:r>
        <w:rPr>
          <w:rStyle w:val="FootnoteAnchor"/>
          <w:rtl w:val="true"/>
        </w:rPr>
        <w:footnoteReference w:id="562"/>
      </w:r>
      <w:r>
        <w:rPr>
          <w:rFonts w:ascii="Amiri" w:hAnsi="Amiri" w:eastAsia="Amiri" w:cs="Amiri"/>
          <w:color w:val="111111"/>
          <w:sz w:val="28"/>
          <w:sz w:val="28"/>
          <w:szCs w:val="28"/>
          <w:rtl w:val="true"/>
          <w:lang w:bidi="ar-SA"/>
        </w:rPr>
        <w:t>من الأصحاب من الحكم باستحباب القطع بعد إحرام الإمام‌؟</w:t>
      </w:r>
    </w:p>
    <w:p>
      <w:pPr>
        <w:pStyle w:val="BookText"/>
        <w:rPr/>
      </w:pPr>
      <w:r>
        <w:rPr>
          <w:rFonts w:ascii="Amiri" w:hAnsi="Amiri" w:eastAsia="Amiri" w:cs="Amiri"/>
          <w:color w:val="111111"/>
          <w:sz w:val="28"/>
          <w:sz w:val="28"/>
          <w:szCs w:val="28"/>
          <w:rtl w:val="true"/>
          <w:lang w:bidi="ar-SA"/>
        </w:rPr>
        <w:t>وجوهٌ‌، أقواها الأخير، بل يستحبّ القطع في حال إقامة الإمام قبل أن يحرم، لصحيح عمرو بن يزيد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وأحرم الإمام، نَقل بنيّته إلى النفل،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عظيمة</w:t>
      </w:r>
      <w:r>
        <w:rPr>
          <w:rStyle w:val="FootnoteAnchor"/>
          <w:rtl w:val="true"/>
        </w:rPr>
        <w:footnoteReference w:id="563"/>
      </w:r>
      <w:r>
        <w:rPr>
          <w:rFonts w:ascii="Amiri" w:hAnsi="Amiri" w:eastAsia="Amiri" w:cs="Amiri"/>
          <w:color w:val="111111"/>
          <w:sz w:val="28"/>
          <w:sz w:val="28"/>
          <w:szCs w:val="28"/>
          <w:rtl w:val="true"/>
          <w:lang w:bidi="ar-SA"/>
        </w:rPr>
        <w:t>، بل عن بعضٍ التصريح بنفي الخلاف فيه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الصادق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المسجد، فافتتح الصَّلاة، فبينهما هو قائمٌ يُصلّي، إذ أذّن المؤذِّن، وأقام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ليستأنف الصَّلاة مع الإمام، ولتكن الركعتان تطوّعاً</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ونحوه موثّق سماعة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مجال لإنكار ظهورهما في الاستحباب، 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الخبرين بما إذا لم يتجاوز محلّ العدول، لا يجوز القطع لو تجاوز عنه، كما لو دخل في ركوع الرّكعة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إليها، هل يجوز قطعها أم لا؟ وجهان، الأقوى هو الأوّل،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الأصل، بناءً على جواز قطع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عدل إليها شمله صحيح عمرو بن يزيد المتقدّم، الدالّ على استحباب قطع النافلة لدرك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مدرك حُرمة القطع، هو الإجماع</w:t>
      </w:r>
      <w:r>
        <w:rPr>
          <w:rStyle w:val="FootnoteAnchor"/>
          <w:rtl w:val="true"/>
        </w:rPr>
        <w:footnoteReference w:id="567"/>
      </w:r>
      <w:r>
        <w:rPr>
          <w:rFonts w:ascii="Amiri" w:hAnsi="Amiri" w:eastAsia="Amiri" w:cs="Amiri"/>
          <w:color w:val="111111"/>
          <w:sz w:val="28"/>
          <w:sz w:val="28"/>
          <w:szCs w:val="28"/>
          <w:rtl w:val="true"/>
          <w:lang w:bidi="ar-SA"/>
        </w:rPr>
        <w:t>، والمتيقّن منه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لعدم جواز القطع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حرمة القطع، الثابتة قبل العدول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جريان الاستصحاب في الأحكام، كما أشرنا إليه في هذا الشرح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مانعٌ آخر عن جريانه في المقام وهو تبدّل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أنّ العدول إلى النافلة، إنّما يكون بعد الإتمام لا قبله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خلاف المنساق من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إمام الأصل، قطعها وتابعه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بالإتمام ركعتين في الخبرين، وظاهره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رجحان العدول إلى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ريب في عدم لزوم العدول إلى النافلة، لجواز إتمامها فريضةً‌، لا مناص عن حمل الأمر به على رجحان العدول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تبعاً لجماعةٍ من الأساطين جواز قطعها بعد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56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إمام الأصل قطعها وتابعه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 مع حضوره عليه السلام، والتمكّن من السؤال عنه، لا مورد لهذا البحث</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3" w:name="pg11802_154113"/>
    </w:p>
    <w:p>
      <w:pPr>
        <w:pStyle w:val="BookText"/>
        <w:rPr/>
      </w:pPr>
      <w:bookmarkEnd w:id="303"/>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 الدّاخلُ فواتَ الرّكعة، ركَعَ ومَشي، ولحِقَ بهم</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0531747_73709187"/>
      <w:bookmarkStart w:id="305" w:name="_Toc115"/>
      <w:bookmarkEnd w:id="304"/>
      <w:r>
        <w:rPr>
          <w:rtl w:val="true"/>
        </w:rPr>
        <w:t>لو خاف فوات الرّكعة</w:t>
      </w:r>
      <w:bookmarkEnd w:id="3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 الدَّاخلُ فوات الرَّكعة، رَكَع وَمَشي، ولحِقَ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أصل الحكم في الجملة</w:t>
      </w:r>
      <w:r>
        <w:rPr>
          <w:rStyle w:val="FootnoteAnchor"/>
          <w:rtl w:val="true"/>
        </w:rPr>
        <w:footnoteReference w:id="570"/>
      </w:r>
      <w:r>
        <w:rPr>
          <w:rFonts w:ascii="Amiri" w:hAnsi="Amiri" w:eastAsia="Amiri" w:cs="Amiri"/>
          <w:color w:val="111111"/>
          <w:sz w:val="28"/>
          <w:sz w:val="28"/>
          <w:szCs w:val="28"/>
          <w:rtl w:val="true"/>
          <w:lang w:bidi="ar-SA"/>
        </w:rPr>
        <w:t>، وعن جماعةٍ دعوى الإجماع عليه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يدخلُ المسجد فيخافُ أن تفوته الرّكعة‌؟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قبل أن يبلغ القوم، ويمشي وهو راكع حتّى يبلغهم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عبد اللّه،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والإمامُ راكعٌ‌، فظننتَ أنّك إنْ مشيتَ إليه رَفَع رأسه قبل أن تُدركه، فكبِّر واركع، فإذا رَفَع رأسه فاسجد مكانك، فإذا قام فألحِق بالصَّف، فإذا جَلَس فاجلس مكانك، فإذا قام فألحق بالصفّ‌</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وقد رَكَع الإمام، فأركع بركوعه وأنا وحدي وأسجدُ، فإذا رفعتُ رأسي أيُّ شيءٍ أصنع‌؟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فاذهب إليهم، وإنْ كانوا قياماً فقُم معهم، وإنْ كانوا جُلوساً </w:t>
      </w:r>
    </w:p>
    <w:p>
      <w:pPr>
        <w:pStyle w:val="BookText"/>
        <w:rPr/>
      </w:pPr>
      <w:r>
        <w:rPr>
          <w:rFonts w:ascii="IRNazanin" w:hAnsi="IRNazanin" w:eastAsia="IRNazanin"/>
          <w:color w:val="111111"/>
          <w:sz w:val="28"/>
          <w:sz w:val="28"/>
          <w:szCs w:val="28"/>
          <w:rtl w:val="true"/>
          <w:lang w:bidi="fa-IR"/>
        </w:rPr>
        <w:t>فاجلس معهم</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وإنْ تضمّنت المشي حال الركوع، وحال القيام إلى الثانية أو الثالثة، إلّاأنّ الظاهر جواز المشي بعده، أو حين سجوده أو بعده أو بينهما،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القواعد، إذ لو جاز المشي حال الركوع وجاز في حال القيام الثانية، فإنّ هذا يعني جواز كونه على حاله إلى حين القيام، وعدم جواز المشي فيما بين السجدتين، وعدم الجواز المذكور لابدَّ وأن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جواز البقاء على تلك الحالة إلى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قدح المشي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قدحه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بصريح النّصوص الدالّة على جواز المشي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يندفع بما دلّ على جواز المشي فيها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يندفع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الحكم وموضوعه، هو خوف الفوت، والملائم مع الاحتمال أيضاً، لصحيح ابن مسلم المتقدّم، ولا يعارضه صحيح عبد الرحمن المعلّق فيه الحكم على الظنّ‌، لعدم المفهوم 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جواز الاقتداء في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إذا لم يكن هناك مانعٌ من موانع الإقتداء، كالبُعد المانع عنه، أو الحائل وغيرهما، فيكون هذا الحكم مستثنى من كراهة انفراد الإنسان بالصَّف وحده،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 وغيرها</w:t>
      </w:r>
      <w:r>
        <w:rPr>
          <w:rStyle w:val="FootnoteAnchor"/>
          <w:rtl w:val="true"/>
        </w:rPr>
        <w:footnoteReference w:id="581"/>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 الأصحاب عليه‌؟</w:t>
      </w:r>
    </w:p>
    <w:p>
      <w:pPr>
        <w:pStyle w:val="BookText"/>
        <w:rPr/>
      </w:pPr>
      <w:r>
        <w:rPr>
          <w:rFonts w:ascii="Amiri" w:hAnsi="Amiri" w:eastAsia="Amiri" w:cs="Amiri"/>
          <w:color w:val="111111"/>
          <w:sz w:val="28"/>
          <w:sz w:val="28"/>
          <w:szCs w:val="28"/>
          <w:rtl w:val="true"/>
          <w:lang w:bidi="ar-SA"/>
        </w:rPr>
        <w:t>أم لا، بل يصحّ مطلقاً؟</w:t>
      </w:r>
    </w:p>
    <w:p>
      <w:pPr>
        <w:pStyle w:val="BookText"/>
        <w:rPr/>
      </w:pPr>
      <w:r>
        <w:rPr>
          <w:rFonts w:ascii="Amiri" w:hAnsi="Amiri" w:eastAsia="Amiri" w:cs="Amiri"/>
          <w:color w:val="111111"/>
          <w:sz w:val="28"/>
          <w:sz w:val="28"/>
          <w:szCs w:val="28"/>
          <w:rtl w:val="true"/>
          <w:lang w:bidi="ar-SA"/>
        </w:rPr>
        <w:t>أم يُفصّل بين البُعد المانع من صحّة الإقتداء في غير المورد وغيره من الموانع، فيصحّ في الأوّل خاصّة، كما عن الشيخ الأعظم رحمه الله</w:t>
      </w:r>
      <w:r>
        <w:rPr>
          <w:rStyle w:val="FootnoteAnchor"/>
          <w:rtl w:val="true"/>
        </w:rPr>
        <w:footnoteReference w:id="583"/>
      </w:r>
      <w:r>
        <w:rPr>
          <w:rFonts w:ascii="Amiri" w:hAnsi="Amiri" w:eastAsia="Amiri" w:cs="Amiri"/>
          <w:color w:val="111111"/>
          <w:sz w:val="28"/>
          <w:sz w:val="28"/>
          <w:szCs w:val="28"/>
          <w:rtl w:val="true"/>
          <w:lang w:bidi="ar-SA"/>
        </w:rPr>
        <w:t>وجمعٌ من المحقّقين‌؟</w:t>
      </w:r>
    </w:p>
    <w:p>
      <w:pPr>
        <w:pStyle w:val="BookText"/>
        <w:rPr/>
      </w:pPr>
      <w:r>
        <w:rPr>
          <w:rFonts w:ascii="Amiri" w:hAnsi="Amiri" w:eastAsia="Amiri" w:cs="Amiri"/>
          <w:color w:val="111111"/>
          <w:sz w:val="28"/>
          <w:sz w:val="28"/>
          <w:szCs w:val="28"/>
          <w:rtl w:val="true"/>
          <w:lang w:bidi="ar-SA"/>
        </w:rPr>
        <w:t>وجوه،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دعويان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الاقتداء مع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مع وجود سائر الموانع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الدعوى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لها المحقّق اليزدي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بظهور الأمر باللّحوق في الوجوب، إذ لولا البُعد المانع عن الاقتداء، لم يجبُ المشي، بل جاز أن يُصلّي في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الأمر بالالتحاق بالصف بعد القيام، وإنْ لم يلحق في القيام الأوّل، ففي القيام الثاني لا يوافق إلّامع كونه غير متّصلٍ على نحوٍ يصحّ الإقتداء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الأمر ظاهراً في الوجوب، إلّا أنّ النصوص الدالّة على جواز أن يقف المأموم في صفٍ وحده تصلحُ لصرف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المأموم واقفاً خلف صفٍ طويل يستلزم الالتحاق به إلى قطع مسافةٍ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يبلغ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فاذهب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إسحاق، 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 فألحق بالصف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المانع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لها الشيخ الأعظم رحمه الله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بعموم أدلّة منعها، ثمّ أورد على نفسه بوقوع التعارض بينها وبين إطلاقات المسألة، وأجاب عنه بأنّ العمومات والإطلاقات تتساقط للتعارض، وليس في أدلّة الجماعة إطلاقٌ كي يكون هو المرجع، والأصل عدم المشروعيّة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لروايات الباب إطلاقٌ‌، كان مقدّماً على إطلاقات أدلّة الموانع، لحكومه نصوص الباب على تلك الأدلّة، فإنّها في مقام بيان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تنزيل هذه الجماعة منزلة الجماعة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تساقطت الإطلاقات، كان المرجع إطلاق أدلّة الجماعة، فيما لو صدق على لحوقه الاقتداء عرفاً برغم وجود ذلك المانع، لما عرفت من وجوده؛ ولو سُلّم عدمه، فيكفي في المقام أصالة عدم المانعيّة، لما تقدّم من جريانها عند الشكّ في مانعيّة شيء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غير واردة في مقام البيان من تلك الجهات، فلا إطلاق لها بالنسبة إلى تلك الموانع، فالمرجع إطلاقات أدلّة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جَرّ الرّجلين حال المشي كما عن جماعةٍ‌، أم لايجب، بل يجوز المشي المتعارف، كما هو المنسوب إلى المشهور</w:t>
      </w:r>
      <w:r>
        <w:rPr>
          <w:rStyle w:val="FootnoteAnchor"/>
          <w:rtl w:val="true"/>
        </w:rPr>
        <w:footnoteReference w:id="586"/>
      </w:r>
      <w:r>
        <w:rPr>
          <w:rFonts w:ascii="Amiri" w:hAnsi="Amiri" w:eastAsia="Amiri" w:cs="Amiri"/>
          <w:color w:val="111111"/>
          <w:sz w:val="28"/>
          <w:sz w:val="28"/>
          <w:szCs w:val="28"/>
          <w:rtl w:val="true"/>
          <w:lang w:bidi="ar-SA"/>
        </w:rPr>
        <w:t>؟ وجهان، أقواهما الثاني،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Style w:val="FootnoteAnchor"/>
          <w:rtl w:val="true"/>
        </w:rPr>
        <w:footnoteReference w:id="587"/>
      </w:r>
      <w:r>
        <w:rPr>
          <w:rFonts w:ascii="Amiri" w:hAnsi="Amiri" w:eastAsia="Amiri" w:cs="Amiri"/>
          <w:color w:val="111111"/>
          <w:sz w:val="28"/>
          <w:sz w:val="28"/>
          <w:szCs w:val="28"/>
          <w:rtl w:val="true"/>
          <w:lang w:bidi="ar-SA"/>
        </w:rPr>
        <w:t>أنّه يمشي في الصَّلاة يَجرُّ رجليه ولا يَتخطّى‌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ومُعرضٌ عنه عند المشهور، فلا يصلح أن يكون مدركاً إلّالحكمٍ استحبابي بضميمة 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w:t>
      </w:r>
      <w:r>
        <w:rPr>
          <w:rStyle w:val="FootnoteAnchor"/>
          <w:rtl w:val="true"/>
        </w:rPr>
        <w:footnoteReference w:id="588"/>
      </w:r>
      <w:r>
        <w:rPr>
          <w:rFonts w:ascii="Amiri" w:hAnsi="Amiri" w:eastAsia="Amiri" w:cs="Amiri"/>
          <w:color w:val="111111"/>
          <w:sz w:val="28"/>
          <w:sz w:val="28"/>
          <w:szCs w:val="28"/>
          <w:rtl w:val="true"/>
          <w:lang w:bidi="ar-SA"/>
        </w:rPr>
        <w:t>المشي الى الصف حال الاشتغال بالذِّكر الواجب في الركوع، أو القراءة في القيام، أم لا يجوز</w:t>
      </w:r>
      <w:r>
        <w:rPr>
          <w:rStyle w:val="FootnoteAnchor"/>
          <w:rtl w:val="true"/>
        </w:rPr>
        <w:footnoteReference w:id="589"/>
      </w:r>
      <w:r>
        <w:rPr>
          <w:rFonts w:ascii="IRNazanin" w:hAnsi="IRNazanin" w:eastAsia="IRNazanin"/>
          <w:color w:val="111111"/>
          <w:sz w:val="28"/>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بل قولان، لا يَبعُد الأوّل، للأمر بالمشي حال الركوع في صحيح ابن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فإنّ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بعد ملاحظة قصر زمان الركوع كما هو المفروض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المشي حال الاشتغال بالذكر، ولكن الأحوط لزوماً ترك المشي حال الاشتغال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إطلاق النصوص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تعرّض النصوص لغير جهة البُعد، وأنّ المُحكّم أدلّة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دليل اعتبار الطمأنينة حال الذِّكر هو الإجماع، والمتيقّن منه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اعتبارها حال القراءة وحال الركوع، هي النصوص، لا الإجماع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هل هو مختصٌّ بالمسجد، أم يعمّ غيره‌؟ وجهان، أقواهما الثاني، لأنّ النصوص وإنْ اشتملت على المسجد، إلّاأنّ الظاهر منها أنّ تمام الموضوع خوف فوت الرّكعة، بلا دخلٍ لعنوان المسجد في هذا الحكم، وإنّما عُبّر به لأنّ الغالب انعقاد الجماعة فيه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06" w:name="pg11802_154119"/>
    </w:p>
    <w:p>
      <w:pPr>
        <w:pStyle w:val="BookText"/>
        <w:rPr/>
      </w:pPr>
      <w:bookmarkEnd w:id="306"/>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بعضُ الصَّلاة، دَخَل مع الإمام، وجعل ما يُدْرِكه أوّل صلاته، فإذا سَلّم الإمام قام وأتمّ الصَّلاة</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0531749_73709187"/>
      <w:bookmarkStart w:id="308" w:name="_Toc116"/>
      <w:bookmarkEnd w:id="307"/>
      <w:r>
        <w:rPr>
          <w:rtl w:val="true"/>
        </w:rPr>
        <w:t>في المأموم المسبوق</w:t>
      </w:r>
      <w:bookmarkEnd w:id="30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الصَّلاة، دَخَل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ما يُدركه أوّل صلاته، فإذا سَلّم الإمام قام وأتمّ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اقتضاه تكليفه لو كان منفرداً، بلا خلافٍ معتدّ به بيننا، وعن غير واحدٍ دعوى الإجماع عليه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فاتكَ شيءٌ مع الإمام، فاجعل أوّل صلاتك ما استقبلتَ منها، ولا تجعل أوّل صلاتك آخرها</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فأصل الحكم ممّا لا إشكال فيه ولا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في الأخيرتين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يجب عليه فيهما القراءة كما عن المرتضى</w:t>
      </w:r>
      <w:r>
        <w:rPr>
          <w:rStyle w:val="FootnoteAnchor"/>
          <w:rtl w:val="true"/>
        </w:rPr>
        <w:footnoteReference w:id="593"/>
      </w:r>
      <w:r>
        <w:rPr>
          <w:rFonts w:ascii="Amiri" w:hAnsi="Amiri" w:eastAsia="Amiri" w:cs="Amiri"/>
          <w:color w:val="111111"/>
          <w:sz w:val="28"/>
          <w:sz w:val="28"/>
          <w:szCs w:val="28"/>
          <w:rtl w:val="true"/>
          <w:lang w:bidi="ar-SA"/>
        </w:rPr>
        <w:t xml:space="preserve">، والشيخ في التهذيبين،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وابن زُهرة</w:t>
      </w:r>
      <w:r>
        <w:rPr>
          <w:rStyle w:val="FootnoteAnchor"/>
          <w:rtl w:val="true"/>
        </w:rPr>
        <w:footnoteReference w:id="595"/>
      </w:r>
      <w:r>
        <w:rPr>
          <w:rFonts w:ascii="Amiri" w:hAnsi="Amiri" w:eastAsia="Amiri" w:cs="Amiri"/>
          <w:color w:val="111111"/>
          <w:sz w:val="28"/>
          <w:sz w:val="28"/>
          <w:szCs w:val="28"/>
          <w:rtl w:val="true"/>
          <w:lang w:bidi="ar-SA"/>
        </w:rPr>
        <w:t>والحلبي</w:t>
      </w:r>
      <w:r>
        <w:rPr>
          <w:rStyle w:val="FootnoteAnchor"/>
          <w:rtl w:val="true"/>
        </w:rPr>
        <w:footnoteReference w:id="596"/>
      </w:r>
      <w:r>
        <w:rPr>
          <w:rFonts w:ascii="Amiri" w:hAnsi="Amiri" w:eastAsia="Amiri" w:cs="Amiri"/>
          <w:color w:val="111111"/>
          <w:sz w:val="28"/>
          <w:sz w:val="28"/>
          <w:szCs w:val="28"/>
          <w:rtl w:val="true"/>
          <w:lang w:bidi="ar-SA"/>
        </w:rPr>
        <w:t xml:space="preserve">وجماعة من </w:t>
      </w:r>
    </w:p>
    <w:p>
      <w:pPr>
        <w:pStyle w:val="BookText"/>
        <w:rPr/>
      </w:pPr>
      <w:r>
        <w:rPr>
          <w:rFonts w:ascii="Amiri" w:hAnsi="Amiri" w:eastAsia="Amiri" w:cs="Amiri"/>
          <w:color w:val="111111"/>
          <w:sz w:val="28"/>
          <w:sz w:val="28"/>
          <w:szCs w:val="28"/>
          <w:rtl w:val="true"/>
          <w:lang w:bidi="ar-SA"/>
        </w:rPr>
        <w:t>متأخّري المتأخّرين</w:t>
      </w:r>
      <w:r>
        <w:rPr>
          <w:rStyle w:val="FootnoteAnchor"/>
          <w:rtl w:val="true"/>
        </w:rPr>
        <w:footnoteReference w:id="5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تجب، بل هي مستحبّة،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أظهرهما الأوّل، للأمر بالقراءة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سيّدنا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بعض الصَّلاة، وفاته بعضٌ خلف إمامٍ يُحتسب بالصلاة خلفه، جَعَل أوّل ما أدرك أوّل صلاته، إنْ أدرك من الظهر أو من العصر أو من العشاء ركعتين، وفاتته ركعتان، قرأ في كلّ ركعةٍ ممّا أدرك خلف إمامٍ في نفسه باُمّ الكتاب وسورة، فإنْ لم يُدرك السّورة تامّة أجزأته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أدرك ركعة، قرأ فيها خلف الإمام، الحديث</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يُدرك الرَّكعتين الأخيرتين من الصَّلاة، كيف يصنع بالقراءة‌؟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فيهما، فإنّهما لك الأولتان، ولا تجعل أوّل صلاتك آخرها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عبد اللّه، عنه 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سَبَقك الإمام بركعةٍ‌، فأدركت القراءة الأخيرة، قرأت في الثالثة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صلاته وهي ثنتان لك، فإنْ لم تُدرك معه إلّاركعةً واحدة، قرأتَ فيها وفي التي تليها، وإنْ سَبَقك بركعةٍ‌، جلستَ في الثانية لكَ والثالثة له، حتّى تعتدل الصفوف قياماً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الأمر فى هذه النصوص بالقراءة يُحمل على إرادة الاستحباب، وذلك لما دلّ من النصوص على سقوط القراءة عن المأموم، وأنّ الإمام ضامنٌ لقراءة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ولخلوّ كلام الأكثر عن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وباشتمال تلك النصوص على ما ليس بلازمٍ‌، كترك القراءة في الأخيرتين، والتجافي في التشهّد، فإنّه يُحمل الأمر على غير اللّزوم، لوحدة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مختصّة بالمأموم حال قراءة الإمام، ولذا لا شكّ لأحدٍ في عدم سقوطها لو أدركه في التشهّد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إطلاقها لابدّ من تقييده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شهادته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بعض النصوص غير مشتملٍ على ما اُشير إليه، كموثّق عمّار، مع أنّ ذلك لا يصلح لرفع اليد عن ظهور الأمر في الوجوب، بعد كون الوجوب والاستحباب خارجين عن حريم الموضوع له والمستعمل فيه، وكونهما منتزعين من الترخيص في ترك المأمور به وعدمه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الوجوب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يمهله الإمام لقراءة السَّورة، اكتفى بالحمد خاصّة،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صحيح زرارة المتقدّم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عدم الإمهال المجوّز لترك السّورة، هو دخول الإمام في الركوع قبل شروع المأموم في السّورة، إذ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يُدرك السَّورة التامّة أجزأه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إدراكها على النحو المتعارف في الجماعة، من كون وضع المصلّين على هيئة واحدة من القيام والركوع وغيرهما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أن يقرأها إذا أمكنه إتمام السّورة، واللّحوق بآخر ركوع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أعجله الإمام عن الحمد، فهل يجب عليه الإتيان به بتمامه واللّحوق بالإمام في السّجود؟</w:t>
      </w:r>
    </w:p>
    <w:p>
      <w:pPr>
        <w:pStyle w:val="BookText"/>
        <w:rPr/>
      </w:pPr>
      <w:r>
        <w:rPr>
          <w:rFonts w:ascii="Amiri" w:hAnsi="Amiri" w:eastAsia="Amiri" w:cs="Amiri"/>
          <w:color w:val="111111"/>
          <w:sz w:val="28"/>
          <w:sz w:val="28"/>
          <w:szCs w:val="28"/>
          <w:rtl w:val="true"/>
          <w:lang w:bidi="ar-SA"/>
        </w:rPr>
        <w:t>أم يجوز ترك ما لم يُمهله الإمام‌؟</w:t>
      </w:r>
    </w:p>
    <w:p>
      <w:pPr>
        <w:pStyle w:val="BookText"/>
        <w:rPr/>
      </w:pPr>
      <w:r>
        <w:rPr>
          <w:rFonts w:ascii="Amiri" w:hAnsi="Amiri" w:eastAsia="Amiri" w:cs="Amiri"/>
          <w:color w:val="111111"/>
          <w:sz w:val="28"/>
          <w:sz w:val="28"/>
          <w:szCs w:val="28"/>
          <w:rtl w:val="true"/>
          <w:lang w:bidi="ar-SA"/>
        </w:rPr>
        <w:t>قولان، لا يبعد القول الثاني، لصحيح معاوية،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يُدرك آخر صلاة الإمام، وهو أوّل صلاة الرّجل، فلا يمهله حتّى يقرأ فيقضي القراءة في آخر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سقوطه في الفرض ظاهرٌ، حيث أنّه عليه السلام قرّر السائل على ترك القراءة عند عدم إمهاله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متضمّنٌ لما لا نقول به، وهو قضاء القراءة آخر الصَّلاة، فلابدّ من طرحه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المراد بقضاء القراءة آخر الصَّلاة، اختيارها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الأخيرتين على التسبيح، فجوابه عليه السلام يدلّ على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إجمال هذه الفقرة منه أو ظهورها فيما لا نقول به، لا يضرّ بالاستدلال بصدر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في بادئ النظر وإنْ كان مختصّاً بصورة عدم الشروع في القراءة أصلاً، إلّاأنّه يمكن أن يُقال إنّه بعد التدبّر فيه، يظهر شموله لما إذا شَرَع فيها ولم يُمهله الإمام لإتمامها، بأنْ يكون المراد القراءة الموظّفة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الاختصاص يجب التعدّي عن مورده إلى الفرض الثاني، بإلغاء 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مفهوم الخبر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وليقرأ فيما بينه وبين نفسه إنْ أمهله الإمام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لنفسك بفاتحة الكتاب إنْ أمهلك الإمام، أو ما أدركتَ أن تقرأ</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بأنّ وجوب القراءة مزاحمٌ مع وجوب متابعة الإمام في أفعاله، وحيثُ أنّ الثاني أهمّ‌، لعدم معهوديّة ترك المتابعة في الركوع، بمزاحمة واجبٍ من الواجبات، الكاشف عن أهميّة إدراكه على ما يزاحمه، فيقدّم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تزاحم بينهما، فإنّه يمكن له أن لا يُخالف شيئاً منهما، بأن ينفرد في صلاته، ولو التزمنا بعدم جواز قصد الإنفراد اختياراً، فإنّه لا كلام في جوازه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أمثال هذا المقام، مع أنّ أهميّة الثاني غير ثابتة، وما ذُكر في وجهه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 ومع ذلك كلّه الأحوط من حيث صحّة الصَّلاة إتمام القراءة، واللّحوق به في السّجود، وقصد الإنفراد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في الرّكعة الثانية، يستحبّ له متابعته في القنوت، لموثّق عبد الرحمن بن أبي عبد اللّه،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يدخل في الرّكعة الأخيرة من الغداة مع الإمام، فقَنَتَ الإمام أيقنت معه‌؟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ويجزيه من القنوت لنفسه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عدم استحباب القنوت في الرّكعة الثانية له، وهو وإنْ كان مورده الغداة، إلّاأنّه لإلغاء خصوصيّة الغداة، يستفاد منه الاستحباب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متابعة الإمام في التشهّد، وإنْ لم يكن موضعُ تشهّدٍ للمأموم،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وجوب المتابعة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خبر عليّ بن جعفر الوارد في المأموم المسبوق بركعتين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يقعد فيهنَّ جميعاً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المتابعة واجبة في أفعال صلاة المأموم الواجبة عليه، ولا دليل على وجوبها في كلّ ما يفعله من الأفعال، ولو لم يكن واجباً على المأموم من حيث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مقام بيان وجوب التشهّد في الثانية والثالثة، وعدم سقوطه فيهما بالجلوس في الاُولى‌، ولا يدلّ على أنّ ما أتى به تبعاً للإمام كان واجباً عليه، كما يشهد به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يَدركُ ركعةً من المغرب، كيف يصنع حين يقوم يقضي، أيقعدُ في الثانية والثالثة‌؟</w:t>
      </w:r>
    </w:p>
    <w:p>
      <w:pPr>
        <w:pStyle w:val="BookText"/>
        <w:rPr/>
      </w:pPr>
      <w:r>
        <w:rPr>
          <w:rFonts w:ascii="Amiri" w:hAnsi="Amiri" w:eastAsia="Amiri" w:cs="Amiri"/>
          <w:color w:val="111111"/>
          <w:sz w:val="28"/>
          <w:sz w:val="28"/>
          <w:szCs w:val="28"/>
          <w:rtl w:val="true"/>
          <w:lang w:bidi="ar-SA"/>
        </w:rPr>
        <w:t>وعليه، فالأظهر عدم الوجوب، وجواز بقائه ساجداً إلى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ذلك، لخبر إسحاق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يسبقني الإمام بركعة، فيكون لي واحدة وله ثنتان، أفأتشهّد كلّما قعدت‌؟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فإنّما التشهّد بركة</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الحسين بن المختار</w:t>
      </w:r>
      <w:r>
        <w:rPr>
          <w:rStyle w:val="FootnoteAnchor"/>
          <w:rtl w:val="true"/>
        </w:rPr>
        <w:footnoteReference w:id="609"/>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التجافي فيه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أجلسه الإمام في موضعٍ يجبُ أن يقوم فيه، يتجافى وأقعى إقعاءً ولم يجلس متمكّناً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يتجافى ولا يتمكّن من القعود</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بما أنّ التجافي ليس من أفراد الجلوس حقيقةً أو انصرافاً، ولأجله لا يمكن حمل القعود المذكور في بعض النصوص المتقدّم عليه، فلا محالة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يُحمل الأمر به على الاستحباب، جمعاً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صدقه عليه، ويؤيّده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يتمكّن من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التجافي غير القعود، لكان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التجافي، لو لم يكن أقوى‌، لا ريب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أي تابعه في هذا الفعل، استحبّ له أن يتشهّد، للأمر به في خبري إسحاق وابن المختار المتقدّمين، المحمول على الندب بلا خلافٍ‌، ويشهد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التشهّد بركة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الإخفات في القراءة خلف الإمام، لقوله عليه السلام في 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في كلّ ركعةٍ ممّا أدرك خَلف الإمام في نفسه باُمّ الكتاب وسورة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ظهور الجملة الخبريّة في الوجوب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الإخفات بالبسملة أيضاً أم يستحبّ الجهر بها؟</w:t>
      </w:r>
    </w:p>
    <w:p>
      <w:pPr>
        <w:pStyle w:val="BookText"/>
        <w:rPr/>
      </w:pPr>
      <w:r>
        <w:rPr>
          <w:rFonts w:ascii="Amiri" w:hAnsi="Amiri" w:eastAsia="Amiri" w:cs="Amiri"/>
          <w:color w:val="111111"/>
          <w:sz w:val="28"/>
          <w:sz w:val="28"/>
          <w:szCs w:val="28"/>
          <w:rtl w:val="true"/>
          <w:lang w:bidi="ar-SA"/>
        </w:rPr>
        <w:t>الظاهر هو الأوّل، لما دلَّ على وجوب الإخفات في القراءة الشاملة لها، وأمّا ما دلّ على استحباب الجهر بالبسملة، فهو بين ما لاإطلاق له، ومايكون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مع الإمام الركعتين الأخيرتين، وسبّح الإمام، ولم يقرأ المأموم فيهما لعدم تيسّرها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613"/>
      </w:r>
      <w:r>
        <w:rPr>
          <w:rFonts w:ascii="Amiri" w:hAnsi="Amiri" w:eastAsia="Amiri" w:cs="Amiri"/>
          <w:color w:val="111111"/>
          <w:sz w:val="28"/>
          <w:sz w:val="28"/>
          <w:szCs w:val="28"/>
          <w:rtl w:val="true"/>
          <w:lang w:bidi="ar-SA"/>
        </w:rPr>
        <w:t>بقاء التخيير بين الفاتحة والتسبيح في الأخيرتين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 القول</w:t>
      </w:r>
      <w:r>
        <w:rPr>
          <w:rStyle w:val="FootnoteAnchor"/>
          <w:rtl w:val="true"/>
        </w:rPr>
        <w:footnoteReference w:id="614"/>
      </w:r>
      <w:r>
        <w:rPr>
          <w:rFonts w:ascii="Amiri" w:hAnsi="Amiri" w:eastAsia="Amiri" w:cs="Amiri"/>
          <w:color w:val="111111"/>
          <w:sz w:val="28"/>
          <w:sz w:val="28"/>
          <w:szCs w:val="28"/>
          <w:rtl w:val="true"/>
          <w:lang w:bidi="ar-SA"/>
        </w:rPr>
        <w:t>بوجوب القراءة هنا في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أحمد بن النضر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فاته مع الإمام ركعتان، يقرأ بفاتحة الكتاب في كلّ ركعة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يُدرك آخر صَّلاة الإمام، وهو أوّل صلاة الرّجل، فلا يُمهله حتّى يقرأ، فيقضي القراءة في آخر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هذا الشرح في مسألة من نسي القراءة في الأولتين، وقد بيّنا هناك ضعف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وجوب الفاتحة في كلّ ركعةٍ‌، وهو لا ينطبق على المدّعى، فحينئذٍ هو كسائر ما يدلّ بظاهره على تعيّن الفاتحة في الأخيرتين، وقد تقدّم الكلام فيها مفصّلاً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في الركعات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ما لو أدرك ركعة من صلاة الإمام، ووجوب الفاتحة في هذه الصورة في الأخيرتين ممّا لم يقل به أحدٌ، فهذا أيضاً لا ينطبق مفاده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بقاء التخيير، لإطلاق أدلّته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09" w:name="pg11802_154128"/>
    </w:p>
    <w:p>
      <w:pPr>
        <w:pStyle w:val="Heading5"/>
        <w:numPr>
          <w:ilvl w:val="4"/>
          <w:numId w:val="1"/>
        </w:numPr>
        <w:rPr/>
      </w:pPr>
      <w:bookmarkStart w:id="310" w:name="__RefHeading___Toc10531751_73709187"/>
      <w:bookmarkStart w:id="311" w:name="_Toc117"/>
      <w:bookmarkEnd w:id="309"/>
      <w:bookmarkEnd w:id="310"/>
      <w:r>
        <w:rPr>
          <w:rtl w:val="true"/>
        </w:rPr>
        <w:t>اختلاف الإمام والمأموم اجتهاداً أو تقليداً</w:t>
      </w:r>
      <w:bookmarkEnd w:id="31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اقتداء المجتهد أو مقلّده بمجتهدٍ آخر أو بمقلّده المخالف له في الفروع، مع استعماله محلّ الخلاف في الصَّلاة أم لا، أم هناك تفصيل‌؟</w:t>
      </w:r>
    </w:p>
    <w:p>
      <w:pPr>
        <w:pStyle w:val="BookText"/>
        <w:rPr/>
      </w:pPr>
      <w:r>
        <w:rPr>
          <w:rFonts w:ascii="Amiri" w:hAnsi="Amiri" w:eastAsia="Amiri" w:cs="Amiri"/>
          <w:color w:val="111111"/>
          <w:sz w:val="28"/>
          <w:sz w:val="28"/>
          <w:szCs w:val="28"/>
          <w:rtl w:val="true"/>
          <w:lang w:bidi="ar-SA"/>
        </w:rPr>
        <w:t>وجوه، أقواها الأخير، 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المُخلّ به في صلاة الإمام من الفعل أو الترك بنظر المأموم ممّا لايخلّ مطلق وجوده، وإنّما يخلّ بها إذا كان عمديّاً وعن علم أو جهلٍ تقصيري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جميع الأجزاء والشرائط والموانع غير الخمسة المستثناة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 بناءً على ما تقدّم من شموله للموانع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واقتداءه، لما تقدّم من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القاصر أيضاً، وأنّ مفاده صحّة الصَّلاة حين الإتيان بها، إذ عليه تكون صلاة الإمام صحيحة حتّى عند المأموم، فيصحّ الاقتداء به، فلو تستّر الإمام بسنجابٍ ونحوه ممّا يرى المأموم عدم جوازه، جاز له الائتمام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ذلك من صحيح جميل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 قومٍ أجنبَ وليس معه من الماء ما يكفيه للغُسل، ومعهم ما يتوضّؤون به، أيتوضّأ بعضهم ويُصلّي بهم‌؟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يتمّم الجُنُب ويُصلّي بهم، فإنّ اللّه جَعل التراب طهوراً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بعموم علّته يدلّ على أنّه يجوز الائتمام لو كانت صلاة الإمام صحيحة، </w:t>
      </w:r>
    </w:p>
    <w:p>
      <w:pPr>
        <w:pStyle w:val="BookText"/>
        <w:rPr/>
      </w:pPr>
      <w:r>
        <w:rPr>
          <w:rFonts w:ascii="Amiri" w:hAnsi="Amiri" w:eastAsia="Amiri" w:cs="Amiri"/>
          <w:color w:val="111111"/>
          <w:sz w:val="28"/>
          <w:sz w:val="28"/>
          <w:szCs w:val="28"/>
          <w:rtl w:val="true"/>
          <w:lang w:bidi="ar-SA"/>
        </w:rPr>
        <w:t>وإنْ كانت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ما يتعلّق بالقراءة في الرَّكعتين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يتعلّق بالقراءة فيهما، في مورد تحمّل الإمام عن المأموم، فيُشكل الحكم بالصحّة، كما تقدّم في شرائط إمام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المُخل به ممّا يوجب بطلان الصَّلاة مطلق وجوده، كما إذا كان الإمام يرى بقاء وقت العشاءين إلى طلوع الفجر، والمأموم يرى انتهاء وقتهما بانتصاف اللّيل، فأراد المأموم أن يقتدي في صلاة قضائه بالإمام المُصلّي أداءً بعد انتصاف اللّيل، فالأظهر عدم جواز الائتمام، لأنّ ما يفعله الإمام بنظر المأموم ليس إلّا صورة صلاة ليست بصلاةٍ في الواقع، والمشروع إنّما هو الاقتداء بالمُصلّي وهو ليس بمصلٍّ حقيقة باعتقاد المأموم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فيما ذكرناه بين ما إذا ثبت بطلان صلاة الإمام لديه بدليلٍ قطعي أو ظنّي</w:t>
      </w:r>
      <w:r>
        <w:rPr>
          <w:rFonts w:eastAsia="Amiri" w:cs="Amiri" w:ascii="Amiri" w:hAnsi="Amiri"/>
          <w:color w:val="111111"/>
          <w:sz w:val="28"/>
          <w:szCs w:val="28"/>
          <w:rtl w:val="true"/>
          <w:lang w:bidi="ar-SA"/>
        </w:rPr>
        <w:t>.</w:t>
      </w:r>
      <w:bookmarkStart w:id="312" w:name="pg11802_154130"/>
    </w:p>
    <w:p>
      <w:pPr>
        <w:pStyle w:val="Heading5"/>
        <w:numPr>
          <w:ilvl w:val="4"/>
          <w:numId w:val="1"/>
        </w:numPr>
        <w:rPr/>
      </w:pPr>
      <w:bookmarkStart w:id="313" w:name="__RefHeading___Toc10531753_73709187"/>
      <w:bookmarkStart w:id="314" w:name="_Toc118"/>
      <w:bookmarkEnd w:id="312"/>
      <w:bookmarkEnd w:id="313"/>
      <w:r>
        <w:rPr>
          <w:rtl w:val="true"/>
        </w:rPr>
        <w:t>تبيّن بطلان الجماعة</w:t>
      </w:r>
      <w:bookmarkEnd w:id="31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الإمام كافرٌ أو فاسق أو على غير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وقوفه عليذلك بعدالصَّلاة، صحّت صلاته، وبطل اقتداءه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خرجوا من خراسان أو بعض الجبال، وكان يؤمّهم رجلٌ‌، فلمّا صاروا إلى الكوفة، علموا أنّه يهودي‌؟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وردت في الكفر، إلّاأنّه يثبت في الفِسق أيضاً بالأولويّة، والإجماع المركّب</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بقومٍ وهو جُنُب أو على غير وضوء، فعليه </w:t>
      </w:r>
    </w:p>
    <w:p>
      <w:pPr>
        <w:pStyle w:val="BookText"/>
        <w:rPr/>
      </w:pPr>
      <w:r>
        <w:rPr>
          <w:rFonts w:ascii="Amiri" w:hAnsi="Amiri" w:eastAsia="Amiri" w:cs="Amiri"/>
          <w:color w:val="111111"/>
          <w:sz w:val="28"/>
          <w:sz w:val="28"/>
          <w:szCs w:val="28"/>
          <w:rtl w:val="true"/>
          <w:lang w:bidi="ar-SA"/>
        </w:rPr>
        <w:t>الإعادة، وليس عليهم أن يُعيدوا، وليس عليه أن يُعلمهم</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622"/>
      </w:r>
      <w:r>
        <w:rPr>
          <w:rFonts w:ascii="Amiri" w:hAnsi="Amiri" w:eastAsia="Amiri" w:cs="Amiri"/>
          <w:color w:val="111111"/>
          <w:sz w:val="28"/>
          <w:sz w:val="28"/>
          <w:szCs w:val="28"/>
          <w:rtl w:val="true"/>
          <w:lang w:bidi="ar-SA"/>
        </w:rPr>
        <w:t>وعَلَم الهدى</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أيضمن الإمام صلاة الفريضة، فإنّ هؤلاء يزعمون أنّه يضمن‌؟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شيءٍ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يُصلّي بهم جُنُباً أو على غير طهر</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الاستثناء، بطلان صلاة المأموم في تلك الصورة، إذ لو كانت صلاتهم صحيحة، لم تفوتهم شيء حتّى يكون الإمام ضامنا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وبقوله عليه السلام في الخبر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فَسَدت صلاة الإمام، فَسَدَت صلاة المأمومين</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بالنّاس وهو جُنُبٌ أعاد هو، وأعاد النّاس</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ضعيفان سنداً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مختصٌّ بخصوص فَقْد الطهارة، مع أنّه معارَضٌ بالنصوص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المتقدّمة، فيُحمل على الاستحباب، مضافاً إلى أنّه يمكن 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متعهّدٌ للمأمومين بأنْ يُصلّي على طُهر، ولو تخلّف فإنْ كان عمديّاً أثم، وإلّا فهو معذور، ويترتّب عليه لزوم إعلام المأمومين لو تبيّن للإمام حاله في الأثناء، وهذا لا علاقة له بصحّة صلاة المأمومين وعدمها، فالقول بوجوب الإعادة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وترك الاستفصال، صحّة صلاة المأموم وإنْ ارتكب ما لا يُغتفر للمنفرد، كما لو زاد ركناً أو نحوه ممّا يُخلّ بصلاة المنفرد للمتابعة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مقام نفي اقتضاء فساد صلاة الإمام، لبطلان صلاة المأموم، من غير تعرّض فيها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مقام صحّة صلاة المأموم الّتي يؤتى بها، على حسب مايقتضيه أدلّة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مع دليل قدح ذلك في صحّة الصَّلاة، فتُحمل هذه النصوص على ما لو لم يزد ركناً أو نحوه ممّا يخلّ بصلاة المنفرد،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النصوص على فرض تسليم إطلاقها، تكون حاكمة على تلك الأدلّة،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لها ما دلَّ على اعتبار كون الإمام عادلاً مسلماً، وكونه مصلّياً، فإنّ هذه الأدلّة تقتضي بطلانها مع فَقْد أحد هذه القيود، والنصوص المتقدّمة، غاية مايستفاد منها صحّة الصَّلاة، ولا تدلّ على صحّة الاقتداء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كون الإمام كافراً، أو فاسقاً، أو على غير طهارة في الأثناء، نوى المقتدي الإنفراد وصحّت صلاته، لصحيح زرارة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بقومٍ ركعتين، ثمّ أخبرهم أنّه ليس على 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فإنّه ليس على الإمام ضمان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صلاته،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من أنّ في رواية حمّاد عن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يستقبلون صلاتهم إذا اخبرهم الإمام في الأثناء أنّه لم يكن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غير مرويّة في الكتب المعتمدة، كما اعترف به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30"/>
      </w:r>
      <w:r>
        <w:rPr>
          <w:rFonts w:ascii="IRNazanin" w:hAnsi="IRNazanin" w:eastAsia="IRNazanin"/>
          <w:color w:val="111111"/>
          <w:sz w:val="28"/>
          <w:sz w:val="28"/>
          <w:szCs w:val="28"/>
          <w:rtl w:val="true"/>
          <w:lang w:bidi="fa-IR"/>
        </w:rPr>
        <w:t>فضلاً عن أنّها معرض عنها عند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أنّه على فرض وجودها وحجيّتها، لابدَّ من حملها على الاستحباب، جمعاً بينها وبين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الإعادة ضعيف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15" w:name="pg11802_154134"/>
    </w:p>
    <w:p>
      <w:pPr>
        <w:pStyle w:val="Heading5"/>
        <w:numPr>
          <w:ilvl w:val="4"/>
          <w:numId w:val="1"/>
        </w:numPr>
        <w:rPr/>
      </w:pPr>
      <w:bookmarkStart w:id="316" w:name="__RefHeading___Toc10531755_73709187"/>
      <w:bookmarkStart w:id="317" w:name="_Toc119"/>
      <w:bookmarkEnd w:id="315"/>
      <w:bookmarkEnd w:id="316"/>
      <w:r>
        <w:rPr>
          <w:rtl w:val="true"/>
        </w:rPr>
        <w:t>استحباب إعادة الصَّلاة جماعة</w:t>
      </w:r>
      <w:bookmarkEnd w:id="317"/>
    </w:p>
    <w:p>
      <w:pPr>
        <w:pStyle w:val="Heading6"/>
        <w:numPr>
          <w:ilvl w:val="5"/>
          <w:numId w:val="1"/>
        </w:numPr>
        <w:rPr/>
      </w:pPr>
      <w:bookmarkStart w:id="318" w:name="__RefHeading___Toc10531757_73709187"/>
      <w:bookmarkStart w:id="319" w:name="_Toc120"/>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631"/>
      </w:r>
      <w:r>
        <w:rPr>
          <w:rFonts w:ascii="Amiri" w:hAnsi="Amiri" w:eastAsia="Amiri" w:cs="Amiri"/>
          <w:color w:val="111111"/>
          <w:sz w:val="28"/>
          <w:sz w:val="28"/>
          <w:szCs w:val="28"/>
          <w:rtl w:val="true"/>
          <w:lang w:bidi="ar-SA"/>
        </w:rPr>
        <w:t>على الظاهر في أنّه يستحبُّ أن يعيد المنفرد صلاته التي صلّاها، إذا وجد من يُصلّي تلك الصَّلاة جماعةً‌؛ إماماً كان أو مأموماً، وعن غير واحدٍ دعوى الإجماع عليه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إنّي أحضرُ المساجد مع جيراني وغيرهم، فيأمرونني بالصلاة بهم، وقد صلّيت قبل أن آتيهم، وربما صَلّى خلفي من يقتدي بصلاتي، والمستضعف والجاهل، فأكره أن أتقدّم، وقد صلّيت لحال من يُصلّي بصلاتي ممّن سمّيتُ لك، فمُرني في ذلك بأمرك أنتهي إليه، وأعمل به إنْ شاء اللّه تعالى؟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الصَّلاة وحده، ثمّ يجد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ويجعلها الفريضة إنْ شاء</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إشكال في استحباب إعادة المنفرد إماماً كان أو مأموماً، كما لا إشكال في عدم استحباب إعادة المنفرد أو المأموم أو الإمام منفرداً، وكذلك لا </w:t>
      </w:r>
    </w:p>
    <w:p>
      <w:pPr>
        <w:pStyle w:val="BookText"/>
        <w:rPr/>
      </w:pPr>
      <w:r>
        <w:rPr>
          <w:rFonts w:ascii="Amiri" w:hAnsi="Amiri" w:eastAsia="Amiri" w:cs="Amiri"/>
          <w:color w:val="111111"/>
          <w:sz w:val="28"/>
          <w:sz w:val="28"/>
          <w:szCs w:val="28"/>
          <w:rtl w:val="true"/>
          <w:lang w:bidi="ar-SA"/>
        </w:rPr>
        <w:t>ينبغي التوقّف في عدم استحباب إعادة الإمام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الإمام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المأموم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المأموم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النائيني جوازه</w:t>
      </w:r>
      <w:r>
        <w:rPr>
          <w:rStyle w:val="FootnoteAnchor"/>
          <w:rtl w:val="true"/>
        </w:rPr>
        <w:footnoteReference w:id="635"/>
      </w:r>
      <w:r>
        <w:rPr>
          <w:rFonts w:ascii="Amiri" w:hAnsi="Amiri" w:eastAsia="Amiri" w:cs="Amiri"/>
          <w:color w:val="111111"/>
          <w:sz w:val="28"/>
          <w:sz w:val="28"/>
          <w:szCs w:val="28"/>
          <w:rtl w:val="true"/>
          <w:lang w:bidi="ar-SA"/>
        </w:rPr>
        <w:t>، واستدلّ له بإطلاق صحيح ابن بزيع المتقدّم، بدعوى أنّ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صلّيتُ قبل أن آتيهم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إذا كان صَلّى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والإيراد عليه ببُعد إقامة الجماعة في غير المسجد، مع تمكّنه من حضور مساجد جيرانه من غير تقيّةٍ‌، غير تامّ‌، فإنّه لا بُعد في ذلك في تلك الأزمنة، كما لا يخفى‌، فالأظهر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غير واحدٍ</w:t>
      </w:r>
      <w:r>
        <w:rPr>
          <w:rStyle w:val="FootnoteAnchor"/>
          <w:rtl w:val="true"/>
        </w:rPr>
        <w:footnoteReference w:id="636"/>
      </w:r>
      <w:r>
        <w:rPr>
          <w:rFonts w:ascii="Amiri" w:hAnsi="Amiri" w:eastAsia="Amiri" w:cs="Amiri"/>
          <w:color w:val="111111"/>
          <w:sz w:val="28"/>
          <w:sz w:val="28"/>
          <w:szCs w:val="28"/>
          <w:rtl w:val="true"/>
          <w:lang w:bidi="ar-SA"/>
        </w:rPr>
        <w:t>منهم الشيخ الأعظم رحمه الله جوازه</w:t>
      </w:r>
      <w:r>
        <w:rPr>
          <w:rStyle w:val="FootnoteAnchor"/>
          <w:rtl w:val="true"/>
        </w:rPr>
        <w:footnoteReference w:id="637"/>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رُوي أنّ معاذاً كان يُصلّي مع النبيّ صلى الله عليه و آله ثمّ يرجع فيُصلّي بقومه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عن فخر المحقّقين رحمه الله، عن والده المصنّف رحمه الله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320" w:name="pg11802_154136"/>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أعرابيّاً جاء إلى المسجد وقد فرغ النبيّ صلى الله عليه و آله وأصحابه من الصَّلاة،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رجلٌ يتصدّق على هذا فيُصلّي معه، فقام شخصٌ فأعاد صلاته وصَلّى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عليهما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لإثبات الاستحباب، برغم ضعف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حينئذٍ ترتيب آثار الجماعة على مثل هذه الجماعة، الثابت استحبابها بأخبار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أوّل مبحث الجماعة،</w:t>
      </w:r>
      <w:r>
        <w:rPr>
          <w:rStyle w:val="FootnoteAnchor"/>
          <w:rtl w:val="true"/>
        </w:rPr>
        <w:footnoteReference w:id="641"/>
      </w:r>
      <w:r>
        <w:rPr>
          <w:rFonts w:ascii="Amiri" w:hAnsi="Amiri" w:eastAsia="Amiri" w:cs="Amiri"/>
          <w:color w:val="111111"/>
          <w:sz w:val="28"/>
          <w:sz w:val="28"/>
          <w:szCs w:val="28"/>
          <w:rtl w:val="true"/>
          <w:lang w:bidi="ar-SA"/>
        </w:rPr>
        <w:t>مع أنّه لا بأس بالتمسّك به بإطلاق صحيح ابن بزيع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منهم الشهيدان جوازه</w:t>
      </w:r>
      <w:r>
        <w:rPr>
          <w:rStyle w:val="FootnoteAnchor"/>
          <w:rtl w:val="true"/>
        </w:rPr>
        <w:footnoteReference w:id="642"/>
      </w:r>
      <w:r>
        <w:rPr>
          <w:rFonts w:ascii="Amiri" w:hAnsi="Amiri" w:eastAsia="Amiri" w:cs="Amiri"/>
          <w:color w:val="111111"/>
          <w:sz w:val="28"/>
          <w:sz w:val="28"/>
          <w:szCs w:val="28"/>
          <w:rtl w:val="true"/>
          <w:lang w:bidi="ar-SA"/>
        </w:rPr>
        <w:t>، وهو الأظهر، لإطلاق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في المسجد، واُقيمتِ الصَّلاة، فإنْ شئتَ فاخرُج، وإنْ شئت فصلِّ معهم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استحباب الإعادة في صور خمس، وعدمه في أربع</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0531759_73709187"/>
      <w:bookmarkStart w:id="322" w:name="_Toc121"/>
      <w:bookmarkEnd w:id="321"/>
      <w:r>
        <w:rPr>
          <w:rtl w:val="true"/>
        </w:rPr>
        <w:t>أقول</w:t>
      </w:r>
      <w:r>
        <w:rPr>
          <w:rtl w:val="true"/>
        </w:rPr>
        <w:t xml:space="preserve">: </w:t>
      </w:r>
      <w:r>
        <w:rPr>
          <w:rtl w:val="true"/>
        </w:rPr>
        <w:t>بقي في المقام البحث عن اُمور</w:t>
      </w:r>
      <w:r>
        <w:rPr>
          <w:rtl w:val="true"/>
        </w:rPr>
        <w:t>:</w:t>
      </w:r>
      <w:bookmarkEnd w:id="322"/>
    </w:p>
    <w:p>
      <w:pPr>
        <w:pStyle w:val="Heading6"/>
        <w:numPr>
          <w:ilvl w:val="5"/>
          <w:numId w:val="1"/>
        </w:numPr>
        <w:rPr/>
      </w:pPr>
      <w:bookmarkStart w:id="323" w:name="__RefHeading___Toc10531761_73709187"/>
      <w:bookmarkStart w:id="324" w:name="_Toc122"/>
      <w:bookmarkEnd w:id="323"/>
      <w:r>
        <w:rPr>
          <w:rtl w:val="true"/>
        </w:rPr>
        <w:t>جواز الإعادة في موارد إنّما يختصُّ بالمرّة الاُولى</w:t>
      </w:r>
      <w:bookmarkEnd w:id="3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الإعادة في موارد إنّما يختصُّ بالمرّة الاُولى، ولا دليل على جوازها مراراً، والأصل يقتضي عدم الجواز</w:t>
      </w:r>
      <w:r>
        <w:rPr>
          <w:rFonts w:eastAsia="Amiri" w:cs="Amiri" w:ascii="Amiri" w:hAnsi="Amiri"/>
          <w:color w:val="111111"/>
          <w:sz w:val="28"/>
          <w:szCs w:val="28"/>
          <w:rtl w:val="true"/>
          <w:lang w:bidi="ar-SA"/>
        </w:rPr>
        <w:t xml:space="preserve">. </w:t>
      </w:r>
      <w:bookmarkStart w:id="325" w:name="pg11802_154137"/>
    </w:p>
    <w:p>
      <w:pPr>
        <w:pStyle w:val="Heading6"/>
        <w:numPr>
          <w:ilvl w:val="5"/>
          <w:numId w:val="1"/>
        </w:numPr>
        <w:rPr/>
      </w:pPr>
      <w:bookmarkStart w:id="326" w:name="__RefHeading___Toc10531763_73709187"/>
      <w:bookmarkStart w:id="327" w:name="_Toc123"/>
      <w:bookmarkEnd w:id="325"/>
      <w:bookmarkEnd w:id="326"/>
      <w:r>
        <w:rPr>
          <w:rtl w:val="true"/>
        </w:rPr>
        <w:t>في تبديل الامتثال</w:t>
      </w:r>
      <w:bookmarkEnd w:id="327"/>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يتعيّن في الصّلاة المعادة نيّة الندب</w:t>
      </w:r>
      <w:r>
        <w:rPr>
          <w:rStyle w:val="FootnoteAnchor"/>
          <w:rtl w:val="true"/>
        </w:rPr>
        <w:footnoteReference w:id="645"/>
      </w:r>
      <w:r>
        <w:rPr>
          <w:rFonts w:ascii="Amiri" w:hAnsi="Amiri" w:eastAsia="Amiri" w:cs="Amiri"/>
          <w:color w:val="111111"/>
          <w:sz w:val="28"/>
          <w:sz w:val="28"/>
          <w:szCs w:val="28"/>
          <w:rtl w:val="true"/>
          <w:lang w:bidi="ar-SA"/>
        </w:rPr>
        <w:t>، أم يجوز نيّة الوجوب‌؟</w:t>
      </w:r>
    </w:p>
    <w:p>
      <w:pPr>
        <w:pStyle w:val="BookText"/>
        <w:rPr/>
      </w:pPr>
      <w:r>
        <w:rPr>
          <w:rFonts w:ascii="Amiri" w:hAnsi="Amiri" w:eastAsia="Amiri" w:cs="Amiri"/>
          <w:color w:val="111111"/>
          <w:sz w:val="28"/>
          <w:sz w:val="28"/>
          <w:szCs w:val="28"/>
          <w:rtl w:val="true"/>
          <w:lang w:bidi="ar-SA"/>
        </w:rPr>
        <w:t>قولان، المنسوب إلى جماعة منهم الشهيدان هو الثاني</w:t>
      </w:r>
      <w:r>
        <w:rPr>
          <w:rStyle w:val="FootnoteAnchor"/>
          <w:rtl w:val="true"/>
        </w:rPr>
        <w:footnoteReference w:id="646"/>
      </w:r>
      <w:r>
        <w:rPr>
          <w:rFonts w:ascii="Amiri" w:hAnsi="Amiri" w:eastAsia="Amiri" w:cs="Amiri"/>
          <w:color w:val="111111"/>
          <w:sz w:val="28"/>
          <w:sz w:val="28"/>
          <w:szCs w:val="28"/>
          <w:rtl w:val="true"/>
          <w:lang w:bidi="ar-SA"/>
        </w:rPr>
        <w:t>، وظاهر الأكثر هو الأوّل</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لجواز نيّة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هشام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ويَجعَلُها الفريضة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اللّه أحبّهما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له افضلهما وأتمّهما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على ذلك الشيخ الأعظم رحمه الله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الأوّل قد وقع على جهة الوجوب، مستجمعاً لشرائط إسقاط الواجب، فلا يعقل نفي الوجوب عنه، ولا وجوبَ آخر حتّى يقع الفعل الثاني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المحقّق الهمداني رحمه الله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تشييداً لأركان ما استدلّ به على هذا القول، بما حاصله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تبديل الامتثال وإنْ كان لا يجوز في نفسه، إلّاأنّ ذلك ما لم يدلّ دليلٌ على </w:t>
      </w:r>
    </w:p>
    <w:p>
      <w:pPr>
        <w:pStyle w:val="BookText"/>
        <w:rPr/>
      </w:pPr>
      <w:r>
        <w:rPr>
          <w:rFonts w:ascii="Amiri" w:hAnsi="Amiri" w:eastAsia="Amiri" w:cs="Amiri"/>
          <w:color w:val="111111"/>
          <w:sz w:val="28"/>
          <w:sz w:val="28"/>
          <w:szCs w:val="28"/>
          <w:rtl w:val="true"/>
          <w:lang w:bidi="ar-SA"/>
        </w:rPr>
        <w:t>جوازه، وحيثُ أنّ المفروض دلالة الدليل عليه في المقام، فلا محذور في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أخبار الباب استحبابُ الإعادة في نفسها، مثل ما دلَّ على استحباب إعادة صلاة الآيات ما دامت الآية باقية، فيكون كلّ فردٍ امتثالاً لأمرٍ غير ما يكون الآخر امتثالاً له، وليس من باب تبديل الامتثال، والذي دعا الجماعة إلى الالتزام بدلالتها على جواز تبديل الإمتثال، إنّما هو تضمّن تلك النصوص لجُملٍ ثلاث، كما صرّحوا بذلك في الوجه الذي استدلّوا به في المقام</w:t>
      </w:r>
      <w:r>
        <w:rPr>
          <w:rStyle w:val="FootnoteAnchor"/>
          <w:rtl w:val="true"/>
        </w:rPr>
        <w:footnoteReference w:id="651"/>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 له أفضلهما وأتمّهما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اللّه أحبّهما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هشام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شيئاً منها 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المرسل المتضمّن لها، وروده في الصَّلاة مع المخالفين، فيكون نظير طائفة من النصوص الواردة في الباب، الدالّة على استحباب الإعادة مع المخالفين، والمستفادُ من مجموعها أنّها لا تُحسب صلاةً ولو نافلة، بل في بعضها التصريح بأنّه يجعلها تسبيحاً، وذكرا 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أريهم أنّي أسجدُ وما أسجدُ</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فهو خارجٌ عن مورد البحث، وأجنبيٌ عن تبديل الامتثال، بل المراد من هذه الجملة حينئذٍ أنّ الصَّلاة معهم تقيّة، لما فيها من المصالح، وأنّ أفضل العملين له، أي الصَّلاة الثانية وإنْ كانت صوريّة فهي أفضل من الاُولى الحقيقيّة للمصالح العظيمة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فيتعيّن قراءة أفضلهما وأتمَّهما بالنَّصب لا بالرفع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والشاهدُ على أنّ الخبر المرسل من هذه الطبقة النصوص، أنّ الظاهر كونه تتمّة رواية رواها عن الإمام الصادق عليه السلام، الواردة في الصَّلاة معهم،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اُصلّي في أهلي ثمّ أخرجُ إلى المسجد، فيقدّموني‌؟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لا عليك وصَلِّ بهم</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بهم لا صَلّى اللّه عليهم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يُعطي الثواب على الصَّلاة الكاملة منهما، الواقعتين بداعي امتثال الأمرين من الوجوبي والندبي، لا أنّ الصَّلاة التي تكون أحبُّ هي المُسقطة للأمر الوجوبي، وأنّها التي يستقرُّ عليها الإمتثال، والمُحصّلة للغرض الأقصى‌، والشاهد على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اشتراكهما في المحبوبيّة، إذ القائل بتبديل الامتثال لايلتزم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الإتيان بالثانية بعنوان القضاء عمّا في الذمّة من الصَّلوات الفاسدة، أو التي لم يؤتَ بها، ويؤيّده قوله عليه السلام في صحيح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يجعلها الفريضة إنْ شاء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 الطائفة</w:t>
      </w:r>
      <w:r>
        <w:rPr>
          <w:rStyle w:val="FootnoteAnchor"/>
          <w:rtl w:val="true"/>
        </w:rPr>
        <w:footnoteReference w:id="655"/>
      </w:r>
      <w:r>
        <w:rPr>
          <w:rFonts w:ascii="Amiri" w:hAnsi="Amiri" w:eastAsia="Amiri" w:cs="Amiri"/>
          <w:color w:val="111111"/>
          <w:sz w:val="28"/>
          <w:sz w:val="28"/>
          <w:szCs w:val="28"/>
          <w:rtl w:val="true"/>
          <w:lang w:bidi="ar-SA"/>
        </w:rPr>
        <w:t>وهو أنّ المراد بها، أنّ من يُصلّي ولم يَفرغ من صلاته، ووجد جماعةً‌، فله أن يجعلها نافلة، ثمّ يُصلّي الفريضة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وأيّده الوحيد البهبهاني</w:t>
      </w:r>
      <w:r>
        <w:rPr>
          <w:rStyle w:val="FootnoteAnchor"/>
          <w:rtl w:val="true"/>
        </w:rPr>
        <w:footnoteReference w:id="656"/>
      </w:r>
      <w:r>
        <w:rPr>
          <w:rFonts w:ascii="Amiri" w:hAnsi="Amiri" w:eastAsia="Amiri" w:cs="Amiri"/>
          <w:color w:val="111111"/>
          <w:sz w:val="28"/>
          <w:sz w:val="28"/>
          <w:szCs w:val="28"/>
          <w:rtl w:val="true"/>
          <w:lang w:bidi="ar-SA"/>
        </w:rPr>
        <w:t>بأنّ ذلك هو ظاهر صيغة المضارع، وأنّ راوي هذا الخبر روى هذا المعنى الذى ذكره الشيخ، عن سليمان بن خالد،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ما ذكره بعض المحقّقين رحمه الله من جعلها فريضة ذاتيّة من ظهرٍ أو عصر أو نحوهما ممّا أدّاها سابقاً، لا نافلة ذاتيّة، حيث لا جماعة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تكون الرواية أجنبيّة عمّا استدلّ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لعدم كون نصوص الإعادة في مقام بيان جواز تبديل الامتثال، ما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صلاة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عدم معقوليّته ثبوتاً، إذ الأمر إنْ كان باقياً بعد الإتيان بفردٍ، فبما أنّه إيجابي يجبُ الإتيان به ثانياً، وإلّا فلا موجب للإتيان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المحقّق العراقي في توجيه نصوص الإعادة كلامٌ لا بأس بنقله تتميماً للبحث،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لاشتماله على الغرض والمصلحة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لكونه مقدّمةً لما فيه الغرض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فيه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المكلّف، كالصلاة بالإضافة إلى مقدّماتها مثل الوضوء ونحوه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فعل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من أفعاله الجوارحيّة، كأمر المولى عبده بإحضار الماءليشربه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من أفعاله الجوانحيّة، كأمر المولى عبده بإعادة الصَّلاة جماعة، ليختار أحبّ الصَّلاتين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فبناءً على القول باختصاص الوجوب بالمقدّمة الموصلة، إذا أتى العبد بفردين من أفراد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الأقسام المذكورة غير الأوّل طولاً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يترتّب عليه ما فيه الغرض، عُدَّ هو المصداق للواجب، فيقع الآخر لغواً، فلو صَلّى فُرادى ثمّ جماعة واختار المولى الثانية في مقام ترتّب الثواب على إطاعته، تقع الثانية مصداقاً للواجب دون الاُولى‌، بل هي تقع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التزم به قدس سره من عدم ترتّب غرضٍ على الصَّلاة في نفسها، وإنّما أُمر بها لأجل كونها مقدّمةً لاختيار المولى إيّاها في مقام ترتّب الثواب، التزامٌ بعدم كون هذا الحكم تابعاً للمصلحة، وهو منافٍ لمسلك العدليّة، مع أنّه قد وردت نصوص كثيرة دالّة على أنّ في خصوص الصَّلاة مصالحاً وأغراضاً من الانتهاء عن الفحشاء والمنكر،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دلالة هذه النصوص بأنفسها على وقوع كلٍّ من الصلاتين على صفة المحبوبيّة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تبديل الامتثال، وأنّ نصوص الإعادة أجنبيّة عن ذلك، وعليه فإيراد الشيخ الأعظم رحمه الله على الشهيدين في محلّه، فالأظهر تعيّن قصد الندب</w:t>
      </w:r>
      <w:r>
        <w:rPr>
          <w:rFonts w:eastAsia="Amiri" w:cs="Amiri" w:ascii="Amiri" w:hAnsi="Amiri"/>
          <w:color w:val="111111"/>
          <w:sz w:val="28"/>
          <w:szCs w:val="28"/>
          <w:rtl w:val="true"/>
          <w:lang w:bidi="ar-SA"/>
        </w:rPr>
        <w:t xml:space="preserve">. </w:t>
      </w:r>
      <w:bookmarkStart w:id="328" w:name="pg11802_154142"/>
    </w:p>
    <w:p>
      <w:pPr>
        <w:pStyle w:val="Heading6"/>
        <w:numPr>
          <w:ilvl w:val="5"/>
          <w:numId w:val="1"/>
        </w:numPr>
        <w:rPr/>
      </w:pPr>
      <w:bookmarkStart w:id="329" w:name="__RefHeading___Toc10531765_73709187"/>
      <w:bookmarkStart w:id="330" w:name="_Toc124"/>
      <w:bookmarkEnd w:id="328"/>
      <w:bookmarkEnd w:id="329"/>
      <w:r>
        <w:rPr>
          <w:rtl w:val="true"/>
        </w:rPr>
        <w:t>القيد والدّاعي</w:t>
      </w:r>
      <w:bookmarkEnd w:id="330"/>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بطلان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تكون الثانية المأتي بها بعنوان الإعادة مُجزية عنها ومسقطة لأمرها أم لا؟</w:t>
      </w:r>
    </w:p>
    <w:p>
      <w:pPr>
        <w:pStyle w:val="BookText"/>
        <w:rPr/>
      </w:pPr>
      <w:r>
        <w:rPr>
          <w:rFonts w:ascii="Amiri" w:hAnsi="Amiri" w:eastAsia="Amiri" w:cs="Amiri"/>
          <w:color w:val="111111"/>
          <w:sz w:val="28"/>
          <w:sz w:val="28"/>
          <w:szCs w:val="28"/>
          <w:rtl w:val="true"/>
          <w:lang w:bidi="ar-SA"/>
        </w:rPr>
        <w:t>أم يُفصّل بين ما إذا كان قاصداً امتثال الأمر الواقعي المتوجّه إليه في تلك الحال بالصّلاة، وإنْ اعتقد أنّه الأمر بالمعادة منها، وبين ما إذا كان قاصداً الأمر الذي يعتقده بنحو التقييد، فتصحّ في الأوّل دون الثاني‌؟</w:t>
      </w:r>
    </w:p>
    <w:p>
      <w:pPr>
        <w:pStyle w:val="BookText"/>
        <w:rPr/>
      </w:pPr>
      <w:r>
        <w:rPr>
          <w:rFonts w:ascii="Amiri" w:hAnsi="Amiri" w:eastAsia="Amiri" w:cs="Amiri"/>
          <w:color w:val="111111"/>
          <w:sz w:val="28"/>
          <w:sz w:val="28"/>
          <w:szCs w:val="28"/>
          <w:rtl w:val="true"/>
          <w:lang w:bidi="ar-SA"/>
        </w:rPr>
        <w:t>وجوهٌ‌، أقواها الأوّل، إذ الميزان في صحّة العبادة، الإتيان بذات المأمور به بجميع قيوده متقرّباً إلى اللّه تعالى، ولا يعتبر فيها شيءٌ آخر، ولو نقصت عن ذلك لاتصحّ‌، فلو صَلّى في أوّل الوقت بتخيّل أنّه آخر الوقت صحّت صلاته، وإنْ كان ذلك على وجه التقييد، لأنّ زعمه الباطل ذلك لا يعدّ أحد المبطلات، والمفروض إتيان الصَّلاة تامّة متقرّباً بها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صلاة العصر بتخيّل أنّه صَلّى الظهر، لم تصحّ على القاعدة، وإنْ كان قَصَد الأمر بالعصر على نحو الدّاعي، لأنّ حقيقة صلاة العصر تُغاير حقيقة صلاة الظهر، كما يكشف عن ذلك اختلاف أحكامهما، فإذا لم يقصد حقيقة إحداهما، وقصد الاُخرى‌، لا تقع عنها، لعدم تحقّقها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الصحّة ما ذكرناه، من غير فرقٍ بين الدّاعي والقيد، وعلى ذلك فبما أنّ المستفاد من النصوص أنّ الصَّلاة الأصليّة والمعادة حقيقة واحدة، وأنّ اختلاف الآثار إنّما يكون من جهة اختلاف حالات المُصلّي، إذ ربما يكون مُصلّياً قبل هذه الصَّلاة، وربما يكون غير مُصَلِّ‌، وعلى الأوّل تكون صلاته معادة، وعلى الثاني تكون أصليّة، وهذا لا يوجبُ الاختلاف في الحقيقة، وحينئذٍ فمن قَصَد الأمر </w:t>
      </w:r>
    </w:p>
    <w:p>
      <w:pPr>
        <w:pStyle w:val="BookText"/>
        <w:rPr/>
      </w:pPr>
      <w:r>
        <w:rPr>
          <w:rFonts w:ascii="Amiri" w:hAnsi="Amiri" w:eastAsia="Amiri" w:cs="Amiri"/>
          <w:color w:val="111111"/>
          <w:sz w:val="28"/>
          <w:sz w:val="28"/>
          <w:szCs w:val="28"/>
          <w:rtl w:val="true"/>
          <w:lang w:bidi="ar-SA"/>
        </w:rPr>
        <w:t>بالمعادة، وكان في الواقع غير مُصلٍّ‌، فقد أتى بالصلاة المأمور بها بجميع قيودها متقرّباً إلى اللّه تعالى، فتكون مُجزية، وإنْ كان قصده الأمر بالعادة على وجه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قيّد صلاته بالمعادة، وقصَد الإتيان بها كذلك، فإذا لم تكن معادة فصلاته هذه لا تكون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هذا العنوان دخيلاً في المأمور به، بل كان من العناوين المنطبقة عليها من جهة وقوعها بعد صلاة اُخرى‌، فمن قَصَد هذا العنوان، وتعلّقت إرادته بإيجاده، فقد انبعثت عنها إرادة اُخرى إلى معنونه، فذات الصَّلاة مقصودة بتبع إرادة المعادة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قاصداً امتثال الأمر الفعلي المتوجّه إليه، فهو قاصدٌ لامتثال الأمر بالصلاة الأصليّة، ولا ينافيه اعتقاد كونه الأمر بالمعادة، إذ الخطأ في اعتقاد الصفة، مع عدم أخذها قيداً في الموضوع، لا يمنع من قصد ذات الموصوف وتحقّقه واتّصافه بوصفٍ يُغاير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قصده امتثال الأمر بالمعادة منها بنحو التقييد، فبما أنّه بانتفاء القيد ينتفي المقيّد، فلا يكون ممتثلاً للأمر الواقعي المتوجّه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لا واقع له، وما له واقعٌ لم يُقصد، وهذا بخلاف الصورة الاُولى، فإنّه على الفرض قاصدٌ لإمتثال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ذكرناه في وجه المختار، الجوابُ عن ذلك، فلاحظ وتدبّر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والمحقّق، من الحكم بالصحّة في الصورتين في ما هو 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bookmarkStart w:id="331" w:name="pg11802_154144"/>
    </w:p>
    <w:p>
      <w:pPr>
        <w:pStyle w:val="BookText"/>
        <w:rPr/>
      </w:pPr>
      <w:bookmarkEnd w:id="331"/>
      <w:r>
        <w:rPr>
          <w:rFonts w:ascii="Amiri" w:hAnsi="Amiri" w:eastAsia="Amiri" w:cs="Amiri"/>
          <w:color w:val="111111"/>
          <w:sz w:val="28"/>
          <w:sz w:val="28"/>
          <w:szCs w:val="28"/>
          <w:rtl w:val="true"/>
          <w:lang w:bidi="ar-SA"/>
        </w:rPr>
        <w:t>يستحبُّ عمارة المساجد مكشوفة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0531767_73709187"/>
      <w:bookmarkStart w:id="333" w:name="_Toc125"/>
      <w:bookmarkEnd w:id="332"/>
      <w:r>
        <w:rPr>
          <w:rtl w:val="true"/>
        </w:rPr>
        <w:t>أحكام المساجد</w:t>
      </w:r>
      <w:bookmarkEnd w:id="333"/>
    </w:p>
    <w:p>
      <w:pPr>
        <w:pStyle w:val="Heading6"/>
        <w:numPr>
          <w:ilvl w:val="5"/>
          <w:numId w:val="1"/>
        </w:numPr>
        <w:rPr/>
      </w:pPr>
      <w:bookmarkStart w:id="334" w:name="__RefHeading___Toc10531769_73709187"/>
      <w:bookmarkStart w:id="335" w:name="_Toc126"/>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خاتمة تتعلّق بالمساجد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بالمساجد المكان الموقوف على كافّة المسلمين للصّلاة فيه، لو وقفه على أن يُصلّي فيه 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يبطل الوقف من أصله، كما عن فخر المحقّقين، والمحقّق الثاني</w:t>
      </w:r>
      <w:r>
        <w:rPr>
          <w:rStyle w:val="FootnoteAnchor"/>
          <w:rtl w:val="true"/>
        </w:rPr>
        <w:footnoteReference w:id="657"/>
      </w:r>
      <w:r>
        <w:rPr>
          <w:rFonts w:ascii="Amiri" w:hAnsi="Amiri" w:eastAsia="Amiri" w:cs="Amiri"/>
          <w:color w:val="111111"/>
          <w:sz w:val="28"/>
          <w:sz w:val="28"/>
          <w:szCs w:val="28"/>
          <w:rtl w:val="true"/>
          <w:lang w:bidi="ar-SA"/>
        </w:rPr>
        <w:t>وغيرهما</w:t>
      </w:r>
      <w:r>
        <w:rPr>
          <w:rStyle w:val="FootnoteAnchor"/>
          <w:rtl w:val="true"/>
        </w:rPr>
        <w:footnoteReference w:id="6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يبطل التخصيص، ويصحّ الوقف، كما عن المصنّف رحمه الله في باب الوقف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يصحّان معاً، كما عن المصنّف رحمه الله تقوتيه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 سيأتي التعرّض لهذه المسألة في كتاب الوقف</w:t>
      </w:r>
      <w:r>
        <w:rPr>
          <w:rStyle w:val="FootnoteAnchor"/>
          <w:rtl w:val="true"/>
        </w:rPr>
        <w:footnoteReference w:id="661"/>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عمارة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ويستحبُّ أن تكون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مكشوفة</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لحسن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بنى مسجده بالسَّميط،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w:t>
      </w:r>
    </w:p>
    <w:p>
      <w:pPr>
        <w:pStyle w:val="BookText"/>
        <w:rPr/>
      </w:pPr>
      <w:r>
        <w:rPr>
          <w:rFonts w:ascii="Amiri" w:hAnsi="Amiri" w:eastAsia="Amiri" w:cs="Amiri"/>
          <w:color w:val="111111"/>
          <w:sz w:val="28"/>
          <w:sz w:val="28"/>
          <w:szCs w:val="28"/>
          <w:rtl w:val="true"/>
          <w:lang w:bidi="ar-SA"/>
        </w:rPr>
        <w:t>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فزيدَ فيه وبناه بالسعيدة، ثمّ إنّ المسلمين كثروا،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وبُني جداره بالاُنثى والذّكر، ثمّ اشتدّ عليهم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لو أمرتَ بالمسجد فظُلِّل،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فأُقيمت فيه سواري من جذوع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لو أمرت بالمسجد فطيّن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عَريش كعريش موسى عليه السلام، فلم يَزل كذلك حتّى قُبِض صلى الله عليه و آله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يدلّ على استحباب كونها مكشوفة،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نهيه عن التسقيف مرجوحيّة ذلك، وترك المكروه ليس بمستحبّ‌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مرجوحيّة التسقيف خاصّة، وعدم البأس بالتظليل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الحلبي أو صحيحه،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المساجد المظلّلة أتُكره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يضرّكم اليوم، ولو قد كان العدل لرأيتمّ كيف يصنع في ذلك</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عدم تعرّضه لحكم بناء المسجد، وإنّما هو في مقام بيان حكم الصَّلاة، أنّه لو اُغمض عن ذلك، يتعيّن حمله على إرادة التظليل بالنحو المتعارف من كونه بالتسقيف، جمعاً بينه وبين حسن ابن سنان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كراهة التسقيف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36" w:name="pg11802_154146"/>
    </w:p>
    <w:p>
      <w:pPr>
        <w:pStyle w:val="BookText"/>
        <w:rPr/>
      </w:pPr>
      <w:bookmarkEnd w:id="336"/>
      <w:r>
        <w:rPr>
          <w:rFonts w:ascii="Amiri" w:hAnsi="Amiri" w:eastAsia="Amiri" w:cs="Amiri"/>
          <w:color w:val="111111"/>
          <w:sz w:val="28"/>
          <w:sz w:val="28"/>
          <w:szCs w:val="28"/>
          <w:rtl w:val="true"/>
          <w:lang w:bidi="ar-SA"/>
        </w:rPr>
        <w:t>والمِيضاةُ على أبوابها، والمنارة مع حائطها، والإسراج فيها، وإعادة المستهدم، ويجوز استعمال آلته في غيره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الميضاة على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بها المَطْهرة، ومستند استحباب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عبدالحميد، عن أبي إبراهيم عليه السلام،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جَنّبوامساجدكم صبيانكم ومجانينكم وشراءكم وبيعكم، واجعلوا مطاهركم على أبواب مساجدكم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المنارة مع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وسطها، واستدلّ له المصنّف رحمه الله</w:t>
      </w:r>
      <w:r>
        <w:rPr>
          <w:rStyle w:val="FootnoteAnchor"/>
          <w:rtl w:val="true"/>
        </w:rPr>
        <w:footnoteReference w:id="668"/>
      </w:r>
      <w:r>
        <w:rPr>
          <w:rFonts w:ascii="Amiri" w:hAnsi="Amiri" w:eastAsia="Amiri" w:cs="Amiri"/>
          <w:color w:val="111111"/>
          <w:sz w:val="28"/>
          <w:sz w:val="28"/>
          <w:szCs w:val="28"/>
          <w:rtl w:val="true"/>
          <w:lang w:bidi="ar-SA"/>
        </w:rPr>
        <w:t xml:space="preserve">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التوسعة ورفع الحجاب بين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الإسراج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أسرج في مسجدٍ من مساجد اللّه سِراجاً، لم يزل الملائكة وحَمَلة العرش يستغفرون له ما دام في ذلك المسجد ضوء من ذلك السراج</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المستهدم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مادلَّ على استحباب عمّارة المساجد</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0531771_73709187"/>
      <w:bookmarkStart w:id="338" w:name="_Toc127"/>
      <w:bookmarkEnd w:id="337"/>
      <w:r>
        <w:rPr>
          <w:rtl w:val="true"/>
        </w:rPr>
        <w:t>جواز استعمال آلات المساجد</w:t>
      </w:r>
      <w:bookmarkEnd w:id="33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استعمال آلته في غيره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استغنائه عنها، أو تعذّر استعمالها فيه، لاستيلاء الخراب عليه، بلا خلافٍ فيه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جماعةٍ‌، منهم المصنّف رحمه الله في المتن الجواز مطلقاً، وقد استدلّوا لهذا الحكم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المساجد للّه، وما كان للّه فهو لوليّه، فله التصرّف فيه على حسب المصلحة كباقي ما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المساجد موقوفة على أن يُصلّى فيها للّه، لا أنّها موضوعة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هو الإمام عليه السلام، وجواز تصرّفه فيها كيف ماشاء ممّا لا كلام فيه، إنّما الكلام في جواز التصرّف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أنّ المساجد جميعها للّه، فهي في الحقيقة كمسجدٍ واحد، فلا بأس بإصلاح بعضها ببعضٍ للمصلحة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عليحسب ما يوقفهاأهلها</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الإقتصار في التصرّف على النحو الذي أوقفها أهلُها، فإذا كان الوقف على مسجدٍ خاص، فالتصرّف فيه بالصَّرف في مسجدٍ آخر خلافٍ ذلك فلايجوز، وكون الجهة واحدة، لا يقتضي كون المجموع مسجداً واحداً،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التصرّف فيها تضييعٌ لها، بخلاف صرفها إلى مسجد آخر، فإنّه حفظ لوقفيّتها على الجهة التي تعلّق بها غرض الواقف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جواز العمل على وفق غرض الواقف، بل الدليل دلَّ على لزوم العمل على وفق ما أُوقف عليه، وعليه فإنْ لم يستغن ذلك المسجد الموقوف له عن تلك الآلات، لا ينبغي التوقّف في عدم جواز استعمالها في غيره، وإلّا فحكمها حكم الوقف الذي تعذّر الانتفاع به في الجهة التي وقف لها، والمشهور بين الأصحاب أنّه يُصرف في وجه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39" w:name="pg11802_154148"/>
    </w:p>
    <w:p>
      <w:pPr>
        <w:pStyle w:val="BookText"/>
        <w:rPr/>
      </w:pPr>
      <w:bookmarkEnd w:id="339"/>
      <w:r>
        <w:rPr>
          <w:rFonts w:ascii="Amiri" w:hAnsi="Amiri" w:eastAsia="Amiri" w:cs="Amiri"/>
          <w:color w:val="111111"/>
          <w:sz w:val="28"/>
          <w:sz w:val="28"/>
          <w:szCs w:val="28"/>
          <w:rtl w:val="true"/>
          <w:lang w:bidi="ar-SA"/>
        </w:rPr>
        <w:t>ويَحرمُ زَخرفتها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اُخر،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وقف لمسجدٍ لا يجوز استعماله في مسجدٍ آخر، مع عدم استغنائه عنه، وإمكان استعماله فيه، وأمّا مع الاستغناء فيجب صرفه في وجوه البِرّ بلا اختصاصٍ له بمسجدٍ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ما ذكرناه بين كون الآلات من قبيل الأحجار والأخشاب وغير ذلك ممّا هو من أجزاء المسجد، وبين كونها من قبيل الفرش والسّراج كما لا يخفى‌</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0531773_73709187"/>
      <w:bookmarkStart w:id="341" w:name="_Toc128"/>
      <w:bookmarkEnd w:id="340"/>
      <w:r>
        <w:rPr>
          <w:rtl w:val="true"/>
        </w:rPr>
        <w:t>حكم زخرفة المساجد ونقشها بالصور</w:t>
      </w:r>
      <w:bookmarkEnd w:id="3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المشهور</w:t>
      </w:r>
      <w:r>
        <w:rPr>
          <w:rStyle w:val="FootnoteAnchor"/>
          <w:rtl w:val="true"/>
        </w:rPr>
        <w:footnoteReference w:id="673"/>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زَخرفتها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من نسبة الحرمة الى القيل عدم 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المتأخّرين</w:t>
      </w:r>
      <w:r>
        <w:rPr>
          <w:rStyle w:val="FootnoteAnchor"/>
          <w:rtl w:val="true"/>
        </w:rPr>
        <w:footnoteReference w:id="675"/>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76"/>
      </w:r>
      <w:r>
        <w:rPr>
          <w:rFonts w:ascii="Amiri" w:hAnsi="Amiri" w:eastAsia="Amiri" w:cs="Amiri"/>
          <w:color w:val="111111"/>
          <w:sz w:val="28"/>
          <w:sz w:val="28"/>
          <w:szCs w:val="28"/>
          <w:rtl w:val="true"/>
          <w:lang w:bidi="ar-SA"/>
        </w:rPr>
        <w:t>القول باستحباب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بدعة، لم تكن في عهد رسول اللّه صلى الله عليه و آله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وبأنّها إسراف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وقعت الزَخرفة بعنوان أنّها من الدّين، دون أن ينطبق عليها عنوان تعظيم الشعائر، ونحوه ممّا يوجب مطلوبيّتها، كانت بدعة ومحرّمة بالحرمة التشريعيّة، وهو ليس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مجرّد الفعل من دون إدخاله في الدِّين، أو معه من جهة انطباق عنوان عامٍ راجح عليه، فلا يكون بدعة، وإنْ لم يكن في عهد رسول اللّه صلى الله عليه و آله، كيف وكثير من الاُمور في زماننا لم تكن موجودة أو معهودة في عهد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تعلّق غرض عقلائي بها كتعظيم الشعائر، ومعه لايصدق عليها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في وصيّة ابن مسعود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في مقام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ويزخرفون المساجد</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النبيّ الكعبة حتّى أمر بالزَّخرف فنحي</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لضعف سنديهما، وعدم ثبوت اعتماد الأصحاب عليهما، لايصلحان لإثبات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ونقشها بالصُّور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كفايتهما لإثبات ذلك بواسطة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مختصّة بالمستحبّات، ولعلّ القائل باستحباب ترك الزَّخرفة فهم من الخبر الثاني استحباب تركها، فبواسطة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بالزَّخرفة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النقش بالزّخرف وهو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679"/>
      </w:r>
      <w:r>
        <w:rPr>
          <w:rFonts w:ascii="Amiri" w:hAnsi="Amiri" w:eastAsia="Amiri" w:cs="Amiri"/>
          <w:color w:val="111111"/>
          <w:sz w:val="28"/>
          <w:sz w:val="28"/>
          <w:szCs w:val="28"/>
          <w:rtl w:val="true"/>
          <w:lang w:bidi="ar-SA"/>
        </w:rPr>
        <w:t>من اللّغويين، تفسيرها بمطلق التزيين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عدم الدليل على حرمتها، بل ولا على كراهتها، فلا يهمّنا إطالة الكلام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المنسوب إلى المشهور حرمة</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نقشها بالصُّور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استدلّ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عمرو بن جميع،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المساجد المصوّرة‌؟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ولكن لا يضرّكم ذلك اليوم، ولو قام العَدل لرأيتم كيف يصنع في ذلك</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تصوير المساجد الموجب لكراهة الصَّلاة فيها، ولو في جزءٍ منها، تصرّفٌ غير مأذونٍ فيه، مورثٌ لمنقصة فيها، بلحاظ الجهة الملحوظة للواقف في وقفيّتها، لأنّه يوجبُ صيرورة الصَّلاة الواقعة فيها ذات منقصة، فهو مضرٌّ بحال الوقف والموقوف عليهم، وبما تعلّق به غرض الواقف،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مع أنّه لا يدلّ على الحرمة، مضافاً إلى أنّه متعرّض لحال الصَّلاة لا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أخصيّته عن المدّعى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حُرمة إضرام النّار في المسجد، ووقوفه قبال المُصلّين، وغيرهما ممّا يوجبُ كراهة الصَّلاة، مع أنّ تصوير المسجد لا يوجب نقصاً في الصَّلاة من حيث وقوعها في المسجد، وإنّما يكون موجباً للنقص من جهة اُخرى‌، فلا ينافي ذلك مع ماتعلّق به غرض الواقف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أنّ كثيراً من الأساطين أفتوا بالحرمة، وفيهم من لا يَعمل إلّا بالقطعيّات، ومَنْ يُعلم شدّة اهتمامه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كالشهيد</w:t>
      </w:r>
      <w:r>
        <w:rPr>
          <w:rStyle w:val="FootnoteAnchor"/>
          <w:rtl w:val="true"/>
        </w:rPr>
        <w:footnoteReference w:id="683"/>
      </w:r>
      <w:r>
        <w:rPr>
          <w:rFonts w:ascii="Amiri" w:hAnsi="Amiri" w:eastAsia="Amiri" w:cs="Amiri"/>
          <w:color w:val="111111"/>
          <w:sz w:val="28"/>
          <w:sz w:val="28"/>
          <w:szCs w:val="28"/>
          <w:rtl w:val="true"/>
          <w:lang w:bidi="ar-SA"/>
        </w:rPr>
        <w:t xml:space="preserve">، ومن يكون فتاويه متون الأخبار غالباً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فالاحتياط بتركه ممّا لاينبغي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42" w:name="pg11802_154152"/>
    </w:p>
    <w:p>
      <w:pPr>
        <w:pStyle w:val="BookText"/>
        <w:rPr/>
      </w:pPr>
      <w:bookmarkEnd w:id="342"/>
      <w:r>
        <w:rPr>
          <w:rFonts w:ascii="Amiri" w:hAnsi="Amiri" w:eastAsia="Amiri" w:cs="Amiri"/>
          <w:color w:val="111111"/>
          <w:sz w:val="28"/>
          <w:sz w:val="28"/>
          <w:szCs w:val="28"/>
          <w:rtl w:val="true"/>
          <w:lang w:bidi="ar-SA"/>
        </w:rPr>
        <w:t>وأخذها أو بعضها في مِلْكٍ أو طريق، وإدخال النجاسة إليها، وإخراج الحَصى منها، ويعادُ لو أُخرج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 أو بعضها في مِلْكٍ أو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ينمحي آثار المسجديّة، أو لايمكن استعمالها فيما اُعدّت له، لمنافاته لمقتضى الوقفيّة على الجهة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النجاسة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 في أبواب النجاسات من هذا الشرح</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10531775_73709187"/>
      <w:bookmarkStart w:id="344" w:name="_Toc129"/>
      <w:bookmarkEnd w:id="343"/>
      <w:r>
        <w:rPr>
          <w:rtl w:val="true"/>
        </w:rPr>
        <w:t>حكم إخراج الحَصى منها</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جماعة من الأساطين</w:t>
      </w:r>
      <w:r>
        <w:rPr>
          <w:rStyle w:val="FootnoteAnchor"/>
          <w:rtl w:val="true"/>
        </w:rPr>
        <w:footnoteReference w:id="685"/>
      </w:r>
      <w:r>
        <w:rPr>
          <w:rFonts w:ascii="Amiri" w:hAnsi="Amiri" w:eastAsia="Amiri" w:cs="Amiri"/>
          <w:color w:val="111111"/>
          <w:sz w:val="28"/>
          <w:sz w:val="28"/>
          <w:szCs w:val="28"/>
          <w:rtl w:val="true"/>
          <w:lang w:bidi="ar-SA"/>
        </w:rPr>
        <w:t xml:space="preserve">، منهم المصنّف رحمه الله أنّ من جُملة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أخذه بحيث ينقطع علاقة اختصاصه بالمسجد،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ويعاد لو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اُخرى إلى القول بالكراهة</w:t>
      </w:r>
      <w:r>
        <w:rPr>
          <w:rStyle w:val="FootnoteAnchor"/>
          <w:rtl w:val="true"/>
        </w:rPr>
        <w:footnoteReference w:id="686"/>
      </w:r>
      <w:r>
        <w:rPr>
          <w:rFonts w:ascii="IRNazanin" w:hAnsi="IRNazanin" w:eastAsia="IRNazanin"/>
          <w:color w:val="111111"/>
          <w:sz w:val="28"/>
          <w:sz w:val="28"/>
          <w:szCs w:val="28"/>
          <w:rtl w:val="true"/>
          <w:lang w:bidi="fa-IR"/>
        </w:rPr>
        <w:t>، منهم المصنّف رحمه الله</w:t>
      </w:r>
      <w:r>
        <w:rPr>
          <w:rStyle w:val="FootnoteAnchor"/>
          <w:rtl w:val="true"/>
        </w:rPr>
        <w:footnoteReference w:id="687"/>
      </w:r>
      <w:r>
        <w:rPr>
          <w:rFonts w:ascii="Amiri" w:hAnsi="Amiri" w:eastAsia="Amiri" w:cs="Amiri"/>
          <w:color w:val="111111"/>
          <w:sz w:val="28"/>
          <w:sz w:val="28"/>
          <w:szCs w:val="28"/>
          <w:rtl w:val="true"/>
          <w:lang w:bidi="ar-SA"/>
        </w:rPr>
        <w:t>في عدة من كتبه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للحرمة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بكونه من أجزاء الوقف، ومقتضاه حُرمة إتلافه، ووجوب إعادته إليه قضاءً للوقفيّة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وهب،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أحدكم الحَصاة من المسجد، فليردّها مكانها أو في مسجدٍ آخر، فإنّها تُسبِّح</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لم يحرم الإخراج، لم يجب الرّد، كما هو مقتضى الأمر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رواه الشيخ بإسناده 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المسجد حصاة‌؟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أو اطرحها في مسجد</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أخذتُ سكاً من سكّ المقام، وتراباً من تراب البيت، وسبع حصيّات‌؟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أمّا التراب والحصى فردّه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يُشكل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من اقتضاء الوقفيّة ذلك ممنوعٌ‌، إذ أخذ ما لا يعتدّ به عرفاً، الملحق بعد الانفصال بالقمامة إذا كان من توابع الانتفاع به كالطين المتلاصق بباطن الرِّجل من أرض المسجد في أيّام المطر، والحَصاة التي تدخل في ثياب من يُصلّي فيها، أو تنفصل عن أرض المسجد بكنسها، ممّا لا ينبغي الارتياب في عدم منافاته للوقف، كما يشهد لذلك السيرة القطعيّة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أخذ هذه الأجزاء استقلالاً لا تبعاً، كأخذ مقدارٍ يسيرٍ من تراب الأرض الموقوفة للتبرّك، أو للتيمّم به، أو استعماله في غَسل الإناء، فالظاهر عدم منافاته لمقتضى الوقفيّة أيضاً، لأنّ الظاهر من وقف شيء خاصٍ إنّما هو إرادة حبس مسمّاه الذي لا يقدح فيه الاختلافات اليسيرة العارضة عليه، ولعلّ عليه السيرة المستمرّة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45" w:name="pg11802_154154"/>
    </w:p>
    <w:p>
      <w:pPr>
        <w:pStyle w:val="BookText"/>
        <w:rPr/>
      </w:pPr>
      <w:bookmarkEnd w:id="345"/>
      <w:r>
        <w:rPr>
          <w:rFonts w:ascii="Amiri" w:hAnsi="Amiri" w:eastAsia="Amiri" w:cs="Amiri"/>
          <w:color w:val="111111"/>
          <w:sz w:val="28"/>
          <w:sz w:val="28"/>
          <w:szCs w:val="28"/>
          <w:rtl w:val="true"/>
          <w:lang w:bidi="ar-SA"/>
        </w:rPr>
        <w:t>ويَكره تعليتها، والشُّرف</w:t>
      </w:r>
    </w:p>
    <w:p>
      <w:pPr>
        <w:pStyle w:val="BookText"/>
        <w:rPr/>
      </w:pPr>
      <w:r>
        <w:rPr>
          <w:rFonts w:ascii="Amiri" w:hAnsi="Amiri" w:eastAsia="Amiri" w:cs="Amiri"/>
          <w:color w:val="111111"/>
          <w:sz w:val="28"/>
          <w:sz w:val="28"/>
          <w:szCs w:val="28"/>
          <w:rtl w:val="true"/>
          <w:lang w:bidi="ar-SA"/>
        </w:rPr>
        <w:t>ويرد على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وباشتمالها على التعليل بالتسبيح الملائم للكراهة، ولذا استدلّ لها للقول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موردها الحصاة الداخلة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أنّ وجوب ردّ تلك الحصاة ممّا يخالف السيرة القطعيّة، بل وما ثبت من جواز إزالتها بالكنس، مع أنّه لا يدلّ على الوجوب، لتضمّنه التخيير بين ردّها وطرحها في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مشتملة على التفصيل بين السكَّ الذي هو المسمار، وبين تراب البيت والحَصاة، مع أنّ ردّه أولى من ردّهما، فلا تصلح هي أيضاً للحكم بالحرمة</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0531777_73709187"/>
      <w:bookmarkStart w:id="347" w:name="_Toc130"/>
      <w:bookmarkEnd w:id="346"/>
      <w:r>
        <w:rPr>
          <w:rtl w:val="true"/>
        </w:rPr>
        <w:t>مكروهات المساجد</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تعليتها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كثيرٌ من الأصحاب</w:t>
      </w:r>
      <w:r>
        <w:rPr>
          <w:rStyle w:val="FootnoteAnchor"/>
          <w:rtl w:val="true"/>
        </w:rPr>
        <w:footnoteReference w:id="691"/>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حائط مسجد رسول اللّه صلى الله عليه و آله كان 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وبكونها معرضاً للاطّلاع على عورات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كما ترى‌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أن يُعمل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يبنى في أعلى الجدران، لقول علي عليه السلام في خبر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المساجد تُبنى جُمَّاً لا تُشرف</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والمحاريب في حائطها، وجعلها طريقاً،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أيضاً أنّه يكره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المحاريب في حائطها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بخبر طلحة،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يكسر المحاريب إذا رآها في المساجد،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مذابح اليهود</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بالكسر قرينة لإرادة المحاريب المتّخذة مستقلّةً في المساجد، لا الداخلة في حائطها مثلاً، لأنّها القابلة للكسر دونها، ولعلّ‌المراد منهاالمقاصير التي أحدثها الجبّارون، فالخبر أجنبيٌّ عن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فالقول بالكراهة لاوجه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استطراقها مع بقاء هيئة المسجديّة، لا أخذها طريقاً، فإنّه حرامٌ كما عرفت، ويدلّ على الكراهة قول النبيّ صلى الله عليه و آله في خبر المناهي</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ارتفاع الكراهة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بعدم ثبوت اعتبار الخبر، وكون الكراهة قابلة للمسامحة غير مقتضٍ للمسامحة في رافعها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رفع الكراهة لو كان منفصلاً عمّا دلّ على الكراهة، كان هذا الكلام متيناً، وأمّا حيث أنّهما ذكرا في رواية واحدة متّصلين، فهي لاتدلّ على الكراهة في صورة صلاة ركعتين، بل على الكراهة مع عدمها، فلا وجه للقول بالكراهة حتّى مع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والبيع فيها والشراء، والتعريف، وإقامة الحدود، وإنشاد الشعر، وعمل الصَّنائع، والنوم،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فيها والشراء، والتعريف، وإقامة الحدود، وإنشاد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 عليّ بن أسباط، عن بعض رجاله،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البيع، والشراء، والمجانين، والصبيان، والأحكام، والضّالة، والحدود، ورفع الصوت</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الحميد،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ومجانينكم، وشراءكم، وبيعكم</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مع أنّها بلسان الأمر، هو الكراهة لأنّها المنساق إلى الذهن من الأمر بالاجتناب عن شيءٍ‌،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سَلّ السيف في المسجد، وعن بَرْي النَّبل في المسجد،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بُني لغير ذلك</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التعليل هو الكراهة مطلقاً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w:t>
      </w:r>
      <w:r>
        <w:rPr>
          <w:rStyle w:val="FootnoteAnchor"/>
          <w:rtl w:val="true"/>
        </w:rPr>
        <w:footnoteReference w:id="699"/>
      </w:r>
      <w:r>
        <w:rPr>
          <w:rFonts w:ascii="Amiri" w:hAnsi="Amiri" w:eastAsia="Amiri" w:cs="Amiri"/>
          <w:color w:val="111111"/>
          <w:sz w:val="28"/>
          <w:sz w:val="28"/>
          <w:szCs w:val="28"/>
          <w:rtl w:val="true"/>
          <w:lang w:bidi="ar-SA"/>
        </w:rPr>
        <w:t xml:space="preserve">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واستدلّ لها بوجوه بيّنة الضعف، </w:t>
      </w:r>
    </w:p>
    <w:p>
      <w:pPr>
        <w:pStyle w:val="BookText"/>
        <w:rPr/>
      </w:pPr>
      <w:r>
        <w:rPr>
          <w:rFonts w:ascii="Amiri" w:hAnsi="Amiri" w:eastAsia="Amiri" w:cs="Amiri"/>
          <w:color w:val="111111"/>
          <w:sz w:val="28"/>
          <w:sz w:val="28"/>
          <w:szCs w:val="28"/>
          <w:rtl w:val="true"/>
          <w:lang w:bidi="ar-SA"/>
        </w:rPr>
        <w:t>والبُصاق، وتمكين المجانين،</w:t>
      </w:r>
    </w:p>
    <w:p>
      <w:pPr>
        <w:pStyle w:val="BookText"/>
        <w:rPr/>
      </w:pPr>
      <w:r>
        <w:rPr>
          <w:rFonts w:ascii="Amiri" w:hAnsi="Amiri" w:eastAsia="Amiri" w:cs="Amiri"/>
          <w:color w:val="111111"/>
          <w:sz w:val="28"/>
          <w:sz w:val="28"/>
          <w:szCs w:val="28"/>
          <w:rtl w:val="true"/>
          <w:lang w:bidi="ar-SA"/>
        </w:rPr>
        <w:t>بل جملةٍ من النصوص الواردة في النوم في المسجدين تدلّ على عدم الكراهة، لاحظ 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النوم في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 صلى الله عليه و آله والمسجد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يأخذ بيدي في بعض اللّيل فيتنحّى ناحية، ثمّ يجلس فيتحدّث في المسجد الحرام، فربّما نام هو ونُمت،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يكره أن ينام في المسجد الذي كان على عهد رسول اللّه صلى الله عليه و آله، فأمّا النوم في هذا الموضع فليس به بأس</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وإنْ فعله سَتَره بالتراب، لخبر غياث،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البزاق في المسجد خطيئة، وكفّارته دفنه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 خبر ابن سنان ونحوه ممّا يدلّ على الجواز،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ابن أسباط، وخبر عبدالحميد المتقدّمين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48" w:name="pg11802_154158"/>
    </w:p>
    <w:p>
      <w:pPr>
        <w:pStyle w:val="BookText"/>
        <w:rPr/>
      </w:pPr>
      <w:bookmarkEnd w:id="348"/>
      <w:r>
        <w:rPr>
          <w:rFonts w:ascii="Amiri" w:hAnsi="Amiri" w:eastAsia="Amiri" w:cs="Amiri"/>
          <w:color w:val="111111"/>
          <w:sz w:val="28"/>
          <w:sz w:val="28"/>
          <w:szCs w:val="28"/>
          <w:rtl w:val="true"/>
          <w:lang w:bidi="ar-SA"/>
        </w:rPr>
        <w:t>وإنفاذ الأحكام</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0531779_73709187"/>
      <w:bookmarkStart w:id="350" w:name="_Toc131"/>
      <w:bookmarkEnd w:id="349"/>
      <w:r>
        <w:rPr>
          <w:rtl w:val="true"/>
        </w:rPr>
        <w:t>مستحبّات المساجد</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كلماتهم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جمعٍ كراهته</w:t>
      </w:r>
      <w:r>
        <w:rPr>
          <w:rStyle w:val="FootnoteAnchor"/>
          <w:rtl w:val="true"/>
        </w:rPr>
        <w:footnoteReference w:id="702"/>
      </w:r>
      <w:r>
        <w:rPr>
          <w:rFonts w:ascii="Amiri" w:hAnsi="Amiri" w:eastAsia="Amiri" w:cs="Amiri"/>
          <w:color w:val="111111"/>
          <w:sz w:val="28"/>
          <w:sz w:val="28"/>
          <w:szCs w:val="28"/>
          <w:rtl w:val="true"/>
          <w:lang w:bidi="ar-SA"/>
        </w:rPr>
        <w:t>، وعن جماعةٍ من القدماء استحبابه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العلّة في صحيح ابن مسلم المتقدّم، من أنّها بُنيت لغير مثل هذه الاُمور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وبالمرسل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الترافع يُفضي إلى التشاجر ورفع الأصوات والخوض بالباطل، وقد نُهي عن جميع ذلك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 الشيخ رحمه الله</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خلاف في أنّ النبيّ صلى الله عليه و آله كان يقضي في المسجد، ولو كان مكروهاً لما فعله، وكذلك كان عليٌّ عليه السلام يقضي في الكوفة في الجامع، ودكّة القضاء معروفة إلى يومنا هذا، وهو إجماع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عن بعض الكتب مرسلاً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بَلَغ أمير المؤمنين عليه السلام أنّ شريحاً يقضي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اجلس في المسجد فإنّه أعدل بين النّاس، وأنّه وهنٌ بالقاضي أن يجلس في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تقديم الرِّجل اليمنى دخولاً، واليُسرى خروجاً، والدّعاء فيهما</w:t>
      </w:r>
    </w:p>
    <w:p>
      <w:pPr>
        <w:pStyle w:val="BookText"/>
        <w:rPr/>
      </w:pPr>
      <w:r>
        <w:rPr>
          <w:rFonts w:ascii="Amiri" w:hAnsi="Amiri" w:eastAsia="Amiri" w:cs="Amiri"/>
          <w:color w:val="111111"/>
          <w:sz w:val="28"/>
          <w:sz w:val="28"/>
          <w:szCs w:val="28"/>
          <w:rtl w:val="true"/>
          <w:lang w:bidi="ar-SA"/>
        </w:rPr>
        <w:t>مضافاً إلى أنّ المرسل ضعيفُ السند، وعموم العلّة لا يشمل مثل هذا الحكم الذي هو من الطاعات والعبادات التي محلّها المساجد، وتشاجر المتحاكمين، ورفع أصواتهم ونحو ذلك، مع نهيهم وتكليفهم بتركها، لا تَقتضي مرجوحيّة إنفاذ الحكم في نفسه الذي هو مستحبٌّ أو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فالقول بجوازه بل استحبابه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المحكيّ عن الشيخين وسلّار وغيرهم من القدماء</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تقديم الرِّجل اليمنى دخولاً واليسرى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يونس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في دخول المسجد أن تبدأ برِجْلِك الُيمنى إذا دَخلت، وباليسرى إذا خرجت</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فصلِّ على النبيّ صلى الله عليه و آله، وإذا خَرَجت فافعل ذلك</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وللتأسّي بفعل رسول اللّه صلى الله عليه و آله، المحكيّ في خبر عبد اللّه بن الحسن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وكنسها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سماعة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جمع القمامة وإخراجها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فيه من تعظيم الشعائر، وترغيب المتردّدين، الموجب لحفظها عن الاندراس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سلام بن غانم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مسجداً كتب اللّه له عتق رقبة، ومن أخرج منه ما يقذي عيناً، كتب اللّه عزّ وجلّ له كِفْلين من رحمته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51" w:name="pg11802_154161"/>
    </w:p>
    <w:p>
      <w:pPr>
        <w:pStyle w:val="BookText"/>
        <w:rPr/>
      </w:pPr>
      <w:bookmarkEnd w:id="351"/>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مقصورة سَفَراً وحَضراً، جماعةً وفُرادى</w:t>
      </w:r>
    </w:p>
    <w:p>
      <w:pPr>
        <w:pStyle w:val="Heading3"/>
        <w:numPr>
          <w:ilvl w:val="2"/>
          <w:numId w:val="1"/>
        </w:numPr>
        <w:rPr/>
      </w:pPr>
      <w:bookmarkStart w:id="352" w:name="__RefHeading___Toc10531781_73709187"/>
      <w:bookmarkStart w:id="353" w:name="_Toc132"/>
      <w:bookmarkEnd w:id="352"/>
      <w:r>
        <w:rPr>
          <w:rtl w:val="true"/>
        </w:rPr>
        <w:t>الباب السابع في صلاة الخوف والمطاردة</w:t>
      </w:r>
      <w:bookmarkEnd w:id="353"/>
    </w:p>
    <w:p>
      <w:pPr>
        <w:pStyle w:val="Heading4"/>
        <w:numPr>
          <w:ilvl w:val="3"/>
          <w:numId w:val="1"/>
        </w:numPr>
        <w:rPr/>
      </w:pPr>
      <w:bookmarkStart w:id="354" w:name="__RefHeading___Toc10531783_73709187"/>
      <w:bookmarkStart w:id="355" w:name="_Toc133"/>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ثابتة بالكتاب والسُنّة والإجماع، وهي غير مختصّة بالنبيّ صلى الله عليه و آله ومن كان معه حال الخوف، لظاهر الآية الشريفة، وبعض النصوص،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 وحضراً، جماعةً وفرادى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بل المشهور</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تُقصر في السّفر وفي الحضر إذا صُلّيت جماعةً‌، وإذا صُلّيت فرادى لا تقصر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أنّه نقل عن بعض الأصحاب أنّهما إنّما تُقصر فى السَّفر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ويشهد 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وذلك، لأنّ الشرطين </w:t>
      </w:r>
    </w:p>
    <w:p>
      <w:pPr>
        <w:pStyle w:val="BookText"/>
        <w:rPr/>
      </w:pPr>
      <w:r>
        <w:rPr>
          <w:rFonts w:ascii="Amiri" w:hAnsi="Amiri" w:eastAsia="Amiri" w:cs="Amiri"/>
          <w:color w:val="111111"/>
          <w:sz w:val="28"/>
          <w:sz w:val="28"/>
          <w:szCs w:val="28"/>
          <w:rtl w:val="true"/>
          <w:lang w:bidi="ar-SA"/>
        </w:rPr>
        <w:t xml:space="preserve">المذكورين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السَّفر والخوف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كلٌّ منهما شرطاً مستقلّاً، فأيّهما حَصَل وجب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يكونا معاً شرطاً، أي مجموع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السّفر شرطاً وإنّما ذُكر الخوف للجري مجرى الغالب، فإنّهم كانوا يخافون الأعداء في عامّة أسفارهم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الخوف شرطاً، وذِكْر السّفر إنّما يكون للجري مجرى الغالب، إذ الغالب عدم حصول الخوف الموجب لقصر الصَّلاة ما داموا مستقرّين في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الالتزام بالثاني، فإنّ لازمه الإتمام لو فُقد أحدهما، وهو باطلٌ بالإجماع وغيره من الأدلّة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لا وجه للالتزام بالثالث، لقوله تعالى في الآية التالية لهذه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فإنّها على الظاهر مسوقة لبيان كيفيّة صلاة الخوف، مع عدم التعرّض فيها له، وإنّما فُهم ذلك من إرجاع الضمير إلى المذكورين في الآية الاُولى‌، فيُستكشف من ذلك أنّ موضوع الحكم لشرعيّة القصر في الآية الاُولى‌، من يخاف من العدوّ، وأنّ ذكر الخوف ليس للجري مجرى الغالب، فيدور الأمر بين الأوّل والرابع، وعلى كلا التقديرين تدلّ الآية الشريفة على المطلوب كما لا يخفى‌، ومقتضى إطلاق الآية عدم الفرق بين السّفر والحضر، والإفراد والجماعة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وصلاة السّفر تقصران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وصلاة الخوف أحقّ أن تُقصّر من صلاة السّفر، لأنّ فيها خوفاً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القصر في الكيفيّة منه واهية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 وعموم العلّة المذكورة فيه، عدم الفرق بين السّفر والحضر والإفراد 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محمّد بن عذافر، من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جالت الخيل تضطرب السيوف أجزاه تكبيرتان</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التكبيرة بدلٌ عن الرّكعة، وهو وارد في خصوص صلاة الإفراد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المُغيرة،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عن حَدّ المسايفة من التكبير، تكبيرتان لكلّ صلاةٍ إلّاالمغرب فإنّ لها ثلاثاً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إلى الذهن من الأدلّة، مشروعيّة التقصير في المواضع التي يكون الخوف فيها مقتضياً للتخفيف، فلو كان في محلّ الخوف من غير أن يقتضي ذلك تخفيف الصَّلاة، كما لو التجأ إلى البقاء في منزل الأعداء، ولم يتفاوت حاله بين اشتغاله بالصلاة وعدمه، فلا يشرع له التقصير، والظاهر أنّ المراد من القصر هو الذي يُراد منه في حقّ المسافر، فلا يقصر في الثنائيّة والثلاثية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56" w:name="pg11802_154164"/>
    </w:p>
    <w:p>
      <w:pPr>
        <w:pStyle w:val="BookText"/>
        <w:rPr/>
      </w:pPr>
      <w:bookmarkEnd w:id="356"/>
      <w:r>
        <w:rPr>
          <w:rFonts w:ascii="Amiri" w:hAnsi="Amiri" w:eastAsia="Amiri" w:cs="Amiri"/>
          <w:color w:val="111111"/>
          <w:sz w:val="28"/>
          <w:sz w:val="28"/>
          <w:szCs w:val="28"/>
          <w:rtl w:val="true"/>
          <w:lang w:bidi="ar-SA"/>
        </w:rPr>
        <w:t>وشروطها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المسلمين كثرةً يمكّنهم الإفتراق إلى قسمين؛ يقاومُ كلّ قسمٍ منهم العدوّ،</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الواردة في كيفيّة الإتيان بها جماعة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المغيرة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يظهر من صحيح حَريز، عن الصادق عليه السلام من القصر في الثنائيّة أيضاً، لكن لإعراض الأصحاب عنه، ومعارضته بما هو أشهر منه، لابدّ من طرحه أو تأويله</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0531785_73709187"/>
      <w:bookmarkStart w:id="358" w:name="_Toc134"/>
      <w:bookmarkEnd w:id="357"/>
      <w:r>
        <w:rPr>
          <w:rtl w:val="true"/>
        </w:rPr>
        <w:t>شروط صلاة الخوف وكيفيّتها</w:t>
      </w:r>
      <w:bookmarkEnd w:id="35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صلاة الخوف فرادى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كيفيّتها جماعةً‌، فهي ثلاثة 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بطن النخل، وصلاة عَسفان، وصلاة ذات الرّقاع، والمصنّف رحمه الله لم يتعرّض إلّاللثالثة، ولعلّه لضعف مستند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المقام يقتضي التكلّم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في المسلمين كَثرةً يمكّنهم الإفتراق إلى قسمين؛ يقاوم كلّ قسمٍ منهم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قصورهم عن ذلك، لا يجوز لهم الجماعة كذلك، لاستلزامها الإخلال بالحراسة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يكون في العدوّ كَثرةً يحصل معها الخوف، وأن يكون العدوّ بخلاف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الإمام بالأوليركعةً‌، ويقف في الثانية حتّييُتمّوا ويُسلِّموا، فيجيء الباقون، فيُصلّي بهم الثانية، ويقف في التشهّد حتّى يلحقوه فيُسلِّم 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في العدوّ كَثرةً يحصل معها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انتفى المسوّغ للكيفيّة المزبورة، بناءً على عدم جوازها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العدوّ بخلاف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مقطوعٌ به في كلام أكثر الأصحاب، واستدلّوا له بأنّ النبيّ صلى الله عليه و آله إنّما صلّاها كذلك، فيجبُ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تبعاً للمصنّف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عدم اعتبار هذا الشرط، لأنّ فعل النبيّ صلى الله عليه و آله وقع اتّفاقاً، لا أنّه شرط، ولا مانع من فعلها بدونه، فلا وجه لتقييد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إنْ كانت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الإمام بالأولى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إلى الثانية، ويُتمّ مَنْ خلفه الصَّلاة فرادى‌، رعايةً لحقّ الآخرين، ويشهد به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في الثانية حتّى يُتمّوا ويُسلّموا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ويستقبلوا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الباقون فيُصلّي بهم الثانية، ويقف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يَلحقوه فيُسلّم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ثُلاثيّة، صلّى بالأولى ركعةً‌، وبالثانية ركعتين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الكيفيّة متّفقٌ عليها بين الأصحاب</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كصحيح</w:t>
      </w:r>
      <w:r>
        <w:rPr>
          <w:rStyle w:val="FootnoteAnchor"/>
          <w:rtl w:val="true"/>
        </w:rPr>
        <w:footnoteReference w:id="724"/>
      </w:r>
      <w:r>
        <w:rPr>
          <w:rFonts w:ascii="Amiri" w:hAnsi="Amiri" w:eastAsia="Amiri" w:cs="Amiri"/>
          <w:color w:val="111111"/>
          <w:sz w:val="28"/>
          <w:sz w:val="28"/>
          <w:szCs w:val="28"/>
          <w:rtl w:val="true"/>
          <w:lang w:bidi="ar-SA"/>
        </w:rPr>
        <w:t>الحلبي أو حسنه،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الإمام، ويجيء طائفة من أصحابه فيُقيمون خلفه، وطائفة بإزاء العدوّ، فيُصلّي بهم الإمام ركعةً‌، ثمّ يقوم ويقومون معه فيمثل قائماً ويُصلّون هم الرّكعة الثانية، ثمّ يُسلِّم بعضهم على بعض، ثمّ ينصرفون فيقومون في مقام أصحابهم، ويَجيءُ الآخرون فيقومون خلف الإمام، فيُصلّي بهم الرّكعة الثانية، ثمّ يجلس الإمام فيقومون هم فيصلّون ركعةً اُخرى‌، ثمّ يسلّم عليه فينصرفون بتسليمه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الظاهر منه أنّ الإمام لا ينتظر الطائفة الثانية إلّابالتسليم، إلّاأنّ الظاهر جواز انتظارهم في التشهّد، كما يشهد له خبر</w:t>
      </w:r>
      <w:r>
        <w:rPr>
          <w:rStyle w:val="FootnoteAnchor"/>
          <w:rtl w:val="true"/>
        </w:rPr>
        <w:footnoteReference w:id="725"/>
      </w:r>
      <w:r>
        <w:rPr>
          <w:rFonts w:ascii="Amiri" w:hAnsi="Amiri" w:eastAsia="Amiri" w:cs="Amiri"/>
          <w:color w:val="111111"/>
          <w:sz w:val="28"/>
          <w:sz w:val="28"/>
          <w:szCs w:val="28"/>
          <w:rtl w:val="true"/>
          <w:lang w:bidi="ar-SA"/>
        </w:rPr>
        <w:t xml:space="preserve">الحميري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الظاهر عدم وجوب الانتظار، وجواز مفارقتهم إيّاه، لصحيح</w:t>
      </w:r>
      <w:r>
        <w:rPr>
          <w:rStyle w:val="FootnoteAnchor"/>
          <w:rtl w:val="true"/>
        </w:rPr>
        <w:footnoteReference w:id="726"/>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بالأولى ركعةً وبالثانية ركعتين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28"/>
      </w:r>
      <w:r>
        <w:rPr>
          <w:rFonts w:ascii="Amiri" w:hAnsi="Amiri" w:eastAsia="Amiri" w:cs="Amiri"/>
          <w:color w:val="111111"/>
          <w:sz w:val="28"/>
          <w:sz w:val="28"/>
          <w:szCs w:val="28"/>
          <w:rtl w:val="true"/>
          <w:lang w:bidi="ar-SA"/>
        </w:rPr>
        <w:t>نسبته إلى علمائنا، لورود الأخبار بكلٍّ من الكيفيّتين، والجمع بينها يقتضي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يدلّ 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الخوف المغرب يُصلّي بالأولين ركعة، ويقضون ركعتين، ويُصلّي بالآخرين ركعتين، ويقضون ركعة</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صلاة المغرب في الخوف فرّقهم فِرقتين، فيُصلّي بفرقةٍ ركعتين، ثّمّ جَلس بهم، ثمّ أشار إليهم بيده، فقام كلّ إنسانٍ منهم فصلّى ركعةً‌، ثمّ سلّموا وقاموا مقام أصحابهم، وجاءت الطائفة الاُخرى فكبّروا ودَخَلوا في الصَّلاة، وقام الإمام فصلّى بهم ركعة، ثمّ سلّم، ثمّ قام كلّ رجلٍ منهم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للأوّلين التكبير وافتتاح الصَّلاة، وللآخرين التسليم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اختيار الكيفيّة الاُولى‌، لكثرة الروايات الواردة فيها، والتأسّي بفعل أمير المؤمنين عليه السلام ليلة الهرير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59" w:name="pg11802_154168"/>
    </w:p>
    <w:p>
      <w:pPr>
        <w:pStyle w:val="BookText"/>
        <w:rPr/>
      </w:pPr>
      <w:bookmarkEnd w:id="359"/>
      <w:r>
        <w:rPr>
          <w:rFonts w:ascii="Amiri" w:hAnsi="Amiri" w:eastAsia="Amiri" w:cs="Amiri"/>
          <w:color w:val="111111"/>
          <w:sz w:val="28"/>
          <w:sz w:val="28"/>
          <w:szCs w:val="28"/>
          <w:rtl w:val="true"/>
          <w:lang w:bidi="ar-SA"/>
        </w:rPr>
        <w:t>ويجبُ أخذ السِّلاح مالم يَمنعُ شيئاً من الواجبات، فيؤخذ مع الضّرورة،</w:t>
      </w:r>
    </w:p>
    <w:p>
      <w:pPr>
        <w:pStyle w:val="Heading4"/>
        <w:numPr>
          <w:ilvl w:val="3"/>
          <w:numId w:val="1"/>
        </w:numPr>
        <w:rPr/>
      </w:pPr>
      <w:bookmarkStart w:id="360" w:name="__RefHeading___Toc10531787_73709187"/>
      <w:bookmarkStart w:id="361" w:name="_Toc135"/>
      <w:bookmarkEnd w:id="360"/>
      <w:r>
        <w:rPr>
          <w:rtl w:val="true"/>
        </w:rPr>
        <w:t>في بيان أحكامها</w:t>
      </w:r>
      <w:bookmarkEnd w:id="361"/>
    </w:p>
    <w:p>
      <w:pPr>
        <w:pStyle w:val="BookText"/>
        <w:rPr/>
      </w:pPr>
      <w:r>
        <w:rPr>
          <w:rFonts w:ascii="Amiri" w:hAnsi="Amiri" w:eastAsia="Amiri" w:cs="Amiri"/>
          <w:color w:val="111111"/>
          <w:sz w:val="28"/>
          <w:sz w:val="28"/>
          <w:szCs w:val="28"/>
          <w:rtl w:val="true"/>
          <w:lang w:bidi="ar-SA"/>
        </w:rPr>
        <w:t>الثالث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منها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أخذ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كالخنجر والسيف من آلات الدفع، كما هو المنسوب إلى الأكثر</w:t>
      </w:r>
      <w:r>
        <w:rPr>
          <w:rStyle w:val="FootnoteAnchor"/>
          <w:rtl w:val="true"/>
        </w:rPr>
        <w:footnoteReference w:id="732"/>
      </w:r>
      <w:r>
        <w:rPr>
          <w:rFonts w:ascii="Amiri" w:hAnsi="Amiri" w:eastAsia="Amiri" w:cs="Amiri"/>
          <w:color w:val="111111"/>
          <w:sz w:val="28"/>
          <w:sz w:val="28"/>
          <w:szCs w:val="28"/>
          <w:rtl w:val="true"/>
          <w:lang w:bidi="ar-SA"/>
        </w:rPr>
        <w:t>، لظاهر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لْيَأْخُذُوا حِذْرَهُمْ وَ أَسْلِحَتَهُمْ‌</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يمنع شيئاً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أمِنَ من الضّرر، لا يجوز أخذه، لانصراف الآية الشريفة الى الغالب المتعارف، حيث كانوا يتمكّنون مع أخذه من الإتيان بجميع واجبات الصَّلاة، فلا مجوّز للإخلال بذلك الواجب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يأمن من الضّرر، جاز للمقاتل أخذ السّلاح تحرّزاً عنه، ولا بأس حينئذٍ بترك ما يمنع عنه أخذ السّلاح من واجبات الصَّلاة، كما لا يخفى وجهه، وهذا هو مراد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فيؤخذ مع الضرورة</w:t>
      </w:r>
      <w:r>
        <w:rPr>
          <w:rFonts w:eastAsia="Amiri" w:cs="Amiri" w:ascii="Amiri" w:hAnsi="Amiri"/>
          <w:color w:val="111111"/>
          <w:sz w:val="28"/>
          <w:szCs w:val="28"/>
          <w:rtl w:val="true"/>
          <w:lang w:bidi="ar-SA"/>
        </w:rPr>
        <w:t>).</w:t>
      </w:r>
      <w:bookmarkStart w:id="362" w:name="pg11802_154169"/>
    </w:p>
    <w:p>
      <w:pPr>
        <w:pStyle w:val="BookText"/>
        <w:rPr/>
      </w:pPr>
      <w:bookmarkEnd w:id="362"/>
      <w:r>
        <w:rPr>
          <w:rFonts w:ascii="Amiri" w:hAnsi="Amiri" w:eastAsia="Amiri" w:cs="Amiri"/>
          <w:color w:val="111111"/>
          <w:sz w:val="28"/>
          <w:sz w:val="28"/>
          <w:szCs w:val="28"/>
          <w:rtl w:val="true"/>
          <w:lang w:bidi="ar-SA"/>
        </w:rPr>
        <w:t>وصلاةُ شدّة الخوف بحسب الإمكان واقفاً أو ماشياً أو راكباً، يسجد على قربوس سَرْجه، وإلّا أومأ ويستقبل القبلة ما أمكن</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0531789_73709187"/>
      <w:bookmarkStart w:id="364" w:name="_Toc136"/>
      <w:bookmarkEnd w:id="363"/>
      <w:r>
        <w:rPr>
          <w:rtl w:val="true"/>
        </w:rPr>
        <w:t>صلاة المطاردة</w:t>
      </w:r>
      <w:bookmarkEnd w:id="364"/>
    </w:p>
    <w:p>
      <w:pPr>
        <w:pStyle w:val="BookText"/>
        <w:rPr/>
      </w:pPr>
      <w:r>
        <w:rPr>
          <w:rFonts w:ascii="Amiri" w:hAnsi="Amiri" w:eastAsia="Amiri" w:cs="Amiri"/>
          <w:color w:val="111111"/>
          <w:sz w:val="28"/>
          <w:sz w:val="28"/>
          <w:szCs w:val="28"/>
          <w:rtl w:val="true"/>
          <w:lang w:bidi="ar-SA"/>
        </w:rPr>
        <w:t xml:space="preserve">وأمّا صلاة المطاردة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شدّة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أن ينتهي الحال إلى المتلاحم والمراماة والمسايفة ونحو ذلك، فهي مشاركة مع صلاة الخوف في قِصر الكم، لكونها من أفراد الخوف، إلّاأنّها يخالفها في الكيفيّة، لأنّه إذا لم يسع المكلّف أن يأتي بالصلاة على حسب ما تقدّم،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الإمكان واقفا أو ماشياً أو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أنّ اعتبار هذه الاُمور إنّما يكون في صورة التمكّن، وإلّا فالصلاة لا تَدَعُ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راكباً ولم يتمكّن من النزول للسجود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عليقربوس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هو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نصوص الباب من إطلاق الأمر بالإيماء جار مجرى الغالب من تعسّر السّجود عليه، وهو بهذه الحال، وعليه مراعاة ما يصحّ السّجود عليه مع الإمكان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لقوله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كلّ إنسان منهم بالإيماء</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ولقول الصادق عليه السلام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كانوا وقوفاً لايقدرون على الجماعة، فالصلاة إيماء</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ونحوهما غيرهما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ويستقبل القبلة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مع التعذّر للاستقبال بل حتّى التكبيرة إلى أيّ الجهات أمكن، لصحيح زرارة ومحمّد بن مسلم وفضيل،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صلاة الخوف عند المطاردة والمناوشة وتلاحم القتال يُصلّي كلّ إنسانٍ منهم بالإيماء حيث كان وجهه، فإذا كانت المسايفة والمعانقة وتلاحم القتال، فإنّ أمير المؤمنين عليه السلام 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صلاتهم الظهر والعصر والمغرب والعشاء عند وقت كلّ صلاةٍ إلّابالتكبير والتهليل والتسبيح والتحميد والدّعاء، فكانت تلك صلاتهم، ولم يأمرهم بإعادة الصَّلاة</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المعتَضد بالاتّفاق</w:t>
      </w:r>
      <w:r>
        <w:rPr>
          <w:rStyle w:val="FootnoteAnchor"/>
          <w:rtl w:val="true"/>
        </w:rPr>
        <w:footnoteReference w:id="739"/>
      </w:r>
      <w:r>
        <w:rPr>
          <w:rFonts w:ascii="Amiri" w:hAnsi="Amiri" w:eastAsia="Amiri" w:cs="Amiri"/>
          <w:color w:val="111111"/>
          <w:sz w:val="28"/>
          <w:sz w:val="28"/>
          <w:szCs w:val="28"/>
          <w:rtl w:val="true"/>
          <w:lang w:bidi="ar-SA"/>
        </w:rPr>
        <w:t>، وبالتدبّر في باقي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فاحتمال وجوب الاستقبال في التكبيرة فيما لو خاف، لظاهر صحيح زرارة عن الباقر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يدور إلى القبلة، ولكن أينما دارت به دابّته، غير أنّه يستقبل القبلة بأوّل تكبيرة حين يتوجّه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لوجوب حمله على صورة التمكّن من الاستقبال فيها، وإلّا فيسقط اعتباره مع التعذّر بلا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يتمكّن من الإيماء، صَلّى بالتسبيح عِوض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 والمتوحِّل والغَريق يُصلّيان إيماءً ولا يقصران، إلّامع</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يتمكّن من الإيماء صَلّى 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عنه الركوع والسّجود،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الفضلاء المتقدّم، وظاهره وإنْ كان اعتبار الدّعاء أيضاً، إلّاأنّه لا خلاف في عدم وجوبه، بل ادّعى غير واحد الإجماع</w:t>
      </w:r>
      <w:r>
        <w:rPr>
          <w:rStyle w:val="FootnoteAnchor"/>
          <w:rtl w:val="true"/>
        </w:rPr>
        <w:footnoteReference w:id="740"/>
      </w:r>
      <w:r>
        <w:rPr>
          <w:rFonts w:ascii="Amiri" w:hAnsi="Amiri" w:eastAsia="Amiri" w:cs="Amiri"/>
          <w:color w:val="111111"/>
          <w:sz w:val="28"/>
          <w:sz w:val="28"/>
          <w:szCs w:val="28"/>
          <w:rtl w:val="true"/>
          <w:lang w:bidi="ar-SA"/>
        </w:rPr>
        <w:t>على كفاية الإتيان بالصيغة المذكورة، بدلاً عن كلّ ركعة، وإنّما الإشكال في الإجزاء بأقلّ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خبر البصري كفاية التكبير والتهليل، كما أنّ المستفاد من مرسل ابن المغيرة، وحسن ابن عذافر المتقدّمين كفاية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بما أنّ الفتاوى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متظافرة بتعيّنها، ويمكن حمل التكبير على إرادة جنسه، الشامل للتسبيحات الأربع، فالأحوط عدم الاجتزاء بأقلّ منها، والأولى إضافة الدّعاء إليها تأسّياً بالمحكي</w:t>
      </w:r>
      <w:r>
        <w:rPr>
          <w:rStyle w:val="FootnoteAnchor"/>
          <w:rtl w:val="true"/>
        </w:rPr>
        <w:footnoteReference w:id="741"/>
      </w:r>
      <w:r>
        <w:rPr>
          <w:rFonts w:ascii="Amiri" w:hAnsi="Amiri" w:eastAsia="Amiri" w:cs="Amiri"/>
          <w:color w:val="111111"/>
          <w:sz w:val="28"/>
          <w:sz w:val="28"/>
          <w:szCs w:val="28"/>
          <w:rtl w:val="true"/>
          <w:lang w:bidi="ar-SA"/>
        </w:rPr>
        <w:t>من فعل أمير المؤمنين عليه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والمتوحِّل والغَريق يُصلّيان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الإمكان، إذ الصَّلاة لا تَدَعُ بحال، يؤميان للركوع والسّجود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مبحث القيام،</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يقصران إلّامع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السّفر أو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 أو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لأنّ الأصل في الصَّلاة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من استيلاء الغرق لو أتمّ صلاته، وكان ذلك في ضيق الوقت، جاز له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القصر عليه، 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بعموم الخوف الموجب للقصر لمثله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وباستفادة حكمه منه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التعميم في الخوف، والبناء على أنّ ما في النصوص من التعبير باللّص والسَّبع من قبيل التمثيل لا لخصوصيّةٍ فيهما، فإنّما هو بالنسبة إلى ما كان من هذا القبيل، لا مثل خوف فوات الوقت، أو وقوع حائطٍ، ونحو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القطع بالمناط في مثل هذا الحكم التعبّدي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5" w:name="pg11802_154173"/>
    </w:p>
    <w:p>
      <w:pPr>
        <w:pStyle w:val="BookText"/>
        <w:rPr/>
      </w:pPr>
      <w:bookmarkEnd w:id="365"/>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في السَّفر مِنْ كلّ رباعيّةٍ ركعتان بشروطٍ</w:t>
      </w:r>
    </w:p>
    <w:p>
      <w:pPr>
        <w:pStyle w:val="Heading3"/>
        <w:numPr>
          <w:ilvl w:val="2"/>
          <w:numId w:val="1"/>
        </w:numPr>
        <w:rPr/>
      </w:pPr>
      <w:bookmarkStart w:id="366" w:name="__RefHeading___Toc10531791_73709187"/>
      <w:bookmarkStart w:id="367" w:name="_Toc137"/>
      <w:bookmarkEnd w:id="366"/>
      <w:r>
        <w:rPr>
          <w:rtl w:val="true"/>
        </w:rPr>
        <w:t>الباب الثامن في صلاة المسافر</w:t>
      </w:r>
      <w:bookmarkEnd w:id="367"/>
    </w:p>
    <w:p>
      <w:pPr>
        <w:pStyle w:val="Heading4"/>
        <w:numPr>
          <w:ilvl w:val="3"/>
          <w:numId w:val="1"/>
        </w:numPr>
        <w:rPr/>
      </w:pPr>
      <w:bookmarkStart w:id="368" w:name="__RefHeading___Toc10531793_73709187"/>
      <w:bookmarkStart w:id="369" w:name="_Toc138"/>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في السَّفر من كلّ رباعيّةٍ ركعتان،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كما لا خلاف في أنّ السقوط عزيمة لا رخصة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السَّفر، كيف هي وكم هي‌؟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افعلوا، فكيف أوجب ذلك‌؟</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قال اللّه عزّ وجلّ في الصَّفا 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ألا ترون أنّ الطواف بهما واجب مفروضٌ‌، </w:t>
      </w:r>
      <w:bookmarkStart w:id="370" w:name="pg11802_154174"/>
    </w:p>
    <w:p>
      <w:pPr>
        <w:pStyle w:val="BookText"/>
        <w:rPr/>
      </w:pPr>
      <w:bookmarkEnd w:id="370"/>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عزّ وجلّ ذكره في كتابه، وصنعه نبيه صلى الله عليه و آله، وكذلك التقصير في السّفر شيءٌ صنعه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 السّفر الفريضة ركعتان إلّاالمغرب فإنّها ثلاث ليس فيها تقصير، الحديث</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وجه للتكلّم في تفسير الآية الشريفة وشرح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في هذا الباب، إنّما هو بالتكلّم في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قواطع السّفر</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0531795_73709187"/>
      <w:bookmarkStart w:id="372" w:name="_Toc139"/>
      <w:bookmarkEnd w:id="371"/>
      <w:r>
        <w:rPr>
          <w:rtl w:val="true"/>
        </w:rPr>
        <w:t>الفصل الأوّل</w:t>
      </w:r>
      <w:r>
        <w:rPr>
          <w:rtl w:val="true"/>
        </w:rPr>
        <w:t xml:space="preserve">: </w:t>
      </w:r>
      <w:r>
        <w:rPr>
          <w:rtl w:val="true"/>
        </w:rPr>
        <w:t>شروط قصر الصلاة ستة</w:t>
      </w:r>
      <w:bookmarkEnd w:id="372"/>
    </w:p>
    <w:p>
      <w:pPr>
        <w:pStyle w:val="Heading5"/>
        <w:numPr>
          <w:ilvl w:val="4"/>
          <w:numId w:val="1"/>
        </w:numPr>
        <w:rPr/>
      </w:pPr>
      <w:bookmarkStart w:id="373" w:name="__RefHeading___Toc10531797_73709187"/>
      <w:bookmarkStart w:id="374" w:name="_Toc140"/>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أمّا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فشروطه ستّة، وما في المتن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وجهه عند ذكر الشرط الثاني، الذي هو الأوّل في المتن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بلا خلافٍ فيه، بل عليه إجماع علماء الإسلام كافّة</w:t>
      </w:r>
      <w:r>
        <w:rPr>
          <w:rStyle w:val="FootnoteAnchor"/>
          <w:rtl w:val="true"/>
        </w:rPr>
        <w:footnoteReference w:id="750"/>
      </w:r>
      <w:r>
        <w:rPr>
          <w:rFonts w:ascii="Amiri" w:hAnsi="Amiri" w:eastAsia="Amiri" w:cs="Amiri"/>
          <w:color w:val="111111"/>
          <w:sz w:val="28"/>
          <w:sz w:val="28"/>
          <w:szCs w:val="28"/>
          <w:rtl w:val="true"/>
          <w:lang w:bidi="ar-SA"/>
        </w:rPr>
        <w:t>، بل هو ضروري</w:t>
      </w:r>
      <w:r>
        <w:rPr>
          <w:rFonts w:eastAsia="Amiri" w:cs="Amiri" w:ascii="Amiri" w:hAnsi="Amiri"/>
          <w:color w:val="111111"/>
          <w:sz w:val="28"/>
          <w:szCs w:val="28"/>
          <w:rtl w:val="true"/>
          <w:lang w:bidi="ar-SA"/>
        </w:rPr>
        <w:t>.</w:t>
      </w:r>
      <w:bookmarkStart w:id="375" w:name="pg11802_154175"/>
    </w:p>
    <w:p>
      <w:pPr>
        <w:pStyle w:val="Heading5"/>
        <w:numPr>
          <w:ilvl w:val="4"/>
          <w:numId w:val="1"/>
        </w:numPr>
        <w:rPr/>
      </w:pPr>
      <w:bookmarkStart w:id="376" w:name="__RefHeading___Toc10531799_73709187"/>
      <w:bookmarkStart w:id="377" w:name="_Toc141"/>
      <w:bookmarkEnd w:id="375"/>
      <w:bookmarkEnd w:id="376"/>
      <w:r>
        <w:rPr>
          <w:rtl w:val="true"/>
        </w:rPr>
        <w:t>حَدّ المسافة</w:t>
      </w:r>
      <w:bookmarkEnd w:id="377"/>
    </w:p>
    <w:p>
      <w:pPr>
        <w:pStyle w:val="Heading6"/>
        <w:numPr>
          <w:ilvl w:val="5"/>
          <w:numId w:val="1"/>
        </w:numPr>
        <w:rPr/>
      </w:pPr>
      <w:bookmarkStart w:id="378" w:name="__RefHeading___Toc10531801_73709187"/>
      <w:bookmarkStart w:id="379" w:name="_Toc142"/>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ثمانية فراسخ بلا خلافٍ فيه بيننا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الظاهري</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بمجرّد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العامّة</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ضرب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كثيرة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يُقصّر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وذلك بريدان، وهما ثمانية فراسخ</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أيّوب،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الكاهلي،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الصَّلاة بريدٌ في بريد أربعة وعشرون ميلاً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الآتي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ما تضمّن تحديدها بمسيرة يومٍ وليلة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صحيح زكريّا بن آدم،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مسيرة يوم وليلة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380" w:name="pg11802_154176"/>
    </w:p>
    <w:p>
      <w:pPr>
        <w:pStyle w:val="BookText"/>
        <w:rPr/>
      </w:pPr>
      <w:bookmarkEnd w:id="38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 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يريدُ السّفر في كم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بُرد</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 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للمسافر أن يتمّ الصَّلاة في سفره مسيرة يومين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لقصورها عن المكافئة معها من وجوهٍ لا تخفى‌، فتُحمل على التقيّة، أو تطرح، أو تؤوّل بحملها على ما لا ينافي الفرض الأوّل</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0531803_73709187"/>
      <w:bookmarkStart w:id="382" w:name="_Toc143"/>
      <w:bookmarkEnd w:id="381"/>
      <w:r>
        <w:rPr>
          <w:rtl w:val="true"/>
        </w:rPr>
        <w:t>أقول</w:t>
      </w:r>
      <w:r>
        <w:rPr>
          <w:rtl w:val="true"/>
        </w:rPr>
        <w:t xml:space="preserve">: </w:t>
      </w:r>
      <w:r>
        <w:rPr>
          <w:rtl w:val="true"/>
        </w:rPr>
        <w:t>الكلام في المقام يقع في موارد</w:t>
      </w:r>
      <w:r>
        <w:rPr>
          <w:rtl w:val="true"/>
        </w:rPr>
        <w:t>:</w:t>
      </w:r>
      <w:bookmarkEnd w:id="382"/>
    </w:p>
    <w:p>
      <w:pPr>
        <w:pStyle w:val="Heading6"/>
        <w:numPr>
          <w:ilvl w:val="5"/>
          <w:numId w:val="1"/>
        </w:numPr>
        <w:rPr/>
      </w:pPr>
      <w:bookmarkStart w:id="383" w:name="__RefHeading___Toc10531805_73709187"/>
      <w:bookmarkStart w:id="384" w:name="_Toc144"/>
      <w:bookmarkEnd w:id="383"/>
      <w:r>
        <w:rPr>
          <w:rtl w:val="true"/>
        </w:rPr>
        <w:t>حدّدت المسافة بمسيرة يومٍ‌</w:t>
      </w:r>
      <w:bookmarkEnd w:id="384"/>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 المسافة في بعض نصوص الباب بمسيرة يومٍ‌، فهل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التحديد بذلك بثمانية فراسخ في عرضٍ واحد، بحيث إذا حصل كلّ واحدٍ منهما تحصل المسافة، ولو مع عدم حصول الآخر؟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أحدهما في طول الآخر، وأنّ المدار عليه والآخر طريقٌ إليه‌؟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المدار عليهما معاً ويعتبر تحقّقهما؟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الباب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ماتضمّن التحديد بالثمانية، كصحيح الكاهلي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ماتضمّن التحديد بمسيرة يومٍ‌، كصحيح علي بن يقطين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كفاية أحدهما، كصحيح أبي أيّوب المتقدّم،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بريدين أو بياض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غيره، فإنّها من جهة التعبير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مفسّر لجميع ذلك، ويدلّ على أنّ المدار على الثمانية خاصّة، وإنّما حدّدت بمسيرة يومٍ من جهة كونها طريقاً إليها، وأنّ السير الذي عُلّق عليه الحكم يوافق دائماً مع الثمانية، كخبر الفضل بن شاذان،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وجب التقصير في ثمانية فراسخ أقلّ من ذلك ولا أكثر، لأنّ ثمانية فراسخ مسيرة يوم للعامّة والقوافل والأثقال، فوجب التقصير في مسيرة يوم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المسافر في كم يقصّر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 يومٍ‌، وذلك بريدان، وهما ثمانية فراسخ</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زرارة ومحمّد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رسول اللّه صلى الله عليه و آله إلى ذي خُشُب وهي مسيرة يومٍ إلى المدينة يكون إليها بريدان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 ميلاً فقصر وأفطر، فصارت سُنّة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الرحمن بن الحجّاج،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أدنى ما يقصّر فيه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بياض اليوم يختلفُ‌، يسيرُ الرّجل خَمسة عشر فرسخاً في يوم، ويسير الآخر أربعة فراسخ وخمسة فراسخ في يوم‌؟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إلى ذلك ينظر، أما رأيت سير هذه الأميال بين مكّة والمدينة، ثمّ أوما بيده أربعة وعشرين ميلاً يكون ثمانية فراسخ</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85" w:name="pg11802_154178"/>
    </w:p>
    <w:p>
      <w:pPr>
        <w:pStyle w:val="BookText"/>
        <w:rPr/>
      </w:pPr>
      <w:bookmarkEnd w:id="385"/>
      <w:r>
        <w:rPr>
          <w:rFonts w:ascii="Amiri" w:hAnsi="Amiri" w:eastAsia="Amiri" w:cs="Amiri"/>
          <w:color w:val="111111"/>
          <w:sz w:val="28"/>
          <w:sz w:val="28"/>
          <w:szCs w:val="28"/>
          <w:rtl w:val="true"/>
          <w:lang w:bidi="ar-SA"/>
        </w:rPr>
        <w:t xml:space="preserve">فإنّ المستفاد من هذه النصوص أنّ التحديد بمسيرة يوم، ليس لاعتبار تحقّقها بالفعل، بل إنّما هو لأجل كون ذلك حَدّاً لمقدارٍ من البُعد والمسافة الموجبة للقصر، وأنّ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وقعت في يومٍ واحدٍ بالسَّير المتعارف توجبُ شُغل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الثمانية</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0531807_73709187"/>
      <w:bookmarkStart w:id="387" w:name="_Toc145"/>
      <w:bookmarkEnd w:id="386"/>
      <w:r>
        <w:rPr>
          <w:rtl w:val="true"/>
        </w:rPr>
        <w:t>المراد من الميل</w:t>
      </w:r>
      <w:bookmarkEnd w:id="387"/>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 مسافة البريد أربعة فراسخ</w:t>
      </w:r>
      <w:r>
        <w:rPr>
          <w:rStyle w:val="FootnoteAnchor"/>
          <w:rtl w:val="true"/>
        </w:rPr>
        <w:footnoteReference w:id="765"/>
      </w:r>
      <w:r>
        <w:rPr>
          <w:rFonts w:ascii="Amiri" w:hAnsi="Amiri" w:eastAsia="Amiri" w:cs="Amiri"/>
          <w:color w:val="111111"/>
          <w:sz w:val="28"/>
          <w:sz w:val="28"/>
          <w:szCs w:val="28"/>
          <w:rtl w:val="true"/>
          <w:lang w:bidi="ar-SA"/>
        </w:rPr>
        <w:t>، والفرسخ ثلاثة أميال، كما صرّح بهما في النصوص، إنّما الكلام في تحديد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أربعة آلاف ذراع،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أنّه ممّا قطع به الأصحاب، ويشهد له أنّه المعروف بين اللّغويّين والعرف والفقهاء، ولا ينافيه ما عن القدماء</w:t>
      </w:r>
      <w:r>
        <w:rPr>
          <w:rStyle w:val="FootnoteAnchor"/>
          <w:rtl w:val="true"/>
        </w:rPr>
        <w:footnoteReference w:id="768"/>
      </w:r>
      <w:r>
        <w:rPr>
          <w:rFonts w:ascii="Amiri" w:hAnsi="Amiri" w:eastAsia="Amiri" w:cs="Amiri"/>
          <w:color w:val="111111"/>
          <w:sz w:val="28"/>
          <w:sz w:val="28"/>
          <w:szCs w:val="28"/>
          <w:rtl w:val="true"/>
          <w:lang w:bidi="ar-SA"/>
        </w:rPr>
        <w:t>من أهل الهيئة من أنّه ثلاثة آلاف ذراع، لأنّ الذراع في كلماتهم اُريد به اثنتان وثلاثون اصبعاً، وما هو في العرف واللّغة أربعٌ وعشرون اصبعاً، فثلاثة آلاف ذراع في كلمات القدماء هي أربعة آلاف في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يعارضه قول الإمام الصادق عليه السلام في مرسل الخزّاز من أنّ كلّ ميلٍ ثلاثة آلاف وخمسمائة ذراع</w:t>
      </w:r>
      <w:r>
        <w:rPr>
          <w:rStyle w:val="FootnoteAnchor"/>
          <w:rtl w:val="true"/>
        </w:rPr>
        <w:footnoteReference w:id="769"/>
      </w:r>
      <w:r>
        <w:rPr>
          <w:rFonts w:ascii="Amiri" w:hAnsi="Amiri" w:eastAsia="Amiri" w:cs="Amiri"/>
          <w:color w:val="111111"/>
          <w:sz w:val="28"/>
          <w:sz w:val="28"/>
          <w:szCs w:val="28"/>
          <w:rtl w:val="true"/>
          <w:lang w:bidi="ar-SA"/>
        </w:rPr>
        <w:t>، لإرساله وهجره بين الأصحاب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كلام اللّغويّين</w:t>
      </w:r>
      <w:r>
        <w:rPr>
          <w:rStyle w:val="FootnoteAnchor"/>
          <w:rtl w:val="true"/>
        </w:rPr>
        <w:footnoteReference w:id="770"/>
      </w:r>
      <w:r>
        <w:rPr>
          <w:rFonts w:ascii="Amiri" w:hAnsi="Amiri" w:eastAsia="Amiri" w:cs="Amiri"/>
          <w:color w:val="111111"/>
          <w:sz w:val="28"/>
          <w:sz w:val="28"/>
          <w:szCs w:val="28"/>
          <w:rtl w:val="true"/>
          <w:lang w:bidi="ar-SA"/>
        </w:rPr>
        <w:t xml:space="preserve">من أنّ الميل هو مَدُّ البَصر من الأرض، فلعدم </w:t>
      </w:r>
      <w:bookmarkStart w:id="388" w:name="pg11802_154179"/>
    </w:p>
    <w:p>
      <w:pPr>
        <w:pStyle w:val="BookText"/>
        <w:rPr/>
      </w:pPr>
      <w:bookmarkEnd w:id="388"/>
      <w:r>
        <w:rPr>
          <w:rFonts w:ascii="Amiri" w:hAnsi="Amiri" w:eastAsia="Amiri" w:cs="Amiri"/>
          <w:color w:val="111111"/>
          <w:sz w:val="28"/>
          <w:sz w:val="28"/>
          <w:szCs w:val="28"/>
          <w:rtl w:val="true"/>
          <w:lang w:bidi="ar-SA"/>
        </w:rPr>
        <w:t>انضباطه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حَدّ الذراع، فلا مورد لتطويل الكلام فيه</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10531809_73709187"/>
      <w:bookmarkStart w:id="390" w:name="_Toc146"/>
      <w:bookmarkEnd w:id="389"/>
      <w:r>
        <w:rPr>
          <w:rtl w:val="true"/>
        </w:rPr>
        <w:t>حكم المسافة الملفّقة</w:t>
      </w:r>
      <w:bookmarkEnd w:id="390"/>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القصر في الثمانية الامتداديّة، بأنْ كان من مبدأ سيره إلى مقصده ثمانية فراسخ، كما لا إشكال في تعيّن التمام إذا كان أقلّ من الثمانية الملفّقة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كان أربعة فراسخ، أو أزيد، إلى ما دون الثمانية، حيث اختلف الفقهاء في حكمه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ظاهر الكليني، وهو وجوب القصر وإنْ لم يرد الرجوع مطلقاً، ومنشأ هذا الاستظهار نقله الروايات الواردة في الأربعة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زُهرة</w:t>
      </w:r>
      <w:r>
        <w:rPr>
          <w:rStyle w:val="FootnoteAnchor"/>
          <w:rtl w:val="true"/>
        </w:rPr>
        <w:footnoteReference w:id="771"/>
      </w:r>
      <w:r>
        <w:rPr>
          <w:rFonts w:ascii="Amiri" w:hAnsi="Amiri" w:eastAsia="Amiri" w:cs="Amiri"/>
          <w:color w:val="111111"/>
          <w:sz w:val="28"/>
          <w:sz w:val="28"/>
          <w:szCs w:val="28"/>
          <w:rtl w:val="true"/>
          <w:lang w:bidi="ar-SA"/>
        </w:rPr>
        <w:t>وأبي الصلاح</w:t>
      </w:r>
      <w:r>
        <w:rPr>
          <w:rStyle w:val="FootnoteAnchor"/>
          <w:rtl w:val="true"/>
        </w:rPr>
        <w:footnoteReference w:id="772"/>
      </w:r>
      <w:r>
        <w:rPr>
          <w:rFonts w:ascii="Amiri" w:hAnsi="Amiri" w:eastAsia="Amiri" w:cs="Amiri"/>
          <w:color w:val="111111"/>
          <w:sz w:val="28"/>
          <w:sz w:val="28"/>
          <w:szCs w:val="28"/>
          <w:rtl w:val="true"/>
          <w:lang w:bidi="ar-SA"/>
        </w:rPr>
        <w:t>وهو تعيّن التمام مطلقاً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الأصحاب</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تعيّن القصر إذا أراد الرجوع ليومه، والتخيير بين القصر والتمام إذا لم يرد الرجوع ليومه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المصنّف رحمه الله في بعض كتبه</w:t>
      </w:r>
      <w:r>
        <w:rPr>
          <w:rStyle w:val="FootnoteAnchor"/>
          <w:rtl w:val="true"/>
        </w:rPr>
        <w:footnoteReference w:id="775"/>
      </w:r>
      <w:r>
        <w:rPr>
          <w:rFonts w:ascii="Amiri" w:hAnsi="Amiri" w:eastAsia="Amiri" w:cs="Amiri"/>
          <w:color w:val="111111"/>
          <w:sz w:val="28"/>
          <w:sz w:val="28"/>
          <w:szCs w:val="28"/>
          <w:rtl w:val="true"/>
          <w:lang w:bidi="ar-SA"/>
        </w:rPr>
        <w:t>، وهو تعيّن التمام إذا لم يرد الرجوع ليومه، وتعيّن القصر إذا أراد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w:t>
      </w:r>
      <w:r>
        <w:rPr>
          <w:rStyle w:val="FootnoteAnchor"/>
          <w:rtl w:val="true"/>
        </w:rPr>
        <w:footnoteReference w:id="776"/>
      </w:r>
      <w:r>
        <w:rPr>
          <w:rFonts w:ascii="Amiri" w:hAnsi="Amiri" w:eastAsia="Amiri" w:cs="Amiri"/>
          <w:color w:val="111111"/>
          <w:sz w:val="28"/>
          <w:sz w:val="28"/>
          <w:szCs w:val="28"/>
          <w:rtl w:val="true"/>
          <w:lang w:bidi="ar-SA"/>
        </w:rPr>
        <w:t>وجماعة من المتأخّرين</w:t>
      </w:r>
      <w:r>
        <w:rPr>
          <w:rStyle w:val="FootnoteAnchor"/>
          <w:rtl w:val="true"/>
        </w:rPr>
        <w:footnoteReference w:id="777"/>
      </w:r>
      <w:r>
        <w:rPr>
          <w:rFonts w:ascii="Amiri" w:hAnsi="Amiri" w:eastAsia="Amiri" w:cs="Amiri"/>
          <w:color w:val="111111"/>
          <w:sz w:val="28"/>
          <w:sz w:val="28"/>
          <w:szCs w:val="28"/>
          <w:rtl w:val="true"/>
          <w:lang w:bidi="ar-SA"/>
        </w:rPr>
        <w:t>وهو التخيير بين القصر والتمام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اُخر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تشتّت الأقوال هو اختلاف الأخبار، فلابدّ أوّلاً من نقل جملة منها، ثمّ بيان ما يستفاد منها،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ممّا يدلّ على اعتبار الثمانية، الظاهرة في الامتداديّة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تحديد المسافة بأربعة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بريد، والبريد أربعة فراسخ</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زيد الشّحام،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الرّجل الصَّلاة في مسيرة اثني عشر ميلاً</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ونحوهما غيرهما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الأربعة مقيّدة بضمّ الإياب إلى الذهابخ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من دون تقييد بكون ذلك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المسافر؟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ذاهباً وبريدٌ جائياً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ذاهب وبريدٌ 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إذا أتى ذُباباً قصّر، وذُباب على بريد، وإنّما فعل ذلك لأنّه إذا رجع كان سفره بريدين، ثمانية فراسخ</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ونحوهما غيرهما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ضمّ الإياب إلى الذهاب في غير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يتمّون الصَّلاة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سفرٍ أشدّ منه، لا يتمّ أو لا يتمّوا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أُقصّر الصَّلاة‌؟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بريدٍ، ألا ترى أنّ أهل مكّة إذا خرجوا إلى عرفة كان عليهم التقصير</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ممّا ورد في وجوب التقصير على أهل مكّة حين خروجهم إلى عرفات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إسحاق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عن أبي الحسن عليه السلام عن قومٍ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خرجوا في سفر، وتخلّف عنهم رجلٌ‌، وبقوا ينتظرونه،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كانوا بلغوا مسيرة أربعة فراسخ، فليقيموا على تقصيرهم أقاموا أم انصرفوا، وإنْ كانوا ساروا أقلّ من أربعة فراسخ، فليتمّوا الصَّلاة أقاموا أو انصرفوا، فإذا مضوا فليقصّروا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كيف صار 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التقصير في بريدين، ولا يكون التقصير في أقلّ من ذلك، فإذا كانوا قد ساروا بريداً وأرادوا أن ينصرفوا، كانوا قد سافروا سفر التقصير،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ضمّ الإياب إلى الذهاب ليومه، كموثّق ابن مسلم،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ذهب بريداً ورجع بريداً فقد شغل يومه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تعيّن التمام، مع طيّ ما دون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عمران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ضيعةً على خمسة عشر ميلاً خمسة فراسخ، فربما خرجتُ إليها فاُقيم فيها ثلاثة أيّام أو خمسه أيّام أو سبعة أيّام، فأتمّ الصَّلاة أم أقصّر؟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الطريق وأتمّ في الضيعة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التقصير في الصَّلاة‌؟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ضيعةً قريبة من الكوفة، هي بمنزلة القادسيّة من الكوفة، فربما عرضتْ لي حاجة انتفع بها أو يضرّني القعود عنها في رمضان، فأكره الخروج إليها، لأنّي لا أدري أصوم أو أفطر؟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وأتمّ الصَّلاة وصُمّ‌، فإنّي قد رأيتُ القادسيّة</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النصوص الواردة في المقام، فيقع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مستند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 أنّ الطائفة الثانية يقيّد إطلاقها بالطائفة الثالثة والرابعة والخامسة، وتلك الطوائف الثلاث لا تَعارض بينها، إذ الطائفة الثالثة تدلّ على القصر في الثمانية الملفّقة مطلقاً، سواءٌ أكان الإياب ليومه أو لغير يومه، وكل من الطائفة الرابعة والخامسة متضمّنة لحكم قسمٍ من إطلاق هذه الطائفة، فلا تعارض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السادسة، فجملةٌ منها قاصرة سنداً، وجملةٌ اُخرى منها قاصرة دلالة، إذ الأمر بالإتمام في خبر ابن الحجّاج يُحتمل أن يكون لأجل كون ضيعته بحكم الوطن، أو لعلّه كان عازماً على الإقامة فيها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معارضته في مورده لمرسل ابن بُكير الآمر بالتقصير لمن خرج من الكوفة إلى القادسيّة، والأمر بالإتمام في صحيح ابن عمران لأجل الأمر فيه بالقصر في الطريق، وهما لا يجتمعان على جميع الأقوال، فيُحمل على التقيّة لموافقته لمذهبم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العامّة، فيكون هو من أدلّة القول بتعيّن القصر، وبذلك يظهر الخدشة في سائر الروايات التي قريبة من هذه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النسبة بين الطائفة الاُولى والطوائف الثلاث، أي الثالثة والرابعة والخامسة، والظاهر أنّ النسبة هي حكومة الطوائف على الاُولى، لاحظ التعليل في خبر إسحاق، الصريح في تفسير الثمانية، وقوله عليه السلام في موثّق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بريداً ورجع بريداً فقد شغل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تعجّب الراوي، من كون البريد موجباً للقصر، الدالّ على أنّ العبرة في الثمانية ليست بخصوص الامتداديّة، بل الأعمّ منها ومن التلفيقيّة، وكذا غيرهما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يندفع ما ذكره جدّنا</w:t>
      </w:r>
      <w:r>
        <w:rPr>
          <w:rStyle w:val="FootnoteAnchor"/>
          <w:rtl w:val="true"/>
        </w:rPr>
        <w:footnoteReference w:id="790"/>
      </w:r>
      <w:r>
        <w:rPr>
          <w:rFonts w:ascii="Amiri" w:hAnsi="Amiri" w:eastAsia="Amiri" w:cs="Amiri"/>
          <w:color w:val="111111"/>
          <w:sz w:val="28"/>
          <w:sz w:val="28"/>
          <w:szCs w:val="28"/>
          <w:rtl w:val="true"/>
          <w:lang w:bidi="ar-SA"/>
        </w:rPr>
        <w:t>العلّامة المعظّم رحمه الله، من الإشكال على الحكومة،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التلفيق في أخبار الثمانيه ممّا لا وجه له، وإنْ أمكن فرض ذلك في أخبار مسيرة يوم، لأنّ مسافة ثمانية فراسخ عبارة عن البُعد الخاص، وهي غير قابلة لأن تكون أربعة، فإنّ الثمانية لا تصير أربعة على أيّ وجه اعتبرت، ضرورة أنّ البُعد المقدّر المحدود بالثمانية من مكانٍ خاص إلى منتهى الحَدّ، لا يعقل أن يكون أربعة، فإذا ذهب إلى أربعة ورجع يكون البُعد أربعة لا ثمانية، فاعتبار التعميم في الثمانية بالممتدّة والملفّقة ممّا لايتصوّر له وجهٌ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ظاهر أخبار الثمانية اعتبار البُعد الخاص إلى منتهى الحَدّ، إلّاأنّه يرفع اليد عن هذا الظهور بواسطة تلك الطوائف المفسّرة لها، وتُحمل على معنى يشمل الثمانية الملفّقة أيضاً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جمع بين النصوص بنحوٍ آخر، لا يخلو إيراده عن فائدة، وهو أنّ‌ة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التعارض الثابت بين أخبار الثمانية والأربعة مع الانضمام، إنّما هو باعتبار المفهوم المستفاد من سياق التحديد، حيث أنّ ظاهر الاُولى قاضٍ بانحصار سبب القصر في الثمانية، وظاهر الثانية في الأربعة مع ضَمّ الإياب الى الذهاب دون غيرها، ومع اعتبار الانضمام تخرج النسبة بين السببين عن الأقلّ والأكثر، بل تكون النسبة بينهما التباين، فعلى هذا يقيّد مفهوم كلّ منهما بمنطوق الآخر على ماتقتضيه القاعدة، فيكون كل واحدة منهما سبباً مستقلّاً كسائر موارد تعدّد الأسباب، وهو حسن ودقيق لو لم يتمّ ما ذكرناه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النصوص تعيّن التقصير مع تحقّق المسافة بالثمانية التلفيقيّة، سواءٌ أراد الرجوع ليومه أم لم يرد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لما ذهب إليه الكليني بالطائفة الثانية من النصوص، وقد عرفت أنّ إطلاقها يُقيّد بغيرها من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الاُولى من النصوص، بدعوى معارضتها مع الطوائف الاُخرى وتقدّمها عليها، وبالطائفة السادسة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ممنوع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حكومة الطوائف الاُخرى على الاُولى‌، مضافاً إلى ما ذكره جدّنا العلّامة رحمه الله على فرض تسليم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أنّها ما بين ضعيف السند وقاصرة الدلالة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المنسوب إلى المشهور، فيما إذا أراد الرجوع ليومه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أسلفناه، وفيما إذا لم يرد الرجوع ليومه، بأنّ في المسألة روايتين، والجمعُ بينهما يقتضي القول بالتخيير، 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ما يقتضيه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جماعة من الأساطين كالمرتضى</w:t>
      </w:r>
      <w:r>
        <w:rPr>
          <w:rStyle w:val="FootnoteAnchor"/>
          <w:rtl w:val="true"/>
        </w:rPr>
        <w:footnoteReference w:id="791"/>
      </w:r>
      <w:r>
        <w:rPr>
          <w:rFonts w:ascii="Amiri" w:hAnsi="Amiri" w:eastAsia="Amiri" w:cs="Amiri"/>
          <w:color w:val="111111"/>
          <w:sz w:val="28"/>
          <w:sz w:val="28"/>
          <w:szCs w:val="28"/>
          <w:rtl w:val="true"/>
          <w:lang w:bidi="ar-SA"/>
        </w:rPr>
        <w:t>والحِلّي</w:t>
      </w:r>
      <w:r>
        <w:rPr>
          <w:rStyle w:val="FootnoteAnchor"/>
          <w:rtl w:val="true"/>
        </w:rPr>
        <w:footnoteReference w:id="792"/>
      </w:r>
      <w:r>
        <w:rPr>
          <w:rFonts w:ascii="IRNazanin" w:hAnsi="IRNazanin" w:eastAsia="IRNazanin"/>
          <w:color w:val="111111"/>
          <w:sz w:val="28"/>
          <w:sz w:val="28"/>
          <w:szCs w:val="28"/>
          <w:rtl w:val="true"/>
          <w:lang w:bidi="fa-IR"/>
        </w:rPr>
        <w:t>، وجدّنا رحمه الله</w:t>
      </w:r>
      <w:r>
        <w:rPr>
          <w:rStyle w:val="FootnoteAnchor"/>
          <w:rtl w:val="true"/>
        </w:rPr>
        <w:footnoteReference w:id="793"/>
      </w:r>
      <w:r>
        <w:rPr>
          <w:rFonts w:ascii="Amiri" w:hAnsi="Amiri" w:eastAsia="Amiri" w:cs="Amiri"/>
          <w:color w:val="111111"/>
          <w:sz w:val="28"/>
          <w:sz w:val="28"/>
          <w:szCs w:val="28"/>
          <w:rtl w:val="true"/>
          <w:lang w:bidi="ar-SA"/>
        </w:rPr>
        <w:t>، والشيخ الأعظم</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أراد الرجوع ليومه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وفيما لم يرد الرجوع ليومه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جدّي العلّامة رحمه الله، وهو أنّ إعراض الأصحاب عن أخبار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قويّة سنداً ودلالة، بحيث لم يُنقل القول بمضمونها عن أحدٍ إلى زمان العُمّاني، مع أنّها كانت 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ريبٍ فيها، وموجبٌ لوهنها، وعدم صحّة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ذهبوا إلى التخيير، بل ربما قيل هو المشهور بين القدماء</w:t>
      </w:r>
      <w:r>
        <w:rPr>
          <w:rStyle w:val="FootnoteAnchor"/>
          <w:rtl w:val="true"/>
        </w:rPr>
        <w:footnoteReference w:id="795"/>
      </w:r>
      <w:r>
        <w:rPr>
          <w:rFonts w:ascii="Amiri" w:hAnsi="Amiri" w:eastAsia="Amiri" w:cs="Amiri"/>
          <w:color w:val="111111"/>
          <w:sz w:val="28"/>
          <w:sz w:val="28"/>
          <w:szCs w:val="28"/>
          <w:rtl w:val="true"/>
          <w:lang w:bidi="ar-SA"/>
        </w:rPr>
        <w:t>، وهذا عملٌ منهم بتلك الأخبار، فلا إعراض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المتدبّر فيها يرى أنّ جملةً منها آبية عن هذا الحمل، فالقول بالتخيير أيضاً طرحٌ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إفتاء المشهور بالتخيير عملٌ بها، والقول بإبائها عن هذا الجمع، إيرادٌ عليهم بعدم كون ذلك جمعاً عرفيّاً، لا أنّه دليلٌ لطرحهم الأخبار وإعراضهم عنها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الأخبار الآمرة بالتقصير، لتظافرها، وتكاثرها لا يتطرّق إليها بالنظر إلى مجموعها احتمال عدم الصدور، فلا يجوز طرح جميعها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سُلّم ذلك فيما هو صريحٌ في وجوب القصر على غير مريد الرجوع ليومه، لا يتمّ فيما يدلّ بإطلاقه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جدي رحمه الله أيضاً، وهو أنّ هذه الأخبار معارضة بروايات دالّة على تعيّن التمام، والترجيح مع هذه الروايات وهي الشهرة، وعلى تقدير تسليم التكافؤ، فالمرجع هو العام الفوق، وهو ما يقضي بالتمام لما دون الثمانية، دون مايقضي بالقصر مطلقاً، فإنّه مقيّد بما يدلّ على وجوبه لمريد 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تلك النصوص ما بين ضعيف السَّند، وقاصرة الدلالة، مع أنّ المشهور بين الأصحاب ليس هو تعيّن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الأعظم رحمه الله</w:t>
      </w:r>
      <w:r>
        <w:rPr>
          <w:rStyle w:val="FootnoteAnchor"/>
          <w:rtl w:val="true"/>
        </w:rPr>
        <w:footnoteReference w:id="796"/>
      </w:r>
      <w:r>
        <w:rPr>
          <w:rFonts w:ascii="Amiri" w:hAnsi="Amiri" w:eastAsia="Amiri" w:cs="Amiri"/>
          <w:color w:val="111111"/>
          <w:sz w:val="28"/>
          <w:sz w:val="28"/>
          <w:szCs w:val="28"/>
          <w:rtl w:val="true"/>
          <w:lang w:bidi="ar-SA"/>
        </w:rPr>
        <w:t>وهو أنّ الأمر فيما كان الإياب لغير يومه يدور بين تعيّن التمام، أو التخيير بينه وبين القصر، فيكون التمام هو القدر المتيقّن، فيجب الأخذ به، كما في كلّ موردٍ يدور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شقّاً ثالثاً، وهو الأقوى بحسب الأدلّة، وهو تعيّن القصر، فلا قدر متيقّن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أصالة التعين لو تمّ‌، فإنّما هو فيما لو يكن دليلٌ‌، وقد عرفت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الوارد في ذيل موثّق سماعة للقصر في البريد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 بريداً فقد شغل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اعتبار شُغل اليوم بالفعل في القصر، ومع عدمه يجب التمام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التعليل، كونه في مقام مجرّد التقدير، فإنّه واردٌ في مقام رفع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تعجّب السائل من تحديد القصر بالبريد، وأنّه مع الرجوع يكون صغرى الكبرى المرتكزة في ذهن السائل، من اعتبار ثمانية فراسخ، المعبّر عنها في بعض النصوص بمسيرة يوم، فالتعليل المزبور ظاهرٌ في عدم دخل لشغل اليوم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للقصر في المورد الوارد في صحيح زرارة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 كان سفره بريدين 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منهما واحدٌ، وسيأتي زيادة توضيح لذلك في بعض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النصوص الآمرة بالقصر، ونصوص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قصد بذلك التخيير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جمعٌ تبرّعي لا شاهد له، بل بعض أخبار التقصير الوارد في خروج أهل مكّة إلى عرفات، يأبى عن هذا الحمل، لاشتماله على التوبيخ والإنكار بالويل والويح على ترك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التوبيخ فيها على الالتزام بالإتمام، وعدم مشروعيّة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أهل مكّة، حيث أنّهم كانوا ملتزمين به لما سنّه عثمان وتبعه الأمراء من بعده كما نطق به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ظاهرها، كما يظهر لمَن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التخيير في 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بذلك فرعُ التعارض، وعدم إمكان الجمع بوجه، وعدم وجود المرجّح لشيء من المتعارضين، وقد عرفت ما في جميع هذه المباني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تعيّن القصر في الثمانية الملفّقة، سواءٌ أكان الإياب ليومه أم لم 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فيما إذا كان كلٍّ من الذهاب والإياب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الذهاب أقلّ من تلك، مع كون الجميع ثمانية فراسخ، كما إذا كان الذهاب فرسخين، والإياب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فالمنسوبُ إلى المشهور تعيّن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الأعظم</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ذلك حكمُ ما لو كان كلٍّ منهما أربعة، لو لم يقم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بالتعليل في موثّق ابن مسلم المتقدّم، فإنّ العبرة بعموم العلّة المنصوصة، وقد عَلّل عليه السلام وجوب القصر في بريدٍ جائياً وبريدٍ ذاهباً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بريداً ورجع بريداً فقد شَغل يومه</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فكلّ ما كان شاغلاً لليوم من المسير ثمانية فراسخ، يثبت فيه التقصير، سواءٌ أكان التلفيق من أربعة من الطرفين، أو من ثلاثة ذاهباً وخمسة عائداً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التوقّف في كونه من قبيل الحكمة لا العلّة التي يدور الحكم مدارها، وإلّا لزم الاكتفاء في القصر بالتردّد ميلاً ذاهباً وراجعاً أربعة وعشرين مرة، وهذا ممّا لم يلتزم به متّفقهٌ فضلاً عن فقيه، فيعلم من ذلك أنّه يعتبر في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عن الوطن المحدود بحدٍّ خاص، وقد عيّنه الشارع الأقدس في النصوص وهو الثمانية الامتداديّة، والأربعة إذا رجع، فثبوت القصر في الأقلّ من الأربعة مخالفٌ لتلك النصوص، بل لو ثبت عموم العلّة لابدّ من تخصيصه بنصوص الأربعة المصرّح فيها بأنّ الأربعة أدنى ما يقصر فيها، وفي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91" w:name="pg11802_154190"/>
    </w:p>
    <w:p>
      <w:pPr>
        <w:pStyle w:val="BookText"/>
        <w:rPr/>
      </w:pPr>
      <w:bookmarkEnd w:id="391"/>
      <w:r>
        <w:rPr>
          <w:rFonts w:ascii="Amiri" w:hAnsi="Amiri" w:eastAsia="Amiri" w:cs="Amiri"/>
          <w:color w:val="111111"/>
          <w:sz w:val="28"/>
          <w:sz w:val="28"/>
          <w:szCs w:val="28"/>
          <w:rtl w:val="true"/>
          <w:lang w:bidi="ar-SA"/>
        </w:rPr>
        <w:t>التصريح بوجوب التمام، إذا كان الذهاب أقلّ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الذهاب أكثر من الأربعة، والعود أقلّ منها، كما إذا ذهب ستّة فراسخ ورجع فرسخين، فهل يقصّر أم لا؟</w:t>
      </w:r>
    </w:p>
    <w:p>
      <w:pPr>
        <w:pStyle w:val="BookText"/>
        <w:rPr/>
      </w:pPr>
      <w:r>
        <w:rPr>
          <w:rFonts w:ascii="Amiri" w:hAnsi="Amiri" w:eastAsia="Amiri" w:cs="Amiri"/>
          <w:color w:val="111111"/>
          <w:sz w:val="28"/>
          <w:sz w:val="28"/>
          <w:szCs w:val="28"/>
          <w:rtl w:val="true"/>
          <w:lang w:bidi="ar-SA"/>
        </w:rPr>
        <w:t>وجهان، أقواهما الثاني، من جهة أنّ مقتضى نصوص الثمانية، عدم كفاية أقلّ منها، وقد خرجنا عن حكمها لحكومة نصوص التلفيق عليها، فلابدّ من الاقتصار على مقدار مدلول دليل الحاكم، وهو إنّما يكون في الملفّقة من الذهاب أربعة فراسخ والإياب كذلك، والمرجع في غير هذا المورد إلى مفهوم نصوص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ورد التصريح في بعض نصوص التلفيق، بأنّ أدنى ما يقصّر فيه المسافر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ذاهباً وبريدٌ جائياً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كصحيح معاوية المتقدّم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عموم التعلّل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جواز القصر إذا كان الذهاب أو الإياب أقلّ من أربعة فراسخ، وإنْ كان المجموع ثمانية فراسخ</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10531811_73709187"/>
      <w:bookmarkStart w:id="393" w:name="_Toc147"/>
      <w:bookmarkEnd w:id="392"/>
      <w:r>
        <w:rPr>
          <w:rtl w:val="true"/>
        </w:rPr>
        <w:t>في تعيين مبدأ المسافة</w:t>
      </w:r>
      <w:bookmarkEnd w:id="393"/>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كلماتهم في تعيين مبدأ المسافة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جماعةٍ‌، بل المشهور</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مبدأها سور البلد، أو آخر البيوت فيما لا سور </w:t>
      </w:r>
    </w:p>
    <w:p>
      <w:pPr>
        <w:pStyle w:val="BookText"/>
        <w:rPr/>
      </w:pPr>
      <w:r>
        <w:rPr>
          <w:rFonts w:ascii="Amiri" w:hAnsi="Amiri" w:eastAsia="Amiri" w:cs="Amiri"/>
          <w:color w:val="111111"/>
          <w:sz w:val="28"/>
          <w:sz w:val="28"/>
          <w:szCs w:val="28"/>
          <w:rtl w:val="true"/>
          <w:lang w:bidi="ar-SA"/>
        </w:rPr>
        <w:t>له في البلدان الصغيرة والمتوسّطة، وآخر المحلّة في المدن الكبيرة مترامية الأطراف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مبدأها الدار والمنزل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ظاهر الشهيد رحمه الله</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مبدأها الخروج عن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المبدأ آخر البلد مطلقاً، ويشهد له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خرج من منزله، ولم يخرج من بلده، لا يصدق عليه اسم المسافر المعتبر في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خلوّ الأخبار والنصوص الواردة في تحديد المسافة عن الإشارة إلى المبدأ، لا مناص عن البناء على أنّ العبرة بنظر العرف، ولا شكّ في أنّ المبدا عندهم آخر البلد، ولذا ترى أنّه عند السؤال عنهم عن حَدّ المسافة إلى مكانٍ خاص، يُجيبون بالجواب الذي يذكرونه عند السؤال عن المسافة بين البلد وذلك المكان، وهذه علامةٌ على أنّ العبرة عندهم بآخر البلد، وما ذكرناه لا فرق فيه بين المدن الكبيرة وغيرها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المسافة الواقعة في البلدان الكبيرة بنفسها ملحوظة لدى العرف، ويكون كلّ محلّةٍ من محلّاتها ملحوظة على سبيل الاستقلال في تحديداتهم، فالعبرة إنّما تكون بالخروج عن المحلّة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الذي أفتى به قدماء الأصحاب، من أنّ العبرة في البلاد العظيمة بآخر المحلّة، لا ينطبق على فتوى المتأخّرين، والتي نسبناها إلى المشهور، لأنّ جمعاً منهم حدّدوا البلد العظيم بما إذا كان بين محلّاته انفصالاً، بأن لا تكون المحلّات متّصلاً بعضها ببعض، وترى أنّ هذا الضابط لا ينطبق على كثيرٍ من البلاد التي يعدّونها من البلاد العظيمة مثل طهران وبغداد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المتضمّنة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مسافراً حتّي يسير من منزله أو قريته ثمانية فراسخ</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الرّجل من منزله أو قريته ثمانية فراسخ</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إطلاق لها من هذه الجهة، لورودها مورد حكمٍ آخر أنّه من المحتمل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أوسع من البيت، ويشهد له عطف الضيعة والقرية عليه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عن ظاهر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الشخص إنّما يعدّ مسافراً شرعاً، بالخروج عن حَدّ الترخّص، وقبل الخروج لا يصدق عليه ذلك، ولذا لا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مبدأ لحكم السّفر لا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بآخر البلد مطلقاً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94" w:name="pg11802_154193"/>
    </w:p>
    <w:p>
      <w:pPr>
        <w:pStyle w:val="Heading6"/>
        <w:numPr>
          <w:ilvl w:val="5"/>
          <w:numId w:val="1"/>
        </w:numPr>
        <w:rPr/>
      </w:pPr>
      <w:bookmarkStart w:id="395" w:name="__RefHeading___Toc10531813_73709187"/>
      <w:bookmarkStart w:id="396" w:name="_Toc148"/>
      <w:bookmarkEnd w:id="394"/>
      <w:bookmarkEnd w:id="395"/>
      <w:r>
        <w:rPr>
          <w:rtl w:val="true"/>
        </w:rPr>
        <w:t>في المسافة المستديرة</w:t>
      </w:r>
      <w:bookmarkEnd w:id="396"/>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المسافة مستديرة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مقصدٌ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مقصد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المسافة هل هي ملفّقة من الذهاب والإياب، أم تكون امتداديّة‌؟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القوس المطوي يُحسب من الثمانية أم لا؟</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مسافة ملفّقة لا امتداديّة، وذلك لأنّ المعيار في الذهاب التباعد عن مبدأ السير، والوصول إلى حَدٍّ معيّن، وفي الإياب الحركة من ذلك الموضع إلى مبدأ السير، وهذان العنوانان يصدقان على المسافة المستديرة، ويكون مبدأ الذهاب الخروج من البلد ومنتهاه النقطة المسامتة لمبدأ الحركة، ومبدأ الإياب تلك النقطة، ومنتهاه مبدأ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يندفع ما قيل</w:t>
      </w:r>
      <w:r>
        <w:rPr>
          <w:rStyle w:val="FootnoteAnchor"/>
          <w:rtl w:val="true"/>
        </w:rPr>
        <w:footnoteReference w:id="806"/>
      </w:r>
      <w:r>
        <w:rPr>
          <w:rFonts w:ascii="Amiri" w:hAnsi="Amiri" w:eastAsia="Amiri" w:cs="Amiri"/>
          <w:color w:val="111111"/>
          <w:sz w:val="28"/>
          <w:sz w:val="28"/>
          <w:szCs w:val="28"/>
          <w:rtl w:val="true"/>
          <w:lang w:bidi="ar-SA"/>
        </w:rPr>
        <w:t>من إنّ كلّ جزءٍ من أجزاء المسافة المستديرة على حَدٍّ سواء، في كونه مقصوداً بالسير إليه والتعدّي منه تبعاً لمقصده الأصلي، وهي الإحاطة بمجموعها في السير، فتكون هذه ملحقة بالمسافة الامتداديّة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احتساب القوس منها، فلو كان مجموع الدائرة تسعة فراسخ، يكون ذهابه أربعة فراسخ ونصفاً وكذلك إيابه، لا ثلاثة فراسخ، كما </w:t>
      </w:r>
    </w:p>
    <w:p>
      <w:pPr>
        <w:pStyle w:val="BookText"/>
        <w:rPr/>
      </w:pPr>
      <w:r>
        <w:rPr>
          <w:rFonts w:ascii="Amiri" w:hAnsi="Amiri" w:eastAsia="Amiri" w:cs="Amiri"/>
          <w:color w:val="111111"/>
          <w:sz w:val="28"/>
          <w:sz w:val="28"/>
          <w:szCs w:val="28"/>
          <w:rtl w:val="true"/>
          <w:lang w:bidi="ar-SA"/>
        </w:rPr>
        <w:t>هو كذلك على المسلك الآخر، إذ المعيار في القصر ليس هو البُعد عن المنزل، كي يُقال إنّه في الفرض يكون من منزله إلى النقطة المسامتة بمقدار ثلاثة فراسخ، بل المعيار مقدار السير، ولذا لا شكّ في أنّه إذا كان للبلد طريقان، أحدهما أبعد من الآخر، فسلك الأبعد عليه أن يقصّر، مع أنّه لا يصدق أنّه قد ابتعد عن محلّه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فمن مشى من منزله إلى النقطة المسامتة له في الفرض، فقد سار من منزله أربعة فراسخ ونصفاً، وإيابه أيضاً يكون بهذا المقدار، وإذا انضمّ الإياب إليه تمَّ ملاك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على نصف الدائرة فلا كلام، وكذلك إنْ كان على قوسٍ أقلّ من النصف، وكان بالغاً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على قوسٍ أقلّ من أربعة، فبناءً على المختار من اعتبار كون الذهاب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يكون الذهاب في الفرض منتهاه المقصد، والإياب منه إلى البلد فلا يقصّر؟</w:t>
      </w:r>
    </w:p>
    <w:p>
      <w:pPr>
        <w:pStyle w:val="BookText"/>
        <w:rPr/>
      </w:pPr>
      <w:r>
        <w:rPr>
          <w:rFonts w:ascii="Amiri" w:hAnsi="Amiri" w:eastAsia="Amiri" w:cs="Amiri"/>
          <w:color w:val="111111"/>
          <w:sz w:val="28"/>
          <w:sz w:val="28"/>
          <w:szCs w:val="28"/>
          <w:rtl w:val="true"/>
          <w:lang w:bidi="ar-SA"/>
        </w:rPr>
        <w:t>أو يكون منتهى الذهاب النقطة المسامتة لمبدأ الحركة فيقصّر؟</w:t>
      </w:r>
    </w:p>
    <w:p>
      <w:pPr>
        <w:pStyle w:val="BookText"/>
        <w:rPr/>
      </w:pPr>
      <w:r>
        <w:rPr>
          <w:rFonts w:ascii="Amiri" w:hAnsi="Amiri" w:eastAsia="Amiri" w:cs="Amiri"/>
          <w:color w:val="111111"/>
          <w:sz w:val="28"/>
          <w:sz w:val="28"/>
          <w:szCs w:val="28"/>
          <w:rtl w:val="true"/>
          <w:lang w:bidi="ar-SA"/>
        </w:rPr>
        <w:t>وجهان، لا يخلو ثانيهما عن قوّة، إذ المعيار في الذهاب، هو التباعد عن مبدأ السير، وهذا متحقّقٌ فيما بين المنزل والنقطة المسامتة لمبدأ الحركة، ولا يصدق الشروع في الإياب إلّامع التجاوز عن تلك النقطة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كلّه، ربما يُدّعى في الفرض وسابقه انصراف النصوص عن مثل هذه المسافة، فلا ينبغي ترك الاحتياط بالجمع بين القصر والتمام</w:t>
      </w:r>
      <w:r>
        <w:rPr>
          <w:rFonts w:eastAsia="Amiri" w:cs="Amiri" w:ascii="Amiri" w:hAnsi="Amiri"/>
          <w:color w:val="111111"/>
          <w:sz w:val="28"/>
          <w:szCs w:val="28"/>
          <w:rtl w:val="true"/>
          <w:lang w:bidi="ar-SA"/>
        </w:rPr>
        <w:t>.</w:t>
      </w:r>
      <w:bookmarkStart w:id="397" w:name="pg11802_154195"/>
    </w:p>
    <w:p>
      <w:pPr>
        <w:pStyle w:val="Heading6"/>
        <w:numPr>
          <w:ilvl w:val="5"/>
          <w:numId w:val="1"/>
        </w:numPr>
        <w:rPr/>
      </w:pPr>
      <w:bookmarkStart w:id="398" w:name="__RefHeading___Toc10531815_73709187"/>
      <w:bookmarkStart w:id="399" w:name="_Toc149"/>
      <w:bookmarkEnd w:id="397"/>
      <w:bookmarkEnd w:id="398"/>
      <w:r>
        <w:rPr>
          <w:rtl w:val="true"/>
        </w:rPr>
        <w:t>طرق ثبوت المسافة</w:t>
      </w:r>
      <w:bookmarkEnd w:id="399"/>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المسافة باُمور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بالعلم، لأنّ حجّيته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وبالبيّنة، لما دلّ على حجيّتها في الموضوعات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الواحد على الأظهر، لما حقّقنا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من حجّيته في الموضوعات كالأحكام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ثبوتها بالشياع غير المفيد للعلم،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العدم؛ لعدم الدليل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المحقّق النائيني رحمه الله، القول بالثبوت، واستدلّ له بأنّ المسافة تقريبيّة لا تحقيقيّة، فيُكتفى فيها بالشياع الظنّي والشهرة في حصول التقريب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بهما ما يفيد العلم بالمسافة التقريبيّة، وإنْ أفاد الظنّ بالتحقيقيّة فهو متينٌ‌، إلّاأنّه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بهما ما يفيد الظنّ بالتقريبيّة، فالحقّ عدم الثبوت، لعدم الدليل على حجيّتهما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فقد المكلّف جميع الأمارات المثبتة للمسافة، وشكّ فيها، وكانت الحالة السابقة العلم بعدم المسافة، فهل يجب عليه حينئذٍ الجمع بين القصر والتمام، أم يجب التمام‌؟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الإجمالي بوجوب أحدهما، وهو يقتضي الجمع بينهما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استصحاب عدم تحقّق المسافة، وعدم كونه مسافراًشرعيّاً، البقاء على التمام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أنّ موضوع التمام إنّما هو الحاضر والمُقيم، وإثبات أحد هذين العنوانين بالأصل من قبيل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ليس خصوص مَنْ ذُكر، كيف وقد ثبت وجوب التمام على كثير من أفراد المسافرين، مع أنّ ذلك العنوان الوجودي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مسبوقٌ بالوجود، فيستصحب ذلك، ولا حاجة إلى إثباته باستصحاب عدم المسافة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البقاء على التمام حتّى تثبت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مورد تعليق حكمٍ على 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كالترخيص في التصرّف الثابت لمال الغير عند 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الدليل المثبت له بالدلالة الالتزاميّة العرفيّة، يدلّ على ثبوته في مرحلة إحراز موضوعه، وعليه ففي المقام بما أنّ وجوب القصر مرتّب على السّفر الذي هو أمرٌ وجودي، فيستكشف من دليله دخل إحراز السّفر في ثبوته، فمع عدم الإحراز والشكّ يُبنى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هذا الشرح غير مرّة، من عدم تماميّة هذه الكبرى الكليّة، بل المستفاد من الدليل ليس إلّاترتّب الحكم على الموضوع النفس الأمري الواقعي، بلا دخلٍ للإحراز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لو تمّت فإنّما هي في الأحكام الترخيصيّة المعلّقة على الاُمور الوجوديّة لا غيرها، ووجوب القصر ليس منها، فالصحيح ما ذكرناه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شُكّ في المسافة، فهل يجب الفحص عنها، إذا لم يكن عسراً، أم يجوز الرجوع الأصل بدونه‌؟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وجهان، اختار الشيخ الأعظم رحمه الله الأوّل</w:t>
      </w:r>
      <w:r>
        <w:rPr>
          <w:rStyle w:val="FootnoteAnchor"/>
          <w:rtl w:val="true"/>
        </w:rPr>
        <w:footnoteReference w:id="809"/>
      </w:r>
      <w:r>
        <w:rPr>
          <w:rFonts w:ascii="Amiri" w:hAnsi="Amiri" w:eastAsia="Amiri" w:cs="Amiri"/>
          <w:color w:val="111111"/>
          <w:sz w:val="28"/>
          <w:sz w:val="28"/>
          <w:szCs w:val="28"/>
          <w:rtl w:val="true"/>
          <w:lang w:bidi="ar-SA"/>
        </w:rPr>
        <w:t>، وتبعه المحقّق النائيني رحمه الله،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 وهو أنّ وجوب القصر عُلّق على المسافة النفس الأمريّة، فيجبُ مع الشكّ رعايةً لتحصيل الواقع إمّا الجمع أو الفحص، والأوّل منتفٍ هنا إجماعاً،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المنتفي بالإجماع تعيّن الجمع لا التخيير بينه وبين الفحص، فلا يتعيّن الفحص، مع أنّه قد عرفت أنّه يمكن عن طريق الاستصحاب إحراز عدم تحقّق المسافة، ويترتّب عليه وجوب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 من أنّ الفحص المتوقّف على الاستعلام والسؤال، بحيث يتبيّن ظنّاً أو علماً بسبب السؤال، ليس من قبيل الفحص القائم على عدم وجوبه الإجماع، لأنّه عبارة عن تحصيل مقدّماتٍ غير حاصلة لكي يحصل منها العلم، والسؤال ليس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عدم وجوب الفحص ليس هو الإجماع، بل إطلاق أدلّة الاُصول الشامل لما قبل الفحص، نعم خرج عنه بعض الموارد الذي يلزم من العمل بالأصل المخالفة القطعيّة الكثيرة، المعلوم عدم جوازها شرعاً، المستكشف منه وجوب الاحتياط، كالاستطاعة والنصاب في الزكاة، وليس المورد من قبيل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الفحص</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00" w:name="pg11802_154198"/>
    </w:p>
    <w:p>
      <w:pPr>
        <w:pStyle w:val="BookText"/>
        <w:rPr/>
      </w:pPr>
      <w:bookmarkEnd w:id="400"/>
      <w:r>
        <w:rPr>
          <w:rFonts w:ascii="Amiri" w:hAnsi="Amiri" w:eastAsia="Amiri" w:cs="Amiri"/>
          <w:color w:val="111111"/>
          <w:sz w:val="28"/>
          <w:sz w:val="28"/>
          <w:szCs w:val="28"/>
          <w:rtl w:val="true"/>
          <w:lang w:bidi="ar-SA"/>
        </w:rPr>
        <w:t>قَصْدُ المسافة، وهي ثمانية فراسخ أو أربعة، مع قصد العود في يومه</w:t>
      </w:r>
    </w:p>
    <w:p>
      <w:pPr>
        <w:pStyle w:val="Heading5"/>
        <w:numPr>
          <w:ilvl w:val="4"/>
          <w:numId w:val="1"/>
        </w:numPr>
        <w:rPr/>
      </w:pPr>
      <w:bookmarkStart w:id="401" w:name="__RefHeading___Toc10531817_73709187"/>
      <w:bookmarkStart w:id="402" w:name="_Toc150"/>
      <w:bookmarkEnd w:id="401"/>
      <w:r>
        <w:rPr>
          <w:rtl w:val="true"/>
        </w:rPr>
        <w:t>اعتبار قصد المسافة</w:t>
      </w:r>
      <w:bookmarkEnd w:id="402"/>
    </w:p>
    <w:p>
      <w:pPr>
        <w:pStyle w:val="Heading6"/>
        <w:numPr>
          <w:ilvl w:val="5"/>
          <w:numId w:val="1"/>
        </w:numPr>
        <w:rPr/>
      </w:pPr>
      <w:bookmarkStart w:id="403" w:name="__RefHeading___Toc10531819_73709187"/>
      <w:bookmarkStart w:id="404" w:name="_Toc151"/>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المسافة، وهي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أربعة مع قصد العود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هذا القيد ممّا لا خلاف فيه، بل عليه الإجماع بقسميه،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معنى اعتبار المسافة، إذ لايعتبر قطعها أجمع نصّاً وفتوى في صحّة التقصير، فالمدار على قصدها، ولعلّه لذا 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وفي المتن المسافة شرطاً في قبال قصدها، وإنّما ذُكر قصد المسافة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فيدلّ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صفوان،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خرج من بغداد يريدُ أن يلحق رجلاً على رأس ميل، فلم يزل يتبعه حتّى بلغ النهروان، وهي أربعة فراسخ من بغداد أيفطر إذا أراد الرجوع ويقصّر؟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يقصّر ولا يفطر، لأنّه خرج من منزله، وليس يريدُ السّفر ثمانية فراسخ، وإنّما خرج يريد أن يلحق صاحبه في بعض الطريق، فتمادى به السير إلى </w:t>
      </w:r>
      <w:bookmarkStart w:id="405" w:name="pg11802_154199"/>
    </w:p>
    <w:p>
      <w:pPr>
        <w:pStyle w:val="BookText"/>
        <w:rPr/>
      </w:pPr>
      <w:bookmarkEnd w:id="405"/>
      <w:r>
        <w:rPr>
          <w:rFonts w:ascii="Amiri" w:hAnsi="Amiri" w:eastAsia="Amiri" w:cs="Amiri"/>
          <w:color w:val="111111"/>
          <w:sz w:val="28"/>
          <w:sz w:val="28"/>
          <w:szCs w:val="28"/>
          <w:rtl w:val="true"/>
          <w:lang w:bidi="ar-SA"/>
        </w:rPr>
        <w:t>الموضع الذي بلغه</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في حاجةٍ فيسير خمسة أو ستّة، فيأتي قرية فينزل فيها، ثمّ يخرج منها فيسير خمسة فراسخ أو ستّة فراسخ، ويأتي قريةٍ فينزل فيها، ثمّ يخرج منها فيسير خمسة فراسخ اُخرى أو ستّة فراسخ، لا يجوز ذلك، ثمّ ينزل في ذلك الموضع،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بقرينة السؤال اعتبار قصد السير ثمانية فراسخ، فهذا الحكم ممّا لا كلام فيه،</w:t>
      </w:r>
    </w:p>
    <w:p>
      <w:pPr>
        <w:pStyle w:val="Heading6"/>
        <w:numPr>
          <w:ilvl w:val="5"/>
          <w:numId w:val="1"/>
        </w:numPr>
        <w:rPr/>
      </w:pPr>
      <w:bookmarkStart w:id="406" w:name="__RefHeading___Toc10531821_73709187"/>
      <w:bookmarkStart w:id="407" w:name="_Toc152"/>
      <w:bookmarkEnd w:id="406"/>
      <w:r>
        <w:rPr>
          <w:rtl w:val="true"/>
        </w:rPr>
        <w:t>إنّما الكلام وقع في اُمور</w:t>
      </w:r>
      <w:r>
        <w:rPr>
          <w:rtl w:val="true"/>
        </w:rPr>
        <w:t>:</w:t>
      </w:r>
      <w:bookmarkEnd w:id="407"/>
    </w:p>
    <w:p>
      <w:pPr>
        <w:pStyle w:val="Heading6"/>
        <w:numPr>
          <w:ilvl w:val="5"/>
          <w:numId w:val="1"/>
        </w:numPr>
        <w:rPr/>
      </w:pPr>
      <w:bookmarkStart w:id="408" w:name="__RefHeading___Toc10531823_73709187"/>
      <w:bookmarkStart w:id="409" w:name="_Toc153"/>
      <w:bookmarkEnd w:id="408"/>
      <w:r>
        <w:rPr>
          <w:rtl w:val="true"/>
        </w:rPr>
        <w:t>حكم الإياب إلى منزله</w:t>
      </w:r>
      <w:bookmarkEnd w:id="40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أنّه لا يقصّر فيما إذا سار ثمانية فراسخ، مع عدم القصد، إنّما هو في الذهاب، وأمّا في الإياب إلى منزله إذا كان ثمانية فراسخ، فيقصّر لتحقّق شرائط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14"/>
      </w:r>
      <w:r>
        <w:rPr>
          <w:rFonts w:ascii="Amiri" w:hAnsi="Amiri" w:eastAsia="Amiri" w:cs="Amiri"/>
          <w:color w:val="111111"/>
          <w:sz w:val="28"/>
          <w:sz w:val="28"/>
          <w:szCs w:val="28"/>
          <w:rtl w:val="true"/>
          <w:lang w:bidi="ar-SA"/>
        </w:rPr>
        <w:t>انصراف النصوص إلى المسافة الذهابيّة، غير مسموعة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في حاجةٍ‌، وهو لا يريد السّفر، فيمضي في ذلك فيتمادى به المُضيّ حتّى تمضى به ثمانية فراسخ، كيف يصنع في صلاته‌؟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ولا يتمّ الصَّلاة حتّى يرجع إلى منزله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410" w:name="pg11802_154200"/>
    </w:p>
    <w:p>
      <w:pPr>
        <w:pStyle w:val="Heading6"/>
        <w:numPr>
          <w:ilvl w:val="5"/>
          <w:numId w:val="1"/>
        </w:numPr>
        <w:rPr/>
      </w:pPr>
      <w:bookmarkStart w:id="411" w:name="__RefHeading___Toc10531825_73709187"/>
      <w:bookmarkStart w:id="412" w:name="_Toc154"/>
      <w:bookmarkEnd w:id="410"/>
      <w:bookmarkEnd w:id="411"/>
      <w:r>
        <w:rPr>
          <w:rtl w:val="true"/>
        </w:rPr>
        <w:t>لو أُخرج إلى المسافة</w:t>
      </w:r>
      <w:bookmarkEnd w:id="41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وجوب القصر، إذا كان مكرهاً على السّفر أو مضطرّاً إليه، لتحقّق القصد المعتبر في السّفر الموجب للقصر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والإجماع، وفعل المعصومين عليهم السلام في بعض اسفارهم مع كونهم مُكرهين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16"/>
      </w:r>
      <w:r>
        <w:rPr>
          <w:rFonts w:ascii="Amiri" w:hAnsi="Amiri" w:eastAsia="Amiri" w:cs="Amiri"/>
          <w:color w:val="111111"/>
          <w:sz w:val="28"/>
          <w:sz w:val="28"/>
          <w:szCs w:val="28"/>
          <w:rtl w:val="true"/>
          <w:lang w:bidi="ar-SA"/>
        </w:rPr>
        <w:t>أنّ مقتضى حديث الرفع الحاكم على جميع الأدلّة، هو عدم وجوب القصر، ووجوب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اُشير إليه من الأدلّة على وجوب القصر، لأخصيّتها تُقدَّم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لا يشمل الأحكام المجعولة إرفاقاً وامتناناً على الاُمّة، كوجوب القصر على المسافر،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أُخرج إلى المسافة، بأنْ اُلقي في السفينة دون اختياره، وسار به مع علمه بأنّه يُسار به إلى آخر المسافة، فهل يقصّر أم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الحكم بالقصر، قصد المسافة كما تقدّم،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هذا الشرط</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هو الإجماع والأخبار المتقدّمة، فهي لا تدلّ على اعتبار أزيد من </w:t>
      </w:r>
    </w:p>
    <w:p>
      <w:pPr>
        <w:pStyle w:val="BookText"/>
        <w:rPr/>
      </w:pPr>
      <w:r>
        <w:rPr>
          <w:rFonts w:ascii="Amiri" w:hAnsi="Amiri" w:eastAsia="Amiri" w:cs="Amiri"/>
          <w:color w:val="111111"/>
          <w:sz w:val="28"/>
          <w:sz w:val="28"/>
          <w:szCs w:val="28"/>
          <w:rtl w:val="true"/>
          <w:lang w:bidi="ar-SA"/>
        </w:rPr>
        <w:t xml:space="preserve">العلم، وتوطين النفس على قطع المسافة، وكذا إنْ كان هو النصوص التي عبّر 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بريداً وجاء بريداً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حقّقناه في محلّه من أنّ مادّة الفعل لا تكون منصرفة إلى الفعل الاختياري، كما أنّ هيئته غير منصرفة إليه، فمع عدم دخل الإرادة في موضوعٍ له شيءٌ منهما، لا وجه لدعوى ظهورها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المدرك هو ما دلَّ على اعتبار التبييت بالسّفر، كذيل خبر صفوان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أن يكون اعتبار القصد من حيث كونه فعلاً للنفس، ولازم ذلك ما ذكر، يمكن أن يكون اعتباره من حيث أنّه يترتّب عليه الانفعال، وهو توطين النفس، ولازمه القصر في الفرض كما لا يخفى‌، وحيث أنّه في نفسه غيرُ ظاهرٍ في شيء منهما، فلابدّ في تقييد إطلاق دليل القصر من الاقتصار على المتيقّن، فاعتبار شيءٍ زائداً على العلم كتوطين النفس لا شاهد له، بل الإطلاقات تدلّ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لوجوب القصر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جدّنا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بعد التأمّل في كلمات الأصحاب، وفحوى الأخبار، يظهر أنّ المراد من القصد في المقام، هو مجرّد الاعتقادات، سواءٌ أكان باختيار منه أم لم يكن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لوجوب القصر، هو البُعد الخاص، مع اعتقاده بتحقّق ذلك، سواءٌ أكان باختياره أم لا، ولذا ترى تصريح الجُلّ بل الكُلّ بأنّ الخارج من هذا القيد هو المتحيّر ونحوه، ممّن ليس له علمٌ بتحقّق البُعد الخاص منه، ويشهد له أنّهم لم يذكروا اعتبار العلم شرطاً آخر، بل اقتصروا بذكر القصد</w:t>
      </w:r>
      <w:r>
        <w:rPr>
          <w:rFonts w:eastAsia="Amiri" w:cs="Amiri" w:ascii="Amiri" w:hAnsi="Amiri"/>
          <w:color w:val="111111"/>
          <w:sz w:val="28"/>
          <w:szCs w:val="28"/>
          <w:rtl w:val="true"/>
          <w:lang w:bidi="ar-SA"/>
        </w:rPr>
        <w:t xml:space="preserve">. </w:t>
      </w:r>
      <w:bookmarkStart w:id="413" w:name="pg11802_154202"/>
    </w:p>
    <w:p>
      <w:pPr>
        <w:pStyle w:val="BookText"/>
        <w:rPr/>
      </w:pPr>
      <w:bookmarkEnd w:id="4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إسحاق بن عمّار، عن أبي الحسن عليه السلام الوارد في قوم خرجوا في السّفر وتخلّف منهم واحد،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إنّما قصّروا في ذلك الموضع لأنّهم لم يشكّوا في مسيرهم، وأنّ السير يجد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18"/>
      </w:r>
      <w:r>
        <w:rPr>
          <w:rFonts w:ascii="Amiri" w:hAnsi="Amiri" w:eastAsia="Amiri" w:cs="Amiri"/>
          <w:color w:val="111111"/>
          <w:sz w:val="28"/>
          <w:sz w:val="28"/>
          <w:szCs w:val="28"/>
          <w:rtl w:val="true"/>
          <w:lang w:bidi="ar-SA"/>
        </w:rPr>
        <w:t>ضعف سنده فاسدة، لأنّه معمولٌ به في غير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مجمعٌ عليه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لكن الاحتياط طريق النجاة</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0531827_73709187"/>
      <w:bookmarkStart w:id="415" w:name="_Toc155"/>
      <w:bookmarkEnd w:id="414"/>
      <w:r>
        <w:rPr>
          <w:rtl w:val="true"/>
        </w:rPr>
        <w:t>عدم اعتبار قصد المسافة الشخصيّة</w:t>
      </w:r>
      <w:bookmarkEnd w:id="41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قصد شخص مسافةٍ معيّنة، أم يكفي قصد القدر المشترك المنطبق على المسافات‌؟</w:t>
      </w:r>
    </w:p>
    <w:p>
      <w:pPr>
        <w:pStyle w:val="BookText"/>
        <w:rPr/>
      </w:pPr>
      <w:r>
        <w:rPr>
          <w:rFonts w:ascii="Amiri" w:hAnsi="Amiri" w:eastAsia="Amiri" w:cs="Amiri"/>
          <w:color w:val="111111"/>
          <w:sz w:val="28"/>
          <w:sz w:val="28"/>
          <w:szCs w:val="28"/>
          <w:rtl w:val="true"/>
          <w:lang w:bidi="ar-SA"/>
        </w:rPr>
        <w:t>وجهان، نُسب إلى الشهيد رحمه الله</w:t>
      </w:r>
      <w:r>
        <w:rPr>
          <w:rStyle w:val="FootnoteAnchor"/>
          <w:rtl w:val="true"/>
        </w:rPr>
        <w:footnoteReference w:id="819"/>
      </w:r>
      <w:r>
        <w:rPr>
          <w:rFonts w:ascii="Amiri" w:hAnsi="Amiri" w:eastAsia="Amiri" w:cs="Amiri"/>
          <w:color w:val="111111"/>
          <w:sz w:val="28"/>
          <w:sz w:val="28"/>
          <w:szCs w:val="28"/>
          <w:rtl w:val="true"/>
          <w:lang w:bidi="ar-SA"/>
        </w:rPr>
        <w:t>اختياره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يقتضي التكلّم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ناوياً قطع المسافة الشخصيّة المعيّنة، ثمّ بعد سير مقدارٍ منها عدل إلى مسافة اُخرى تبلغ بانضمام ما مضى مقدار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هذه الصورة وجوب القصر، وذلك لوجهين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على اعتبار قصد المسافة المتقدّم، وما دلّ على أنّه بالعدول عن القصد لا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w:t>
      </w:r>
      <w:r>
        <w:rPr>
          <w:rStyle w:val="FootnoteAnchor"/>
          <w:rtl w:val="true"/>
        </w:rPr>
        <w:footnoteReference w:id="820"/>
      </w:r>
      <w:r>
        <w:rPr>
          <w:rFonts w:ascii="Amiri" w:hAnsi="Amiri" w:eastAsia="Amiri" w:cs="Amiri"/>
          <w:color w:val="111111"/>
          <w:sz w:val="28"/>
          <w:sz w:val="28"/>
          <w:szCs w:val="28"/>
          <w:rtl w:val="true"/>
          <w:lang w:bidi="ar-SA"/>
        </w:rPr>
        <w:t xml:space="preserve">وخبر إسحاق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يدلّان على </w:t>
      </w:r>
    </w:p>
    <w:p>
      <w:pPr>
        <w:pStyle w:val="BookText"/>
        <w:rPr/>
      </w:pPr>
      <w:r>
        <w:rPr>
          <w:rFonts w:ascii="Amiri" w:hAnsi="Amiri" w:eastAsia="Amiri" w:cs="Amiri"/>
          <w:color w:val="111111"/>
          <w:sz w:val="28"/>
          <w:sz w:val="28"/>
          <w:szCs w:val="28"/>
          <w:rtl w:val="true"/>
          <w:lang w:bidi="ar-SA"/>
        </w:rPr>
        <w:t>أزيد من اعتبار قصد القدر المشترك، وأنّه لو عدل عن قصد المسافة بالمرّة لايقصّر، وفي غير ذلك لابدّ من الرجوع الى إطلاق أدلّة القصر في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اندفاع ما قيل من أنّ المقدار من المسافة المعدول إليه لم يكن مقصوداً من الأوّل، وإنّما قصده ثانياً بعد العدول عن الأوّل، مع أنّ ظاهر الأدلّة اعتبار كون الجميع بقصد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ظهر اندفاع ما قيل من إنّ المسافة الاُولى بالرجوع عنها بطلت، والمقصد الثاني لم يبلغ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جملةٍ من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خرجتُ من الكوفة في سفينةٍ إلى قصر ابن أبي هبيرة، وهو من الكوفة على نحو من عشرين فرسخاً في الماء، فسرتُ يومي ذلك أُقصّر الصَّلاة، ثمّ بدا لي في اللّيل الرجوع إلى الكوفة، فلم أدر اُصلّي في رجوعي بتقصيرٍ أم بتمام، وكيف كان ينبغي أن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سرتَ في يومك الذي خرجتَ فيه بريداً، فكان عليك حين رجعت أن تُصلّي بالتقصير، لأنّك كنتَ مسافراً إلى أن تصير إلى منزلك</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الحديث، ونحوه غيره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وإنْ وردت في العدول من المسافة الامتداديّة إلى الملفّقة، إلّاأنّه يثبت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16" w:name="pg11802_154204"/>
    </w:p>
    <w:p>
      <w:pPr>
        <w:pStyle w:val="BookText"/>
        <w:rPr/>
      </w:pPr>
      <w:bookmarkEnd w:id="416"/>
      <w:r>
        <w:rPr>
          <w:rFonts w:ascii="Amiri" w:hAnsi="Amiri" w:eastAsia="Amiri" w:cs="Amiri"/>
          <w:color w:val="111111"/>
          <w:sz w:val="28"/>
          <w:sz w:val="28"/>
          <w:szCs w:val="28"/>
          <w:rtl w:val="true"/>
          <w:lang w:bidi="ar-SA"/>
        </w:rPr>
        <w:t>في غيره، فإنّه يستفاد منها أنّ العدول من المسافة المعيّنة إلى غيرها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المقدّس البغدادي</w:t>
      </w:r>
      <w:r>
        <w:rPr>
          <w:rStyle w:val="FootnoteAnchor"/>
          <w:rtl w:val="true"/>
        </w:rPr>
        <w:footnoteReference w:id="822"/>
      </w:r>
      <w:r>
        <w:rPr>
          <w:rFonts w:ascii="Amiri" w:hAnsi="Amiri" w:eastAsia="Amiri" w:cs="Amiri"/>
          <w:color w:val="111111"/>
          <w:sz w:val="28"/>
          <w:sz w:val="28"/>
          <w:szCs w:val="28"/>
          <w:rtl w:val="true"/>
          <w:lang w:bidi="ar-SA"/>
        </w:rPr>
        <w:t>في خصوص مورد النصوص حكم بوجوب التمام على 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من الأولى ناوياً القدر المشترك من الأوّل، كما إذا قصد أحد المكانين المشتركين في بعض الطريق، وأوكل التعيين إلى الوصول إلى آخر الحَدّ المشترك، فإنّ الأظهر فيها التقصير، ولم يُنقل عن أحدٍ القول بالتمام فيها، ويشهد له إطلاق أدلّة القصر</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0531829_73709187"/>
      <w:bookmarkStart w:id="418" w:name="_Toc156"/>
      <w:bookmarkEnd w:id="417"/>
      <w:r>
        <w:rPr>
          <w:rtl w:val="true"/>
        </w:rPr>
        <w:t>لو تردّد في الأثناء</w:t>
      </w:r>
      <w:bookmarkEnd w:id="418"/>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مسافةً ثمّ تردّد في أثنائها فعاد إلى 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ما بقي مسافةً ولو ملفّقه، فلا إشكال، وإلّا فإنْ لم يقطع شيئاً من الطريق في حال التردّد يقصّر، لأنّ مقتضى إطلاق أدلّة القصر، عدم قدح التردّد في الأثناء، بمعنى عدم اقتضائه ارتفاع أثر السّفر بمجرّد حدوثه، لأنّ ما دلَّ على قدح التردّد إنّما يدلّ على قدحه حال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أنّ المرجع بعد زوال التردّد إنّما هو استصحاب حكم الخاص، لا الرجوع إلى العام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حقّقناه في محلّه، من عدم جريان الاستصحاب في الأحكام، بل </w:t>
      </w:r>
    </w:p>
    <w:p>
      <w:pPr>
        <w:pStyle w:val="BookText"/>
        <w:rPr/>
      </w:pPr>
      <w:r>
        <w:rPr>
          <w:rFonts w:ascii="Amiri" w:hAnsi="Amiri" w:eastAsia="Amiri" w:cs="Amiri"/>
          <w:color w:val="111111"/>
          <w:sz w:val="28"/>
          <w:sz w:val="28"/>
          <w:szCs w:val="28"/>
          <w:rtl w:val="true"/>
          <w:lang w:bidi="ar-SA"/>
        </w:rPr>
        <w:t>المرجع هو عموم العام مطلقاً، لا سيّما وأنّ الظاهر من الأدلّة أنّ ثبوت كلٍّ من القصر والتمام في مورديهما إنّما هو في كلّ زمانٍ مع قطع النطر عن ثبوته فيما قبله، كما يظهر لمن تدبّر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ساروا أقلّ من أربعة فراسخ، فليتمّوا الصَّلاة ما أقاموا، فإذا مضوا فليقصّروا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عاد إلى الجزم بعد قطع شيءٍ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مابقي بعد العود إلى الجزم مع ما قطعه حال الجزم أوّلاً بمقدار المسافة لم يقصّر، لأنّ الظاهر من الأدلّة اعتبار كون مجموع المسافة صادرة عن قصد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بمقدار المسافة، كما إذا كان سفره عشرين فرسخاً، فسار في حال الجزم أوّلاً أربعة فراسخ، فتردّد وسار في تلك الحال اثنى عشر فرسخاً، ثمّ عاد إلى الجزم فسار أربعة فراسخ، فالظاهر أنّه يقصّر، لأنّه يصدق أنّه قطع ثمانية فراسخ عن 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 xml:space="preserve">ظهور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كخبري صفوان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الموضوع هي الثمانية المتّصلة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كونها مسوقة إلّالبيان أنّه لا يعتدّ بقطع المسافة الواقعة عن غير قصدٍ أو عن قصدين مستقلّين، ولا تدلّ على اعتبار الاتّصال زائداً على ذلك، هذا، مضافاً إلى خبر إسحاق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19" w:name="pg11802_154206"/>
    </w:p>
    <w:p>
      <w:pPr>
        <w:pStyle w:val="Heading6"/>
        <w:numPr>
          <w:ilvl w:val="5"/>
          <w:numId w:val="1"/>
        </w:numPr>
        <w:rPr/>
      </w:pPr>
      <w:bookmarkStart w:id="420" w:name="__RefHeading___Toc10531831_73709187"/>
      <w:bookmarkStart w:id="421" w:name="_Toc157"/>
      <w:bookmarkEnd w:id="419"/>
      <w:bookmarkEnd w:id="420"/>
      <w:r>
        <w:rPr>
          <w:rtl w:val="true"/>
        </w:rPr>
        <w:t>حكم التابع في السّفر</w:t>
      </w:r>
      <w:bookmarkEnd w:id="421"/>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أنّ التابع لغيره في السّفر كالمستقلّ فيه إذا قصد المسافة، إنّما الكلام في هذا الأمر وقع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شكّ التابع، ولم يعلم أنّ المتبوع في سفره قاصدٌ للمسافة أم لا، فهل يجب عليه السؤال أم يتمّ صلاته‌؟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الأدلّة الدالّة على عدم القصر، مع عدم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دعوى انصراف النصوص عن مثل هذا الجهل الذي يرتفع مع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فيجب عليه الجمع بين القصر والتمام، أو السؤال ثمّ العمل بوظيفته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يجبُ على المتبوع إخبار التابع بقصده المسافة، أو غيرها، أم لا؟ وجهان، أقواهما الثاني، لعدم الدليل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اعتقد التابع عدم قصد المتبوع المسافة، أو شكّ فيه، ثمّ بعد قطع مقدارٍ من المسافة علم أنّه قاصدٌ لها، وإنْ كان الباقي مسافةً‌، فلا إشكال، وإنْ لم يكن كذلك فهل يقصر أم لا؟</w:t>
      </w:r>
    </w:p>
    <w:p>
      <w:pPr>
        <w:pStyle w:val="BookText"/>
        <w:rPr/>
      </w:pPr>
      <w:r>
        <w:rPr>
          <w:rFonts w:ascii="Amiri" w:hAnsi="Amiri" w:eastAsia="Amiri" w:cs="Amiri"/>
          <w:color w:val="111111"/>
          <w:sz w:val="28"/>
          <w:sz w:val="28"/>
          <w:szCs w:val="28"/>
          <w:rtl w:val="true"/>
          <w:lang w:bidi="ar-SA"/>
        </w:rPr>
        <w:t>وجهان مبنيّان على أنّ المقام من قبيل قصد مكانٍ معيّن، الذي هو مسافة، وهو لايعلم به، أم من قبيل قصد مكان غريمه، المردّد بين كونه مسافة أو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المكان المعيّن الذي يكون مسافة مقصوداً، فهو قاصدٌ للمسافة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واحدٍ من الأمكنة معلوماً من حيث المسافة وعدمها، والترديد إنّما هو في المقصد، فهو غير قاصدٍ للمسافة فلا يقصّر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الثاني، فإنّ التابع وإنْ قصد السير إلى ما قصده المتبوع، إلّا أنّه من جهة جهله بالمقصد، وتردّده بين الأمكنة المعلوم كون أيّها مسافة، لا محالة يكون غير قاصد للمسافة، وعليه فما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من الحكم بوجوب القصر،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التابع مطاوعاً لقصد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بوجود مقتضي التبعيّة، وإنّما يعلم أو يشكّ فيها من جهة العلم بوجود المانع من دوام السّفر، أو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بوجوده كالزّوجة تعزم على الرجوع لو طلقت قبل المسافة، وهي تعلم بذلك أو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القصر في الصورتين، لعدم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قاصدٍ لأمرٍ تدريجي، كالإقامة وقطع المسافة والصَّلاة ونحوها، لا يكاد يقطع بانتهائه إلى آخره، لتطرّق احتمال طروّ العجز من المرض والموت ونحوهما، ومع ذلك نرى بالوجدان أنّ احتمال هذه الاُمور لايمنع عن تمشّي القصد على فعلٍ من أحدٍ أصلاً، فيُستكشف من ذلك أنّ احتمال وجود المانع، لاينافي مع القصد، ففي الصورة الاُولى ما لم يقطع بطروّ المانع لا يتمّ‌، بل يبني على القصر، ولعلّه لذلك أفتى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بالقصر في هذه الصورة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طروّ المانع ربما يكون احتمالاً عقلائيّاً منشؤه حضور مبادئ تحقّق ذلك الأمر لديه، بحيث يحتمل احتمالاً عاديّاً بتحقّقه، وربما يكون الاحتمال غير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22" w:name="pg11802_154208"/>
    </w:p>
    <w:p>
      <w:pPr>
        <w:pStyle w:val="BookText"/>
        <w:rPr/>
      </w:pPr>
      <w:bookmarkEnd w:id="422"/>
      <w:r>
        <w:rPr>
          <w:rFonts w:ascii="Amiri" w:hAnsi="Amiri" w:eastAsia="Amiri" w:cs="Amiri"/>
          <w:color w:val="111111"/>
          <w:sz w:val="28"/>
          <w:sz w:val="28"/>
          <w:szCs w:val="28"/>
          <w:rtl w:val="true"/>
          <w:lang w:bidi="ar-SA"/>
        </w:rPr>
        <w:t>عقلائي، ولا يكون مبادئ تحقّقه حاضراً لديه، ففي المورد الأوّل لا يتحقّق القصد، وفي الثاني يتحقّق، لأنّه لايعتبر في تحقّق القصد سوى الاطمئنان، وعلى ذلك ففي الصورتين إذا كان احتمال طروّ المانع أو عدم المقتضي، احتمالاً عقلائيّاً يتمّ‌، لعدم تمشّي القصد، وإنْ كان احتمالاً غير عقلائي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 الصورتين ضعيفٌ‌، وأضعف منه البناء على القصر في الصورتين مطلقاً</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0531833_73709187"/>
      <w:bookmarkStart w:id="424" w:name="_Toc158"/>
      <w:bookmarkEnd w:id="423"/>
      <w:r>
        <w:rPr>
          <w:rtl w:val="true"/>
        </w:rPr>
        <w:t>إذا صلّى قصراً ثمّ عدل عن القصد</w:t>
      </w:r>
      <w:bookmarkEnd w:id="424"/>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قصراً قبل العدول عن قصد المسافة، ثمّ عدل عنه، فهل تجبُ الإعادة مطلقاً؟</w:t>
      </w:r>
    </w:p>
    <w:p>
      <w:pPr>
        <w:pStyle w:val="BookText"/>
        <w:rPr/>
      </w:pPr>
      <w:r>
        <w:rPr>
          <w:rFonts w:ascii="Amiri" w:hAnsi="Amiri" w:eastAsia="Amiri" w:cs="Amiri"/>
          <w:color w:val="111111"/>
          <w:sz w:val="28"/>
          <w:sz w:val="28"/>
          <w:szCs w:val="28"/>
          <w:rtl w:val="true"/>
          <w:lang w:bidi="ar-SA"/>
        </w:rPr>
        <w:t>أم لا تجب كذلك، كما هو المشهور</w:t>
      </w:r>
      <w:r>
        <w:rPr>
          <w:rStyle w:val="FootnoteAnchor"/>
          <w:rtl w:val="true"/>
        </w:rPr>
        <w:footnoteReference w:id="828"/>
      </w:r>
      <w:r>
        <w:rPr>
          <w:rFonts w:ascii="Amiri" w:hAnsi="Amiri" w:eastAsia="Amiri" w:cs="Amiri"/>
          <w:color w:val="111111"/>
          <w:sz w:val="28"/>
          <w:sz w:val="28"/>
          <w:szCs w:val="28"/>
          <w:rtl w:val="true"/>
          <w:lang w:bidi="ar-SA"/>
        </w:rPr>
        <w:t>بين الأصحاب شهرةً عظيمة‌؟</w:t>
      </w:r>
    </w:p>
    <w:p>
      <w:pPr>
        <w:pStyle w:val="BookText"/>
        <w:rPr/>
      </w:pPr>
      <w:r>
        <w:rPr>
          <w:rFonts w:ascii="Amiri" w:hAnsi="Amiri" w:eastAsia="Amiri" w:cs="Amiri"/>
          <w:color w:val="111111"/>
          <w:sz w:val="28"/>
          <w:sz w:val="28"/>
          <w:szCs w:val="28"/>
          <w:rtl w:val="true"/>
          <w:lang w:bidi="ar-SA"/>
        </w:rPr>
        <w:t>أم يعيدُ في الوقت دون خارجه، كما عن الشيخ في الاستبصار؟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أقواها الثاني، لصحيح زرارة،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مع القوم في السّفر يريده، فدخل عليه الوقت، وقد خرج من القرية على فرسخين فصلّوا وانصرف بعضهم في حاجةٍ‌، فلم يقضِ له الخروج، ما يصنع بالصلاة التي كان صلّاها ركعتين‌؟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ولا يعيد</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قصّر ثمّ رَجَع عن نيّته أعاد الصَّلاة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ولّاد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لم تَسر في يومك الذي خرجتَ بريداً، فإنّ عليك أن تقضي كلّ صلاةٍ صلّيتها في يومك ذلك بالتقصير بتمام من قبل أن تؤمّ من مكانك</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لإعراض المشهور عن ظاهرهما لا يعتمد عليهما، مضافاً إلى معارضتهما بما هو صريحٌ في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جمعٌ تبرّعيٌ لا شاهد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أبي ولّاد ظاهرٌ في وجوب القضاء، ولا يمكن حمله على خصوص الإعادة، ولو أغمضنا عمّا ذكرناه من إعراض الأصحاب عن الطائفة الثانية، فإنْ أمكن الجمع عرفاً بحمل الثانية على الاستحباب فهو، وإلّا فلابدّ من ترجيح الأولى للشهرة، ولعلّ الثاني أقوى‌، فإنّ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عليه السلام في 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يعدّان بنظر العرف من المتعارضين، ولا يرى أهل العرف أحدهما قرينةً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الإعادة والقضاء، وعدم استحبابهما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25" w:name="pg11802_154210"/>
    </w:p>
    <w:p>
      <w:pPr>
        <w:pStyle w:val="BookText"/>
        <w:rPr/>
      </w:pPr>
      <w:bookmarkEnd w:id="42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ينقطع سفره ببلدٍ له فيه مِلْكٌ قد استوطنه ستّة أشهر فصاعداً، أو عزم على إقامة عشرة أيّام</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0531835_73709187"/>
      <w:bookmarkStart w:id="427" w:name="_Toc159"/>
      <w:bookmarkEnd w:id="426"/>
      <w:r>
        <w:rPr>
          <w:rtl w:val="true"/>
        </w:rPr>
        <w:t>الوصول إلى الوطن قاطع للسَّفر</w:t>
      </w:r>
      <w:bookmarkEnd w:id="427"/>
    </w:p>
    <w:p>
      <w:pPr>
        <w:pStyle w:val="Heading6"/>
        <w:numPr>
          <w:ilvl w:val="5"/>
          <w:numId w:val="1"/>
        </w:numPr>
        <w:rPr/>
      </w:pPr>
      <w:bookmarkStart w:id="428" w:name="__RefHeading___Toc10531837_73709187"/>
      <w:bookmarkStart w:id="429" w:name="_Toc160"/>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قصده في بداية السير أو في أثنائه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ينقطع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 الثمانية بالمرور على وطنه،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ببلدٍ له فيه مِلْكٌ قد استوطنه ستّة أشهر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تحقّق التوطّن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833"/>
      </w:r>
      <w:r>
        <w:rPr>
          <w:rFonts w:ascii="Amiri" w:hAnsi="Amiri" w:eastAsia="Amiri" w:cs="Amiri"/>
          <w:color w:val="111111"/>
          <w:sz w:val="28"/>
          <w:sz w:val="28"/>
          <w:szCs w:val="28"/>
          <w:rtl w:val="true"/>
          <w:lang w:bidi="ar-SA"/>
        </w:rPr>
        <w:t xml:space="preserve">، وسيأتي تحقيقه في فصل القواطع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عشرة أيّام، فلو كان من قصده المرور على 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عَزَم على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بلا خلافٍ معتدّ به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 هنا مسألتان</w:t>
      </w:r>
      <w:r>
        <w:rPr>
          <w:rFonts w:eastAsia="IRNazanin" w:cs="IRNazanin"/>
          <w:color w:val="111111"/>
          <w:sz w:val="28"/>
          <w:szCs w:val="28"/>
          <w:rtl w:val="true"/>
          <w:lang w:bidi="fa-IR"/>
        </w:rPr>
        <w:t>:</w:t>
      </w:r>
    </w:p>
    <w:p>
      <w:pPr>
        <w:pStyle w:val="Heading6"/>
        <w:numPr>
          <w:ilvl w:val="5"/>
          <w:numId w:val="1"/>
        </w:numPr>
        <w:rPr/>
      </w:pPr>
      <w:bookmarkStart w:id="430" w:name="__RefHeading___Toc10531839_73709187"/>
      <w:bookmarkStart w:id="431" w:name="_Toc161"/>
      <w:bookmarkEnd w:id="430"/>
      <w:r>
        <w:rPr>
          <w:rtl w:val="true"/>
        </w:rPr>
        <w:t>إذا انقطع سفره بالمرور على الوطن أتمّ‌</w:t>
      </w:r>
      <w:bookmarkEnd w:id="431"/>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سفره بالمرور على الوطن أتمّ‌، كما هو المشهور شهرة عظيمة</w:t>
      </w:r>
      <w:r>
        <w:rPr>
          <w:rStyle w:val="FootnoteAnchor"/>
          <w:rtl w:val="true"/>
        </w:rPr>
        <w:footnoteReference w:id="835"/>
      </w:r>
      <w:r>
        <w:rPr>
          <w:rFonts w:ascii="Amiri" w:hAnsi="Amiri" w:eastAsia="Amiri" w:cs="Amiri"/>
          <w:color w:val="111111"/>
          <w:sz w:val="28"/>
          <w:sz w:val="28"/>
          <w:szCs w:val="28"/>
          <w:rtl w:val="true"/>
          <w:lang w:bidi="ar-SA"/>
        </w:rPr>
        <w:t>، والشاهد عليه أنّ بالمرور عليه يخرج عن عنوان المسافر، إذ المأخوذ في مفهوم السّفر الغيبوبة عن الوطن، فالحاضر فيه لا يعدّ مسافراً، فمن قَصَد من حين الشروع في السّفر أن يمرّ قبل الثمانية بوطنه، لا يكون قاصداً للمسافة، وكون مجموع المسافة ما قبل الوطن وما بعده لا يُجدي بعد تخلّله بقصده أن يصير حاضراً فيما بينهما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 xml:space="preserve">من أنّ العرف لا يفرّقون بين ما إذا مرّ بمنزله الذي يتوطّنه، </w:t>
      </w:r>
      <w:bookmarkStart w:id="432" w:name="pg11802_154211"/>
    </w:p>
    <w:p>
      <w:pPr>
        <w:pStyle w:val="BookText"/>
        <w:rPr/>
      </w:pPr>
      <w:bookmarkEnd w:id="432"/>
      <w:r>
        <w:rPr>
          <w:rFonts w:ascii="Amiri" w:hAnsi="Amiri" w:eastAsia="Amiri" w:cs="Amiri"/>
          <w:color w:val="111111"/>
          <w:sz w:val="28"/>
          <w:sz w:val="28"/>
          <w:szCs w:val="28"/>
          <w:rtl w:val="true"/>
          <w:lang w:bidi="ar-SA"/>
        </w:rPr>
        <w:t>سيّما إذا مرّ راكباً، سيّما عن حواليه، وبين ما إذا لم يمرّ،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 المدرك لوجوب الإتمام، هي الأدلّة الدالّة على وجوبه لكلّ مكلّفٍ غير مسافر الخاص، ومعه لا حاجة إلى التمسّك باستصحاب التمام، بل هو غير جارٍ في نفسه، بناءً على عدم حجّيته في الأحكام، كما حقّق في محلّه</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0531841_73709187"/>
      <w:bookmarkStart w:id="434" w:name="_Toc162"/>
      <w:bookmarkEnd w:id="433"/>
      <w:r>
        <w:rPr>
          <w:rtl w:val="true"/>
        </w:rPr>
        <w:t>الإقامة قاطعة للسفر</w:t>
      </w:r>
      <w:bookmarkEnd w:id="43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قصده الإقامة عشرة أيّام قبل بلوغ الثمانية، يُتمّ في الطريق أيضاً، والوجه في ذلك ما تقدّم في المسألة السابقة، بضميمة أنّ الإقامة تقطع السّفر شرعاً دون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كون الإقامة قاطعة للسفر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فإذا زار البيت أتمّ الصَّلاة، وعليه إتمام الصَّلاة إذا رجع إلى منى حتّى ينفر</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لعموم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وهو انصراف إرادة خصوص التمام من المنزلة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غير ظاهر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عطف ذلك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بإرادة العموم، وإلّا لزم البناء على كونه تأكيداً لما قبله، وهو خلاف الظاهر، بل الظاهر </w:t>
      </w:r>
    </w:p>
    <w:p>
      <w:pPr>
        <w:pStyle w:val="BookText"/>
        <w:rPr/>
      </w:pPr>
      <w:r>
        <w:rPr>
          <w:rFonts w:ascii="Amiri" w:hAnsi="Amiri" w:eastAsia="Amiri" w:cs="Amiri"/>
          <w:color w:val="111111"/>
          <w:sz w:val="28"/>
          <w:sz w:val="28"/>
          <w:szCs w:val="28"/>
          <w:rtl w:val="true"/>
          <w:lang w:bidi="ar-SA"/>
        </w:rPr>
        <w:t>سوقه لبيان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تفريع وجوب القصر عليه بالخروج إلى منى،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انقطاع السّفر، وأنّ القصر يحتاج الى سفر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عموم المنزلة، وجوب الإتمام عليه لو مرّ على المحلّ الذي أقام فيه دفعة واحدة، وهذا ما لم يلتزم به فقيه، وهو دليلٌ عدم إرادة العموم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الصحيح إنزال المقيم منزلة الأهل، لا فرض محلّ الإقامة منزلة الوطن، ومن الواضح أنّ الحكم يدور مدار العنوان والموضوع المأخوذ في الدليل حدوثاً وبقاءً‌، وهو في المقام المقيم، فإذا خرج وسافر زال منه هذا العنوان، فلو رجع إليه لا يصدق عليه عنوان المقيم، ما لم يقصد إقامة عشرة أيّام، فلا وجه للحكم بوجوب الإتمام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المنزّل والمنزّل عليه محلّ الإقامة والوطن، أمكن الجواب عنه بأنّه كالوطن يسقط حكمه بالإعراض، وسيأتي لذلك زيادة توضيح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المعاصرين</w:t>
      </w:r>
      <w:r>
        <w:rPr>
          <w:rStyle w:val="FootnoteAnchor"/>
          <w:rtl w:val="true"/>
        </w:rPr>
        <w:footnoteReference w:id="839"/>
      </w:r>
      <w:r>
        <w:rPr>
          <w:rFonts w:ascii="Amiri" w:hAnsi="Amiri" w:eastAsia="Amiri" w:cs="Amiri"/>
          <w:color w:val="111111"/>
          <w:sz w:val="28"/>
          <w:sz w:val="28"/>
          <w:szCs w:val="28"/>
          <w:rtl w:val="true"/>
          <w:lang w:bidi="ar-SA"/>
        </w:rPr>
        <w:t>وهو أنّ الصحيح المذكور صريحٌ في أنّ محلّ الإقامة بمنزلة الوطن وأنّه لو سافر عنه قصّر، وإذا رجع إليه أتمّ‌، وهذا ما لم يلتزم به أحدٌ، وما يوهن دلالته، ويوجب ترك العمل به وردّ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التفكيك في الحجية بين دلالاته بحيث ينفع فيما نحن فيه، فبعيدةٌ عن المذاق العرفي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ذكره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إنّما وجب التمام إنْ قدم إلى مكّة قاصداً الإقامة فيها عشرة أيّام، وإنّما وجب عليه التقصير إذا خرج إلى منى، لأنّه يذهب إلى عرفات، وإنّما أتمّ الصَّلاة إذا زار البيت، لأنّ الإتمام بمكّة أحبّ من التقصير، وإنّما عليه الإتمام إذا رجع إلى منى، لأنّه قدم إلى مكّة لطواف الزيارة، وكان عازماً على الإقامة فيها بعد الفراغ من مناسك الحجّ‌، كما هو المتعارف عند أكثر الحجّاج، وتبعد منى من مكّة بأقلّ من بريد، فيدلّ الصحيح على أنّ إرادة ما دون المسافة لا تنافي قصد الإقامة، فالحقّ دلالة الصحيح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الأعظم رحمه الله</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بصحيح أبي ولّاد، المرويّ عن الإمام الصادق عليه السلام فيمن قصد الإقامة وصَلّى صلاةً تامّة، ثمّ عدل عن قصد الإقامة،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دخلت المدينة وحين صلّيت بها صلاةَ فريضةٍ واحدة بتمام، فليس لك أن تقصّر حتّى تخرج منها</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بدعوى ظهوره في إرادة الخروج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بأس به، لكن الأولى في تقريب دلالته أن يقال بظهوره في إرادة الارتحال والمسافرة في مقابل الإقامة، وسيأتي لذلك زيادة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صفوان، عن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مكّة إذا زاروا عليهم إتمام الصَّلاة‌؟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بمكّة إلى شهر بمنزلتهم</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 وإن ورد في من يقيم إلى شهرٍ متردّداً، إلّاأنّه إذا ثبت كون ذلك قاطعاً للسفر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في الصحيح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من قصد إقامة عشرة أيّام،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بعض المعاصرين</w:t>
      </w:r>
      <w:r>
        <w:rPr>
          <w:rStyle w:val="FootnoteAnchor"/>
          <w:rtl w:val="true"/>
        </w:rPr>
        <w:footnoteReference w:id="843"/>
      </w:r>
      <w:r>
        <w:rPr>
          <w:rFonts w:ascii="Amiri" w:hAnsi="Amiri" w:eastAsia="Amiri" w:cs="Amiri"/>
          <w:color w:val="111111"/>
          <w:sz w:val="28"/>
          <w:sz w:val="28"/>
          <w:szCs w:val="28"/>
          <w:rtl w:val="true"/>
          <w:lang w:bidi="ar-SA"/>
        </w:rPr>
        <w:t>بصحيح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يُدركه شهر رمضان في السّفر، فيقيم الأيّام في المكان، عليه 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 وإذا أجمع على مقام عشرة أيّام صام وأتمّ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عليه أيّام من شهر رمضان وهو مسافر، يقضي إذا أقام في المكان‌؟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ظاهر السؤال في الموردين، كون مُنشئه تخيّل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المُقيم والحاضر معاً، لا ما يقابل الحاضر فقط، ولأجل ذلك سأل عن جواز الصوم في حال الإقامة، فيكون جوابه عليه السلام ظاهراً في الإقرار على ذلك إذا كانت مدّة الإقامة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بعنوان التأييد لا بأس به، وأمّا الدلالة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التمام عليه، بقرينة مناسبة الحكم والموضوع، فإنّها مُشعرة بثبوت التمام، بعناية خروجه بالإقامة عن عنوان المسافر، وتسالم الأصحاب على ذلك، فقاطعيّة الإقامة للسفر نفسه لا لحُكمه ممّا لا ينكر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قَصَد المسافة وله على رأسها منزل، قصَّر في طريقه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متردّدٌ من حين تلبّسه بالسير في المرور بوطنه، أو إقامة عشرة أيّام في أثناء المسافة، لم يقصّر، لعدم قصد المسافة الواحدة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الهمداني رحمه الله</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من أنّ المانع عن التقصير إنّما هو الجزم بإقامة العشرة، والتردّد فيها لا أثر له شرعاً، فمن خَرَج من منزله وهو يريدُ أن يسير ثمانية فراسخ، فقد وجب عليه التقصير، ما لم يجمع على أن يُقيم عشرة أيّام، فالمدار في التقصير على قصد المسافة مجرّداً عن العزم على الإقامة في أثنائها، لا بالعزم على عدمها، كي يكون التردّد في الإقامة منافياً لتحقّق شرط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مانعيّة الجزم بإقامة العشرة، إنّما تكون لأجل اعتبار قصد المسافة المعيّنة المنافي مع الجزم بالإقامة في أثناء السّفر، وهذا الملاك موجودٌ بعينه في ما لو تردّد في الإقامة في أثنائها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نفى عنه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من عدم الترخّص، هو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قَصَد المسافة وله على رأسها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وطنه، أو يريد الإقامة فيه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في طريقه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وجهه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يخرج من منزله يريدُ منزلاً له آخر، أو ضيعة له اُخرى؟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 وبين منزله أو ضيعته التي يؤمّ بريدان قصّر، وإنْ كان دون ذلك أتمّ‌</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35" w:name="pg11802_154216"/>
    </w:p>
    <w:p>
      <w:pPr>
        <w:pStyle w:val="BookText"/>
        <w:rPr/>
      </w:pPr>
      <w:bookmarkEnd w:id="43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السَّفر، فلو كان عاصياً بسفره لم يُقصِّر</w:t>
      </w:r>
    </w:p>
    <w:p>
      <w:pPr>
        <w:pStyle w:val="Heading5"/>
        <w:numPr>
          <w:ilvl w:val="4"/>
          <w:numId w:val="1"/>
        </w:numPr>
        <w:rPr/>
      </w:pPr>
      <w:bookmarkStart w:id="436" w:name="__RefHeading___Toc10531843_73709187"/>
      <w:bookmarkStart w:id="437" w:name="_Toc163"/>
      <w:bookmarkEnd w:id="436"/>
      <w:r>
        <w:rPr>
          <w:rtl w:val="true"/>
        </w:rPr>
        <w:t>اعتبار إباحة السّفر</w:t>
      </w:r>
      <w:bookmarkEnd w:id="437"/>
    </w:p>
    <w:p>
      <w:pPr>
        <w:pStyle w:val="Heading6"/>
        <w:numPr>
          <w:ilvl w:val="5"/>
          <w:numId w:val="1"/>
        </w:numPr>
        <w:rPr/>
      </w:pPr>
      <w:bookmarkStart w:id="438" w:name="__RefHeading___Toc10531845_73709187"/>
      <w:bookmarkStart w:id="439" w:name="_Toc164"/>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الرابع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السَّفر، فلو كان عاصياً بسفره لم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وعن غير واحدٍ دعوى الإجماع عليه</w:t>
      </w:r>
      <w:r>
        <w:rPr>
          <w:rStyle w:val="FootnoteAnchor"/>
          <w:rtl w:val="true"/>
        </w:rPr>
        <w:footnoteReference w:id="848"/>
      </w:r>
      <w:r>
        <w:rPr>
          <w:rFonts w:ascii="Amiri" w:hAnsi="Amiri" w:eastAsia="Amiri" w:cs="Amiri"/>
          <w:color w:val="111111"/>
          <w:sz w:val="28"/>
          <w:sz w:val="28"/>
          <w:szCs w:val="28"/>
          <w:rtl w:val="true"/>
          <w:lang w:bidi="ar-SA"/>
        </w:rPr>
        <w:t>ويشهد له جملة من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أنّ السّفر الذي يُعصى فيه على أقسام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السّفر بنفسه، وبما أنّه قطعٌ للمسافة حراماً، كالفرار من الزّحف، واباق العبد، وسفر الزوجة بدون إذن الزوج، وسفر الولد مع نهي الوالد،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السّفر حراماً، لكن لا من حيث أنّه قطعٌ للمسافة، بل من جهة انطباق عنوانٍ آخر عليه، كالسفر مع الركوب على الدابّة المغصوبة، فإنّ السّفر حرامٌ من جهة كونه تصرّفاً في مال الغير، لا بما أنّه قطعٌ للمسافة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غاية السّفر أمراً محرّماً، كما إذا سافر لقتل نفسٍ محترمة، أو للسرقة، أو للزِّنا أو نحو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السّفر مستلزماً للمعصية وترك الواجب، كما إذا كان مديوناً وسافر برغم مطالبة الدَّيّان له، وإمكان الأداء في الحضر دون السّفر، 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السّفر ملازماً اتّفاقيّاً للمعصية، مثل الغيبة، وشُرب الخمر وغيرهما من المعاصي الواقعة حال السّفر، دون أن يكون السّفر لأجلها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المشهور</w:t>
      </w:r>
      <w:r>
        <w:rPr>
          <w:rStyle w:val="FootnoteAnchor"/>
          <w:rtl w:val="true"/>
        </w:rPr>
        <w:footnoteReference w:id="849"/>
      </w:r>
      <w:r>
        <w:rPr>
          <w:rFonts w:ascii="Amiri" w:hAnsi="Amiri" w:eastAsia="Amiri" w:cs="Amiri"/>
          <w:color w:val="111111"/>
          <w:sz w:val="28"/>
          <w:sz w:val="28"/>
          <w:szCs w:val="28"/>
          <w:rtl w:val="true"/>
          <w:lang w:bidi="ar-SA"/>
        </w:rPr>
        <w:t>إنّه يتمّ فيه، وعن الشهيد رحمه الله التنظّر فيه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عمّار بن مروان،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قصّر وأفطر، إلّاأن يكون رجلاً سفره إلى صيدٍ أو في معصية اللّه تعالى‌، أو رسولاً لمن يَعصي اللّه، أو في طلب عدوٍّ أو شحناءٍ أو سعايةٍ أو ضرر على قومٍ من المسلمين</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بنفسه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عطف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قرينة لإرادة السّفر الذي يكون معصية بنفسه من تلك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اللّام أو السببيّة فيكون المراد منها ما كان لغايةٍ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الظاهر، لا يُصار إليه إلّامع القرينة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سفره في معصية، وظاهره كون المعصية غير السّفر، فإنّ سفر المعصية غير السّفر في المعصية الذي هو من قبيل السعي في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السّفر الذي يكون غايته المعصية من هذه الفقرة خلاف الظاهر، لأنّ مثله يعدّ سفراً في طريق المعصية لا في المعصية، والفرق بين التعبيرين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سافر قصّر الصَّلاة وأفطر، إلّاأن يكون رجلاً مشيّعاً لسلطانٍ جائرٍ، أو خرج إلى صيد</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السّفر الذي يتحقّق به الرفقة والمتابعة مع السلطان الجائر ويكون بهذا القصد حرامٌ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 بأخبار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الرّجل في شهر رمضان إلّافي سبيل حقّ‌</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جدّنا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ذو السبيل وذو الطريق حقّاً دون نفس السبيل، فلا ينافيه حرمته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المتصيّد، المتضمّن أنّه يجب عليه التمام، معلّلاً بأنّ المسير إلى التصيّد مسير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لعدم إمكان الأخذ بإطلاقه، يُحمل على حكمة للتشريع، فلا يجوز التعدّي عن مورده، مع أنّ المسير الباطل ما كان غاية المسير باطلة لا نفسه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إلى الصيد أيقصّر أو يُتمّ؟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بعموم علّته يدلّ على أنّه كلّ ما ليس بمسيرٍ حقٍّ‌، يجبُ فيه التمام، سواءٌ لم يكن بنفسه سائغاً أو كان لغاية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ما تقدّم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وجوب التمام فيه أيضاً، للأدلّة المتقدّمة في القسم الأوّل، فإنّها بإطلاقها تدلّ على وجوب التمام في كلّ سفرٍ كان حراماً، سواءٌ أكانت حرمته بما أنّه قطعٌ للمسافة، أو من جهة انطباق عنوانٍ آخر عليه الموجود بوجوده لا بوجودٍ آخر، فلو ركب دابّة مغصوبة وسافر أتمّ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النصوص بما إذا كان السّفر حراماً بما هو سفر، فلا تشمل ما حَرُم لعنوانٍ آخر منطبق عليه كما عن المحقّقين النائيني</w:t>
      </w:r>
      <w:r>
        <w:rPr>
          <w:rStyle w:val="FootnoteAnchor"/>
          <w:rtl w:val="true"/>
        </w:rPr>
        <w:footnoteReference w:id="855"/>
      </w:r>
      <w:r>
        <w:rPr>
          <w:rFonts w:ascii="Amiri" w:hAnsi="Amiri" w:eastAsia="Amiri" w:cs="Amiri"/>
          <w:color w:val="111111"/>
          <w:sz w:val="28"/>
          <w:sz w:val="28"/>
          <w:szCs w:val="28"/>
          <w:rtl w:val="true"/>
          <w:lang w:bidi="ar-SA"/>
        </w:rPr>
        <w:t>واليزدي</w:t>
      </w:r>
      <w:r>
        <w:rPr>
          <w:rStyle w:val="FootnoteAnchor"/>
          <w:rtl w:val="true"/>
        </w:rPr>
        <w:footnoteReference w:id="856"/>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أنّ جملة من الموارد التي التزموا فيها بوجوب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مشمولة للنصوص، بل فيها التصريح بوجوب التمام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الثاني كالسّفر المُضرّ للجسم، فإنّ حرمته إنّما تكون من جهة كونه مضرّاً، وسفر الولد مع نهي الوالد، وسفر الزوجة دون إذن زوجها، بل أغلب الموارد التي التزموا فيها بوجوب التمام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التمام فيه أيضاً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كانت غاية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فعل اختياري بالمباشرة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كما إذا سافر لقتل نفسٍ محترمة أو للسرقة، فالظاهر أنّ 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التمام فيه اتّفاقي، ويشهد له جملةٌ من النصوص المتقدّم بعضها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التفصيل بين ما إذا كان السّفر لأجل التوصّل إلى ترك الواجب، فيجب التمام، وبين ما إذا لم يكن كذلك فيقصّر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السّفر علّة تامّة لتركه، مثل ما إذا كان ترك الواجب متوقّفاً على السّفر، بحيث لو ترك السّفر لتحقّق منه الواجب قهراً، وبين ما لم يكن كذلك، بل كان بحيث لو ترك السّفر أمكن ترك الواجب، فيجبُ التمام في الأوّل دون الثاني، وهو مختار المحقّق النائيني رحمه الله على ما نُسب إليه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بوجوب التمام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السّفر حرامٌ‌، فيشمله ما دلّ على لزوم التمام في السّفر المحرّم، والوجه في حرمته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السّفر مقدّمة للواجب، ومقدّمة الواجب واجبة، فالسفر المستلزم لترك الواجب معصية للّه تعالى‌، فيجب التمام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أحد الضدّين ليس مقدّمةً للضدّ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 رحمه الله من الإجماع على أنّ مستلزم المحرّم محرّم، فالسفر المستلزم لترك الواجب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منقول فلا يكون حجّة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رحمه الله</w:t>
      </w:r>
      <w:r>
        <w:rPr>
          <w:rStyle w:val="FootnoteAnchor"/>
          <w:rtl w:val="true"/>
        </w:rPr>
        <w:footnoteReference w:id="858"/>
      </w:r>
      <w:r>
        <w:rPr>
          <w:rFonts w:ascii="Amiri" w:hAnsi="Amiri" w:eastAsia="Amiri" w:cs="Amiri"/>
          <w:color w:val="111111"/>
          <w:sz w:val="28"/>
          <w:sz w:val="28"/>
          <w:szCs w:val="28"/>
          <w:rtl w:val="true"/>
          <w:lang w:bidi="ar-SA"/>
        </w:rPr>
        <w:t>من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يدلّ على حرمة ما يكون سبباً لفعل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الحرام، فالسفر المزبور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اختصاص الآية الشريفة بموردها،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حرمة التسبيب لفعل الغير الحرام، ولا ربط له بالتسبيب لفعل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شيءٍ للتوصّل إلى ترك الواجب معصية للّه تعالى‌، فالسفر المستلزم لترك الواجب سفرُ معصيةٍ‌، فيجب التمام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فإنّما هو فيما إذا كان ذلك الفعل علّة تامّة لترك الواجب لا مطلقاً، مع أنّه لا يتمّ‌، إذ الفعل المزبور وإنْ كان يُعاقب عليه بملاك العقاب على المقدّمات المفوّتة، كما حُقّق في محلّه، إلّاأنّه لا يكون حراماً، كي يكون السّفر معصية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مدرك القول الرابع، فالأظهر وجوب القصر فيه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وجوب القصر فيه ممّا لا خلاف فيه، لإطلاق أدلّة التقصير، بعد عدم شمول دليل المقيّد لمثله، كما هو واضح</w:t>
      </w:r>
      <w:r>
        <w:rPr>
          <w:rFonts w:eastAsia="Amiri" w:cs="Amiri" w:ascii="Amiri" w:hAnsi="Amiri"/>
          <w:color w:val="111111"/>
          <w:sz w:val="28"/>
          <w:szCs w:val="28"/>
          <w:rtl w:val="true"/>
          <w:lang w:bidi="ar-SA"/>
        </w:rPr>
        <w:t>.</w:t>
      </w:r>
      <w:bookmarkStart w:id="440" w:name="pg11802_154222"/>
    </w:p>
    <w:p>
      <w:pPr>
        <w:pStyle w:val="Heading6"/>
        <w:numPr>
          <w:ilvl w:val="5"/>
          <w:numId w:val="1"/>
        </w:numPr>
        <w:rPr/>
      </w:pPr>
      <w:bookmarkStart w:id="441" w:name="__RefHeading___Toc10531847_73709187"/>
      <w:bookmarkStart w:id="442" w:name="_Toc165"/>
      <w:bookmarkEnd w:id="440"/>
      <w:bookmarkEnd w:id="441"/>
      <w:r>
        <w:rPr>
          <w:rtl w:val="true"/>
        </w:rPr>
        <w:t>فروع</w:t>
      </w:r>
      <w:r>
        <w:rPr>
          <w:rtl w:val="true"/>
        </w:rPr>
        <w:t>:</w:t>
      </w:r>
      <w:bookmarkEnd w:id="442"/>
    </w:p>
    <w:p>
      <w:pPr>
        <w:pStyle w:val="Heading6"/>
        <w:numPr>
          <w:ilvl w:val="5"/>
          <w:numId w:val="1"/>
        </w:numPr>
        <w:rPr/>
      </w:pPr>
      <w:bookmarkStart w:id="443" w:name="__RefHeading___Toc10531849_73709187"/>
      <w:bookmarkStart w:id="444" w:name="_Toc166"/>
      <w:bookmarkEnd w:id="443"/>
      <w:r>
        <w:rPr>
          <w:rtl w:val="true"/>
        </w:rPr>
        <w:t>حكم الرجوع من سفر المعصية</w:t>
      </w:r>
      <w:bookmarkEnd w:id="444"/>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العود عن سفر المعصية إذا كان بنفسه مسافةً لا يكون بحكم سفر المعصية، بل يقصّر فيه، بمعنى أنّه يلحقه حكم نفسه إنْ طاعةً فطاعة، وإنْ معصيةً فمعصية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القُمّي</w:t>
      </w:r>
      <w:r>
        <w:rPr>
          <w:rStyle w:val="FootnoteAnchor"/>
          <w:rtl w:val="true"/>
        </w:rPr>
        <w:footnoteReference w:id="861"/>
      </w:r>
      <w:r>
        <w:rPr>
          <w:rFonts w:ascii="Amiri" w:hAnsi="Amiri" w:eastAsia="Amiri" w:cs="Amiri"/>
          <w:color w:val="111111"/>
          <w:sz w:val="28"/>
          <w:sz w:val="28"/>
          <w:szCs w:val="28"/>
          <w:rtl w:val="true"/>
          <w:lang w:bidi="ar-SA"/>
        </w:rPr>
        <w:t>وبعض الأعيان</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بحكم سفر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يستبعد ذلك مع عدم التوبة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العودة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العودة غير ملحوظة مستقلّة عرفاً، بل يعدّ رجوعه من تتمّة سفره الذي يكون معصية أو لغاية كذلك، كما إذا رجع مع عدم البقاء في المقصد مدّة ولم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عودته ملحوظة بالاستقلال كما إذا تاب ورجع، أو بقي مدّة في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بالتمام، لأنّ العود يعدّ جزء من سفر المعصية، ويؤيّده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الأخبار الدالّة على لعن الزوجة الناشزة الخارجة من بيتها دون إذن زوجها ذهاباً وإياباً</w:t>
      </w:r>
      <w:r>
        <w:rPr>
          <w:rStyle w:val="FootnoteAnchor"/>
          <w:rtl w:val="true"/>
        </w:rPr>
        <w:footnoteReference w:id="864"/>
      </w:r>
      <w:r>
        <w:rPr>
          <w:rFonts w:ascii="Amiri" w:hAnsi="Amiri" w:eastAsia="Amiri" w:cs="Amiri"/>
          <w:color w:val="111111"/>
          <w:sz w:val="28"/>
          <w:sz w:val="28"/>
          <w:szCs w:val="28"/>
          <w:rtl w:val="true"/>
          <w:lang w:bidi="ar-SA"/>
        </w:rPr>
        <w:t>، مع أنّها في الرجوع تكون في طريق الطاعة لا المعصية</w:t>
      </w:r>
      <w:r>
        <w:rPr>
          <w:rFonts w:eastAsia="Amiri" w:cs="Amiri" w:ascii="Amiri" w:hAnsi="Amiri"/>
          <w:color w:val="111111"/>
          <w:sz w:val="28"/>
          <w:szCs w:val="28"/>
          <w:rtl w:val="true"/>
          <w:lang w:bidi="ar-SA"/>
        </w:rPr>
        <w:t xml:space="preserve">. </w:t>
      </w:r>
      <w:bookmarkStart w:id="445" w:name="pg11802_154223"/>
    </w:p>
    <w:p>
      <w:pPr>
        <w:pStyle w:val="BookText"/>
        <w:rPr/>
      </w:pPr>
      <w:bookmarkEnd w:id="44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ورد من الأخبار المستفيضة في أجر الزائرين لقبورهم عليهم السلام ذهاباً وإياباً</w:t>
      </w:r>
      <w:r>
        <w:rPr>
          <w:rStyle w:val="FootnoteAnchor"/>
          <w:rtl w:val="true"/>
        </w:rPr>
        <w:footnoteReference w:id="865"/>
      </w:r>
      <w:r>
        <w:rPr>
          <w:rFonts w:ascii="Amiri" w:hAnsi="Amiri" w:eastAsia="Amiri" w:cs="Amiri"/>
          <w:color w:val="111111"/>
          <w:sz w:val="28"/>
          <w:sz w:val="28"/>
          <w:szCs w:val="28"/>
          <w:rtl w:val="true"/>
          <w:lang w:bidi="ar-SA"/>
        </w:rPr>
        <w:t>، فإنّهما يُشعران بتبعيّة الإياب للذهاب، وعدم لحاظ الإياب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بلا كلام، من جهة أنّ رجوعه مسافة مستقلّة لدى العرف غير محرّمة، فلابدّ من القصر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الموردين الجمع، بل لا يُترك في المورد الأوّل أيضاً</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0531851_73709187"/>
      <w:bookmarkStart w:id="447" w:name="_Toc167"/>
      <w:bookmarkEnd w:id="446"/>
      <w:r>
        <w:rPr>
          <w:rtl w:val="true"/>
        </w:rPr>
        <w:t>اعتبار إباحة السّفر ابتداءً واستدامةً‌</w:t>
      </w:r>
      <w:bookmarkEnd w:id="447"/>
    </w:p>
    <w:p>
      <w:pPr>
        <w:pStyle w:val="Heading6"/>
        <w:numPr>
          <w:ilvl w:val="5"/>
          <w:numId w:val="1"/>
        </w:numPr>
        <w:rPr/>
      </w:pPr>
      <w:bookmarkStart w:id="448" w:name="__RefHeading___Toc10531853_73709187"/>
      <w:bookmarkStart w:id="449" w:name="_Toc168"/>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إباحة السّفر كما تكون شرطاً في الابتداء، هل تكون شرطاً في الاستدامة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المقام</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0531855_73709187"/>
      <w:bookmarkStart w:id="451" w:name="_Toc169"/>
      <w:bookmarkEnd w:id="450"/>
      <w:r>
        <w:rPr>
          <w:rtl w:val="true"/>
        </w:rPr>
        <w:t>حكم الصَّلاة حال العزم على المعصية</w:t>
      </w:r>
      <w:bookmarkEnd w:id="451"/>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حكم الصَّلاة حال العزم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بعد الرجوع إلى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عزم على المعصية، وقَطَع الطريق بهذا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عزم عليها، ولكن لم يتلبّس بعدُ بالضرب في الأرض</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ولا كلام في أنّه يتمّ في تلك الحال، وإنْ كان ما قطعه من دون قصد المعصية مسافات، لأنّ ذلك مقتضى دليل وجوب التمام في سفر المعصية، سواءٌ أكان ذلك مقيّداً لإطلاق حكم الترخّص بخصوص حال غير المعصية، أم كان مخصّصاً لأدلّة الترخّص بخصوص غير سفر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تقييد الموضوع، ليس تقييد إطلاق خصوص المسافة الموجبة لوجوب القصر، بل المراد تقييد السّفر الذي يقصّر فيه، ولو بعد قطع المسافة، وبعد تقييد الموضوع كذلك، لا وجه لتوهّم وجوب القصر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 وأقوال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يُتمّ في تلك الحال مطلقاً، اختاره الشيخ الأعظم رحمه الله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يقصّر فيها ما دام لم يتلبّس بالضَّرب في الأرض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قبل قطع المسافة فيجب التمام حين العزم، وبين بعد قطعها فلايتمّ‌، اختاره المحقّق النائيني رحمه الله على 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 بأمرين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الترخّص في السّفر، كون المُصلّي متلبّساً بالسفر المباح، وإنْ كان في حال الوقوف والبيتوتة، لأنّ هذا هو المستفاد من النصوص بعد ضمّ بعضها ببعض، ومَنْ قَطَع الطريق على الإباحة، وعَدَل إلى المعصية، يصدق عليه أنّه متلبّس بالسفر الذي ليس بحقّ‌، لأنّ السابق وإنْ كان سفراً مستقلّاً مباحاً، إلّاأنّه قد انقضى التلبّس به مع فرض اعتباره مستقلّاً، كما أنّ المقدار الباقي لم يتحقّق التلبّس به، فالذي يصحّ دعوى التلبّس به فعلاً هو المجموع من الماضي والباقي الملحوظ سفراً واحداً، ولا يخفى بطلان سفره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رواية الفضل</w:t>
      </w:r>
      <w:r>
        <w:rPr>
          <w:rStyle w:val="FootnoteAnchor"/>
          <w:rtl w:val="true"/>
        </w:rPr>
        <w:footnoteReference w:id="867"/>
      </w:r>
      <w:r>
        <w:rPr>
          <w:rFonts w:ascii="Amiri" w:hAnsi="Amiri" w:eastAsia="Amiri" w:cs="Amiri"/>
          <w:color w:val="111111"/>
          <w:sz w:val="28"/>
          <w:sz w:val="28"/>
          <w:szCs w:val="28"/>
          <w:rtl w:val="true"/>
          <w:lang w:bidi="ar-SA"/>
        </w:rPr>
        <w:t>الواردة في علّة التقصير،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تقصير الصَّلاة في المنزل لأجل الجُزء المتأخّر من السّفر لا المتقدّم، فإذا عزم على العصيان، فحيثُ أنّ السير الواقع بعد هذا الحين يقصّر فيه، فكذلك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 هذا الوجه أنّه مَنْ عَلم بأنّ سفره المتلبّس به قطعة منه مباحة، وقطعةٌ اُخرى منه تقع على وجه الحرام، والقطعة المباحة منه تبلغ المسافة لا يقصر في القطعة المباحة، لأنّه متلبّس بالسفر الذي ليس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الأدلّة يقتضي القول بأنّ المسافر يقصّر ما لم يتلبّس بسفر المعصية، ففي حال التلبّس بسفر المباح يقصّر، وإنْ كان يعلم بانقلاب سفره الى الحرام، ففي المقام ما لم يتلبّس بسفر الحرام يقصّر، والعزم على سفر المعصية لايعدّ سفر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الرواية المشار إليها لا تدلّ على ذلك، وعلى فرض الدلالة لا يمكن الالتزام به، كيف وإلّا لزم البناء على وجوب القصر على من خرج عن حَدّ الترخّص لابعزم السّفر، ثمّ عزم عليه وإنْ لم يتلبّس بعدُ بالضرب في الأرض، مع أنّه لا يقول به أحدٌ، كما أنّه يلزم منه البناء على وجوب القصر أو التمام في مواضع لم يفتِ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ما قطعه قبل العزم على المعصية مسافة، وجب عليه القصر في حال العزم على العصيان، لما تقدّم من أنّ المستفاد من النصوص أنّ‌المسافر يقصّر ما لم يتلبّس بسفر المعصية، والعزم على سفر المعصية لا يعدّ سفر المعصية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ما قطعه قبل العزم لا تبلغ مسافة لا يقصّر، بل يُتمّ‌، لأنّ الموجب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2" w:name="pg11802_154226"/>
    </w:p>
    <w:p>
      <w:pPr>
        <w:pStyle w:val="BookText"/>
        <w:rPr/>
      </w:pPr>
      <w:bookmarkEnd w:id="452"/>
      <w:r>
        <w:rPr>
          <w:rFonts w:ascii="Amiri" w:hAnsi="Amiri" w:eastAsia="Amiri" w:cs="Amiri"/>
          <w:color w:val="111111"/>
          <w:sz w:val="28"/>
          <w:sz w:val="28"/>
          <w:szCs w:val="28"/>
          <w:rtl w:val="true"/>
          <w:lang w:bidi="ar-SA"/>
        </w:rPr>
        <w:t>للقصر هو نيّة السّفر السائغ، ومَنْ عَزم على العصيان فهو غير ناوٍ للسفر الموجب للقصر، فيكون هذا الشخص من قبيل من عزم في أثناء المسافة على عدم السّفر، فالوجه في وجوب التمام عليه حينئذٍ عدم المقتضي، وانتفاء ما يوجبُ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القول الثالث</w:t>
      </w:r>
      <w:r>
        <w:rPr>
          <w:rFonts w:eastAsia="IRNazanin" w:cs="IRNazanin"/>
          <w:color w:val="111111"/>
          <w:sz w:val="28"/>
          <w:szCs w:val="28"/>
          <w:rtl w:val="true"/>
          <w:lang w:bidi="fa-IR"/>
        </w:rPr>
        <w:t>.</w:t>
      </w:r>
    </w:p>
    <w:p>
      <w:pPr>
        <w:pStyle w:val="Heading6"/>
        <w:numPr>
          <w:ilvl w:val="5"/>
          <w:numId w:val="1"/>
        </w:numPr>
        <w:rPr/>
      </w:pPr>
      <w:bookmarkStart w:id="453" w:name="__RefHeading___Toc10531857_73709187"/>
      <w:bookmarkStart w:id="454" w:name="_Toc170"/>
      <w:bookmarkEnd w:id="453"/>
      <w:r>
        <w:rPr>
          <w:rtl w:val="true"/>
        </w:rPr>
        <w:t>لو رجع إلى الطاعة بعد قصد المعصية</w:t>
      </w:r>
      <w:bookmarkEnd w:id="454"/>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البحث فيه عن حكم من عزم على المعصية في الأثناء، ثمّ رجع إلى الطاعة، ففي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مابقي من سفره بمقدار المسافة ولو ملفّقة، فلا كلام في وجوب القصر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الباقي بنفسه مسافة، ولكن كان بضميمة ما مضى من السير مسافة، فهل يجب عليه فيه القصر أو التمام‌؟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المقام يقتضي التكلّم في صور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سيره الواقع علي الإباحة بمقدار المسافة، ولكن كان مجموع ذلك وما قطعه على الحرام بمقدارها، كما إذا سافر من منزله بقصد الطاعة، وسار بهذا القصد ثلاثة فراسخ، ثمّ عدل إلى قصد المعصية، فقطع ثلاثة فراسخ اُخرى بهذا القصد، ثمّ رجع إلى الطاعة، فسار فرسخين، فإنّ الأظهر في هذه الصورة عدم وجوب القصر عليه؛ وذلك لأنّ القطعة المتلبّسة بالمعصية خارجة عن موضوع السّفر الذي يقصّر فيه، لا عن حكم السّفر، كي لا يضرّ خروجها بتحقّق المسافة الموجبة للقصر في القطعة المتلبسة بالطاعة، فالسفر الذي يقصّر فيه هو </w:t>
      </w:r>
    </w:p>
    <w:p>
      <w:pPr>
        <w:pStyle w:val="BookText"/>
        <w:rPr/>
      </w:pPr>
      <w:r>
        <w:rPr>
          <w:rFonts w:ascii="Amiri" w:hAnsi="Amiri" w:eastAsia="Amiri" w:cs="Amiri"/>
          <w:color w:val="111111"/>
          <w:sz w:val="28"/>
          <w:sz w:val="28"/>
          <w:szCs w:val="28"/>
          <w:rtl w:val="true"/>
          <w:lang w:bidi="ar-SA"/>
        </w:rPr>
        <w:t>السّفر غير الباطل البالغ حَدّ المسافة، والوجه في ذلك أنّه ممّا يقتضيه الجمع بين ما دلَّ علي أنّه يقصّر في البريدين، وما دلّ على اشتراط الطاعة في السّفر الذي يقصّر فيه، كقوله عليه السلام في صحيح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وأفطر، إلّاأن يكون رجلاً سفره إلى صيد</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ونحوه غيره</w:t>
      </w:r>
      <w:r>
        <w:rPr>
          <w:rStyle w:val="FootnoteAnchor"/>
          <w:rtl w:val="true"/>
        </w:rPr>
        <w:footnoteReference w:id="869"/>
      </w:r>
      <w:r>
        <w:rPr>
          <w:rFonts w:ascii="Amiri" w:hAnsi="Amiri" w:eastAsia="Amiri" w:cs="Amiri"/>
          <w:color w:val="111111"/>
          <w:sz w:val="28"/>
          <w:sz w:val="28"/>
          <w:szCs w:val="28"/>
          <w:rtl w:val="true"/>
          <w:lang w:bidi="ar-SA"/>
        </w:rPr>
        <w:t>، وعليه فلا يقصّر، لعدم تحقّق موضوع القصر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القصر في الفرض، وأنّ القطعة المتلبّسة بالمعصية خارجة عن حكم السّفر، لخبر أحمد بن محمّد السياري، عن بعض أهل العسكر،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الصيد يُقصّر ما دام على الجادّة، فإذا عدل عن الجادّة أتمّ‌، فإذا رجع إليها قصّر</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العدول عن الطريق، هو العدول عن طريق الطاعة، ومن الرجوع إليها، هو العود إلى الطاعة بعد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لأنّ السياري ضعيفُ الحديث فاسدُ المذهب، كما عن النجاشي</w:t>
      </w:r>
      <w:r>
        <w:rPr>
          <w:rStyle w:val="FootnoteAnchor"/>
          <w:rtl w:val="true"/>
        </w:rPr>
        <w:footnoteReference w:id="871"/>
      </w:r>
      <w:r>
        <w:rPr>
          <w:rFonts w:ascii="Amiri" w:hAnsi="Amiri" w:eastAsia="Amiri" w:cs="Amiri"/>
          <w:color w:val="111111"/>
          <w:sz w:val="28"/>
          <w:sz w:val="28"/>
          <w:szCs w:val="28"/>
          <w:rtl w:val="true"/>
          <w:lang w:bidi="ar-SA"/>
        </w:rPr>
        <w:t>وغيره، مضافاً إلى جهالة من روى عنه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المراد به بيان حكم من سافر بغير قصد الصيد، ثمّ عدل عن الطريق يمنةً أو يسره للصيد، كما ذكره الشيخ رحمه الله</w:t>
      </w:r>
      <w:r>
        <w:rPr>
          <w:rStyle w:val="FootnoteAnchor"/>
          <w:rtl w:val="true"/>
        </w:rPr>
        <w:footnoteReference w:id="872"/>
      </w:r>
      <w:r>
        <w:rPr>
          <w:rFonts w:ascii="Amiri" w:hAnsi="Amiri" w:eastAsia="Amiri" w:cs="Amiri"/>
          <w:color w:val="111111"/>
          <w:sz w:val="28"/>
          <w:sz w:val="28"/>
          <w:szCs w:val="28"/>
          <w:rtl w:val="true"/>
          <w:lang w:bidi="ar-SA"/>
        </w:rPr>
        <w:t>، فيدلّ الخبر حينئذٍ على أنّ الخارج عن الطريق بعنوان المعصية لا يُحتسب مقدار سيره في الخارج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المسافة، وعليه فهو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مابقي من المسير على الإباحة بضميمة ما مضى من المسير قبل العزم على المعصية بقدر المسافة أو أكثر، وكان رجوعه إلى الطاعة قبل التلبّس بالمعصية، والأظهر في هذه الصورة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فيما إذا كان ما مضى من مسيره بقدر المسافة واضحٌ‌، لما عرفت من أنّه يقصّر حتّى في حال العزم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ما مضى أقلّ من المسافة، فلأنّ عدم ضمّ ما بقي إلى ما مضى‌، لابدّ وأن يكون لأحد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جهة قاطعيّة نيّة المعصية والعزم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اعتبار عدم تخلّل العزم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اعتبار بقاء شخص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منها لم يدلّ عليه دليل، فهو مسافرٌ يقصّر في سفره، ويكون حاله حال من عزم على قطع المسافة، ثمّ في الأثناء عَزَم على الرجوع عن قصده والرجوع إلى قصده الأوّل، فكما أنّ هناك يقصّر كذلك في المقام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عزم على المعصية في الأثناء، وقطع شيئاً من المسافة، ثمّ رجع إلى الطاعة، وكان ما بقي من مسيره مع ما مضى من سفره على الإباحة والطاعة أوّلاً بمقدار المسافة، فهل يقصّر كما عن الصدوقين</w:t>
      </w:r>
      <w:r>
        <w:rPr>
          <w:rStyle w:val="FootnoteAnchor"/>
          <w:rtl w:val="true"/>
        </w:rPr>
        <w:footnoteReference w:id="873"/>
      </w:r>
      <w:r>
        <w:rPr>
          <w:rFonts w:ascii="Amiri" w:hAnsi="Amiri" w:eastAsia="Amiri" w:cs="Amiri"/>
          <w:color w:val="111111"/>
          <w:sz w:val="28"/>
          <w:sz w:val="28"/>
          <w:szCs w:val="28"/>
          <w:rtl w:val="true"/>
          <w:lang w:bidi="ar-SA"/>
        </w:rPr>
        <w:t>والشيخ</w:t>
      </w:r>
      <w:r>
        <w:rPr>
          <w:rStyle w:val="FootnoteAnchor"/>
          <w:rtl w:val="true"/>
        </w:rPr>
        <w:footnoteReference w:id="874"/>
      </w:r>
      <w:r>
        <w:rPr>
          <w:rFonts w:ascii="Amiri" w:hAnsi="Amiri" w:eastAsia="Amiri" w:cs="Amiri"/>
          <w:color w:val="111111"/>
          <w:sz w:val="28"/>
          <w:sz w:val="28"/>
          <w:szCs w:val="28"/>
          <w:rtl w:val="true"/>
          <w:lang w:bidi="ar-SA"/>
        </w:rPr>
        <w:t>والمحقّق</w:t>
      </w:r>
      <w:r>
        <w:rPr>
          <w:rStyle w:val="FootnoteAnchor"/>
        </w:rPr>
        <w:footnoteReference w:id="87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وجماعة آخرين‌؟</w:t>
      </w:r>
    </w:p>
    <w:p>
      <w:pPr>
        <w:pStyle w:val="BookText"/>
        <w:rPr/>
      </w:pPr>
      <w:r>
        <w:rPr>
          <w:rFonts w:ascii="Amiri" w:hAnsi="Amiri" w:eastAsia="Amiri" w:cs="Amiri"/>
          <w:color w:val="111111"/>
          <w:sz w:val="28"/>
          <w:sz w:val="28"/>
          <w:szCs w:val="28"/>
          <w:rtl w:val="true"/>
          <w:lang w:bidi="ar-SA"/>
        </w:rPr>
        <w:t>أم لا يقصّر، ولا ينضمّ ما بقي بما مضى من جهة تخلّل سفر المعصية بينهما، كما هو المنسوب إلى المشهور</w:t>
      </w:r>
      <w:r>
        <w:rPr>
          <w:rStyle w:val="FootnoteAnchor"/>
          <w:rtl w:val="true"/>
        </w:rPr>
        <w:footnoteReference w:id="8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أقواهما الأوّل، لما عرفت في الشرط الثالث من أنّه لا يعتبر الاتّصال في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مطلقات أدلّة القصر إلى ما كانت المسافة غير متخلّلة بالقطعة التي يجب التمام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هذا الانصراف، فهو بدويٌ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القطعة التي طواها مع العزم على المعصية، تعدّ من قبيل الإقامة، والعبور على الوطن قاطعة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قاطعيّتها تحتاج إلى دليل مفقود، والأصل عدمها، فالأظهر أنّه يقصر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 إيراد بعض المعاصرين</w:t>
      </w:r>
      <w:r>
        <w:rPr>
          <w:rStyle w:val="FootnoteAnchor"/>
          <w:rtl w:val="true"/>
        </w:rPr>
        <w:footnoteReference w:id="877"/>
      </w:r>
      <w:r>
        <w:rPr>
          <w:rFonts w:ascii="Amiri" w:hAnsi="Amiri" w:eastAsia="Amiri" w:cs="Amiri"/>
          <w:color w:val="111111"/>
          <w:sz w:val="28"/>
          <w:sz w:val="28"/>
          <w:szCs w:val="28"/>
          <w:rtl w:val="true"/>
          <w:lang w:bidi="ar-SA"/>
        </w:rPr>
        <w:t>على المشهور من أنّ فتواهم فيما لو عدل إلى المعصية من وجوب التمام، وأنّ قطع مسافات لا تلائم مع فتواهم فيما لو عدل إلى الطاعة، ولا تبتنيان على مبنى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لأنّه يمكن أن يكون مبنى فتواهم في مسألة العدول إلى المعصية ما اخترناه من كون سفر المعصية خارجاً عن موضوع وجوب القصر، وفي هذه المسألة يكون مبناهم عدم اعتبار الاتّصال في المسافة بحيث ينافيها التخلّل المزبور، فلا تنافي بين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55" w:name="pg11802_154230"/>
    </w:p>
    <w:p>
      <w:pPr>
        <w:pStyle w:val="Heading6"/>
        <w:numPr>
          <w:ilvl w:val="5"/>
          <w:numId w:val="1"/>
        </w:numPr>
        <w:rPr/>
      </w:pPr>
      <w:bookmarkStart w:id="456" w:name="__RefHeading___Toc10531859_73709187"/>
      <w:bookmarkStart w:id="457" w:name="_Toc171"/>
      <w:bookmarkEnd w:id="455"/>
      <w:bookmarkEnd w:id="456"/>
      <w:r>
        <w:rPr>
          <w:rtl w:val="true"/>
        </w:rPr>
        <w:t>حكم الغاية الملفّقة من الطاعة والمعصية</w:t>
      </w:r>
      <w:bookmarkEnd w:id="45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غاية السّفر ملفّقة من الطاعة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مسافة معيّنة لغاية مباحة، ومسافة اُخرى لغاية محرّمة، كما إذا سافر من النجف إلى كربلاء للزيارة، ومن كربلاء إلى بغداد لغاية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مسافة معيّنة للغايتين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ينبغي التأمّل في وجوب القصر في المسافة الاُولى‌، والتمام في الثانية، إلّاإذا كان قصده من الأوّل أن يسافر إلى بغداد من طريق كربلاء، فإنّه يكون حينئذٍ سيره ما بين النجف وكربلاء لغايتين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مباحة، والاُخرى محرّمة، فيلحقه حكم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القول بأنّ عليه أن يقصّر فيه، سواءٌ أكان كلا الداعيين مستقلّين، بحيث لو لم يكن أحدهما كان الآخر كافياً في الباعثيّة، أم كان كلٌّ منهما جزءٌ للباعث، بحيث لو لم يكن الآخر لما كان باعثاً، أم كان داعي المعصية مستقلّاً وداعي المباح تبعاً، والوجه في ذلك أنّ المتيقّن من النصوص الموجبة لتقييد إطلاق أدلّة القصر، كون السّفر سفر المعصية، أي ممحّضاً فيها، وفي غير هذا المورد لابدّ من الرجوع إلى إطلاق أدلّة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لوجوب التمام في هذه الصورة بوجوه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878"/>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السّفر مقتضية لوجوب التمام، وإباحته لا تقتضي وجوب القصر، بل تكون لا اقتضاء، ومن المعلوم أنّه في </w:t>
      </w:r>
    </w:p>
    <w:p>
      <w:pPr>
        <w:pStyle w:val="BookText"/>
        <w:rPr/>
      </w:pPr>
      <w:r>
        <w:rPr>
          <w:rFonts w:ascii="Amiri" w:hAnsi="Amiri" w:eastAsia="Amiri" w:cs="Amiri"/>
          <w:color w:val="111111"/>
          <w:sz w:val="28"/>
          <w:sz w:val="28"/>
          <w:szCs w:val="28"/>
          <w:rtl w:val="true"/>
          <w:lang w:bidi="ar-SA"/>
        </w:rPr>
        <w:t>موارد اجتماع المقتضي مع اللّامقتضي يكون الحكم مع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ثبت كون الحرمة حتّى في مثل المقام مقتضية لوجوب التمام تمّ ما ذكر، لكنّه أوّل الدعوى، والمدّعى أنّ المستفاد من النصوص كون الحرمة مقتضية فيما إذا كان السّفر ممحّضاً في سفر المعصية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اليزدي</w:t>
      </w:r>
      <w:r>
        <w:rPr>
          <w:rStyle w:val="FootnoteAnchor"/>
          <w:rtl w:val="true"/>
        </w:rPr>
        <w:footnoteReference w:id="879"/>
      </w:r>
      <w:r>
        <w:rPr>
          <w:rFonts w:ascii="Amiri" w:hAnsi="Amiri" w:eastAsia="Amiri" w:cs="Amiri"/>
          <w:color w:val="111111"/>
          <w:sz w:val="28"/>
          <w:sz w:val="28"/>
          <w:szCs w:val="28"/>
          <w:rtl w:val="true"/>
          <w:lang w:bidi="ar-SA"/>
        </w:rPr>
        <w:t xml:space="preserve">وهو أنّ المعيار في لزوم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تعليله في بعض النصوص بأنّه مسيرٌ باطل</w:t>
      </w:r>
      <w:r>
        <w:rPr>
          <w:rStyle w:val="FootnoteAnchor"/>
          <w:rtl w:val="true"/>
        </w:rPr>
        <w:footnoteReference w:id="880"/>
      </w:r>
      <w:r>
        <w:rPr>
          <w:rFonts w:ascii="Amiri" w:hAnsi="Amiri" w:eastAsia="Amiri" w:cs="Amiri"/>
          <w:color w:val="111111"/>
          <w:sz w:val="28"/>
          <w:sz w:val="28"/>
          <w:szCs w:val="28"/>
          <w:rtl w:val="true"/>
          <w:lang w:bidi="ar-SA"/>
        </w:rPr>
        <w:t>، ومن الخبر الوارد في السّفر بقصد الصيد، الدالّ على أنّ من خرج لطلب الفضول لا يقصّر، ولا كرامة</w:t>
      </w:r>
      <w:r>
        <w:rPr>
          <w:rStyle w:val="FootnoteAnchor"/>
          <w:rtl w:val="true"/>
        </w:rPr>
        <w:footnoteReference w:id="881"/>
      </w:r>
      <w:r>
        <w:rPr>
          <w:rFonts w:ascii="Amiri" w:hAnsi="Amiri" w:eastAsia="Amiri" w:cs="Amiri"/>
          <w:color w:val="111111"/>
          <w:sz w:val="28"/>
          <w:sz w:val="28"/>
          <w:szCs w:val="28"/>
          <w:rtl w:val="true"/>
          <w:lang w:bidi="ar-SA"/>
        </w:rPr>
        <w:t xml:space="preserve">، بضميمة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المسير مسيراً باطلاً، وأنّه على خلاف رضا اللّه جلّ جلاله، وهذا يصدق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الباطل العرفي، فلا ريب في أنّ السّفر لغاية مباحة مقصودة للعقلاء لا يعدّ سفراً باطلاً، وإنْ ضُمّ إليه داعي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الباطل الشرعي، فسبيل هذه النصوص سبيلُ غيرها، وقد تقدّم حاله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الاُستاذ الأعظم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وهو أنّ السّفر للغايتين ليس بمسير حقّ‌، فلا يقصّر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58" w:name="pg11802_154232"/>
    </w:p>
    <w:p>
      <w:pPr>
        <w:pStyle w:val="BookText"/>
        <w:rPr/>
      </w:pPr>
      <w:bookmarkEnd w:id="458"/>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مسير حقّ ليس إلّاما لا يكون سفر المعصية، وإلّا فلا ريب في عدم اعتبار أزيد من ذلك، فحال ما تضمّن هذه الجملة، حال غيره من النصوص، فالأظهر بحسب النصوص أنّه يقصّر فيه، ولكن الأحوط، احتياط عدم ترك الجمع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داعي الطاعة ضعيفاً جدّاً، بحيث لا يستند السّفر عرفاً إلّا إلى المعصية، وإلّا فلا ريب في أنّه يتمّ فيه، ولا يخفى وجهه</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10531861_73709187"/>
      <w:bookmarkStart w:id="460" w:name="_Toc172"/>
      <w:bookmarkEnd w:id="459"/>
      <w:r>
        <w:rPr>
          <w:rtl w:val="true"/>
        </w:rPr>
        <w:t>حكم الصَّلاة في سفر الصيد</w:t>
      </w:r>
      <w:bookmarkEnd w:id="46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جماعةٍ‌</w:t>
      </w:r>
      <w:r>
        <w:rPr>
          <w:rStyle w:val="FootnoteAnchor"/>
          <w:rtl w:val="true"/>
        </w:rPr>
        <w:footnoteReference w:id="883"/>
      </w:r>
      <w:r>
        <w:rPr>
          <w:rFonts w:ascii="Amiri" w:hAnsi="Amiri" w:eastAsia="Amiri" w:cs="Amiri"/>
          <w:color w:val="111111"/>
          <w:sz w:val="28"/>
          <w:sz w:val="28"/>
          <w:szCs w:val="28"/>
          <w:rtl w:val="true"/>
          <w:lang w:bidi="ar-SA"/>
        </w:rPr>
        <w:t>إدخال سفر الصيد لغير التجارة، ولغير قوته وقوت عياله في سفر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المقدّس البغدادي</w:t>
      </w:r>
      <w:r>
        <w:rPr>
          <w:rStyle w:val="FootnoteAnchor"/>
          <w:rtl w:val="true"/>
        </w:rPr>
        <w:footnoteReference w:id="884"/>
      </w:r>
      <w:r>
        <w:rPr>
          <w:rFonts w:ascii="Amiri" w:hAnsi="Amiri" w:eastAsia="Amiri" w:cs="Amiri"/>
          <w:color w:val="111111"/>
          <w:sz w:val="28"/>
          <w:sz w:val="28"/>
          <w:szCs w:val="28"/>
          <w:rtl w:val="true"/>
          <w:lang w:bidi="ar-SA"/>
        </w:rPr>
        <w:t>القول بإباحته، وإنكار حرمته أشدّ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الصَّلاة فيه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الدليل على حرمته، لأنّ النصوص</w:t>
      </w:r>
      <w:r>
        <w:rPr>
          <w:rStyle w:val="FootnoteAnchor"/>
          <w:rtl w:val="true"/>
        </w:rPr>
        <w:footnoteReference w:id="885"/>
      </w:r>
      <w:r>
        <w:rPr>
          <w:rFonts w:ascii="Amiri" w:hAnsi="Amiri" w:eastAsia="Amiri" w:cs="Amiri"/>
          <w:color w:val="111111"/>
          <w:sz w:val="28"/>
          <w:sz w:val="28"/>
          <w:szCs w:val="28"/>
          <w:rtl w:val="true"/>
          <w:lang w:bidi="ar-SA"/>
        </w:rPr>
        <w:t xml:space="preserve">التي استدلّ بها على الحرمة، بعضها ضعيفُ السند، وبعضها الآخر لا يدلّ على الحرمة، </w:t>
      </w:r>
    </w:p>
    <w:p>
      <w:pPr>
        <w:pStyle w:val="BookText"/>
        <w:rPr/>
      </w:pPr>
      <w:r>
        <w:rPr>
          <w:rFonts w:ascii="Amiri" w:hAnsi="Amiri" w:eastAsia="Amiri" w:cs="Amiri"/>
          <w:color w:val="111111"/>
          <w:sz w:val="28"/>
          <w:sz w:val="28"/>
          <w:szCs w:val="28"/>
          <w:rtl w:val="true"/>
          <w:lang w:bidi="ar-SA"/>
        </w:rPr>
        <w:t>فإنّه وإنْ تضمّن أنّه من اللّهو والباطل، وما شابه ذلك، إلّاأنّه قد حقّقنا في الجزء الأوّل من حاشيتنا على المكاسب</w:t>
      </w:r>
      <w:r>
        <w:rPr>
          <w:rStyle w:val="FootnoteAnchor"/>
          <w:rtl w:val="true"/>
        </w:rPr>
        <w:footnoteReference w:id="886"/>
      </w:r>
      <w:r>
        <w:rPr>
          <w:rFonts w:ascii="Amiri" w:hAnsi="Amiri" w:eastAsia="Amiri" w:cs="Amiri"/>
          <w:color w:val="111111"/>
          <w:sz w:val="28"/>
          <w:sz w:val="28"/>
          <w:szCs w:val="28"/>
          <w:rtl w:val="true"/>
          <w:lang w:bidi="ar-SA"/>
        </w:rPr>
        <w:t>عدم حرمة كلّ لهوٍ وباطل، وتمام الكلام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أنّه يتمّ الصَّلاة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القصر في سفر الصيد مطلقاً، كصحيح العيص،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يدور حوله فلا يقصّر، وإنْ كان تجاوز الوقت فليقصّر</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صفوان</w:t>
      </w:r>
      <w:r>
        <w:rPr>
          <w:rStyle w:val="FootnoteAnchor"/>
          <w:rtl w:val="true"/>
        </w:rPr>
        <w:footnoteReference w:id="888"/>
      </w:r>
      <w:r>
        <w:rPr>
          <w:rFonts w:ascii="Amiri" w:hAnsi="Amiri" w:eastAsia="Amiri" w:cs="Amiri"/>
          <w:color w:val="111111"/>
          <w:sz w:val="28"/>
          <w:sz w:val="28"/>
          <w:szCs w:val="28"/>
          <w:rtl w:val="true"/>
          <w:lang w:bidi="ar-SA"/>
        </w:rPr>
        <w:t xml:space="preserve">، فإنّ الظاهر أنّ المراد بالدوران حوله، عدم الخروج إلى حَدّ المسافة،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منزله بقدر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التمام فيه مطلقاً، كصحيح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وأفطر، إلّاأن يكون سفره إلى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اختصاص وجوب التمام بالصيد اللّهوي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 في لهوٍ، لا يقصّر</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يتصيّد اليوم واليومين والثلاثة، أيقصّر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يشيّع الرّجل أخاه في الدِّين، فإنّ الصيد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مسيرٌ باطل، لا تقصّر الصَّلاة فيه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القصر في الصيد لقوته وقوت عياله، كمرسل محمّد بن عمران القُمّي،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إلى الصيد مسيرة يومٍ أو يومين أو ثلاثة يقصّر أو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وقوت عياله فليفطر أو ليقصّر، وإنْ خرج لطلب الفضول فلا ولا كرامة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يقصّر في الصيد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صيده للتجارة، فعليه التمام في الصَّلاة، والقصر في الصوم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المرسل الذي رواه الشيخ والحِلّي</w:t>
      </w:r>
      <w:r>
        <w:rPr>
          <w:rStyle w:val="FootnoteAnchor"/>
          <w:rtl w:val="true"/>
        </w:rPr>
        <w:footnoteReference w:id="8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التجارة دون الحاجة، روى أصحابنا بأجمعهم أنّه يتمّ الصَّلاة ويفطر الصوم، وكلّ سفر وجب التقصير في الصوم، وجب تقصير الصَّلاة فيه، إلّاهذه المسألة فحسب، للإجماع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يقصّر في سفر الصيد إذا استمرّ ثلاثة أيّام، ويُتمّ إذا لم يكن كذلك، كخبر أبي بصير، عن الإمام الصادق عليه 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صاحب الصيد تقصير ثلاثة أيّام، وإذا جاوز الثلاثة لزمه</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جميع نصوص الباب، فينبغي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فلإعراض الأصحاب عنها، وعدم إفتاء أحدٍ بمضمونها سوى الإسكافي</w:t>
      </w:r>
      <w:r>
        <w:rPr>
          <w:rStyle w:val="FootnoteAnchor"/>
          <w:rtl w:val="true"/>
        </w:rPr>
        <w:footnoteReference w:id="896"/>
      </w:r>
      <w:r>
        <w:rPr>
          <w:rFonts w:ascii="Amiri" w:hAnsi="Amiri" w:eastAsia="Amiri" w:cs="Amiri"/>
          <w:color w:val="111111"/>
          <w:sz w:val="28"/>
          <w:sz w:val="28"/>
          <w:szCs w:val="28"/>
          <w:rtl w:val="true"/>
          <w:lang w:bidi="ar-SA"/>
        </w:rPr>
        <w:t>لابدَّ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فلعدم ثبوت كونه كتاب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أشبعنا الكلام فيه في بدايات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المكاسب</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 مع أنّ المحكيّ عن كتاب صومه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صيده للتجارة فعليه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ظاهرٌ، مضافاً إلى أنّ الظاهر منه كونه نقلاً للفتوى دون أن يكون رواية، لقوله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المنقول روايةً كان الاُولى التعليل بورود النص به، ولذلك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الطائفتان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لا تعارض بينهما بأنفسهما، كما لا يخفى‌، فهما تقيّدان إطلاق الطائفة الاُولى‌، وتقيّدانها بالسّفر للصيد غير اللّهوي، كما تقيّدان إطلاق الطائفة الثانية، وتقيّدانها بالصيد اللّهوي، فيكون 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التمام في سفر الصيد اللّهوي، والقصر في الصيد للتجارة أو لتحصيل القوت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بما أنّ المشهور بين المتقدّمين من الأصحاب</w:t>
      </w:r>
      <w:r>
        <w:rPr>
          <w:rStyle w:val="FootnoteAnchor"/>
          <w:rtl w:val="true"/>
        </w:rPr>
        <w:footnoteReference w:id="898"/>
      </w:r>
      <w:r>
        <w:rPr>
          <w:rFonts w:ascii="Amiri" w:hAnsi="Amiri" w:eastAsia="Amiri" w:cs="Amiri"/>
          <w:color w:val="111111"/>
          <w:sz w:val="28"/>
          <w:sz w:val="28"/>
          <w:szCs w:val="28"/>
          <w:rtl w:val="true"/>
          <w:lang w:bidi="ar-SA"/>
        </w:rPr>
        <w:t>أنّه لا يقصّر في سفر الصيد للتجارة، وإنْ كان يفطر الصوم فيه، مع أنّه لا دليل لهذه الفتوى، بل النصوص كما عرفت تدلّ على خلافها، لا سيّما وفي النصوص الصحيحة التلازم بين</w:t>
      </w:r>
      <w:r>
        <w:rPr>
          <w:rFonts w:eastAsia="Amiri" w:cs="Amiri" w:ascii="Amiri" w:hAnsi="Amiri"/>
          <w:color w:val="111111"/>
          <w:sz w:val="28"/>
          <w:szCs w:val="28"/>
          <w:rtl w:val="true"/>
          <w:lang w:bidi="ar-SA"/>
        </w:rPr>
        <w:t xml:space="preserve">). </w:t>
      </w:r>
      <w:bookmarkStart w:id="461" w:name="pg11802_154236"/>
    </w:p>
    <w:p>
      <w:pPr>
        <w:pStyle w:val="BookText"/>
        <w:rPr/>
      </w:pPr>
      <w:bookmarkEnd w:id="461"/>
      <w:r>
        <w:rPr>
          <w:rFonts w:ascii="Amiri" w:hAnsi="Amiri" w:eastAsia="Amiri" w:cs="Amiri"/>
          <w:color w:val="111111"/>
          <w:sz w:val="28"/>
          <w:sz w:val="28"/>
          <w:szCs w:val="28"/>
          <w:rtl w:val="true"/>
          <w:lang w:bidi="ar-SA"/>
        </w:rPr>
        <w:t>الإفطار والقصر، ومعلومٌ أنّ الفقيه لا يفتي إلّامع قيام الدليل، فيعلم من ذلك وجود رواية دالّة على هذه الفتوى لم تصل إلينا، فالاحتياط بالجمع بين القصر والتمام في سفر الصيد للتجارة ممّا لا ينبغي تركه، واللّه تعالى أعلم بحقائق الاُمور</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10531863_73709187"/>
      <w:bookmarkStart w:id="463" w:name="_Toc173"/>
      <w:bookmarkEnd w:id="462"/>
      <w:r>
        <w:rPr>
          <w:rtl w:val="true"/>
        </w:rPr>
        <w:t>لو نذر الإتمام في يوم فسافر فيه</w:t>
      </w:r>
      <w:bookmarkEnd w:id="463"/>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يُتمّ الصَّلاة في يومٍ معيّن، أو يصوم يوماً معيّناً، وجب عليه الإقامة والوفاء بالنذر، ولو خالف وسافر، فهل يقصّر فيه أو يُتمّ؟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المحقّق اليزدي</w:t>
      </w:r>
      <w:r>
        <w:rPr>
          <w:rStyle w:val="FootnoteAnchor"/>
          <w:rtl w:val="true"/>
        </w:rPr>
        <w:footnoteReference w:id="899"/>
      </w:r>
      <w:r>
        <w:rPr>
          <w:rFonts w:ascii="Amiri" w:hAnsi="Amiri" w:eastAsia="Amiri" w:cs="Amiri"/>
          <w:color w:val="111111"/>
          <w:sz w:val="28"/>
          <w:sz w:val="28"/>
          <w:szCs w:val="28"/>
          <w:rtl w:val="true"/>
          <w:lang w:bidi="ar-SA"/>
        </w:rPr>
        <w:t>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في أدلّة لزوم القصر على المسافر، السّفر المباح، مع قطع النظر عمّا يطرأ عليه من جهة الحكم، والحرمة الطارئة على مثل هذا السّفر، إنّما جاءت من قِبل حكم السّفر، وهو لزوم القصر، فعدم إجراء عموم دليل القصر في الموضوع، تخصيصٌ بلا وجهٍ‌، وإذا وجب القصر بمقتضى العمومات، أصبح السّفر محرّماً لكونه مفوّتاً للواجب المطلق، ولكن لا مجال لجريان دليل لزوم التمام في مثل هذا السّفر المحرّم، لأنّ حرمته إنّما جاءت من قبل لزوم القصر، فلا يمكن أن يكون مثل هذه الحرمة موجباً للزوم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عدم السّفر معتبرٌ شرعاً في إتمام الصَّلاة والصوم، فالناذر لأجل أن تتمّ صلاته، أو يصحّ صومه في يوم معيّن، لا محالة ينحلّ نذره إلى نذر شرطه أيضاً، وهو ترك السّفر، وإلّا كان النذر باطلاً لعدم مشروعيّة المنذور، ومع نذر ترك السّفر، يكون سفره سفر معصيةٍ‌، وقد عرفت لزوم التمام في سفر المعصية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ينحلّ الإشكال المعروف في المقام، وهو أنّه إذا وجب التمام في </w:t>
      </w:r>
    </w:p>
    <w:p>
      <w:pPr>
        <w:pStyle w:val="BookText"/>
        <w:rPr/>
      </w:pPr>
      <w:r>
        <w:rPr>
          <w:rFonts w:ascii="Amiri" w:hAnsi="Amiri" w:eastAsia="Amiri" w:cs="Amiri"/>
          <w:color w:val="111111"/>
          <w:sz w:val="28"/>
          <w:sz w:val="28"/>
          <w:szCs w:val="28"/>
          <w:rtl w:val="true"/>
          <w:lang w:bidi="ar-SA"/>
        </w:rPr>
        <w:t>هذا السّفر، لا يكون حراماً، إذ لا منشأ لحرمته سوى كونه موجباً لفوات الواجب وهو التمام، ومع عدم حرمته يجب فيه القصر، فيلزم من حرمة هذا السّفر عدم حرمته، ومن إباحته عدم إباحته، وهكذا تنحلّ المشكلة لأنّ حرمة السّفر ليست لأجل وجوب الإتمام، بل إنّما هي لأجل نذر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وجوب القصر في هذا السّفر، وذلك لأنّ شرط إتمام الصَّلاة والصوم، ليس هو ترك السّفر، بل هو الإقامة المضادّة للسفر، فحرمة السّفر تبتني على أن يكون ما يستلزم ترك الواجب حراماً، وقد عرفت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يدلّ على لزوم القصر خبر عبد اللّه بن جُندَب،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زرارة، عن أبي عبد اللّه عليه السلام، أنّه سأله عن رجلٍ جعل على نفسه نذر صومٍ‌، فحَضَرته نيّةٌ في زيارة أبي عبد اللّه عليه السلام‌؟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ولا يصوم في الطريق، فإذا رجع قَضى ذلك</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64" w:name="pg11802_154238"/>
    </w:p>
    <w:p>
      <w:pPr>
        <w:pStyle w:val="BookText"/>
        <w:rPr/>
      </w:pPr>
      <w:bookmarkEnd w:id="464"/>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أكثر من حضره كالملّاح، والمُكاري، والراعي، والبدوي، والذي يدور في تجارته</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0531865_73709187"/>
      <w:bookmarkStart w:id="466" w:name="_Toc174"/>
      <w:bookmarkEnd w:id="465"/>
      <w:r>
        <w:rPr>
          <w:rtl w:val="true"/>
        </w:rPr>
        <w:t>حكم كثير السّفر</w:t>
      </w:r>
      <w:bookmarkEnd w:id="466"/>
    </w:p>
    <w:p>
      <w:pPr>
        <w:pStyle w:val="Heading6"/>
        <w:numPr>
          <w:ilvl w:val="5"/>
          <w:numId w:val="1"/>
        </w:numPr>
        <w:rPr/>
      </w:pPr>
      <w:bookmarkStart w:id="467" w:name="__RefHeading___Toc10531867_73709187"/>
      <w:bookmarkStart w:id="468" w:name="_Toc175"/>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الخامس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عَمله، بلا خلافٍ في هذا الشرط في الجملة، وإنْ اختلفت تعابير القوم عن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عبّر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 أكثر 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كثير السّفر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وعبّر جماعةٌ ثالثة بما عبّرناه، إلى غير ذلك من التعابير، ولكن الموجود في النصوص إنّما هو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السّفر عَملاً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كالملّاح، والمُكاري، والرّاعي، والبدوي، والذي يدور في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بيته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قد يجب عليهم التمام في السّفر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والكرى والراعي والأشتقان، لأنّه عملهم</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خبر ابن أبي عُمير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469" w:name="pg11802_154239"/>
    </w:p>
    <w:p>
      <w:pPr>
        <w:pStyle w:val="BookText"/>
        <w:rPr/>
      </w:pPr>
      <w:bookmarkEnd w:id="469"/>
      <w:r>
        <w:rPr>
          <w:rFonts w:ascii="Amiri" w:hAnsi="Amiri" w:eastAsia="Amiri" w:cs="Amiri"/>
          <w:color w:val="111111"/>
          <w:sz w:val="28"/>
          <w:sz w:val="28"/>
          <w:szCs w:val="28"/>
          <w:rtl w:val="true"/>
          <w:lang w:bidi="ar-SA"/>
        </w:rPr>
        <w:t>ومقتضى تعليل الحكم بأنّه عملهم، عدم اختصاص الحكم بالمذكورين في الحديث، بل دوران الحكم مدار صدق عنوان كون السّفر عَملاً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مضمر إسحاق بعد السؤال عن الملّاحين والأعراب، وأنّه هل عليهم تقصيرٌ؟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بيوتهم معهم</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سليمان بن جعفر الجعفري،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لا يقصّرون، وذلك أنّ منازلهم معهم</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هذه النصوص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هذه النصوص، دوران وجوب التمام مدار أحد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كون السّفر عملاً له، أو كونه ممّن بيته معه، والنسبة بين العنوانين عموم من وجه، لتصادقهما على البدوي الذي له وطنٌ يستقرّ فيه في فصل الشتاء ثمّ يسافر عنه في بقية السنة مع بيته، وافتراق الأوّل في التاجر الذي يدور بتجارته، والجابي الذي يدور لجمع جبايته وغيرهما، وافتراق الثاني في البدوي الذي ليس له وطن يستقرّ فيه، وليس في النصوص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 وعليه فلو صدق على شخصٍ كثير السّفر، كما لو صدر منه اسفار متعدّدة متوالية من باب الاتّفاق، ولكن لم يكن السّفر عمله ولم يكن بيته معه وجب عليه القصر دون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هو أحد الأمرين المتقدّمين</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0531869_73709187"/>
      <w:bookmarkStart w:id="471" w:name="_Toc176"/>
      <w:bookmarkEnd w:id="470"/>
      <w:r>
        <w:rPr>
          <w:rtl w:val="true"/>
        </w:rPr>
        <w:t>التنبيه على اُمور</w:t>
      </w:r>
      <w:bookmarkEnd w:id="471"/>
    </w:p>
    <w:p>
      <w:pPr>
        <w:pStyle w:val="Heading6"/>
        <w:numPr>
          <w:ilvl w:val="5"/>
          <w:numId w:val="1"/>
        </w:numPr>
        <w:rPr/>
      </w:pPr>
      <w:bookmarkStart w:id="472" w:name="__RefHeading___Toc10531871_73709187"/>
      <w:bookmarkStart w:id="473" w:name="_Toc177"/>
      <w:bookmarkEnd w:id="472"/>
      <w:r>
        <w:rPr>
          <w:rtl w:val="true"/>
        </w:rPr>
        <w:t>حكم السّفر الأوّل لمن اتّخذ السّفر عملاً له</w:t>
      </w:r>
      <w:bookmarkEnd w:id="47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التنبيه على اُمور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السّفر عملاً، كما لو اشترى دوابّاً واستعملها في نقل </w:t>
      </w:r>
    </w:p>
    <w:p>
      <w:pPr>
        <w:pStyle w:val="BookText"/>
        <w:rPr/>
      </w:pPr>
      <w:r>
        <w:rPr>
          <w:rFonts w:ascii="Amiri" w:hAnsi="Amiri" w:eastAsia="Amiri" w:cs="Amiri"/>
          <w:color w:val="111111"/>
          <w:sz w:val="28"/>
          <w:sz w:val="28"/>
          <w:szCs w:val="28"/>
          <w:rtl w:val="true"/>
          <w:lang w:bidi="ar-SA"/>
        </w:rPr>
        <w:t>الأمتعة جاعلاً حرفته ذلك، هل يتمّ صلاته في سفرته الاُولى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النصوص الأوّل، لأنّه يصدق عليه في ذلك السّفر أيضاً أنّه عمله، كما هو الشأن في سائر المبادئ، مثلاً البقّال يصدق على من اتّخذه حرفته مع شروعه فيه، وهكذا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هذا العنوان بمجرّد الشروع ممّا لا ينبغي إنكاره، وعليه فمقتضى إطلاق الأخبار، لزوم التمام في السّفر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للقول بوجوب القصر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باعتبار عدم صدق الكثرة على السّفر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التكرّر في صدق الاتّخاذ، وقد عرفت آنفاً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 من أنّه سيأتي أنّ الإقامة عشرة أيّام في وطنه مطلقاً أو في غير وطنه مع قصد الإقامة في أثناء تلبّسه بعمل السّفر، قاطعةٌ لحكم الإتمام، وموجبة لوجوب القصر عليه بعد شروعه في السّفر الذي يُنشأه بعد الإقامة، فإذا كان هذا حال السّفر بعد الإقامة، فثبوت ذلك في السّفر الأوّل بعد الشروع في عمل السّفر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أولويّة فإنّما هي فيما لو شَرع في عمل السّفر وهو في بلده ومحلّ إقامته، ولا تكون فيما لو شرع فيه وهو في السّفر، كما لو سافر إلى خراسان زائراً، وهيّأ الأسباب هناك وأصبح مكارياً ثمّ سافر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تتمّ‌، فإنّ عدم الإقامة عشرة أيّام في محلٍّ في الأثناء شرطٌ في التمام، تضمنه النصوص، وملاكه غير معلوم، كي يثبت هذا الحكم في ماقبل </w:t>
      </w:r>
    </w:p>
    <w:p>
      <w:pPr>
        <w:pStyle w:val="BookText"/>
        <w:rPr/>
      </w:pPr>
      <w:r>
        <w:rPr>
          <w:rFonts w:ascii="Amiri" w:hAnsi="Amiri" w:eastAsia="Amiri" w:cs="Amiri"/>
          <w:color w:val="111111"/>
          <w:sz w:val="28"/>
          <w:sz w:val="28"/>
          <w:szCs w:val="28"/>
          <w:rtl w:val="true"/>
          <w:lang w:bidi="ar-SA"/>
        </w:rPr>
        <w:t>الشروع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جملةٍ‌</w:t>
      </w:r>
      <w:r>
        <w:rPr>
          <w:rStyle w:val="FootnoteAnchor"/>
          <w:rtl w:val="true"/>
        </w:rPr>
        <w:footnoteReference w:id="907"/>
      </w:r>
      <w:r>
        <w:rPr>
          <w:rFonts w:ascii="Amiri" w:hAnsi="Amiri" w:eastAsia="Amiri" w:cs="Amiri"/>
          <w:color w:val="111111"/>
          <w:sz w:val="28"/>
          <w:sz w:val="28"/>
          <w:szCs w:val="28"/>
          <w:rtl w:val="true"/>
          <w:lang w:bidi="ar-SA"/>
        </w:rPr>
        <w:t>من النصوص قيد الموضوع بالاختلاف، وهو لا يتحقّق بالسفر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بقرينة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إرادة الحرفة المأخوذة في مفهوم المكاري ونحوه، وإنْ أبيت عن ذلك فتُحمل عليها لأجل التعليل بأنّه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التمام في السّفر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اعتبار التكرّر، هل يجب التكرار مرّات ليتمّ في السّفر الثالث، أم يتمّ في السّفر الثاني‌؟</w:t>
      </w:r>
    </w:p>
    <w:p>
      <w:pPr>
        <w:pStyle w:val="BookText"/>
        <w:rPr/>
      </w:pPr>
      <w:r>
        <w:rPr>
          <w:rFonts w:ascii="Amiri" w:hAnsi="Amiri" w:eastAsia="Amiri" w:cs="Amiri"/>
          <w:color w:val="111111"/>
          <w:sz w:val="28"/>
          <w:sz w:val="28"/>
          <w:szCs w:val="28"/>
          <w:rtl w:val="true"/>
          <w:lang w:bidi="ar-SA"/>
        </w:rPr>
        <w:t>وجهان، مبنيّان على صدق الاختلاف بالتكرّر مرّتين، أم يعتبر في صدقه التكرّر مرّات، لا يبعد أظهريّة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التكرّر في صدق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في صدقه الرجوع في كلّ سفرٍ إلى المبدأ الذي سافر منه كوطنه أو مقرّه‌؟</w:t>
      </w:r>
    </w:p>
    <w:p>
      <w:pPr>
        <w:pStyle w:val="BookText"/>
        <w:rPr/>
      </w:pPr>
      <w:r>
        <w:rPr>
          <w:rFonts w:ascii="Amiri" w:hAnsi="Amiri" w:eastAsia="Amiri" w:cs="Amiri"/>
          <w:color w:val="111111"/>
          <w:sz w:val="28"/>
          <w:sz w:val="28"/>
          <w:szCs w:val="28"/>
          <w:rtl w:val="true"/>
          <w:lang w:bidi="ar-SA"/>
        </w:rPr>
        <w:t>أم يصدق مع انقطاع السّفر بما يوجب تمام الصَّلاة‌؟</w:t>
      </w:r>
    </w:p>
    <w:p>
      <w:pPr>
        <w:pStyle w:val="BookText"/>
        <w:rPr/>
      </w:pPr>
      <w:r>
        <w:rPr>
          <w:rFonts w:ascii="Amiri" w:hAnsi="Amiri" w:eastAsia="Amiri" w:cs="Amiri"/>
          <w:color w:val="111111"/>
          <w:sz w:val="28"/>
          <w:sz w:val="28"/>
          <w:szCs w:val="28"/>
          <w:rtl w:val="true"/>
          <w:lang w:bidi="ar-SA"/>
        </w:rPr>
        <w:t>أم يصدق حتّى مع عدم الرجوع إلى وطنه ومحلّ سكناه، وعدم حدوث ما يوجب إتمام الصَّلاة، كما إذا سافر من النجف إلى كربلاء، ثم آجر دابّته إلى بغداد وهكذا؟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أقواها الأوّل، لأنّه لا يصدق الاختلاف الذي هو بمعنى التردّد أو ما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إلّابذلك،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74" w:name="pg11802_154242"/>
    </w:p>
    <w:p>
      <w:pPr>
        <w:pStyle w:val="BookText"/>
        <w:rPr/>
      </w:pPr>
      <w:bookmarkEnd w:id="4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يُسهّل الخَطب، عدم اعتبار التكرّر في صدقه أصلاً</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10531873_73709187"/>
      <w:bookmarkStart w:id="476" w:name="_Toc178"/>
      <w:bookmarkEnd w:id="475"/>
      <w:r>
        <w:rPr>
          <w:rtl w:val="true"/>
        </w:rPr>
        <w:t>عدم الفرق بين مَن جَدَّ في سفره وغيره</w:t>
      </w:r>
      <w:bookmarkEnd w:id="47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جملةٍ من النصوص أنّ المكاري إذا جَدَّ به السّير يُقصّر، كصحيح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إذا جَدَّ بهما السير فليقصر</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ونحوه غيره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ظاهر الكليني</w:t>
      </w:r>
      <w:r>
        <w:rPr>
          <w:rStyle w:val="FootnoteAnchor"/>
          <w:rtl w:val="true"/>
        </w:rPr>
        <w:footnoteReference w:id="910"/>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الإفتاء بمضمونها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المشهور بين الأصحاب</w:t>
      </w:r>
      <w:r>
        <w:rPr>
          <w:rStyle w:val="FootnoteAnchor"/>
          <w:rtl w:val="true"/>
        </w:rPr>
        <w:footnoteReference w:id="912"/>
      </w:r>
      <w:r>
        <w:rPr>
          <w:rFonts w:ascii="Amiri" w:hAnsi="Amiri" w:eastAsia="Amiri" w:cs="Amiri"/>
          <w:color w:val="111111"/>
          <w:sz w:val="28"/>
          <w:sz w:val="28"/>
          <w:szCs w:val="28"/>
          <w:rtl w:val="true"/>
          <w:lang w:bidi="ar-SA"/>
        </w:rPr>
        <w:t>شهرةً عظيمة، عدم الفرق بين مَن جَدَّ في سفره وغيره، حتّى أنّ الشيخ رحمه الله في كتبه الفتوائيّة وافقهم في ذلك، ولأجل ذلك لايُعتمد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الفقهاء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به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الكليني رحمه الله</w:t>
      </w:r>
      <w:r>
        <w:rPr>
          <w:rStyle w:val="FootnoteAnchor"/>
          <w:rtl w:val="true"/>
        </w:rPr>
        <w:footnoteReference w:id="913"/>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لسرعة سيره المنزلين منزلاً واحداً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السير على القَدَر المتعارف، بنحو يحصل منه جُهدٌ ومشقّة، وإنْ لم يبلغ جعل المنزلين منزلاً</w:t>
      </w:r>
      <w:r>
        <w:rPr>
          <w:rFonts w:eastAsia="Amiri" w:cs="Amiri" w:ascii="Amiri" w:hAnsi="Amiri"/>
          <w:color w:val="111111"/>
          <w:sz w:val="28"/>
          <w:szCs w:val="28"/>
          <w:rtl w:val="true"/>
          <w:lang w:bidi="ar-SA"/>
        </w:rPr>
        <w:t xml:space="preserve">. </w:t>
      </w:r>
      <w:bookmarkStart w:id="477" w:name="pg11802_154243"/>
    </w:p>
    <w:p>
      <w:pPr>
        <w:pStyle w:val="BookText"/>
        <w:rPr/>
      </w:pPr>
      <w:bookmarkEnd w:id="47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إنشاء سفر غير صنعته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السّفر بعد إقامة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المسافة قبل تحقّق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بعض المتأخّرين</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المسافة لمن كان شُغله في السّفر دون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المعاني خلاف الظاهر، لا يصار إلى شيءٍ منها، مع عدم الدليل إلّا الثاني، فإنّه الظاهر منه بحسب المتفاهم العرفي، وعليه فهو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عمران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والجمّال والمُكاري إذا جَدَّ بهما السير، فليقصرا فيما بين المنزلين، ويُتمّا في المنزل</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لإرساله لا يعتمد عليه</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0531875_73709187"/>
      <w:bookmarkStart w:id="479" w:name="_Toc179"/>
      <w:bookmarkEnd w:id="478"/>
      <w:r>
        <w:rPr>
          <w:rtl w:val="true"/>
        </w:rPr>
        <w:t>حكم من أنشأ سفراً آخر غير ما هو عمله</w:t>
      </w:r>
      <w:bookmarkEnd w:id="47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السّفر عمله، إذا أنشأ سفراً آخر غير ما هو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سفره سفر الشُّغل، إمّا بتبديل نوع السّفر الذي عمله بسفرٍ آخر مثل صيرورة المُكاري ملّاحاً، أو بتغيير صنفه، كما لو كان شغله كراء الدابّة في سفر غير الزيارة، ثمّ كراها في سفر الزيارة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 سفر الشُّغل</w:t>
      </w:r>
      <w:r>
        <w:rPr>
          <w:rFonts w:eastAsia="Amiri" w:cs="Amiri" w:ascii="Amiri" w:hAnsi="Amiri"/>
          <w:color w:val="111111"/>
          <w:sz w:val="28"/>
          <w:szCs w:val="28"/>
          <w:rtl w:val="true"/>
          <w:lang w:bidi="ar-SA"/>
        </w:rPr>
        <w:t xml:space="preserve">. </w:t>
      </w:r>
      <w:bookmarkStart w:id="480" w:name="pg11802_154244"/>
    </w:p>
    <w:p>
      <w:pPr>
        <w:pStyle w:val="BookText"/>
        <w:rPr/>
      </w:pPr>
      <w:bookmarkEnd w:id="480"/>
      <w:r>
        <w:rPr>
          <w:rFonts w:ascii="Amiri" w:hAnsi="Amiri" w:eastAsia="Amiri" w:cs="Amiri"/>
          <w:color w:val="111111"/>
          <w:sz w:val="28"/>
          <w:sz w:val="28"/>
          <w:szCs w:val="28"/>
          <w:rtl w:val="true"/>
          <w:lang w:bidi="ar-SA"/>
        </w:rPr>
        <w:t>ففي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سفره، لما عرفت من وجوب التمام في سفر الشُّغل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لأنّ المستفاد من الأخبار، لا سيّما بملاحظة ما فيها من التعليل بأنّ السّفر عملهم، اختصاص الحكم بالسفر الذي يكون عملاً للمسافر، فلو سافر غير ذلك السّفر، وجب عليه القصر، ويشير إليه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حيث خصَّ الحكم بالسفينة</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0531877_73709187"/>
      <w:bookmarkStart w:id="482" w:name="_Toc180"/>
      <w:bookmarkEnd w:id="481"/>
      <w:r>
        <w:rPr>
          <w:rtl w:val="true"/>
        </w:rPr>
        <w:t>من كان شغله التردّد إلى ما دون المسافة</w:t>
      </w:r>
      <w:bookmarkEnd w:id="482"/>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شغله التردّد إلى ما دون المسافة، كالحطّاب لو سافر إلى المسافة ولو للاحتطاب يقصّر، لأنّ الظاهر من الأدلّة أنّ الموضوع في هذا الحكم كون السّفر الموجب للقصر الذي هو سفر شرعي عملاً له، وهذا الشخص لا يكون عمله السَّفر، بل غيره،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الحاوي</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من وجوب التمام،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الميل إليه في بعض الفروض، ضعيفٌ‌</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0531879_73709187"/>
      <w:bookmarkStart w:id="484" w:name="_Toc181"/>
      <w:bookmarkEnd w:id="483"/>
      <w:r>
        <w:rPr>
          <w:rtl w:val="true"/>
        </w:rPr>
        <w:t>ما يعتبر في وجوب التمام على المسافر</w:t>
      </w:r>
      <w:bookmarkEnd w:id="484"/>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التمام على المسافر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كون السّفر عملاً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على المزاولة مرّةً بعد اُخرى‌، لأنّه مضافاً إلى دخل ذلك في عمليّة السّفر، يشهد لاعتباره التقييد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الإقامة عشرة أيّام في أثناء سفره، وإلّا فلا يتمّ في السّفر الأوّل،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شيءٌ زائداً على هذه المذكورات، وعليه فلا فرق بين من اتّخذ السّفر حرفةً له في تمام السنة، وبين اتّخاذه حرفةً في بعضها، كمن كان عمله الإكراء في الشتاء خاصّة،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من احتمال وجوب القصر في الثاني، لأنّ المتيقّن الاُولى‌، فيبقى غيره على أدلّة القصر، غير تامٍّ‌، إذ بعد إطلاق الدليل لا وجه للاقتصار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ما اخترناه، ما ورد من لزوم التمام على الجابي والأشتقان، بناءً على أنّه أمين البيدر، فإنّ أسفارهما إنّما تكون في أوقات معيّنة ومخصوصة من السنة لا في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القصر على الحملداريّة، الذين يقومون بالسفر في خصوص أشهر الحجّ‌،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أم يجب عليهم التمام‌؟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صدق عمليّة السّفر المبنيّ صدقها على المزاولة مرّةً بعد اُخرى على نحوٍ لا يكون له فترة طويلة غير معتادة لمن يزاول تلك الحرفة أو الصنعة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هشام،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الذي يختلف وليس له مقامٌ 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ظاهرٌ في خروج الجَمّال الذي ليس له إلّاسفرٌ واحد في طول السنة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85" w:name="pg11802_154246"/>
    </w:p>
    <w:p>
      <w:pPr>
        <w:pStyle w:val="BookText"/>
        <w:rPr/>
      </w:pPr>
      <w:bookmarkEnd w:id="485"/>
      <w:r>
        <w:rPr>
          <w:rFonts w:ascii="IRNazanin" w:hAnsi="IRNazanin" w:eastAsia="IRNazanin"/>
          <w:color w:val="111111"/>
          <w:sz w:val="28"/>
          <w:sz w:val="28"/>
          <w:szCs w:val="28"/>
          <w:rtl w:val="true"/>
          <w:lang w:bidi="fa-IR"/>
        </w:rPr>
        <w:t>موضوع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وبمكاتبة محمّد بن جزك، إلى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جِمالاً ولي قوّامٌ عليها، ولستُ أخرج فيها إلّافي طريق مكّة، لرغبتي في الحجّ أو في الندرة إلى بعض المواضع، فما يجبُ عليَّ إذا أنا خرجتُ معهم أن أعملَ‌، أيجبُ عَليّ التقصير في الصَّلاة والصيام في السّفر أو التمام‌؟</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تلزمها، ولا تخرج معها في كلّ سفرٍ إلّاإلى مكّة، فعليك تقصيرٌ وإفطار</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اعتُبر في صدق عمليّة السّفر، المزاولة مرّةً بعد اُخرى‌، ولكن لا يعتبر هذا الأمر أن تكون في سنةٍ واحدة، فمن شُغله ذلك في السنوات العديدة، سيّما من هو بعيد عن مكّة، حيث يستغرق سفره عدّة أشهر من السنة، يصدق عليه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في الأمر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مورده مَنْ ليس شُغله السَّفر، وهذا غير الحملداريّة كما لايخفى‌، فالحملداريّة يتمّون صلاتهم في السّفر إذا لم يكن سفرهم ذلك بعد إقامة عشرة أيّام، كما هو الغالب فيهم، وإلّا فيقصّرون</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10531881_73709187"/>
      <w:bookmarkStart w:id="487" w:name="_Toc182"/>
      <w:bookmarkEnd w:id="486"/>
      <w:r>
        <w:rPr>
          <w:rtl w:val="true"/>
        </w:rPr>
        <w:t>إقامة عشرة أيّام قاطعة لعمليّة السّفر</w:t>
      </w:r>
      <w:bookmarkEnd w:id="48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استمرار من شُغله التمام أن لا يُقيم في بلده أو غيره عشرة أيّام، والظاهر أنّ إلى هذا نظر المصنّف رحمه الله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يُقيم في بلده عشرة أيّام، ولو أقام أحدٌ هؤلاء في بلده أو بلد غيره عشرة أيّام، قصّر إذا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مَنْ لا يقيم في بلده عشرة أيّام ولو أقام أحد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الأفراد الذين عملهم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بلده أو بلد غيره عشرة أيّام قصّر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مقطوعٌ به في كلمات الأصحاب</w:t>
      </w:r>
      <w:r>
        <w:rPr>
          <w:rStyle w:val="FootnoteAnchor"/>
          <w:rtl w:val="true"/>
        </w:rPr>
        <w:footnoteReference w:id="932"/>
      </w:r>
      <w:r>
        <w:rPr>
          <w:rFonts w:ascii="Amiri" w:hAnsi="Amiri" w:eastAsia="Amiri" w:cs="Amiri"/>
          <w:color w:val="111111"/>
          <w:sz w:val="28"/>
          <w:sz w:val="28"/>
          <w:szCs w:val="28"/>
          <w:rtl w:val="true"/>
          <w:lang w:bidi="ar-SA"/>
        </w:rPr>
        <w:t>، ويشهد له مرسل يونس بن عبد الرحمن،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المُكاري الذي يصوم ويُتمّ؟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مكارٍ أقام في منزله أو في البلد الذي يَدخله أقلّ من عشرة أيّام، وَجَب عليه الصيام والتمام أبداً، وإنْ كان مقامه في منزله أو في البلد الذي يدخله أكثر من عشره أيّام فعليه التقصير والإفطار</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يونس، وهو على ما قيل من أصحاب الإجماع</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رحمه الله</w:t>
      </w:r>
      <w:r>
        <w:rPr>
          <w:rStyle w:val="FootnoteAnchor"/>
          <w:rtl w:val="true"/>
        </w:rPr>
        <w:footnoteReference w:id="935"/>
      </w:r>
      <w:r>
        <w:rPr>
          <w:rFonts w:ascii="Amiri" w:hAnsi="Amiri" w:eastAsia="Amiri" w:cs="Amiri"/>
          <w:color w:val="111111"/>
          <w:sz w:val="28"/>
          <w:sz w:val="28"/>
          <w:szCs w:val="28"/>
          <w:rtl w:val="true"/>
          <w:lang w:bidi="ar-SA"/>
        </w:rPr>
        <w:t xml:space="preserve">روى هذا الخبر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القمّيون من رواياته مثله، فهذا يدلّ على اعتمادهم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اعتمدوا عليه واستندوا إليه وعَملوا به، فلو كان هناك ضعفٌ فهو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دفع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ضعف سنده بإسماعيل بن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محلّ 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عدم اعتبار النيّة في الإقامة في غير بلده، وهو مخالفٌ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فإنْ كان لفتوى المشهور باعتبارها دليلٌ‌، فهو المقيّد لإطلاقه،، وإلّا فلا، وسيأتي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اعتبار أكثر من عشرة أيّام، وهو ينافي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العشرة أو أكثر،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وهذا التعبير شائعٌ في الآثار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بروايتين 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الذي يختلف، وليس له مقام، يُتمّ الصَّلاة ويصوم شهر رمضان</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من له المقام لا يُتمّ الصَّلاة، والظاهر من المقام الذي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ضدّ السّفر، هو مايوجب التمام من حيث كونه ضدّ السّفر، وهو في غير البلد إنّما يكون بإقامة عشرة أيّام، وفي البلد وإنْ كان مطلقاً، إلّاأنّه يُراد به في المقام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لأنّها المتبادرة منه عند الإطلاق في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للإجماع على عدم التقصير بإقامة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البناء على إطلاقه يوجبُ التقصير لكلّ مكارٍ غالباً، لتحقّق الإقامة في الجملة ولو بعض يوم، وذلك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يقيّد إطلاقه بما في خبر يونس المتقدّم بإقامة العشرة، فيكون المستفاد منه حينئذٍ أنّ إقامة العشرة قاطعةٌ لعمليّة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في الصحيح معنيان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ما ينافي مفهوم المكاري عرفاً، والشاهد على هذا الاحتمال عطفه على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أنّ المكاري والجمّال ليسا كسائر المسافرين يقصّران مع عدم إقامة العشرة، بل هما يُتمّان صلاتهما، وإنْ لم يُقيما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هذين الاحتمالين فإنّ الخبر أجنبيٌ عن المقام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الّتي رواها الشيخ بسندٍ غير صحيح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إذا لم يستقرّ في منزله إلّاخمسة أيّام أو أقلّ‌، قصّر في سفره بالنهار وأتمّ صلاة اللّيل، وعليه صيام شهر رمضان، فإنْ كان له مقامٌ في البلد الذي يذهب إليه عشرة أيّام أو أكثر قصّر في سفره وأفطر</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88" w:name="pg11802_154250"/>
    </w:p>
    <w:p>
      <w:pPr>
        <w:pStyle w:val="BookText"/>
        <w:rPr/>
      </w:pPr>
      <w:bookmarkEnd w:id="488"/>
      <w:r>
        <w:rPr>
          <w:rFonts w:ascii="Amiri" w:hAnsi="Amiri" w:eastAsia="Amiri" w:cs="Amiri"/>
          <w:color w:val="111111"/>
          <w:sz w:val="28"/>
          <w:sz w:val="28"/>
          <w:szCs w:val="28"/>
          <w:rtl w:val="true"/>
          <w:lang w:bidi="ar-SA"/>
        </w:rPr>
        <w:t xml:space="preserve">وقد رواه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بسندٍ صحيح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مقامٌ في البلد الذي يذهب إليه عشرة أيّام أو أكثر، وينصرف إلى منزله، ويكون له مقام عشرة أيّام أو أكثر قصّر في سفره وأفطر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ذيله وإنْ كان يدلّ على المطلوب، إلّاأنّه لضعف سنده واشتمال صدره على ما لا يقول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الصّلوات النهاريّة والليليّة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رواية الصدوق، فمن حيثُ السّند لا كلام فيه، وأمّا من حيث الدلالة، فصدره غير معمول به لما تقدّم، وذيله لم يعمل به من جهة ظهوره في اشتراط الإقامة في البلد أيضاً في وجوب القصر، بحيث تكون الإقامة في البلد الذي يذهب إليه، وفي بلده بعد الانصراف إليه معاً دخيلتين في وجوب القصر، وهذا ممّا لم يلتزم به أحد، فلابدّ من ردّ علمها إلى قائلها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مرسل يونس المتقدّم</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0531883_73709187"/>
      <w:bookmarkStart w:id="490" w:name="_Toc183"/>
      <w:bookmarkEnd w:id="489"/>
      <w:r>
        <w:rPr>
          <w:rtl w:val="true"/>
        </w:rPr>
        <w:t>بقي في المقام اُمور</w:t>
      </w:r>
      <w:r>
        <w:rPr>
          <w:rtl w:val="true"/>
        </w:rPr>
        <w:t>:</w:t>
      </w:r>
      <w:bookmarkEnd w:id="490"/>
    </w:p>
    <w:p>
      <w:pPr>
        <w:pStyle w:val="Heading6"/>
        <w:numPr>
          <w:ilvl w:val="5"/>
          <w:numId w:val="1"/>
        </w:numPr>
        <w:rPr/>
      </w:pPr>
      <w:bookmarkStart w:id="491" w:name="__RefHeading___Toc10531885_73709187"/>
      <w:bookmarkStart w:id="492" w:name="_Toc184"/>
      <w:bookmarkEnd w:id="491"/>
      <w:r>
        <w:rPr>
          <w:rtl w:val="true"/>
        </w:rPr>
        <w:t>القاطع نفس الإقامة وإنْ لم تكن عن قصد</w:t>
      </w:r>
      <w:bookmarkEnd w:id="492"/>
    </w:p>
    <w:p>
      <w:pPr>
        <w:pStyle w:val="BookText"/>
        <w:rPr/>
      </w:pPr>
      <w:r>
        <w:rPr>
          <w:rFonts w:ascii="Amiri" w:hAnsi="Amiri" w:eastAsia="Amiri" w:cs="Amiri"/>
          <w:color w:val="111111"/>
          <w:sz w:val="28"/>
          <w:sz w:val="28"/>
          <w:szCs w:val="28"/>
          <w:rtl w:val="true"/>
          <w:lang w:bidi="ar-SA"/>
        </w:rPr>
        <w:t>بقي في المقام اُمور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القاطع نفس الإقامة الخارجيّة مطلقاً، وإنْ لم تكن عن قصد،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xml:space="preserve">، وظاهر من تقدّم عن الفاضلين، حيث نُسب إلحاق العشرة </w:t>
      </w:r>
    </w:p>
    <w:p>
      <w:pPr>
        <w:pStyle w:val="BookText"/>
        <w:rPr/>
      </w:pPr>
      <w:r>
        <w:rPr>
          <w:rFonts w:ascii="Amiri" w:hAnsi="Amiri" w:eastAsia="Amiri" w:cs="Amiri"/>
          <w:color w:val="111111"/>
          <w:sz w:val="28"/>
          <w:sz w:val="28"/>
          <w:szCs w:val="28"/>
          <w:rtl w:val="true"/>
          <w:lang w:bidi="ar-SA"/>
        </w:rPr>
        <w:t>المنويّة بالعشرة البلدية إلى الفاضلين</w:t>
      </w:r>
      <w:r>
        <w:rPr>
          <w:rStyle w:val="FootnoteAnchor"/>
          <w:rtl w:val="true"/>
        </w:rPr>
        <w:footnoteReference w:id="941"/>
      </w:r>
      <w:r>
        <w:rPr>
          <w:rFonts w:ascii="Amiri" w:hAnsi="Amiri" w:eastAsia="Amiri" w:cs="Amiri"/>
          <w:color w:val="111111"/>
          <w:sz w:val="28"/>
          <w:sz w:val="28"/>
          <w:szCs w:val="28"/>
          <w:rtl w:val="true"/>
          <w:lang w:bidi="ar-SA"/>
        </w:rPr>
        <w:t>ومن تأخّر عنهما، المُشعِر بعدم ذكر لها فيمن تقدّم عليهم‌؟</w:t>
      </w:r>
    </w:p>
    <w:p>
      <w:pPr>
        <w:pStyle w:val="BookText"/>
        <w:rPr/>
      </w:pPr>
      <w:r>
        <w:rPr>
          <w:rFonts w:ascii="Amiri" w:hAnsi="Amiri" w:eastAsia="Amiri" w:cs="Amiri"/>
          <w:color w:val="111111"/>
          <w:sz w:val="28"/>
          <w:sz w:val="28"/>
          <w:szCs w:val="28"/>
          <w:rtl w:val="true"/>
          <w:lang w:bidi="ar-SA"/>
        </w:rPr>
        <w:t>أم تكون العبرة بتحقّق إقامة العشرة الموجبة لإتمام الصَّلاة معها، وهي إقامة العشرة في البلد مطلقاً، وفي غير البلد إذا كانت مع القصد أو بعد الثلاثين، كما هو المنسوب إلى المشهور</w:t>
      </w:r>
      <w:r>
        <w:rPr>
          <w:rStyle w:val="FootnoteAnchor"/>
          <w:rtl w:val="true"/>
        </w:rPr>
        <w:footnoteReference w:id="94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مرسل يونس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 وهو أنّ الإقامة لمّا كانت مصدر المزيد اُدخل في مفهومها القيام عن قصدٍ، وعليه فالمرسل يدلّ على أنّ القاطع هي الإقامة المنويّة مطلقاً، وإنْ كانت في البلد وإنّما تُلحق بها الإقامة غير المنويّة في البلد بالإجماع أو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العشرة عن قصدٍ في قبال القيام لا عن اختيار، غير الإقامة عن علم بالقيام عشرة أيّام، والدليل المزبور لو تمّ فإنّما يدلّ على الأوّل، والمدّعى هو الثاني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اليزدي</w:t>
      </w:r>
      <w:r>
        <w:rPr>
          <w:rStyle w:val="FootnoteAnchor"/>
          <w:rtl w:val="true"/>
        </w:rPr>
        <w:footnoteReference w:id="943"/>
      </w:r>
      <w:r>
        <w:rPr>
          <w:rFonts w:ascii="Amiri" w:hAnsi="Amiri" w:eastAsia="Amiri" w:cs="Amiri"/>
          <w:color w:val="111111"/>
          <w:sz w:val="28"/>
          <w:sz w:val="28"/>
          <w:szCs w:val="28"/>
          <w:rtl w:val="true"/>
          <w:lang w:bidi="ar-SA"/>
        </w:rPr>
        <w:t>وهو أنّ الكلام مسوقٌ لبيان الإقامة التي تكون مانعة لتحقّق وصف العمليّة، وتحديدها بعشرة أيّام، فيفهم بواسطة تلك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93" w:name="pg11802_154252"/>
    </w:p>
    <w:p>
      <w:pPr>
        <w:pStyle w:val="BookText"/>
        <w:rPr/>
      </w:pPr>
      <w:bookmarkEnd w:id="493"/>
      <w:r>
        <w:rPr>
          <w:rFonts w:ascii="Amiri" w:hAnsi="Amiri" w:eastAsia="Amiri" w:cs="Amiri"/>
          <w:color w:val="111111"/>
          <w:sz w:val="28"/>
          <w:sz w:val="28"/>
          <w:szCs w:val="28"/>
          <w:rtl w:val="true"/>
          <w:lang w:bidi="ar-SA"/>
        </w:rPr>
        <w:t>المناسبة أنّ الإقامة في تلك المدّة في غير منزله مشروطة بما إذا كان مثل وطنه، حتى تكون إقامته في تلك المدّة موجبة لتلبّسه بما يُنافي السّفر، إذ لا يمكن أن تكون الإقامة غير المخرجة عن كونه مسافراً، مانعة عن تحقّق الكثرة، فيعتبر فيها النيّة والقصد، وإلى ذلك يرجع ما عن الشهيد والمجلسي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كون الإقامة قاطعة لحكم عمليّة السّفر في السّفر بعد الإقامة لا للموضوع، وذلك لجعل المَقسم في الخبر المكاري، وعليه فلا يُعلم أنّ القاطع هي الإقامة مطلقاً، أو الإقامة المخرجة عن كونه مسافراً، فلابدَّ من اتّباع ظاهر الدليل، وقد عرفتَ أنّه يقتضي البناء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والُمحدّث المجلسي</w:t>
      </w:r>
      <w:r>
        <w:rPr>
          <w:rStyle w:val="FootnoteAnchor"/>
          <w:rtl w:val="true"/>
        </w:rPr>
        <w:footnoteReference w:id="945"/>
      </w:r>
      <w:r>
        <w:rPr>
          <w:rFonts w:ascii="Amiri" w:hAnsi="Amiri" w:eastAsia="Amiri" w:cs="Amiri"/>
          <w:color w:val="111111"/>
          <w:sz w:val="28"/>
          <w:sz w:val="28"/>
          <w:szCs w:val="28"/>
          <w:rtl w:val="true"/>
          <w:lang w:bidi="ar-SA"/>
        </w:rPr>
        <w:t>من الإجماع على عدم اعتبار العشرة المتردّد فيها في غير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أنّه لم يُعلم مِنْ حال من تقدّم على الفاضلين الإفتاء بذلك، وهذا إجماعٌ منقول لا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مستند المُجمعين ما تقدّم ذكره، فلا يكون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كون المدار على إقامة العشرة مطلقاً</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10531887_73709187"/>
      <w:bookmarkStart w:id="495" w:name="_Toc185"/>
      <w:bookmarkEnd w:id="494"/>
      <w:r>
        <w:rPr>
          <w:rtl w:val="true"/>
        </w:rPr>
        <w:t>عدم اختصاص الحكم بالمكاري</w:t>
      </w:r>
      <w:bookmarkEnd w:id="49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المرسل وإنْ ذُكر المكاري خاصّة، إلّاأنّ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الأصحاب شهرة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الحكم به، وثبوته في كلّ مَنْ شُغله السّفر من الأصناف المزبورة</w:t>
      </w:r>
      <w:r>
        <w:rPr>
          <w:rFonts w:eastAsia="Amiri" w:cs="Amiri" w:ascii="Amiri" w:hAnsi="Amiri"/>
          <w:color w:val="111111"/>
          <w:sz w:val="28"/>
          <w:szCs w:val="28"/>
          <w:rtl w:val="true"/>
          <w:lang w:bidi="ar-SA"/>
        </w:rPr>
        <w:t xml:space="preserve">. </w:t>
      </w:r>
      <w:bookmarkStart w:id="496" w:name="pg11802_154253"/>
    </w:p>
    <w:p>
      <w:pPr>
        <w:pStyle w:val="BookText"/>
        <w:rPr/>
      </w:pPr>
      <w:bookmarkEnd w:id="496"/>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صرّح بعدم الاختصاص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محقّق أجده فيه، وإنْ اختصّ النّص بالأوّل، لعموم معقد الإجماع، والقطع بعدم الفرق بعد إنْ كان المناط عمليّة السّفر المنقطع حكمها بإقامة العشرة، وهو حسن</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10531889_73709187"/>
      <w:bookmarkStart w:id="498" w:name="_Toc186"/>
      <w:bookmarkEnd w:id="497"/>
      <w:r>
        <w:rPr>
          <w:rtl w:val="true"/>
        </w:rPr>
        <w:t>كثيرُ السّفر يُتمّ في السّفر الثاني بعد الإقامة</w:t>
      </w:r>
      <w:bookmarkEnd w:id="498"/>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حكم من كان السّفر عمله بالإقامة، لا كلام في أنّه يقصّر في السّفر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السّفر الثاني، وفيه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جماعةٌ منهم الحِلّي</w:t>
      </w:r>
      <w:r>
        <w:rPr>
          <w:rStyle w:val="FootnoteAnchor"/>
          <w:rtl w:val="true"/>
        </w:rPr>
        <w:footnoteReference w:id="947"/>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49"/>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5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وغيرها، إلى أنّه يُتمّ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الشهيدين</w:t>
      </w:r>
      <w:r>
        <w:rPr>
          <w:rStyle w:val="FootnoteAnchor"/>
          <w:rtl w:val="true"/>
        </w:rPr>
        <w:footnoteReference w:id="952"/>
      </w:r>
      <w:r>
        <w:rPr>
          <w:rFonts w:ascii="Amiri" w:hAnsi="Amiri" w:eastAsia="Amiri" w:cs="Amiri"/>
          <w:color w:val="111111"/>
          <w:sz w:val="28"/>
          <w:sz w:val="28"/>
          <w:szCs w:val="28"/>
          <w:rtl w:val="true"/>
          <w:lang w:bidi="ar-SA"/>
        </w:rPr>
        <w:t>والمحقّق الثاني</w:t>
      </w:r>
      <w:r>
        <w:rPr>
          <w:rStyle w:val="FootnoteAnchor"/>
          <w:rtl w:val="true"/>
        </w:rPr>
        <w:footnoteReference w:id="953"/>
      </w:r>
      <w:r>
        <w:rPr>
          <w:rFonts w:ascii="Amiri" w:hAnsi="Amiri" w:eastAsia="Amiri" w:cs="Amiri"/>
          <w:color w:val="111111"/>
          <w:sz w:val="28"/>
          <w:sz w:val="28"/>
          <w:szCs w:val="28"/>
          <w:rtl w:val="true"/>
          <w:lang w:bidi="ar-SA"/>
        </w:rPr>
        <w:t>وغيرهم، العود إلى التمام في السّفر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للثاني بوجوه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بالإقامة يخرج عن موضوع وجوب التمام، فبعد العود إلى السّفر، يكون كالمبتدئ بشغل السّفر، وحيث أنّ المعتبر في وجوب التمام على المبتدئ </w:t>
      </w:r>
    </w:p>
    <w:p>
      <w:pPr>
        <w:pStyle w:val="BookText"/>
        <w:rPr/>
      </w:pPr>
      <w:r>
        <w:rPr>
          <w:rFonts w:ascii="Amiri" w:hAnsi="Amiri" w:eastAsia="Amiri" w:cs="Amiri"/>
          <w:color w:val="111111"/>
          <w:sz w:val="28"/>
          <w:sz w:val="28"/>
          <w:szCs w:val="28"/>
          <w:rtl w:val="true"/>
          <w:lang w:bidi="ar-SA"/>
        </w:rPr>
        <w:t>التكرّر، فيجب أن يتكرّر منه السّفر ثانياً حتّى يصبح موضوعاً لوجوب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ماقيل في وجه خروجه بالإقامة عن موضوع وجوب التمام، أنّ الظاهر من مرسل يونس، كون السؤال عن حَدّ الموضوع، فقوله عليه السلام في مقام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مكارٍ أقام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أنّ الموضوع لوجب الإتمام مقيّدٌ بعدم الإقامة في أثناء السّفر فيها، وبها يخرج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أنّ موضوع وجوب التمام مقيّدٌ بعدم الإقامة، سواءٌ أكان عدم الإقامة في ظاهر الدليل مأخوذاً جزءً للموضوع أو شرطاً للحكم، لأنّ قيود الحكم في القضايا الحقيقيّة ترجعُ إلى الموضوع لا محالة، وإنّما الكلام في أنّه هل يخرج بالإقامة عن كونه ممّن شُغله السّفر أم لا؟ فإنّ المرسل لا يدلّ على ذلك، إذ السؤال إنّما يكون عن حَدّ المُكاري الذي يُتمّ ويصوم، لا عن حَدّ المُكاري مطلقاً، بل جوابه عليه السلام المفروض فيه صدق المكاري على المقيم وغيره، يدلّ على عدم خروجه بالإقامة عن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إجماله من هذه الجهة، يكفي في الحكم بوجوب التمام، إطلاق ما دلَّ على وجوب التمام على من عمله السّفر الشامل له، فإنّه إذا كان المخصّص مُجملاً، لابدَّ من الرجوع إلى إطلاق العام في غير مورد المتيقّن، مضافاً إلى ما عرفت من عدم اعتبار التكرّر في المبتدئ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المتقدّم، حيث أنّه يتضمّن لاعتبار الاختلاف مع عدم المقام، ولا يصدق ذلك إلّافي السّفر الثالث</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أنّه أجنبيٌ عن المقام، مع أنّه قد مرّ أنّ الاختلاف ليس </w:t>
      </w:r>
    </w:p>
    <w:p>
      <w:pPr>
        <w:pStyle w:val="BookText"/>
        <w:rPr/>
      </w:pPr>
      <w:r>
        <w:rPr>
          <w:rFonts w:ascii="Amiri" w:hAnsi="Amiri" w:eastAsia="Amiri" w:cs="Amiri"/>
          <w:color w:val="111111"/>
          <w:sz w:val="28"/>
          <w:sz w:val="28"/>
          <w:szCs w:val="28"/>
          <w:rtl w:val="true"/>
          <w:lang w:bidi="ar-SA"/>
        </w:rPr>
        <w:t>هو تكرّر السّفر، بل هو عبارة عن الحِرفة المأخوذة في مفهوم المُكاري والجمّال وغيرهما من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القصر الثابت في حقّه بعد الإقامة الحاكم على استصحاب التمام الثابت له حال كونه في منزله أو ما هو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لايجري لتبدّل الموضوع، فإنّ المتيقّن هو القصر في السّفر الأوّل، والمشكوك فيه القصر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أشرنا إليه في هذا الشرح مراراً من عدم جريان الاستصحاب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 التمام في السّفر الثاني بعد الإقامة، والدليل عليه المرسل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يذكر وجهٌ آخر لدلالته عليه، وهو</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إنّما يدلّ على وجوب القصر على من سافر عن الإقامة المذكورة، والتمام على من سافر لا عنها، وإطلاق ما دلَّ على وجوب التمام على من شغله السّفر</w:t>
      </w:r>
      <w:r>
        <w:rPr>
          <w:rFonts w:eastAsia="Amiri" w:cs="Amiri" w:ascii="Amiri" w:hAnsi="Amiri"/>
          <w:color w:val="111111"/>
          <w:sz w:val="28"/>
          <w:szCs w:val="28"/>
          <w:rtl w:val="true"/>
          <w:lang w:bidi="ar-SA"/>
        </w:rPr>
        <w:t>.</w:t>
      </w:r>
      <w:bookmarkStart w:id="499" w:name="pg11802_154256"/>
    </w:p>
    <w:p>
      <w:pPr>
        <w:pStyle w:val="BookText"/>
        <w:rPr/>
      </w:pPr>
      <w:bookmarkEnd w:id="499"/>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يتوارى عنه جُدران بلده، أو يخفى أذان مِصره، فلا يترخّص قبل ذلك</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0531891_73709187"/>
      <w:bookmarkStart w:id="501" w:name="_Toc187"/>
      <w:bookmarkEnd w:id="500"/>
      <w:r>
        <w:rPr>
          <w:rtl w:val="true"/>
        </w:rPr>
        <w:t>اعتبار الوصول إلى حَدّ الترخّص</w:t>
      </w:r>
      <w:bookmarkEnd w:id="501"/>
    </w:p>
    <w:p>
      <w:pPr>
        <w:pStyle w:val="Heading6"/>
        <w:numPr>
          <w:ilvl w:val="5"/>
          <w:numId w:val="1"/>
        </w:numPr>
        <w:rPr/>
      </w:pPr>
      <w:bookmarkStart w:id="502" w:name="__RefHeading___Toc10531893_73709187"/>
      <w:bookmarkStart w:id="503" w:name="_Toc188"/>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حَدّ الترخّص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 عنه جُدران بلده أو يخفى أذان مِصره، فلا يترخّص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فيه في الجملة</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يريد السّفر متى يقصّر؟ قال عليه السلام إذا توارى من البيوت</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التقصير؟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فيه الأذان فأتمّ‌، وإذا كنتَ في الموضع الذي لا تسمعُ فيه الأذان فيه فقصّر، وإذا قدمت من سفرك فمثل ذلك</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957"/>
      </w:r>
      <w:r>
        <w:rPr>
          <w:rFonts w:ascii="Amiri" w:hAnsi="Amiri" w:eastAsia="Amiri" w:cs="Amiri"/>
          <w:color w:val="111111"/>
          <w:sz w:val="28"/>
          <w:sz w:val="28"/>
          <w:szCs w:val="28"/>
          <w:rtl w:val="true"/>
          <w:lang w:bidi="ar-SA"/>
        </w:rPr>
        <w:t>من النصوص المعتبرة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بابويه</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يُقصّر بمجرّد الخروج عن المنزل، واستدلّ له</w:t>
      </w:r>
      <w:r>
        <w:rPr>
          <w:rFonts w:eastAsia="Amiri" w:cs="Amiri" w:ascii="Amiri" w:hAnsi="Amiri"/>
          <w:color w:val="111111"/>
          <w:sz w:val="28"/>
          <w:szCs w:val="28"/>
          <w:rtl w:val="true"/>
          <w:lang w:bidi="ar-SA"/>
        </w:rPr>
        <w:t xml:space="preserve">: </w:t>
      </w:r>
      <w:bookmarkStart w:id="504" w:name="pg11802_154257"/>
    </w:p>
    <w:p>
      <w:pPr>
        <w:pStyle w:val="BookText"/>
        <w:rPr/>
      </w:pPr>
      <w:bookmarkEnd w:id="50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بمرسل ابنه،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فقصّر إلى أن تعود إليه</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لشذوذهما وعدم عمل الأصحاب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ابن بابويه لعدم صحّة النسبة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يُطرحان إنْ لم يمكن تقييد إطلاقهما بالنصوص المتقدّم، وإلّا فالأمر واضح</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0531895_73709187"/>
      <w:bookmarkStart w:id="506" w:name="_Toc189"/>
      <w:bookmarkEnd w:id="505"/>
      <w:r>
        <w:rPr>
          <w:rtl w:val="true"/>
        </w:rPr>
        <w:t>وتنقيح البحث في اُمور</w:t>
      </w:r>
      <w:r>
        <w:rPr>
          <w:rtl w:val="true"/>
        </w:rPr>
        <w:t>:</w:t>
      </w:r>
      <w:bookmarkEnd w:id="506"/>
    </w:p>
    <w:p>
      <w:pPr>
        <w:pStyle w:val="Heading6"/>
        <w:numPr>
          <w:ilvl w:val="5"/>
          <w:numId w:val="1"/>
        </w:numPr>
        <w:rPr/>
      </w:pPr>
      <w:bookmarkStart w:id="507" w:name="__RefHeading___Toc10531897_73709187"/>
      <w:bookmarkStart w:id="508" w:name="_Toc190"/>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البحث في المقام يقتضي التكلّم في اُمور</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10531899_73709187"/>
      <w:bookmarkStart w:id="510" w:name="_Toc191"/>
      <w:bookmarkEnd w:id="509"/>
      <w:r>
        <w:rPr>
          <w:rtl w:val="true"/>
        </w:rPr>
        <w:t>ما العبرة في حَدّ الترخّص</w:t>
      </w:r>
      <w:bookmarkEnd w:id="510"/>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حَدّ الترخّص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بتواري الجدران وخفاء الأذان معاً، كما هو الظاهر من المشهور بين القدماء</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يكتفي بأحد الأمرين، كما عن المشهور بين المتأخّرين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يتعيّن الأوّل، كما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يتعيّن الثاني، كما عن المفيد</w:t>
      </w:r>
      <w:r>
        <w:rPr>
          <w:rStyle w:val="FootnoteAnchor"/>
          <w:rtl w:val="true"/>
        </w:rPr>
        <w:footnoteReference w:id="964"/>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بشرطيّة خفاء الأذان وتواري البيوت من حيث هما، كما هو مقتضى الجمود على ظواهر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على القول بأنّ الشرط هو البُعد الخاص، ولوحظ خفاء الأذان وتواري البيوت معرّفين له، وأمارتين لذلك الحَدّ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النصوص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تضمّن أنّ العبرة بخفاء الأذان، ومفهومه أنّه مع عدم الخفاء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تضمّن أنّ العبرة بتواري البيوت، ومفهومه أنّه يُتمّ مع عدم تواري البيوت، وذلك بناءً على ظهور الجملة الشرطيّة في المفهوم كما هو الحقّ‌، فلا محالة يقع التنافي بين النصوص، وفي رفع التنافي في أمثال المقام ذكروا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اليد عن المفهوم فيهما، ونتيجته الاكتفاء بأحد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يُقيّد إطلاق مفهوم كلٍّ منهما بمنطوق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يقيّد إطلاق كلٍّ من الشرطين المذكورين في القضيّتين بإثبات العدل له، فيكون وجود أحدهما كافياً في ثبوت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يُقيّد إطلاق كلّ من الشرطين بانضمامه إلى الشرط الآخر، فيكون الشرط مجموع الأمرين، أي خفاء الأذان وخفاء الجدران، فإذا خَفيا وجَبَ القصر وإلّا فلا وإنْ خفي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الشرط هو الجامع بين الأمرين، فكلّ واحدٍ من الشرطين المذكورين في القضيّتين محقّق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اليد عن المفهوم في خصوص أحدهما، وإبقاء الآخر على مفهومه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له بأنّ ثبوت المفهوم للقضيّة الشرطيّة تابعٌ لثبوت </w:t>
      </w:r>
    </w:p>
    <w:p>
      <w:pPr>
        <w:pStyle w:val="BookText"/>
        <w:rPr/>
      </w:pPr>
      <w:r>
        <w:rPr>
          <w:rFonts w:ascii="Amiri" w:hAnsi="Amiri" w:eastAsia="Amiri" w:cs="Amiri"/>
          <w:color w:val="111111"/>
          <w:sz w:val="28"/>
          <w:sz w:val="28"/>
          <w:szCs w:val="28"/>
          <w:rtl w:val="true"/>
          <w:lang w:bidi="ar-SA"/>
        </w:rPr>
        <w:t>الخصوصيّة المستتبعة له، وهي إفادة الكلام للحصر، وحيث أنّ الفهوم بنفسه ليس مدلولاً للكلام حتّى يتصرف فيه، بل لابدّ من التصرّف في المنطوق بدلالته على تلك الخصوصيّة، فلا محالة يقع التعارض بين دلالة كلّ منطوقٍ على الثبوت عند الثبوت، ودلالة الآخر على الحصر، وبما أنّ دلالة المنطوقين على الثبوت عند الثبوت أقوى من دلالتهما على تلك الخصوصيّة، فتسقط دلالة كلٍّ منهما على تلك الخصوصيّة، فلا يثبت المفهوم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يرفع اليد عن دلالتهما على تلك الخصوصيّة في بعض المدلول لا في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الخصوصيّة بسيطة، فإمّا أن تؤخذ في المنطوق أوّلاً، فالتبعيض بأخذها فيه في الجملة ممّا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إنْ كان مستلزماً للتصرّف في الاستعمال أصبح هذا الوجه متعيّناً، ولكن بما أنّ التقييد لايستلزم التصرّف فيه، بل يوجبُ التصرّف في المراد الجدّي،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المستعمل فيه في الأوّل الجميع لا العلماء غير زيد، والخاص إنّما يوجبُ التصرّف في المراد الجدّي، وبسببه يُحكم بعدم إرادة تمام المدلول في العام بالإرادة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كلٍّ من المنطوقين استعمل فيما وضع له، ويدلّ على الثبوت عند الثبوت مع الحصر، إلّاأنّه لابدّ من التصرّف في مدلوله الثاني، والالتزام بعدم كونه بتمامه مراداً جدّياً، والتبعيض في ذلك المقام بالالتزام بإرادة الحصر بالنسبة إلى غير هذا الفرد ممّا لا محذور فيه، فتدبّر فإنّه دقيق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أنّ المفهوم من المداليل الالتزاميّة، والدلالة عليه </w:t>
      </w:r>
    </w:p>
    <w:p>
      <w:pPr>
        <w:pStyle w:val="BookText"/>
        <w:rPr/>
      </w:pPr>
      <w:r>
        <w:rPr>
          <w:rFonts w:ascii="Amiri" w:hAnsi="Amiri" w:eastAsia="Amiri" w:cs="Amiri"/>
          <w:color w:val="111111"/>
          <w:sz w:val="28"/>
          <w:sz w:val="28"/>
          <w:szCs w:val="28"/>
          <w:rtl w:val="true"/>
          <w:lang w:bidi="ar-SA"/>
        </w:rPr>
        <w:t>دلالة عقليّة، والتخصيص في الدلالة العقليّة غير معقول، إذ الحكم العقلي غير قابل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المحقّق الخراساني رحمه الله</w:t>
      </w:r>
      <w:r>
        <w:rPr>
          <w:rStyle w:val="FootnoteAnchor"/>
          <w:rtl w:val="true"/>
        </w:rPr>
        <w:footnoteReference w:id="965"/>
      </w:r>
      <w:r>
        <w:rPr>
          <w:rFonts w:ascii="Amiri" w:hAnsi="Amiri" w:eastAsia="Amiri" w:cs="Amiri"/>
          <w:color w:val="111111"/>
          <w:sz w:val="28"/>
          <w:sz w:val="28"/>
          <w:szCs w:val="28"/>
          <w:rtl w:val="true"/>
          <w:lang w:bidi="ar-SA"/>
        </w:rPr>
        <w:t>بأنّ الاُمور المتعدّدة بما هي مختلفة، لا يمكن أن يكون كلّ منها مؤثّراً في الواحد، للزوم الربط الخاص بين العلّة والمعلول، ولا يكاد يكون الواحد بما هو واحدٌ مرتبطاً بالإثنين بما هما اثنان، فلابدّ من المصير الي أنّ الشرط في الحقيقة واحد وهو المشترك بين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باب الأحكام الشرعيّة ليس تأثيرٌ وتأثرٌ وعليّةٌ حتّى يجري ذلك، مع أنّه لو التزمنا بالوجه الثالث، وهو كون المجموع شرطاً لا مجال لهذا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به لايرتفع التنافي، إذ هو إنّما يكون بين مفهوم كلّ منهما مع منطوق الآخر، لأنّ مفهوم كلّ منهما انتفاء الجزاء عند انتفاء الشرط المأخوذ فيه، وهذا ينافي ثبوته عند ثبوت الشرط الآخر، وعليه فلو رفع اليد عن الفهوم في أحدهما يبقى التنافي بين مفهوم الآخر ومنطوق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فيدور الأمر بين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تقييد إطلاق كلٍّ من الشرطين بإثبات العِدْل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الوجه الرابع وهو تقييد إطلاق كلٍّ منهما بانضمامه إلى الشرط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تقييد الإطلاق المقابل للعطف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تقييد الإطلاق المقابل للعطف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والوجه فيه يبتني على بيان مقدّمة تنفع في كثير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الميزان الكلّي الذي يُعمل به في موارد المعارضة، هو أنّه إذا كان للمتعارضين ظهورات عديدة، لابدَّ من ملاحظة أنّ أيّاً منها طرفٌ للمعارضة، ثمّ العلاج برفع اليد عنه أو عن طرفه، وأمّا رفع اليد عن الظهور الآخر الذي ليس طرفاً للمعارضة، فمّما لا وجه له وإنْ ارتفعت المعارضة به، مثلاً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إكرام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طرف المعارضة هو ظهور الأوّل في العموم، فالمتعيّن هو رفع اليد عنه خاصّة، وإنْ ترتفع المعارضة برفع اليد عن ظهوره في الوجوب، وحمله على إرادة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المقدّمة، فاعلم أنّه في المقام بما أنّ التعارض إنّما يكون بين مفهوم كلٍّ من القضيّتين، وبين منطوق الاُخرى‌، وكلّ من المنطوقين أخصّ من مفهوم الاُخرى‌، فيتعيّن تقييده، ولكن حيث أنّه لا يُعقل التصرّف في المفهوم نفسه لما تقدّم، فلابدّ من رفع اليد عن ملزوم المفهوم، بمقدارٍ يرتفع به التعارض، إذ الضرورات تتقدّر بقدرها، وهو إنّما يكون بتقييد إطلاق المنطوق المقابل للتقييد،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رفع اليد عن إطلاق المنطوق المقابل للعطف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وإنْ كان يرتفع به التعارض، إلّاأنّه لا موجب لهذا التصرّف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إنّما يكون بين دلالة كلٍّ من القضيّتين على الثبوت عند الثبوت، وبين إطلاق دلالة الاُخرى على الحصر بالنسبة إلى جميع الاُمور، فلابدّ من تقييد إطلاق دلالة كلٍّ منهما على الحصر بدلالة الاُخرى على الثبوت عند الثبوت، فتكون النتيجة أنّ الشرط هو أحد الأمرين، وهذا معنى تقييد الإطلاق المقابل للعطف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والتعارض وإنْ كان يرتفع بجعل المجموع شرطاً واحداً، </w:t>
      </w:r>
    </w:p>
    <w:p>
      <w:pPr>
        <w:pStyle w:val="BookText"/>
        <w:rPr/>
      </w:pPr>
      <w:r>
        <w:rPr>
          <w:rFonts w:ascii="Amiri" w:hAnsi="Amiri" w:eastAsia="Amiri" w:cs="Amiri"/>
          <w:color w:val="111111"/>
          <w:sz w:val="28"/>
          <w:sz w:val="28"/>
          <w:szCs w:val="28"/>
          <w:rtl w:val="true"/>
          <w:lang w:bidi="ar-SA"/>
        </w:rPr>
        <w:t xml:space="preserve">وتقييد الإطلاق المقابل للعطف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لعدم كونه طرفاً للمعارضة، لا وجه لرفع التعارض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على هذا القول، هو الاكتفاء بأحدهما في ثبوت وجوب القصر، ولكن ستعرف تطابق الأمرين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القول فيه يتوقّف على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نصوص الباب جعل الميزان تواري الشخص وخفائه عن البيوت، والأصحاب إنّما عبّروا عنه بتواري البيوت، ومن الواضح الفرق بينهما، فإنّ الشخص لصغر جثّته يكون أسرع خفاءً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تعبيرهم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يحتاج إلى تقدير الإبصار للبيوت، مع أنّه لا يناسب جعله حينئذٍ أمارة للمسافر يعمل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إبقاء النصوص على ماهي عليه من الظهور، والمراد بها تواري الشخص عن أهل البيوت، الملازم لتواري أهلها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سماع الأذان له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منها سماع الأذان بحيث يتميّز فصوله وحروفه، والأخيرة سماع الهمهمة، وما بينها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هو سماعه بحيث يمتاز الصوت الأذاني عن غيره، لأنّه المنساق إلى الذهن منه، فلا يعتبر تمييز فصوله، فضلاً عن حروفه، ولا يكفي سماع صوت مابحيث لا يمتاز أذانيّته، لأنّ المتبادر إلى الذهن منه سماع الأذان بما هو أذان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تواري الشخص، فله أيضاً مراتب، لا أنّ الظاهر منه تواري أهل البيوت عن الشخص بما هم أهل، فلا يعتبر تواري الشخص بما هو جسم، ولا يكفي تواريه بحيث لايمتاز الرّجل عن المرأة</w:t>
      </w:r>
      <w:r>
        <w:rPr>
          <w:rFonts w:eastAsia="Amiri" w:cs="Amiri" w:ascii="Amiri" w:hAnsi="Amiri"/>
          <w:color w:val="111111"/>
          <w:sz w:val="28"/>
          <w:szCs w:val="28"/>
          <w:rtl w:val="true"/>
          <w:lang w:bidi="ar-SA"/>
        </w:rPr>
        <w:t xml:space="preserve">. </w:t>
      </w:r>
      <w:bookmarkStart w:id="511" w:name="pg11802_154263"/>
    </w:p>
    <w:p>
      <w:pPr>
        <w:pStyle w:val="BookText"/>
        <w:rPr/>
      </w:pPr>
      <w:bookmarkEnd w:id="511"/>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الأمارتين في المقام، ليستا بحيث تتطابقا تارةً وتختلفان اُخرى‌، بل لو كانت مسافة إحداهما أنقص من الاُخرى‌، فهي كذلك أبداً، ولو كانتا متطابقتين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عين الرائي واُذُن السامع المتوسّط في الرؤية والسّماع، لأنّه المعتاد المنصرف إليه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الأذان كونه على مرتفعٍ معتاد في أذان ذلك البلد، فإنّ التقدير إذا كان بأمرٍ مختلف الأفراد، يكون مقتضى إطلاقه تعيّن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كون الأذان في آخر البلد من ناحية المسافر، إذ ليس للأذان محلٌّ معيّن كي ينصرف الإطلاق إليه، وعليه فالمعتبر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الاُمور، تعرف أنّه لا اختلاف بين الأمارتين، بل هما متطابقتان دائماً، وإنّما جُعلتا معاً تسهيلاً للمكلّف، فلا وجه لملاحظة المعارضة بينهما، وأنّه هل يعتبر اجتماعهما أم يكفي وجود إحداهما، فلو تحقّقت إحداهما كفت في الحكم بالقصر، وإنْ لم يُحرز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الاكتفاء بأحد الأمرين على المسلكين</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0531901_73709187"/>
      <w:bookmarkStart w:id="513" w:name="_Toc192"/>
      <w:bookmarkEnd w:id="512"/>
      <w:r>
        <w:rPr>
          <w:rtl w:val="true"/>
        </w:rPr>
        <w:t>حكم القصر ينقطع بالرّجوع إلى حَدّ الترخّص</w:t>
      </w:r>
      <w:bookmarkEnd w:id="51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966"/>
      </w:r>
      <w:r>
        <w:rPr>
          <w:rFonts w:ascii="Amiri" w:hAnsi="Amiri" w:eastAsia="Amiri" w:cs="Amiri"/>
          <w:color w:val="111111"/>
          <w:sz w:val="28"/>
          <w:sz w:val="28"/>
          <w:szCs w:val="28"/>
          <w:rtl w:val="true"/>
          <w:lang w:bidi="ar-SA"/>
        </w:rPr>
        <w:t>شُهرة عظيمة، أنّه عند العود عن السّفر ينقطع حكم السّفر بالوصول إلى حَدّ الترخّص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علي بن بابويه</w:t>
      </w:r>
      <w:r>
        <w:rPr>
          <w:rStyle w:val="FootnoteAnchor"/>
          <w:rtl w:val="true"/>
        </w:rPr>
        <w:footnoteReference w:id="967"/>
      </w:r>
      <w:r>
        <w:rPr>
          <w:rFonts w:ascii="Amiri" w:hAnsi="Amiri" w:eastAsia="Amiri" w:cs="Amiri"/>
          <w:color w:val="111111"/>
          <w:sz w:val="28"/>
          <w:sz w:val="28"/>
          <w:szCs w:val="28"/>
          <w:rtl w:val="true"/>
          <w:lang w:bidi="ar-SA"/>
        </w:rPr>
        <w:t>، والسيّد المرتضى</w:t>
      </w:r>
      <w:r>
        <w:rPr>
          <w:rStyle w:val="FootnoteAnchor"/>
          <w:rtl w:val="true"/>
        </w:rPr>
        <w:footnoteReference w:id="968"/>
      </w:r>
      <w:r>
        <w:rPr>
          <w:rFonts w:ascii="Amiri" w:hAnsi="Amiri" w:eastAsia="Amiri" w:cs="Amiri"/>
          <w:color w:val="111111"/>
          <w:sz w:val="28"/>
          <w:sz w:val="28"/>
          <w:szCs w:val="28"/>
          <w:rtl w:val="true"/>
          <w:lang w:bidi="ar-SA"/>
        </w:rPr>
        <w:t>، وأبي عليّ‌</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يُقصّر في العود ما لم يدخل منزله، واعتبره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القصر والتمام بعد الوصول إلى حَدّ الترخّص، قبل دخول منزله، وقال المحقّق الأردبيلي</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حسن لو وجد القائل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الواردة في المقام، فهي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الموضع الذي تَسمع فيه الأذان فأتمّ‌، وإذا كنتَ في الموضع الذي لا تسمع فيه الأذان فقصّر، وإذا قدمت من سفرك فمثل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حمّاد،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العيص،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مسافراً ثمّ يدخل ويُقدم، ويدخل بيوت الكوفة، أيتمّ الصَّلاة، أم يكون مقصّراً حتّى يدخل أهله‌؟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مقصّراً حتّى يدخل أهله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وجه الجمع بينهما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يقتضي البناء على التخيير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جمعاً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رحمه الله</w:t>
      </w:r>
      <w:r>
        <w:rPr>
          <w:rStyle w:val="FootnoteAnchor"/>
          <w:rtl w:val="true"/>
        </w:rPr>
        <w:footnoteReference w:id="979"/>
      </w:r>
      <w:r>
        <w:rPr>
          <w:rFonts w:ascii="Amiri" w:hAnsi="Amiri" w:eastAsia="Amiri" w:cs="Amiri"/>
          <w:color w:val="111111"/>
          <w:sz w:val="28"/>
          <w:sz w:val="28"/>
          <w:szCs w:val="28"/>
          <w:rtl w:val="true"/>
          <w:lang w:bidi="ar-SA"/>
        </w:rPr>
        <w:t>من توجيه الثانية بنحوٍ لا تُنافي الاُولى‌، بأنْ يكون المراد من الوصول إلى البيت، الوصول إلى محلّ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 إسحاق غير قابل لهذا الحمل، فالأولى أن يُقال إنّ الطائفة الثانية لا يمكن الاعتماد عليها لإعراض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أفتوا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أكثرهم من المتأخّرين</w:t>
      </w:r>
      <w:r>
        <w:rPr>
          <w:rStyle w:val="FootnoteAnchor"/>
          <w:rtl w:val="true"/>
        </w:rPr>
        <w:footnoteReference w:id="980"/>
      </w:r>
      <w:r>
        <w:rPr>
          <w:rFonts w:ascii="Amiri" w:hAnsi="Amiri" w:eastAsia="Amiri" w:cs="Amiri"/>
          <w:color w:val="111111"/>
          <w:sz w:val="28"/>
          <w:sz w:val="28"/>
          <w:szCs w:val="28"/>
          <w:rtl w:val="true"/>
          <w:lang w:bidi="ar-SA"/>
        </w:rPr>
        <w:t>، والعبرة في الوهن والجبر بإعراض القدماء وعملهم، فالمعتمد هي الطائفة الاُولى‌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 عليه الإتمام إذا وصل إلى حَدّ الترخّص</w:t>
      </w:r>
      <w:r>
        <w:rPr>
          <w:rFonts w:eastAsia="Amiri" w:cs="Amiri" w:ascii="Amiri" w:hAnsi="Amiri"/>
          <w:color w:val="111111"/>
          <w:sz w:val="28"/>
          <w:szCs w:val="28"/>
          <w:rtl w:val="true"/>
          <w:lang w:bidi="ar-SA"/>
        </w:rPr>
        <w:t xml:space="preserve">.). </w:t>
      </w:r>
      <w:bookmarkStart w:id="514" w:name="pg11802_154266"/>
    </w:p>
    <w:p>
      <w:pPr>
        <w:pStyle w:val="Heading6"/>
        <w:numPr>
          <w:ilvl w:val="5"/>
          <w:numId w:val="1"/>
        </w:numPr>
        <w:rPr/>
      </w:pPr>
      <w:bookmarkStart w:id="515" w:name="__RefHeading___Toc10531903_73709187"/>
      <w:bookmarkStart w:id="516" w:name="_Toc193"/>
      <w:bookmarkEnd w:id="514"/>
      <w:bookmarkEnd w:id="515"/>
      <w:r>
        <w:rPr>
          <w:rtl w:val="true"/>
        </w:rPr>
        <w:t>عدم اختصاص اعتبار حَدّ الترخّص بالوطن</w:t>
      </w:r>
      <w:bookmarkEnd w:id="516"/>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الوصول إلى حَدّ الترخّص بالنسبة إلى محلّ الإقامة المنويّة، والمحلّ الذي بقي فيه متردّداً ثلاثين يوماً دخولاً وخروجاً،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بالتكلّم في موارد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بالنسبة إلى محلّ الإقامة خروجاً، والمنسوب إلى الأكثر أنّه يُتمّ ما لم يصل إلى ذلك الحَدّ، وهو الأظهر، لإطلاق صحيح ابن سنان المتقدّم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انصرافه إلى خصوص الوطن، لا تسمع، لأنّه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Style w:val="FootnoteAnchor"/>
          <w:rtl w:val="true"/>
        </w:rPr>
        <w:footnoteReference w:id="982"/>
      </w:r>
      <w:r>
        <w:rPr>
          <w:rFonts w:ascii="Amiri" w:hAnsi="Amiri" w:eastAsia="Amiri" w:cs="Amiri"/>
          <w:color w:val="111111"/>
          <w:sz w:val="28"/>
          <w:sz w:val="28"/>
          <w:szCs w:val="28"/>
          <w:rtl w:val="true"/>
          <w:lang w:bidi="ar-SA"/>
        </w:rPr>
        <w:t>أنّ إطلاق هذا الصحيح، لا يصلح أنْ يكون مخصِّصاً لعموم أدلّة وجوب القصر على المسافر، لأنّ ملاك تقديم الخاص على العام هو أظهريّته منه، فإذا كان ظهور العام في فردٍ أقوى من ظهور الخاص فيه، يقدّم العام، والمقام كذلك، فإنّ ظهور أدلّة القصر في وجوبه على المقيم الخارج للسفر، غير الواصل إلى حَدّ الترخّص، أقوى من ظهور دليل اعتبار حَدّ الترخّص، فلا محالة تقدّم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دليل المقيّد مقدّمٌ على إطلاق دليل المطلق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الصحيح على اعتبار حَدّ الترخّص في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المتوطّن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على حَدٍّ سواء، فلا وجه للقول بتقديم الخاص على العام في أحدهما دون الآخر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شمول أدلّة اعتبار حَدّ الترخّص للمقيم أيضاً، لا وجه لتقديم </w:t>
      </w:r>
    </w:p>
    <w:p>
      <w:pPr>
        <w:pStyle w:val="BookText"/>
        <w:rPr/>
      </w:pPr>
      <w:r>
        <w:rPr>
          <w:rFonts w:ascii="Amiri" w:hAnsi="Amiri" w:eastAsia="Amiri" w:cs="Amiri"/>
          <w:color w:val="111111"/>
          <w:sz w:val="28"/>
          <w:sz w:val="28"/>
          <w:szCs w:val="28"/>
          <w:rtl w:val="true"/>
          <w:lang w:bidi="ar-SA"/>
        </w:rPr>
        <w:t>أدلّة القصر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 الإقامة قاطعة للسفر لا لحكمه، إذ عليه مقتضى عموم التنزيل مساواته لأهل البلد في جميع الأحكام، منها اعتبار حَدّ الترخّص في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بالنسبة إلى المتردّد ثلاثين يوماً خروجاً، والأظهر أيضاً اعتباره، لإطلاق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بالنسبة إلى محلّ الإقامة دخولاً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إطلاق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قدمت من سفرك فمثل ذلك</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ومن دعوى اختصاصه بالمتوطّن، من جهة أنّ القدوم من السّفر لا يتحقّق إلّابالوصول إلى الوطن، أو بالدخول في محلّ الإقامة وقصدها، فما لم يدخل البلد، ولم يقصد الإقامة، يكون مسافراً لا قادماً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بالنسبة إلى المتردّد ثلاثين يوماً دخولاً، والأظهر عدم الاعتبار، لأنّه يجب القصر بعد مقامه في البلد، فضلاً عن أنّ عليه ذلك قبل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شرائط القصر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17" w:name="pg11802_154268"/>
    </w:p>
    <w:p>
      <w:pPr>
        <w:pStyle w:val="BookText"/>
        <w:rPr/>
      </w:pPr>
      <w:bookmarkEnd w:id="517"/>
      <w:r>
        <w:rPr>
          <w:rFonts w:ascii="Amiri" w:hAnsi="Amiri" w:eastAsia="Amiri" w:cs="Amiri"/>
          <w:color w:val="111111"/>
          <w:sz w:val="28"/>
          <w:sz w:val="28"/>
          <w:szCs w:val="28"/>
          <w:rtl w:val="true"/>
          <w:lang w:bidi="ar-SA"/>
        </w:rPr>
        <w:t>ومع حصول الشرائط يجبُ التقصير، إلّافي حَرم اللّه، وحَرم رسوله صلى الله عليه و آله، ومسجد الكوفة، والحائر على ساكنه السَّلام، فإنّه يتخيَّر</w:t>
      </w:r>
    </w:p>
    <w:p>
      <w:pPr>
        <w:pStyle w:val="BookText"/>
        <w:rPr/>
      </w:pPr>
      <w:r>
        <w:rPr>
          <w:rFonts w:ascii="Amiri" w:hAnsi="Amiri" w:eastAsia="Amiri" w:cs="Amiri"/>
          <w:color w:val="111111"/>
          <w:sz w:val="28"/>
          <w:sz w:val="28"/>
          <w:szCs w:val="28"/>
          <w:rtl w:val="true"/>
          <w:lang w:bidi="ar-SA"/>
        </w:rPr>
        <w:t>التخيير في الأماكن الأربعة</w:t>
      </w:r>
    </w:p>
    <w:p>
      <w:pPr>
        <w:pStyle w:val="Heading4"/>
        <w:numPr>
          <w:ilvl w:val="3"/>
          <w:numId w:val="1"/>
        </w:numPr>
        <w:rPr/>
      </w:pPr>
      <w:bookmarkStart w:id="518" w:name="__RefHeading___Toc10531905_73709187"/>
      <w:bookmarkStart w:id="519" w:name="_Toc194"/>
      <w:bookmarkEnd w:id="518"/>
      <w:r>
        <w:rPr>
          <w:rtl w:val="true"/>
        </w:rPr>
        <w:t>الفصل الثاني</w:t>
      </w:r>
      <w:r>
        <w:rPr>
          <w:rtl w:val="true"/>
        </w:rPr>
        <w:t xml:space="preserve">: </w:t>
      </w:r>
      <w:r>
        <w:rPr>
          <w:rtl w:val="true"/>
        </w:rPr>
        <w:t>في أحكام صلاة المسافر</w:t>
      </w:r>
      <w:r>
        <w:rPr>
          <w:rtl w:val="true"/>
        </w:rPr>
        <w:t>:</w:t>
      </w:r>
      <w:bookmarkEnd w:id="519"/>
    </w:p>
    <w:p>
      <w:pPr>
        <w:pStyle w:val="Heading5"/>
        <w:numPr>
          <w:ilvl w:val="4"/>
          <w:numId w:val="1"/>
        </w:numPr>
        <w:rPr/>
      </w:pPr>
      <w:bookmarkStart w:id="520" w:name="__RefHeading___Toc10531907_73709187"/>
      <w:bookmarkStart w:id="521" w:name="_Toc195"/>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فإنّ هنا أحكاماً تختصّ بها فضلاً عمّا سبق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اُمور</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0531909_73709187"/>
      <w:bookmarkStart w:id="523" w:name="_Toc196"/>
      <w:bookmarkEnd w:id="522"/>
      <w:r>
        <w:rPr>
          <w:rtl w:val="true"/>
        </w:rPr>
        <w:t>التخيير في الأماكن الأربعة</w:t>
      </w:r>
      <w:bookmarkEnd w:id="523"/>
    </w:p>
    <w:p>
      <w:pPr>
        <w:pStyle w:val="Heading6"/>
        <w:numPr>
          <w:ilvl w:val="5"/>
          <w:numId w:val="1"/>
        </w:numPr>
        <w:rPr/>
      </w:pPr>
      <w:bookmarkStart w:id="524" w:name="__RefHeading___Toc10531911_73709187"/>
      <w:bookmarkStart w:id="525" w:name="_Toc197"/>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حصول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المواطن الأربعة،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رسوله صلى الله عليه و آله، ومسجد الكوفة، 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المواطن بين القصر والتمام، كما هو المشهور شهرة عظيمة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985"/>
      </w:r>
      <w:r>
        <w:rPr>
          <w:rFonts w:ascii="Amiri" w:hAnsi="Amiri" w:eastAsia="Amiri" w:cs="Amiri"/>
          <w:color w:val="111111"/>
          <w:sz w:val="28"/>
          <w:sz w:val="28"/>
          <w:szCs w:val="28"/>
          <w:rtl w:val="true"/>
          <w:lang w:bidi="ar-SA"/>
        </w:rPr>
        <w:t xml:space="preserve">وجماعة من المتأخّرين،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تعيّن القصر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المفيد</w:t>
      </w:r>
      <w:r>
        <w:rPr>
          <w:rStyle w:val="FootnoteAnchor"/>
          <w:rtl w:val="true"/>
        </w:rPr>
        <w:footnoteReference w:id="987"/>
      </w:r>
      <w:r>
        <w:rPr>
          <w:rFonts w:ascii="Amiri" w:hAnsi="Amiri" w:eastAsia="Amiri" w:cs="Amiri"/>
          <w:color w:val="111111"/>
          <w:sz w:val="28"/>
          <w:sz w:val="28"/>
          <w:szCs w:val="28"/>
          <w:rtl w:val="true"/>
          <w:lang w:bidi="ar-SA"/>
        </w:rPr>
        <w:t>والسيّد المرتضى</w:t>
      </w:r>
      <w:r>
        <w:rPr>
          <w:rStyle w:val="FootnoteAnchor"/>
        </w:rPr>
        <w:footnoteReference w:id="988"/>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التمام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ومنشأ الخلاف اختلاف الأخبار،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بالإتمام كصحيح ابن الحجّاج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التمام بمكّة والمدينة‌؟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وإنْ لم تُصلِّ فيهما إلّاصلاة واحدة</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التمام في تلك المواطن من مخزون علم اللّه تعالى‌، كصحيح حمّاد بن عيسى‌،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بزيع،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بمكّة والمدينة تقصير أو تمام‌؟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التقصير في الحرمين والتمام‌؟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حتّى تجمع على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عنك أنّك أمرتهم بالتمام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كانوا يدخلون المسجد فيصلّون، ويأخذون نعالهم فيخرجون والنّاس يستقبلونهم يدخلون المسجد، فأمرتهم بالتمام</w:t>
      </w:r>
      <w:r>
        <w:rPr>
          <w:rFonts w:eastAsia="Amiri" w:cs="Amiri" w:ascii="Amiri" w:hAnsi="Amiri"/>
          <w:color w:val="111111"/>
          <w:sz w:val="28"/>
          <w:szCs w:val="28"/>
          <w:rtl w:val="true"/>
          <w:lang w:bidi="ar-SA"/>
        </w:rPr>
        <w:t>»</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التخيير بين القصر والتمام، وأفضليّة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يقطين،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التقصير بمكّة‌؟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وليس بواجب إلّاأنّي أحبّ لك ما أحبّ لنفسي</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عمران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في المسجد الحرام أو أتمّ؟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فلك، وإنْ أتممتَ فخير، وزيادة الخير خير</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جملة من نصوص الباب وإنْ وردت في الحرمين أو في خصوص مكّة، إلّاأنّه لعدم القول بالفصل يكون الحكم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غير قابلة للحمل على إرادة التمام بعد الإقامة، فيكون الأمر به أمراً بها لتضمّنها الأمر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الألفاظ التي تكون فيها، وتجعلها نصّاً في إرادة العموم، ولكن لا يستفاد منها أزيد من أفضليّة التمام، لورود الأمر فيها مورد توهم الحظر، وكذلك لا يستفاد من الثانية أزيد من أفضليّة التمام، فتنطبق مفادهما على الطائفة الرابعة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ظهورهما في الوجوب، يرفع اليد عنه لصراحة الطائفة الرابعة في عدم الوجوب، ولأجلها يرفع اليد عن ظهور الأمر بالقصر في الطائفة الثالثة، ويُحمل على إرادة الجواز، أو على إرادة بيان الحكم للمخاطبين المبتلين بمخالطة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المخالفين، الّذين لا يرون خصوصيّة لهذه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بالقصر لأجل انطباق عنوان آخر عليه، وهو خوف الوقوع في خلاف التقيّة، كما يؤمئ إليه قوله عليه السلام في حسن ابن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ومن مضى من آبائي إذا وردنا مكّة أتممنا الصَّلاة واستترنا من النّاس</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سُلّمت المعارضة بين النصوص الآمرة بالقصر، ونصوص التمام بنحوٍ لايمكن الجمع بينهما، تقدّم الثانية الموافقة للمشهور والمخالفة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أفاده العلّامة الطباطبائي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مصابيحه</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بعد اختياره تعيّن القصر، من أنّ نصوص التمام موافقة للعامّة، وصادرة تقيّة، والقصر مذهب أكثر الفقهاء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لدعواه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معاوية المتقدّم، المتضمّن أنّ الأمر بالتمام كان لأجل حملهم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لدعواه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بخبري عليّ بن مهزيار، وأيّوب بن نوح المتضمّن أوّلهما لإشارة فقهاء الأصحاب عليه بالتقصير، والمتضمّن ثانيهما أنّ صفوان وابن أبي عُمير وجميع الأصحاب كانوا يقصرون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ذكره أوّلاً أنّ نصوص التمام كالصريحة في كونها على خلاف التقيّة، لاحظ الطائفة الثانية، وقوله عليه السلام في صحيح ابن الحجّاج المتقدّم</w:t>
      </w:r>
      <w:r>
        <w:rPr>
          <w:rStyle w:val="FootnoteAnchor"/>
          <w:rtl w:val="true"/>
        </w:rPr>
        <w:footnoteReference w:id="10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أناة</w:t>
      </w:r>
      <w:r>
        <w:rPr>
          <w:rFonts w:eastAsia="Amiri" w:cs="Amiri" w:ascii="Amiri" w:hAnsi="Amiri"/>
          <w:color w:val="111111"/>
          <w:sz w:val="28"/>
          <w:szCs w:val="28"/>
          <w:rtl w:val="true"/>
          <w:lang w:bidi="ar-SA"/>
        </w:rPr>
        <w:t xml:space="preserve">. </w:t>
      </w:r>
      <w:bookmarkStart w:id="526" w:name="pg11802_154272"/>
    </w:p>
    <w:p>
      <w:pPr>
        <w:pStyle w:val="BookText"/>
        <w:rPr/>
      </w:pPr>
      <w:bookmarkEnd w:id="526"/>
      <w:r>
        <w:rPr>
          <w:rFonts w:ascii="Amiri" w:hAnsi="Amiri" w:eastAsia="Amiri" w:cs="Amiri"/>
          <w:color w:val="111111"/>
          <w:sz w:val="28"/>
          <w:sz w:val="28"/>
          <w:szCs w:val="28"/>
          <w:rtl w:val="true"/>
          <w:lang w:bidi="ar-SA"/>
        </w:rPr>
        <w:t>وآبائي إذا وردنا مكّة أتممنا الصّلاة، واستترنا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خبر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ذيله صريحٌ في أفضليّة التمام، وعلى خبر أيّوب أنّه متضمّنٌ لكون عملهم على القصر لا مذهبهم، فالحقّ في المقام ما ذكرناه</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0531913_73709187"/>
      <w:bookmarkStart w:id="528" w:name="_Toc198"/>
      <w:bookmarkEnd w:id="527"/>
      <w:r>
        <w:rPr>
          <w:rtl w:val="true"/>
        </w:rPr>
        <w:t>المراد من الأماكن الأربعة</w:t>
      </w:r>
      <w:bookmarkEnd w:id="528"/>
    </w:p>
    <w:p>
      <w:pPr>
        <w:pStyle w:val="BookText"/>
        <w:rPr/>
      </w:pPr>
      <w:r>
        <w:rPr>
          <w:rFonts w:ascii="Amiri" w:hAnsi="Amiri" w:eastAsia="Amiri" w:cs="Amiri"/>
          <w:color w:val="111111"/>
          <w:sz w:val="28"/>
          <w:sz w:val="28"/>
          <w:szCs w:val="28"/>
          <w:rtl w:val="true"/>
          <w:lang w:bidi="ar-SA"/>
        </w:rPr>
        <w:t>ثمّ إنّه يقع الكلام في تحديد الأماكن الأربعة الّتي يُتخيّر فيها المسافر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الحرمان، أي حرم اللّه وحرم رسوله صلى الله عليه و آله، فعن المشهور</w:t>
      </w:r>
      <w:r>
        <w:rPr>
          <w:rStyle w:val="FootnoteAnchor"/>
          <w:rtl w:val="true"/>
        </w:rPr>
        <w:footnoteReference w:id="1001"/>
      </w:r>
      <w:r>
        <w:rPr>
          <w:rFonts w:ascii="Amiri" w:hAnsi="Amiri" w:eastAsia="Amiri" w:cs="Amiri"/>
          <w:color w:val="111111"/>
          <w:sz w:val="28"/>
          <w:sz w:val="28"/>
          <w:szCs w:val="28"/>
          <w:rtl w:val="true"/>
          <w:lang w:bidi="ar-SA"/>
        </w:rPr>
        <w:t>إرادة البلدين منهما أي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اختصاص الحكم بالمسجدين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w:t>
      </w:r>
      <w:r>
        <w:rPr>
          <w:rStyle w:val="FootnoteAnchor"/>
          <w:rtl w:val="true"/>
        </w:rPr>
        <w:footnoteReference w:id="1003"/>
      </w:r>
      <w:r>
        <w:rPr>
          <w:rFonts w:ascii="Amiri" w:hAnsi="Amiri" w:eastAsia="Amiri" w:cs="Amiri"/>
          <w:color w:val="111111"/>
          <w:sz w:val="28"/>
          <w:sz w:val="28"/>
          <w:szCs w:val="28"/>
          <w:rtl w:val="true"/>
          <w:lang w:bidi="ar-SA"/>
        </w:rPr>
        <w:t>في المكانين المقدّسين، المحدود كلٌّ منهما بخمسة فراسخ</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النصوص، فبعضها قد عبّر بالحرمين، وبعضها بمكّة والمدينة، وبعضها بالمسجدين، ومقتضى القاعدة في مقام الجمع بين المطلق والمقيّد المثبتين، والأخذ بالمطلق وحمل المقيّد على بيان أفضل الأفراد، إذا لم يكن المقيّد </w:t>
      </w:r>
    </w:p>
    <w:p>
      <w:pPr>
        <w:pStyle w:val="BookText"/>
        <w:rPr/>
      </w:pPr>
      <w:r>
        <w:rPr>
          <w:rFonts w:ascii="Amiri" w:hAnsi="Amiri" w:eastAsia="Amiri" w:cs="Amiri"/>
          <w:color w:val="111111"/>
          <w:sz w:val="28"/>
          <w:sz w:val="28"/>
          <w:szCs w:val="28"/>
          <w:rtl w:val="true"/>
          <w:lang w:bidi="ar-SA"/>
        </w:rPr>
        <w:t>وارداً في مقام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المقام بما أنّ الأخبار التي تتحدّث عن حكم المسجدين ليست في مقام التحديد، فلا مانع من الأخذ بإطلاق ما تضمّن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 الحرمين، فمضافاً إلى ضعفه في نفسه، وإعراض الأصحاب عنه، لو سُلّم أعميّة الحرم من البلد، أنّه مجملٌ في نفسه، يُحمل على المبيّن وهو البلد، مع أنّه قد فسّر الحرمين بالبلدين، لاحظ صحيح علي بن مهزيار، فإنّه بعد حكمه عليه السلام بالإتمام في الحرمين،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كثيرٍ من الروايات، اختصاص الحكم بمسجد الكوفة، ولكن عن جماعةٍ‌، منهم المحقّق</w:t>
      </w:r>
      <w:r>
        <w:rPr>
          <w:rStyle w:val="FootnoteAnchor"/>
          <w:rtl w:val="true"/>
        </w:rPr>
        <w:footnoteReference w:id="1004"/>
      </w:r>
      <w:r>
        <w:rPr>
          <w:rFonts w:ascii="Amiri" w:hAnsi="Amiri" w:eastAsia="Amiri" w:cs="Amiri"/>
          <w:color w:val="111111"/>
          <w:sz w:val="28"/>
          <w:sz w:val="28"/>
          <w:szCs w:val="28"/>
          <w:rtl w:val="true"/>
          <w:lang w:bidi="ar-SA"/>
        </w:rPr>
        <w:t>في كتاب له في السّفر، ثبوت الحكم في الكوفة من غير اختصاص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زياد القندي،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الصَّلاة في الحرمين وبالكوفة، وعند قبر الحسين</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لمحمّد بن عمران المدائني، وزياد القندي، على تأمّل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النصوص تضمّن التعبير بحرم أمير المؤمنين عليه السلام كمصحّح حمّاد بن عيسى‌،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وحرم رسوله صلى الله عليه و آله، وحرم أمير المؤمنين عليه السلام، وحرم الحُسين ابن عليّ عليه السلام</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المصباح، وقد دلّت جملة من النصوص على أنّ الكوفة هي حرم أمير المؤمنين عليه السلام</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إنّما تضمّنت تطبيق حَرَمه على الكوفة لا تفسيره بها، وفي بعض النصوص جعل مكّة حرمه عليه السلام، وأيضاً ومن مصاديق الحرم البقعة المباركة الواقعة فيها ضريحه الطاهر، وحيث أنّ الحرم بما له من المعنى العام لم يؤخذ في موضوع الحكم قطعاً، وإنّما الموضوع فردٌ منه ولا معيّن له، فلابدّ من الاقتصار على المتيقّن أو الرجوع إلى سائر النصوص المبيّنة المتضمّنة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بين كون المدار في الأولين على البلدين، وبين كونه المدار في المقام،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الاقتصار على خصوص المسجد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المتعرّضة للحكم فيه مختلفة من حيث التعبير، ففي بعضها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الحُسين عليه السلام</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xml:space="preserve">، وفي آخر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 الحسين عليه السلام</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وفي ثالث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 الحسين</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مجملٌ غير ظاهر المراد، ومرفوع ابن العبّاس المحدّد له بخمسة فراسخ، ومرسل البصري المحدّد له بفرسخ في فرسخ من أربع جوانب القبر، لضعف</w:t>
      </w:r>
      <w:r>
        <w:rPr>
          <w:rStyle w:val="FootnoteAnchor"/>
          <w:rtl w:val="true"/>
        </w:rPr>
        <w:footnoteReference w:id="1011"/>
      </w:r>
      <w:r>
        <w:rPr>
          <w:rFonts w:ascii="Amiri" w:hAnsi="Amiri" w:eastAsia="Amiri" w:cs="Amiri"/>
          <w:color w:val="111111"/>
          <w:sz w:val="28"/>
          <w:sz w:val="28"/>
          <w:szCs w:val="28"/>
          <w:rtl w:val="true"/>
          <w:lang w:bidi="ar-SA"/>
        </w:rPr>
        <w:t>سنديهما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لموضع قبر الحسين عليه السلام حُرمة معروفة، من عرفها واستجار بها 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موضعها؟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موضع قبره اليوم خمسة وعشرين ذراعاً من ناحية رأسه، وخمسة وعشرين ذراعاً من ناحية رجليه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تعلّق له بالمقام كي يستدلّ به، وعلى ذلك فلابدّ من الاقتصار في الأخذ على المتيقّن، وهو أطراف ضريحه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الحال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كلمةٌ مجملة، فعن المفيد رحمه الله</w:t>
      </w:r>
      <w:r>
        <w:rPr>
          <w:rStyle w:val="FootnoteAnchor"/>
          <w:rtl w:val="true"/>
        </w:rPr>
        <w:footnoteReference w:id="1013"/>
      </w:r>
      <w:r>
        <w:rPr>
          <w:rFonts w:ascii="Amiri" w:hAnsi="Amiri" w:eastAsia="Amiri" w:cs="Amiri"/>
          <w:color w:val="111111"/>
          <w:sz w:val="28"/>
          <w:sz w:val="28"/>
          <w:szCs w:val="28"/>
          <w:rtl w:val="true"/>
          <w:lang w:bidi="ar-SA"/>
        </w:rPr>
        <w:t>أنّ الحائر محيطٌ بهم إلّا العبّاس عليه السلام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 سور المسجد والمشهد عليه دون ما دار سور البلد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بعض</w:t>
      </w:r>
      <w:r>
        <w:rPr>
          <w:rFonts w:eastAsia="IRNazanin" w:cs="IRNazanin"/>
          <w:color w:val="111111"/>
          <w:sz w:val="28"/>
          <w:szCs w:val="28"/>
          <w:rtl w:val="true"/>
          <w:lang w:bidi="fa-IR"/>
        </w:rPr>
        <w:t>:</w:t>
      </w:r>
      <w:r>
        <w:rPr>
          <w:rStyle w:val="FootnoteAnchor"/>
          <w:rtl w:val="true"/>
        </w:rPr>
        <w:footnoteReference w:id="1015"/>
      </w:r>
      <w:r>
        <w:rPr>
          <w:rFonts w:ascii="Amiri" w:hAnsi="Amiri" w:eastAsia="Amiri" w:cs="Amiri"/>
          <w:color w:val="111111"/>
          <w:sz w:val="28"/>
          <w:sz w:val="28"/>
          <w:szCs w:val="28"/>
          <w:rtl w:val="true"/>
          <w:lang w:bidi="ar-SA"/>
        </w:rPr>
        <w:t>أنّه مجموع الصحن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w:t>
      </w:r>
      <w:r>
        <w:rPr>
          <w:rFonts w:eastAsia="IRNazanin" w:cs="IRNazanin"/>
          <w:color w:val="111111"/>
          <w:sz w:val="28"/>
          <w:szCs w:val="28"/>
          <w:rtl w:val="true"/>
          <w:lang w:bidi="fa-IR"/>
        </w:rPr>
        <w:t>:</w:t>
      </w:r>
      <w:r>
        <w:rPr>
          <w:rStyle w:val="FootnoteAnchor"/>
          <w:rtl w:val="true"/>
        </w:rPr>
        <w:footnoteReference w:id="1016"/>
      </w:r>
      <w:r>
        <w:rPr>
          <w:rFonts w:ascii="Amiri" w:hAnsi="Amiri" w:eastAsia="Amiri" w:cs="Amiri"/>
          <w:color w:val="111111"/>
          <w:sz w:val="28"/>
          <w:sz w:val="28"/>
          <w:szCs w:val="28"/>
          <w:rtl w:val="true"/>
          <w:lang w:bidi="ar-SA"/>
        </w:rPr>
        <w:t>أنّه القبة السامية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w:t>
      </w:r>
      <w:r>
        <w:rPr>
          <w:rFonts w:eastAsia="IRNazanin" w:cs="IRNazanin"/>
          <w:color w:val="111111"/>
          <w:sz w:val="28"/>
          <w:szCs w:val="28"/>
          <w:rtl w:val="true"/>
          <w:lang w:bidi="fa-IR"/>
        </w:rPr>
        <w:t>:</w:t>
      </w:r>
      <w:r>
        <w:rPr>
          <w:rStyle w:val="FootnoteAnchor"/>
          <w:rtl w:val="true"/>
        </w:rPr>
        <w:footnoteReference w:id="1017"/>
      </w:r>
      <w:r>
        <w:rPr>
          <w:rFonts w:ascii="Amiri" w:hAnsi="Amiri" w:eastAsia="Amiri" w:cs="Amiri"/>
          <w:color w:val="111111"/>
          <w:sz w:val="28"/>
          <w:sz w:val="28"/>
          <w:szCs w:val="28"/>
          <w:rtl w:val="true"/>
          <w:lang w:bidi="ar-SA"/>
        </w:rPr>
        <w:t>أنّه الروضة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المجلسي</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أنّه مجموع الصحن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يستفاد من خبر حسين بن ثوير الوارد في آداب الزيارة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إلى باب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اخطُ عشر خطوة ثمّ 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الحائر أكثر من عشر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ظهور له في اتّصال باب الحائر به، فلا يستفاد منه إلّاأنّ الحائر ليس أزيد ما اشتمل على الحضرة الشريفة، وعلى ذلك فلابدّ من الاقتصار على المتيقّن، وهو ما يسمّى الآن حرماً، أعني الحضرة الشريفة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29" w:name="pg11802_154277"/>
    </w:p>
    <w:p>
      <w:pPr>
        <w:pStyle w:val="BookText"/>
        <w:rPr/>
      </w:pPr>
      <w:bookmarkEnd w:id="529"/>
      <w:r>
        <w:rPr>
          <w:rFonts w:ascii="Amiri" w:hAnsi="Amiri" w:eastAsia="Amiri" w:cs="Amiri"/>
          <w:color w:val="111111"/>
          <w:sz w:val="28"/>
          <w:sz w:val="28"/>
          <w:szCs w:val="28"/>
          <w:rtl w:val="true"/>
          <w:lang w:bidi="ar-SA"/>
        </w:rPr>
        <w:t>ولو أتمّ في غيرها عمداً أعاد</w:t>
      </w:r>
    </w:p>
    <w:p>
      <w:pPr>
        <w:pStyle w:val="Heading5"/>
        <w:numPr>
          <w:ilvl w:val="4"/>
          <w:numId w:val="1"/>
        </w:numPr>
        <w:rPr/>
      </w:pPr>
      <w:bookmarkStart w:id="530" w:name="__RefHeading___Toc10531915_73709187"/>
      <w:bookmarkStart w:id="531" w:name="_Toc199"/>
      <w:bookmarkEnd w:id="530"/>
      <w:r>
        <w:rPr>
          <w:rtl w:val="true"/>
        </w:rPr>
        <w:t>لو أتمّ المسافر</w:t>
      </w:r>
      <w:bookmarkEnd w:id="531"/>
    </w:p>
    <w:p>
      <w:pPr>
        <w:pStyle w:val="Heading6"/>
        <w:numPr>
          <w:ilvl w:val="5"/>
          <w:numId w:val="1"/>
        </w:numPr>
        <w:rPr/>
      </w:pPr>
      <w:bookmarkStart w:id="532" w:name="__RefHeading___Toc10531917_73709187"/>
      <w:bookmarkStart w:id="533" w:name="_Toc200"/>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مع استكمال الشرائط المتقدّمة للقصر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غير المواطن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عن عمدٍ، أو عن جهلٍ‌، أو عن 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مقامات</w:t>
      </w:r>
      <w:r>
        <w:rPr>
          <w:rFonts w:eastAsia="IRNazanin" w:cs="IRNazanin"/>
          <w:color w:val="111111"/>
          <w:sz w:val="28"/>
          <w:szCs w:val="28"/>
          <w:rtl w:val="true"/>
          <w:lang w:bidi="fa-IR"/>
        </w:rPr>
        <w:t>:</w:t>
      </w:r>
    </w:p>
    <w:p>
      <w:pPr>
        <w:pStyle w:val="Heading6"/>
        <w:numPr>
          <w:ilvl w:val="5"/>
          <w:numId w:val="1"/>
        </w:numPr>
        <w:rPr/>
      </w:pPr>
      <w:bookmarkStart w:id="534" w:name="__RefHeading___Toc10531919_73709187"/>
      <w:bookmarkStart w:id="535" w:name="_Toc201"/>
      <w:bookmarkEnd w:id="534"/>
      <w:r>
        <w:rPr>
          <w:rtl w:val="true"/>
        </w:rPr>
        <w:t>ولو أتمّ في غيرها عمداً أعاد</w:t>
      </w:r>
      <w:bookmarkEnd w:id="535"/>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أتمّ في موضع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وخارجه بلا خلافٍ فيه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ممّا يقتضيه القاعدة، لمخالفة المأتي به للمأمور به، مع عدم الدليل على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في السّفر أربعاً أيعيدُ أم 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قرأت عليه آية التقصير،</w:t>
      </w:r>
      <w:r>
        <w:rPr>
          <w:rStyle w:val="FootnoteAnchor"/>
          <w:rtl w:val="true"/>
        </w:rPr>
        <w:footnoteReference w:id="1020"/>
      </w:r>
      <w:r>
        <w:rPr>
          <w:rFonts w:ascii="Amiri" w:hAnsi="Amiri" w:eastAsia="Amiri" w:cs="Amiri"/>
          <w:color w:val="111111"/>
          <w:sz w:val="28"/>
          <w:sz w:val="28"/>
          <w:szCs w:val="28"/>
          <w:rtl w:val="true"/>
          <w:lang w:bidi="ar-SA"/>
        </w:rPr>
        <w:t>وفُسّرت له، فصَلّى أربعاً أعاد، وإنْ لم يكن قُرأت عليه ولم يعلمها فلا إعادة عليه</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بقراءة آية التقصير</w:t>
      </w:r>
      <w:r>
        <w:rPr>
          <w:rStyle w:val="FootnoteAnchor"/>
          <w:rtl w:val="true"/>
        </w:rPr>
        <w:footnoteReference w:id="1022"/>
      </w:r>
      <w:r>
        <w:rPr>
          <w:rFonts w:ascii="Amiri" w:hAnsi="Amiri" w:eastAsia="Amiri" w:cs="Amiri"/>
          <w:color w:val="111111"/>
          <w:sz w:val="28"/>
          <w:sz w:val="28"/>
          <w:szCs w:val="28"/>
          <w:rtl w:val="true"/>
          <w:lang w:bidi="ar-SA"/>
        </w:rPr>
        <w:t>وتفسيرها له، بقرينة قوله عليه السلام في ذيله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العلم بتحتّم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bookmarkStart w:id="536" w:name="pg11802_154278"/>
    </w:p>
    <w:p>
      <w:pPr>
        <w:pStyle w:val="BookText"/>
        <w:rPr/>
      </w:pPr>
      <w:bookmarkEnd w:id="536"/>
      <w:r>
        <w:rPr>
          <w:rFonts w:ascii="Amiri" w:hAnsi="Amiri" w:eastAsia="Amiri" w:cs="Amiri"/>
          <w:color w:val="111111"/>
          <w:sz w:val="28"/>
          <w:sz w:val="28"/>
          <w:szCs w:val="28"/>
          <w:rtl w:val="true"/>
          <w:lang w:bidi="ar-SA"/>
        </w:rPr>
        <w:t>والجاهلُ لا يُعيد</w:t>
      </w:r>
    </w:p>
    <w:p>
      <w:pPr>
        <w:pStyle w:val="BookText"/>
        <w:rPr/>
      </w:pPr>
      <w:r>
        <w:rPr>
          <w:rFonts w:ascii="Amiri" w:hAnsi="Amiri" w:eastAsia="Amiri" w:cs="Amiri"/>
          <w:color w:val="111111"/>
          <w:sz w:val="28"/>
          <w:sz w:val="28"/>
          <w:szCs w:val="28"/>
          <w:rtl w:val="true"/>
          <w:lang w:bidi="ar-SA"/>
        </w:rPr>
        <w:t>وأمّا النصوص المفصّلة بين الوقت وخارجه</w:t>
      </w:r>
      <w:r>
        <w:rPr>
          <w:rStyle w:val="FootnoteAnchor"/>
          <w:rtl w:val="true"/>
        </w:rPr>
        <w:footnoteReference w:id="1023"/>
      </w:r>
      <w:r>
        <w:rPr>
          <w:rFonts w:ascii="Amiri" w:hAnsi="Amiri" w:eastAsia="Amiri" w:cs="Amiri"/>
          <w:color w:val="111111"/>
          <w:sz w:val="28"/>
          <w:sz w:val="28"/>
          <w:szCs w:val="28"/>
          <w:rtl w:val="true"/>
          <w:lang w:bidi="ar-SA"/>
        </w:rPr>
        <w:t>، فهي ظاهرة في غير العالم العامد، كما ستقف عليه</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0531921_73709187"/>
      <w:bookmarkStart w:id="538" w:name="_Toc202"/>
      <w:bookmarkEnd w:id="537"/>
      <w:r>
        <w:rPr>
          <w:rtl w:val="true"/>
        </w:rPr>
        <w:t>لو أتمّ في موضع القصر جهلاً</w:t>
      </w:r>
      <w:bookmarkEnd w:id="53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أتمّ في موضع القصر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جاهلاً بالحكم، بأنْ لم يلتفت أصلاً إلى أنّ المسافر يجب عليه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متردّداً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جاهلاً بالموضوع، مع علمه بالحكم، كما إذا اعتقد عدم كون مقصده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جاهلاً ببعض الخصوصيّات، مثل أنّ السّفر إلى أربعة فراسخ مع قصد الرجوع يوجب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جاهلاً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ولا في خارجه، كما هو المشهور شهرة عظيمة</w:t>
      </w:r>
      <w:r>
        <w:rPr>
          <w:rStyle w:val="FootnoteAnchor"/>
          <w:rtl w:val="true"/>
        </w:rPr>
        <w:footnoteReference w:id="1024"/>
      </w:r>
      <w:r>
        <w:rPr>
          <w:rFonts w:ascii="Amiri" w:hAnsi="Amiri" w:eastAsia="Amiri" w:cs="Amiri"/>
          <w:color w:val="111111"/>
          <w:sz w:val="28"/>
          <w:sz w:val="28"/>
          <w:szCs w:val="28"/>
          <w:rtl w:val="true"/>
          <w:lang w:bidi="ar-SA"/>
        </w:rPr>
        <w:t>، لصحيح زرارة ومحمّد المتقدّم، المخصّص لعموم ما دلّ على مبطليّة الزيادة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قولان آخران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العُمّاني</w:t>
      </w:r>
      <w:r>
        <w:rPr>
          <w:rStyle w:val="FootnoteAnchor"/>
          <w:rtl w:val="true"/>
        </w:rPr>
        <w:footnoteReference w:id="1025"/>
      </w:r>
      <w:r>
        <w:rPr>
          <w:rFonts w:ascii="Amiri" w:hAnsi="Amiri" w:eastAsia="Amiri" w:cs="Amiri"/>
          <w:color w:val="111111"/>
          <w:sz w:val="28"/>
          <w:sz w:val="28"/>
          <w:szCs w:val="28"/>
          <w:rtl w:val="true"/>
          <w:lang w:bidi="ar-SA"/>
        </w:rPr>
        <w:t>وهو أنّه يُعيد مطلقاً،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ما دلّ على مبطليّة الزيادة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يُقصّر في السّفر، لم تَجُز صلاته، لأنّه قد زاد في فرض اللّه عزّ وجلّ‌</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 ركعات، وأنا في سفر،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الكلّ بأنّ الصحيح المتقدّم أخصّ منها فيقدّم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 وبين صحيح الحلبي عمومٌ من وجه، لاختصاص صحيح الحلبي بصلاة الظهر،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عدم الخصوصيّة للظهر، وأنّ التعبير بها من جهة وقوع الابتلاء بها أو من باب المثال، والمراد إتيان الصَّلاة الرباعيّة تماماً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الاختصاص، لا ريب في أظهريّة الصحيح في دلالته على عدم وجوب الإعادة على الجاهل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الحلبي</w:t>
      </w:r>
      <w:r>
        <w:rPr>
          <w:rStyle w:val="FootnoteAnchor"/>
          <w:rtl w:val="true"/>
        </w:rPr>
        <w:footnoteReference w:id="1029"/>
      </w:r>
      <w:r>
        <w:rPr>
          <w:rFonts w:ascii="Amiri" w:hAnsi="Amiri" w:eastAsia="Amiri" w:cs="Amiri"/>
          <w:color w:val="111111"/>
          <w:sz w:val="28"/>
          <w:sz w:val="28"/>
          <w:szCs w:val="28"/>
          <w:rtl w:val="true"/>
          <w:lang w:bidi="ar-SA"/>
        </w:rPr>
        <w:t>، والإسكافي</w:t>
      </w:r>
      <w:r>
        <w:rPr>
          <w:rStyle w:val="FootnoteAnchor"/>
          <w:rtl w:val="true"/>
        </w:rPr>
        <w:footnoteReference w:id="1030"/>
      </w:r>
      <w:r>
        <w:rPr>
          <w:rFonts w:ascii="Amiri" w:hAnsi="Amiri" w:eastAsia="Amiri" w:cs="Amiri"/>
          <w:color w:val="111111"/>
          <w:sz w:val="28"/>
          <w:sz w:val="28"/>
          <w:szCs w:val="28"/>
          <w:rtl w:val="true"/>
          <w:lang w:bidi="ar-SA"/>
        </w:rPr>
        <w:t>، وهو أنّه يعيدُ في الوقت دون خارجه، واستدلّ له بصحيح العيص،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وهو مسافر، فأتمّ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وإنْ كان الوقت قد مضى فلا</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 النسبة بين هذا الصحيح وبين صحيح زرارة ومحمّد المتقدّم عموماً من وجه، وأغمضنا النظر عمّا قيل من ظهوره في الناسي، لا ينبغي التأمّل في تقديم صحيح زرارة، لأنّ حمله على إرادة عدم وجوب الإعادة في خارج الوقت، أبعد من حمل هذا الصحيح على غير الجاهل أي الناسي،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كونه متعرّضاً لخصوص حكم خارج الوقت، دون داخله،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القضاء خاصّة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الأداء، وإنْ كانت تطلق على القضاء أيضاً، وعليه فيقدّم صحيح زرارة، ويُحمل صحيح العيص على خصوص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لو كان متردّداً، فحكمه حكم العالم، لعدم شمول ما دلَّ على عدم إعادة الجاهل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الجاهل جاهلاً بالموضوع، ففي وجوب الإعادة أو القضاء عليه، وعدمه وجهان، أقواهما الأوّل، كما هو مقتضى القاعدة، وإطلاق صحيح الحلبي المتقدّم، وصدر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إطلاق ذيل صحيح زرارة ومحمّد يشمله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قُرأت عليه، ولم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الجهل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بأصل الحكم،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مناط الإجزاء في مورد الجهل بالحكم، الذي يدور ذلك مداره، هو الجهل الموجود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إحراز الموضوع في أمثال المقام، الذي فوّض الأمر فيه إلى المكلّف موضوعيٌ لا طريقي، وعليه فلابدّ من البناء على الصحّة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الإحراز طريقاً محضاً لا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موافقة الأمر الظاهري تقتضي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عدم إجزاء الحكم الظاهري عن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لزوم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كلّه ظهر حكم ما لو كان جاهلاً ببعض خصوصيّات حكم القصر، فإن الظاهر من صحيح زرار المتقدّم، إرادة العلم بأصل وجوب القصر، لا العلم بجميع خصوصيّات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صحيح العيص المتقدّم، الشامل للموردين الأخيرين، عدم وجوب القضاء لو علم بعد مُضيّ الوقت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قيل من اختصاصه بالنّاسي، وقوّيناه سابقاً، أنّه لو سُلّم عمومه لغير الناسي، تكون النسبة بينه وبين صحيح زرارة عموماً من وجه، فيتساقط إطلاقهما، والمرجع إلى ما تقتضيه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الإعادة أو القضاء</w:t>
      </w:r>
      <w:r>
        <w:rPr>
          <w:rFonts w:eastAsia="Amiri" w:cs="Amiri" w:ascii="Amiri" w:hAnsi="Amiri"/>
          <w:color w:val="111111"/>
          <w:sz w:val="28"/>
          <w:szCs w:val="28"/>
          <w:rtl w:val="true"/>
          <w:lang w:bidi="ar-SA"/>
        </w:rPr>
        <w:t xml:space="preserve">. </w:t>
      </w:r>
      <w:bookmarkStart w:id="539" w:name="pg11802_154282"/>
    </w:p>
    <w:p>
      <w:pPr>
        <w:pStyle w:val="BookText"/>
        <w:rPr/>
      </w:pPr>
      <w:bookmarkEnd w:id="539"/>
      <w:r>
        <w:rPr>
          <w:rFonts w:ascii="Amiri" w:hAnsi="Amiri" w:eastAsia="Amiri" w:cs="Amiri"/>
          <w:color w:val="111111"/>
          <w:sz w:val="28"/>
          <w:sz w:val="28"/>
          <w:szCs w:val="28"/>
          <w:rtl w:val="true"/>
          <w:lang w:bidi="ar-SA"/>
        </w:rPr>
        <w:t>والنّاسي يعيدُ في الوقت لا خارجه</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10531923_73709187"/>
      <w:bookmarkStart w:id="541" w:name="_Toc203"/>
      <w:bookmarkEnd w:id="540"/>
      <w:r>
        <w:rPr>
          <w:rtl w:val="true"/>
        </w:rPr>
        <w:t>لو أتمّ المسافر نسياناً</w:t>
      </w:r>
      <w:bookmarkEnd w:id="541"/>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صَلّى تماماً ناسياً أنّه 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القضاء إذا كان التذكّر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w:t>
      </w:r>
      <w:r>
        <w:rPr>
          <w:rStyle w:val="FootnoteAnchor"/>
          <w:rtl w:val="true"/>
        </w:rPr>
        <w:footnoteReference w:id="1032"/>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العيص المتقدّم، الذي ثبت اختصاصه بالناسي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يَنسى فيُصلّي بالسفر أربع ركعات‌؟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في ذلك اليوم فليُعد، وإنْ لم يذكر حتّى يمضي ذلك اليوم، فلا إعادة عليه</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الجواب بنفسه وإنْ كان اختصاص الحكم بالظهرين، لإختصاص اليوم بالنهار، إلّاأنّه لعدم القول بالفصل، ولإطلاق السؤال، ولصحيح العيص،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الوقت، فيشمل الحكم للعشاء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أنّ المسافر إذا أتمّ أعاد، الشامل بإطلاقه للناسي، كصحيح الحلبي المتقدّم، حيث يقيّد إطلاقه بهذه النصوص</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الخلاف في حكم ناسي الحكم، وأنّه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كناسي السّفر ليعيد في الوقت دون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كالجاهل الحكم فلا يعيد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هو كالعالم فيعيد كذلك‌؟</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الأوّل، لإطلاق السؤال والجواب في خبر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035"/>
      </w:r>
      <w:r>
        <w:rPr>
          <w:rFonts w:ascii="Amiri" w:hAnsi="Amiri" w:eastAsia="Amiri" w:cs="Amiri"/>
          <w:color w:val="111111"/>
          <w:sz w:val="28"/>
          <w:sz w:val="28"/>
          <w:szCs w:val="28"/>
          <w:rtl w:val="true"/>
          <w:lang w:bidi="ar-SA"/>
        </w:rPr>
        <w:t>انصرافه إلى نسيان الموضوع ممنوعة، إذ لا منشأ له سوى الغلبة غير الموجبة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دعوى</w:t>
      </w:r>
      <w:r>
        <w:rPr>
          <w:rStyle w:val="FootnoteAnchor"/>
          <w:rtl w:val="true"/>
        </w:rPr>
        <w:footnoteReference w:id="1036"/>
      </w:r>
      <w:r>
        <w:rPr>
          <w:rFonts w:ascii="Amiri" w:hAnsi="Amiri" w:eastAsia="Amiri" w:cs="Amiri"/>
          <w:color w:val="111111"/>
          <w:sz w:val="28"/>
          <w:sz w:val="28"/>
          <w:szCs w:val="28"/>
          <w:rtl w:val="true"/>
          <w:lang w:bidi="ar-SA"/>
        </w:rPr>
        <w:t>أنّ المتيقّن من النص والفتوى‌، هو نسيان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 وهو أنّه لو قصّر مَنْ وظيفته التمام، ففي غير صورة الجهل يعيدُ في الوقت وخارجه، كما هو مقتضى القاعده، ولا دليل على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الجهل، فمقتضى بعض النصوص عدم وجوب الإعادة أو القضاء عليه، وهو صحيح منصور،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بلدةٍ فأزمعتَ المقام عشرة أيّام، فأتمّ الصَّلاة، وإنْ تركه رجلٌ جاهلاً فليس عليه إعادة</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المشهور عنه، ولكن لم يثبت ذلك، لأنّ مجرّد عدم التعرّض لمضمونه لا يدلّ على الإعراض الموهن، والاحتياط سبيل النجاة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42" w:name="pg11802_154284"/>
    </w:p>
    <w:p>
      <w:pPr>
        <w:pStyle w:val="BookText"/>
        <w:rPr/>
      </w:pPr>
      <w:bookmarkEnd w:id="542"/>
      <w:r>
        <w:rPr>
          <w:rFonts w:ascii="IRNazanin" w:hAnsi="IRNazanin" w:eastAsia="IRNazanin"/>
          <w:color w:val="111111"/>
          <w:sz w:val="28"/>
          <w:sz w:val="28"/>
          <w:szCs w:val="28"/>
          <w:rtl w:val="true"/>
          <w:lang w:bidi="fa-IR"/>
        </w:rPr>
        <w:t>ولو سافر بعد دخول الوقت، قصّر مع بقاء الوقت،</w:t>
      </w:r>
    </w:p>
    <w:p>
      <w:pPr>
        <w:pStyle w:val="Heading5"/>
        <w:numPr>
          <w:ilvl w:val="4"/>
          <w:numId w:val="1"/>
        </w:numPr>
        <w:rPr/>
      </w:pPr>
      <w:bookmarkStart w:id="543" w:name="__RefHeading___Toc10531925_73709187"/>
      <w:bookmarkStart w:id="544" w:name="_Toc204"/>
      <w:bookmarkEnd w:id="543"/>
      <w:r>
        <w:rPr>
          <w:rtl w:val="true"/>
        </w:rPr>
        <w:t>العبرة بحال الأداء لا حال الوجوب</w:t>
      </w:r>
      <w:bookmarkEnd w:id="544"/>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سافر بعد دخول الوقت، قصّر مع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 بحال الأداء، كما عن المفيد</w:t>
      </w:r>
      <w:r>
        <w:rPr>
          <w:rStyle w:val="FootnoteAnchor"/>
          <w:rtl w:val="true"/>
        </w:rPr>
        <w:footnoteReference w:id="1038"/>
      </w:r>
      <w:r>
        <w:rPr>
          <w:rFonts w:ascii="Amiri" w:hAnsi="Amiri" w:eastAsia="Amiri" w:cs="Amiri"/>
          <w:color w:val="111111"/>
          <w:sz w:val="28"/>
          <w:sz w:val="28"/>
          <w:szCs w:val="28"/>
          <w:rtl w:val="true"/>
          <w:lang w:bidi="ar-SA"/>
        </w:rPr>
        <w:t>، وابن إدريس</w:t>
      </w:r>
      <w:r>
        <w:rPr>
          <w:rStyle w:val="FootnoteAnchor"/>
          <w:rtl w:val="true"/>
        </w:rPr>
        <w:footnoteReference w:id="1039"/>
      </w:r>
      <w:r>
        <w:rPr>
          <w:rFonts w:ascii="Amiri" w:hAnsi="Amiri" w:eastAsia="Amiri" w:cs="Amiri"/>
          <w:color w:val="111111"/>
          <w:sz w:val="28"/>
          <w:sz w:val="28"/>
          <w:szCs w:val="28"/>
          <w:rtl w:val="true"/>
          <w:lang w:bidi="ar-SA"/>
        </w:rPr>
        <w:t>، والسيّد</w:t>
      </w:r>
      <w:r>
        <w:rPr>
          <w:rStyle w:val="FootnoteAnchor"/>
          <w:rtl w:val="true"/>
        </w:rPr>
        <w:footnoteReference w:id="1040"/>
      </w:r>
      <w:r>
        <w:rPr>
          <w:rFonts w:ascii="Amiri" w:hAnsi="Amiri" w:eastAsia="Amiri" w:cs="Amiri"/>
          <w:color w:val="111111"/>
          <w:sz w:val="28"/>
          <w:sz w:val="28"/>
          <w:szCs w:val="28"/>
          <w:rtl w:val="true"/>
          <w:lang w:bidi="ar-SA"/>
        </w:rPr>
        <w:t>وابن بابويه</w:t>
      </w:r>
      <w:r>
        <w:rPr>
          <w:rStyle w:val="FootnoteAnchor"/>
          <w:rtl w:val="true"/>
        </w:rPr>
        <w:footnoteReference w:id="1041"/>
      </w:r>
      <w:r>
        <w:rPr>
          <w:rFonts w:ascii="Amiri" w:hAnsi="Amiri" w:eastAsia="Amiri" w:cs="Amiri"/>
          <w:color w:val="111111"/>
          <w:sz w:val="28"/>
          <w:sz w:val="28"/>
          <w:szCs w:val="28"/>
          <w:rtl w:val="true"/>
          <w:lang w:bidi="ar-SA"/>
        </w:rPr>
        <w:t>، وكثيرٌ من المتأخّرين، بل هو المنسوب إلى المشهور</w:t>
      </w:r>
      <w:r>
        <w:rPr>
          <w:rStyle w:val="FootnoteAnchor"/>
          <w:rtl w:val="true"/>
        </w:rPr>
        <w:footnoteReference w:id="104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044"/>
      </w:r>
      <w:r>
        <w:rPr>
          <w:rFonts w:ascii="Amiri" w:hAnsi="Amiri" w:eastAsia="Amiri" w:cs="Amiri"/>
          <w:color w:val="111111"/>
          <w:sz w:val="28"/>
          <w:sz w:val="28"/>
          <w:szCs w:val="28"/>
          <w:rtl w:val="true"/>
          <w:lang w:bidi="ar-SA"/>
        </w:rPr>
        <w:t>، والعُمّاني</w:t>
      </w:r>
      <w:r>
        <w:rPr>
          <w:rStyle w:val="FootnoteAnchor"/>
          <w:rtl w:val="true"/>
        </w:rPr>
        <w:footnoteReference w:id="1045"/>
      </w:r>
      <w:r>
        <w:rPr>
          <w:rFonts w:ascii="Amiri" w:hAnsi="Amiri" w:eastAsia="Amiri" w:cs="Amiri"/>
          <w:color w:val="111111"/>
          <w:sz w:val="28"/>
          <w:sz w:val="28"/>
          <w:szCs w:val="28"/>
          <w:rtl w:val="true"/>
          <w:lang w:bidi="ar-SA"/>
        </w:rPr>
        <w:t>، وجماعةٌ ممّن تأخّر عنهما، أنّه يتمّ اعتباراً بحال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أنّه يتخيّر بينهما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أنّه يُتمّ في السعة، ويقصّر في الضيق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ومنشأ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النصوص، واختلاف الأنظار في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اعتباره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الصَّلاة، وأنا في السّفر، فلا اُصلّي حتّى أدخل أهلي‌؟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وقت الصَّلاة وأنا في أهلي، اُريد السّفر، فلا اُصلّي حتّى أخرج‌؟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وقصّر، فإنْ لم تفعل فقد خالفت واللّه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اعتباره جملةٌ اُخرى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يدخلُ من سفره، وقد دخل وقت الصَّلاة، وهو في الطريق‌؟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وإنْ خرج إلى سفره، وقد دخل وقت الصَّلاة فليصلِّ أربعاً</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على الرّجل وقت صلاةٍ وهو مُقيم، ثمّ سافر، صَلّى تلك الصَّلاة التي دخل وقتها عليه، وهو مقيمٌ‌، أربع ركعات في سفره</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ونحوهما غيرهما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مقام الجمع بينهما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من حمل الأولى على ما لو خرج بعد الزوال قبل مُضيّ زمانٍ يسعُ الطهارة والصَّلاة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صحيح ابن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اُصلّي حتّى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صورة تمكّنه من الإتيان بها تماماً، مع أنّه تصرّفٌ في الطائفتين بلا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الشيخ</w:t>
      </w:r>
      <w:r>
        <w:rPr>
          <w:rStyle w:val="FootnoteAnchor"/>
          <w:rtl w:val="true"/>
        </w:rPr>
        <w:footnoteReference w:id="1055"/>
      </w:r>
      <w:r>
        <w:rPr>
          <w:rFonts w:ascii="Amiri" w:hAnsi="Amiri" w:eastAsia="Amiri" w:cs="Amiri"/>
          <w:color w:val="111111"/>
          <w:sz w:val="28"/>
          <w:sz w:val="28"/>
          <w:szCs w:val="28"/>
          <w:rtl w:val="true"/>
          <w:lang w:bidi="ar-SA"/>
        </w:rPr>
        <w:t xml:space="preserve">من حمل الاُولى على الاستحباب، والثانية على الإجزاء، والظاهر أنّ مراده ما ذكره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من الالتزام بالتخيير مع أفضليّة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جمعاً تبرّعيّاً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 صحيح إسماعيل المتضمّن أنّه لو لم يقصّر، فقد خالف رسول اللّه صلى الله عليه و آله مؤكّداً ذلك بالقَسَم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 الصدوق</w:t>
      </w:r>
      <w:r>
        <w:rPr>
          <w:rStyle w:val="FootnoteAnchor"/>
          <w:rtl w:val="true"/>
        </w:rPr>
        <w:footnoteReference w:id="1057"/>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 من حمل الأولى على صوره سعة الوقت، والثانية على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جمعاً غير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عنه كثيرٌ من أخبار الباب، كما يظهر لمن لاحظها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أنّهما متعارضتان، لا يمكن الجمع بينهما، فلابدّ من الرجوع إلى المرجّحات، وهي تقتضي تقديم الأولى لأشهريّتها، وموافقتها لعموم ما دلّ على وجوب القصر على المسافر، ومخالفتها للعامّة، وعلى هذا فلا تصل النوبة إلى ما قيل من البناء على التخيير، بمعنى التخيير في المسألة الاُصوليّة، فإنّه إنّما يكون عن عدم المرجّح لأحد المتعارضين، فالأقوى تعيّن القصر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دَخَل من السّفر بعد دخول الوقت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من السّفر بعد دخول الوقت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تعارض النصوص، وأنّ الترجيح مع ما دلّ على أنّ العبرة بحال الأداء، وقد استشهد للتخيير في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منصور بن حازم،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سفرٍ، فدخل عليه وقت الصَّلاة، قبل أن يدخل أهله، فسار حتّى يدخل أهله، فإنْ شاء قصّر وإنْ شاء أتمّ‌، والإتمام أحبُّ إليَّ‌</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عمل الأصحاب به في مورده، ومعارضته بصحيح إسماعيل المتقدّم، الذي عرفت صراحته في تحتّم الإتمام في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المراد التخيير بين أن يُصلّي في الطريق قصراً، وبين أن يدخل أهله فيُصلّي تماماً، كما هو صريح صحيح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الفرع السابق، بموثّق إسحاق،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يَقدم من سفره في وقت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يخاف فوت الوقت فليتمّ‌، وإنْ كان يخاف فوت الوقت فليقصّر</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إباء جملةٍ من النصوص عن هذا الحمل،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إنْ كان في سعةٍ فليدخل وليُتمّ‌، وإنْ كان يخاف الضيق، فليقصر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العبرة بحال الأداء مطلقاً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45" w:name="pg11802_154288"/>
    </w:p>
    <w:p>
      <w:pPr>
        <w:pStyle w:val="Heading4"/>
        <w:numPr>
          <w:ilvl w:val="3"/>
          <w:numId w:val="1"/>
        </w:numPr>
        <w:rPr/>
      </w:pPr>
      <w:bookmarkStart w:id="546" w:name="__RefHeading___Toc10531927_73709187"/>
      <w:bookmarkStart w:id="547" w:name="_Toc205"/>
      <w:bookmarkEnd w:id="545"/>
      <w:bookmarkEnd w:id="546"/>
      <w:r>
        <w:rPr>
          <w:rtl w:val="true"/>
        </w:rPr>
        <w:t>الفصل الثالث</w:t>
      </w:r>
      <w:r>
        <w:rPr>
          <w:rtl w:val="true"/>
        </w:rPr>
        <w:t xml:space="preserve">: </w:t>
      </w:r>
      <w:r>
        <w:rPr>
          <w:rtl w:val="true"/>
        </w:rPr>
        <w:t>في قواطع السّفر</w:t>
      </w:r>
      <w:bookmarkEnd w:id="547"/>
    </w:p>
    <w:p>
      <w:pPr>
        <w:pStyle w:val="Heading5"/>
        <w:numPr>
          <w:ilvl w:val="4"/>
          <w:numId w:val="1"/>
        </w:numPr>
        <w:rPr/>
      </w:pPr>
      <w:bookmarkStart w:id="548" w:name="__RefHeading___Toc10531929_73709187"/>
      <w:bookmarkStart w:id="549" w:name="_Toc206"/>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قواطع السّفر موضوعاً أو حكماً، وهي اُمور</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0531931_73709187"/>
      <w:bookmarkStart w:id="551" w:name="_Toc207"/>
      <w:bookmarkEnd w:id="550"/>
      <w:r>
        <w:rPr>
          <w:rtl w:val="true"/>
        </w:rPr>
        <w:t>الوطن</w:t>
      </w:r>
      <w:bookmarkEnd w:id="551"/>
    </w:p>
    <w:p>
      <w:pPr>
        <w:pStyle w:val="Heading6"/>
        <w:numPr>
          <w:ilvl w:val="5"/>
          <w:numId w:val="1"/>
        </w:numPr>
        <w:rPr/>
      </w:pPr>
      <w:bookmarkStart w:id="552" w:name="__RefHeading___Toc10531933_73709187"/>
      <w:bookmarkStart w:id="553" w:name="_Toc208"/>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فإنّ المرور عليه قاطعٌ للسفر، وموجبٌ للتمام ما دام فيه، ويحتاج في العود الى القصر قصد مسافةٍ جديدة، كما تقدّم تفصيله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 المقام البحث عن أقسام الوطن، فإنّ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قسّموه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واتّخاذي، وشرعي، فلابدَّ من التكلّم في مواضع ثلاثة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0531935_73709187"/>
      <w:bookmarkStart w:id="555" w:name="_Toc209"/>
      <w:bookmarkEnd w:id="554"/>
      <w:r>
        <w:rPr>
          <w:rtl w:val="true"/>
        </w:rPr>
        <w:t>الوطن الأصلي</w:t>
      </w:r>
      <w:bookmarkEnd w:id="555"/>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الأصلي، والمراد به المحلّ الذي يعدّ محلّه ومحلّ آبائه وقرارهم بحيث يُنسب إليه، وصدق الوطن على هذا ممّا لا ريب فيه</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10531937_73709187"/>
      <w:bookmarkStart w:id="557" w:name="_Toc210"/>
      <w:bookmarkEnd w:id="556"/>
      <w:r>
        <w:rPr>
          <w:rtl w:val="true"/>
        </w:rPr>
        <w:t>الوطن العُرفي</w:t>
      </w:r>
      <w:bookmarkEnd w:id="557"/>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الاتّخاذي، والمراد به المحلّ الذي أخذه وطناً لنفسه، ووجوب التمام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لصدق الحاضر عليه، وهو مقابلٌ للمسافر المأخوذ في أدلّة القصر، فيكون باقياً تحت ما دلَّ على وجوب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وللنصوص الخاصّة الدالّة علي أنّ المدار في التمام على الاستيطان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فيمرّ بالمنزل له في الطريق يُتمّ الصَّلاة أو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إنّما هو المنزل الذي توطّنه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عليّبن يقطين،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له ضياعٌ ومنازل،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من منازلك لاتستوطنه فعليك فيه التقصير</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ونحوهما غيرهما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دلّ من الأخبار على أنّ الواجب على أهل كلّ بلدٍ التمام فيه، كموثّق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مكّة إذا زاروا أعليهم إتمام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إذ من أخذ محلّاً وطناً له، صدق عليه عرفاً أنّه من أهل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لوجوب التمام بوجهين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من دخل أهله يُتمّ‌، كصحيح إسماعيل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عَليَّ وقت الصَّلاة، وأنا في السّفر، فلا اُصلّي حتّى أدخل على أهلي‌؟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حَدّ الترخّص، من اعتبار البيت والأهل، وما ماثل ذلك</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من سافر بعد دخول الوقت، وهو عند أهله، ولم يُصلِّ‌</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علّة القصر</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الجميع باعتبار أنّها واردة في مقام بيان أحكامٌ اُخر من وظيفة الداخل في الوطن، بعد دخول الوقت، ووظيفة الخارج عنه بعده، وحَدّ الترخّص، فلا وجه للتمسّك بإطلاقاتها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الوطن العرفي معتبراً، لزم أن يكون غالب النّاس مسافرين مقصّرين في جميع أوقاتهم، من يوم ولادتهم إلى حين الممات، وهو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لزومه للقصر على الخارج عن الوطن العرفي المارّ عليه، من دون قصد إقامة عشرة أيّام، فمن الضروري أنّ هذا قليل المصداق، لا يترتّب محذورٌ على الالتزام بوجوب القصر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استلزامه للقصر على من أقام فيه، فالملازمة فاسدة، فإنّ الغالب قاصدون للإقامة عشرة أيّام في أوطانهم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المقام البحث عن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لا ريب في أنّه لا يعتبر في الوطن الأصلي، حصول مِلك له فيه، وإلّا لزم القصر على كثير من المتوطّنين الّذين لا مِلْك لهم في أوطانهم، وهو بديهي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ذلك في الوطن الاتّخاذي، أم يعتبر وجود منزلٍ مختصّ به، ولو بغير اختصاص الملكيّة، أم لا يعتبر شيء منهما؟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ثالثها المشهور بين الأصحاب</w:t>
      </w:r>
      <w:r>
        <w:rPr>
          <w:rStyle w:val="FootnoteAnchor"/>
          <w:rtl w:val="true"/>
        </w:rPr>
        <w:footnoteReference w:id="1068"/>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Style w:val="FootnoteAnchor"/>
          <w:rtl w:val="true"/>
        </w:rPr>
        <w:footnoteReference w:id="1069"/>
      </w:r>
      <w:r>
        <w:rPr>
          <w:rFonts w:ascii="Amiri" w:hAnsi="Amiri" w:eastAsia="Amiri" w:cs="Amiri"/>
          <w:color w:val="111111"/>
          <w:sz w:val="28"/>
          <w:sz w:val="28"/>
          <w:szCs w:val="28"/>
          <w:rtl w:val="true"/>
          <w:lang w:bidi="ar-SA"/>
        </w:rPr>
        <w:t>، ويشهد له إطلاق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لاعتبار حصول الملك له بصحيح ابن بزيع،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يقصّر في ضيعته‌؟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ينو مقام عشرة أيّام، إلّاأن يكون له فيها منزلٌ يستوطنه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 منزلٌ يُقيم فيه ستّة أشهر، فإذا كان كذلك يتمّ فيها متى دخلها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المنزل أوّلاً وصف بالاستيطان، فيكون هذا آية أن ذكر المنزل في تفسير الاستيطان، إنّما هو لتمهيد ذكر الإقامة، فيكون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استيطان المنزل إنّما هو الإقامة فيه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الإقامة ستّة أشهر، كما عن ظاهر المحقّق في كتابيه</w:t>
      </w:r>
      <w:r>
        <w:rPr>
          <w:rStyle w:val="FootnoteAnchor"/>
          <w:rtl w:val="true"/>
        </w:rPr>
        <w:footnoteReference w:id="1071"/>
      </w:r>
      <w:r>
        <w:rPr>
          <w:rFonts w:ascii="Amiri" w:hAnsi="Amiri" w:eastAsia="Amiri" w:cs="Amiri"/>
          <w:color w:val="111111"/>
          <w:sz w:val="28"/>
          <w:sz w:val="28"/>
          <w:szCs w:val="28"/>
          <w:rtl w:val="true"/>
          <w:lang w:bidi="ar-SA"/>
        </w:rPr>
        <w:t xml:space="preserve">،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وأكثر من تأخّر عنهما؟</w:t>
      </w:r>
    </w:p>
    <w:p>
      <w:pPr>
        <w:pStyle w:val="BookText"/>
        <w:rPr/>
      </w:pPr>
      <w:r>
        <w:rPr>
          <w:rFonts w:ascii="Amiri" w:hAnsi="Amiri" w:eastAsia="Amiri" w:cs="Amiri"/>
          <w:color w:val="111111"/>
          <w:sz w:val="28"/>
          <w:sz w:val="28"/>
          <w:szCs w:val="28"/>
          <w:rtl w:val="true"/>
          <w:lang w:bidi="ar-SA"/>
        </w:rPr>
        <w:t xml:space="preserve">أم لا يعتبر ذلك، وإنّما يعتبر الإقامة فيه بمقدارٍ يصدق أنّه وطنه عرفاً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وغيرها؟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يكفي مجرّد النيَّة كما عن الشيخ الأكبر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w:t>
      </w:r>
      <w:r>
        <w:rPr>
          <w:rFonts w:eastAsia="Amiri" w:cs="Amiri" w:ascii="Amiri" w:hAnsi="Amiri"/>
          <w:color w:val="111111"/>
          <w:sz w:val="28"/>
          <w:szCs w:val="28"/>
          <w:rtl w:val="true"/>
          <w:lang w:bidi="ar-SA"/>
        </w:rPr>
        <w:t>»</w:t>
      </w:r>
      <w:r>
        <w:rPr>
          <w:rStyle w:val="FootnoteAnchor"/>
          <w:rtl w:val="true"/>
        </w:rPr>
        <w:footnoteReference w:id="107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76"/>
      </w:r>
      <w:r>
        <w:rPr>
          <w:rFonts w:ascii="Amiri" w:hAnsi="Amiri" w:eastAsia="Amiri" w:cs="Amiri"/>
          <w:color w:val="111111"/>
          <w:sz w:val="28"/>
          <w:sz w:val="28"/>
          <w:szCs w:val="28"/>
          <w:rtl w:val="true"/>
          <w:lang w:bidi="ar-SA"/>
        </w:rPr>
        <w:t>أنّه لا يخلو عن قوّة‌؟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ابن بزيع المتقدّم</w:t>
      </w:r>
      <w:r>
        <w:rPr>
          <w:rStyle w:val="FootnoteAnchor"/>
          <w:rtl w:val="true"/>
        </w:rPr>
        <w:footnoteReference w:id="1077"/>
      </w:r>
      <w:r>
        <w:rPr>
          <w:rFonts w:ascii="Amiri" w:hAnsi="Amiri" w:eastAsia="Amiri" w:cs="Amiri"/>
          <w:color w:val="111111"/>
          <w:sz w:val="28"/>
          <w:sz w:val="28"/>
          <w:szCs w:val="28"/>
          <w:rtl w:val="true"/>
          <w:lang w:bidi="ar-SA"/>
        </w:rPr>
        <w:t>، بتقريب أنّه فَسّر عليه السلام فيه مطلق الاستيطان الوارد في الروايات بإقامة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من أنّ الأقرب الاشتراط ليتحقّق الاستيطان الشرعي 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من أنّ الاستيطان على هذا الوجه إذا كان معتبراً مع الملك، فمع عدمه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الاستدلال به يتوقّف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الماضي، وستعرف ما في 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ملزم لتحقّق أحدهما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الأولويّة، واعتباره في الشرعي للدليل، لا يلازم مع اعتباره في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الثاني، إذ مجرّد النيّة إنّما يكون نيّة الاستيطان، ولا يصدق عليه الاستيطان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إمكان تعدّد الوطن العرفي، وإنّما الكلام في أنّه هل يعتبر إقامة ستّة أشهر في كلّ سنة، فليس له اتّخاذ أزيد من وطنين، أم لا يعتبر ذلك‌؟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لصحيح ابن بزيع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بستّة أشهر فيه، إنّما هو منزّل على الغالب، فإنّ الغالب في ذي منزلين الذي هو مورد الصحيح، أن يقيم في كلّ منهما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سؤال الراوي ثانياً عن معنى الاستيطان، لكان مكتفياً في الجواب بما ذكره أوّلاً من إطلاق الاستيطان، فيُستكشف من ذلك أنّ المناط صدق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صدق الوطن على ذي أوطان ثلاثة فما فوق، لا يخلو عن إشكال، فاللّازم الأخذ بالمتيقّن، وهو ذو منزلين غير الوطن الأصلي، نعم لا يعتبر تساوي الإقامة في المنزلين،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صدق الاستيطان والوطن، قصد البقاء في محلٍّ ما دام العمر، بل لو كان من قصده البقاء فيه مدّة طويلة كعشرين سنة مثلاً صدق الاستيطان، فإنّ المكان الذي استوطنه عبارة عن المكان الذي أعدّه لأن يحلّ فيه لا على سبيل السفر، بل من جهة حلول الشخص في مستقرّه ومحلّه، وعلى ذلك فالطلّاب المجتمعون في النجف الأشرف أو قُمّ قاصدين تحصيل العلم ماداموا لم يهاجروا عن تلك البلدة لا يصدق علهيم عنوان المسافر، بل ذلك المكان يكون وطناً لهم فيتمّون فيه مطلقاً، ولكن 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 عن وطنه الأصلي أو الاتّخاذي انقطع حكمه، سواءٌ أكان له ملك فيه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كلام فيه، ويشهد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ما دلّ على أنّ المسافر يقصّر صلاته</w:t>
      </w:r>
      <w:r>
        <w:rPr>
          <w:rFonts w:eastAsia="Amiri" w:cs="Amiri" w:ascii="Amiri" w:hAnsi="Amiri"/>
          <w:color w:val="111111"/>
          <w:sz w:val="28"/>
          <w:szCs w:val="28"/>
          <w:rtl w:val="true"/>
          <w:lang w:bidi="ar-SA"/>
        </w:rPr>
        <w:t xml:space="preserve">. </w:t>
      </w:r>
      <w:bookmarkStart w:id="558" w:name="pg11802_154294"/>
    </w:p>
    <w:p>
      <w:pPr>
        <w:pStyle w:val="BookText"/>
        <w:rPr/>
      </w:pPr>
      <w:bookmarkEnd w:id="55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زرارة بابن هاشم</w:t>
      </w:r>
      <w:r>
        <w:rPr>
          <w:rStyle w:val="FootnoteAnchor"/>
          <w:rtl w:val="true"/>
        </w:rPr>
        <w:footnoteReference w:id="1080"/>
      </w:r>
      <w:r>
        <w:rPr>
          <w:rFonts w:ascii="Amiri" w:hAnsi="Amiri" w:eastAsia="Amiri" w:cs="Amiri"/>
          <w:color w:val="111111"/>
          <w:sz w:val="28"/>
          <w:sz w:val="28"/>
          <w:szCs w:val="28"/>
          <w:rtl w:val="true"/>
          <w:lang w:bidi="ar-SA"/>
        </w:rPr>
        <w:t>المتضمّن أنّ النبيّ صلى الله عليه و آله والخلفاء بعده أقاموا ثلاثة أيّام بمنى وقصّروا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ماقيل في وجه عدم الانقطاع، هو ما في صلاة الشيخ الأعظم رحمه الله</w:t>
      </w:r>
      <w:r>
        <w:rPr>
          <w:rStyle w:val="FootnoteAnchor"/>
          <w:rtl w:val="true"/>
        </w:rPr>
        <w:footnoteReference w:id="1081"/>
      </w:r>
      <w:r>
        <w:rPr>
          <w:rFonts w:ascii="Amiri" w:hAnsi="Amiri" w:eastAsia="Amiri" w:cs="Amiri"/>
          <w:color w:val="111111"/>
          <w:sz w:val="28"/>
          <w:sz w:val="28"/>
          <w:szCs w:val="28"/>
          <w:rtl w:val="true"/>
          <w:lang w:bidi="ar-SA"/>
        </w:rPr>
        <w:t>، وهو فحوى ماسيجيء من الحكم في الوطن الشرعي، فإنّ استيطان ستّة أشهر في سنة واحدة إذا كان موجباً لصيرورة المحلّ وطناً ما دام الملك، فالوطن الأصلي مع بقاء الملك بقاء حكمه كذلك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ثبوته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مع الفارق، فإنّ الوطن الشرعي لمّا كان قوامه بالملك، اتّجه القول ببقائه ولو مع الهجرة، وأمّا الوطن الأصلي أو الاتّخاذي، فلا يعتبر فيه الملك، ووجوده وعدمه بالإضافة إليه على حَدٍّ سواء، فجهة الوطنيّة فيهما مختلفة، ولا مانع من أن يكون الهجرة في الأوّل غير مانعٍ عن ثبوت الوطنيّة الشرعيّة، لتحقّق مقومها أعني المِلْك، ومانعاً عنه في الوطن الأصلي أو الاتّخاذي، لعدم دخل الملك فيه، ولعلّه لذلك أمر بالتامل</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10531939_73709187"/>
      <w:bookmarkStart w:id="560" w:name="_Toc211"/>
      <w:bookmarkEnd w:id="559"/>
      <w:r>
        <w:rPr>
          <w:rtl w:val="true"/>
        </w:rPr>
        <w:t>الوطن الشرعي</w:t>
      </w:r>
      <w:bookmarkEnd w:id="560"/>
    </w:p>
    <w:p>
      <w:pPr>
        <w:pStyle w:val="Heading6"/>
        <w:numPr>
          <w:ilvl w:val="5"/>
          <w:numId w:val="1"/>
        </w:numPr>
        <w:rPr/>
      </w:pPr>
      <w:bookmarkStart w:id="561" w:name="__RefHeading___Toc10531941_73709187"/>
      <w:bookmarkStart w:id="562" w:name="_Toc212"/>
      <w:bookmarkEnd w:id="561"/>
      <w:r>
        <w:rPr>
          <w:rtl w:val="true"/>
        </w:rPr>
        <w:t>اشارة</w:t>
      </w:r>
      <w:bookmarkEnd w:id="56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الشرعي، وهو عند المشهور بين المتأخّرين</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أقام فيه ستّة أشهر، مع ثبوت مِلْك له فيه،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يُنسب إلى المشهور اعتبار كون ذلك المحلّ وطناً اتّخاذياً له أعرض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بعضم مطلق الوطن المُعرَض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لثبوت الوطن الشرعي،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عمدتها، صحيح ابن بزيع،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يقصّر في ضيعته‌؟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ينو مقام عشرة أيّام، إلّاأن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الاستيطان‌؟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منزلٌ يُقيم فيه ستّة أشهر، فإذا كان كذلك يتمّ فيها متى دخلها</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بصيغة المضارع، إلّاأنّه بمعنى الماضي، فيكون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فيه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متى أقام فيه هذه المدّة، فيدلّ الخبر على تحقّق الوطن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بأنّ هذا خلاف الظاهر، فإنّ حمل المضارع على إرادة الماضي خلاف الظاهر، فالمراد منه اعتبار كونه ممّا بنى على الإقامة فيه دائماً في كلّ سنة، وهذا المعنى هو الذي حُكي عن الصدوق</w:t>
      </w:r>
      <w:r>
        <w:rPr>
          <w:rStyle w:val="FootnoteAnchor"/>
          <w:rtl w:val="true"/>
        </w:rPr>
        <w:footnoteReference w:id="1086"/>
      </w:r>
      <w:r>
        <w:rPr>
          <w:rFonts w:ascii="Amiri" w:hAnsi="Amiri" w:eastAsia="Amiri" w:cs="Amiri"/>
          <w:color w:val="111111"/>
          <w:sz w:val="28"/>
          <w:sz w:val="28"/>
          <w:szCs w:val="28"/>
          <w:rtl w:val="true"/>
          <w:lang w:bidi="ar-SA"/>
        </w:rPr>
        <w:t>، واستظهره جماعة من متأخّري المتأخّرين</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عنه تأييداً للمشهور بوجوه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088"/>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اتّخاذ منزلٍ وطناً ليس أمراً تدريجي الوجود، بل هو آني فلا يتصوّر فيه سوى الماضي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والاستقبال، إذ بعد الاتّخاذ لا يصدق إلّاأنّه اتّخذه، وقبله لا يصدق إلّاأنّه سيتّخذ، والمفروض أنّه آني، فلا يصدق التلبّس بانقضاء شيءٍ منه، وبقاء شيء آخر منه، وحيث لم يرد منه الاستقبال، فلا محالة يكون المراد منه الماضي، وبعد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استوطن، لزم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فُسّر الاستيطان به، على معنى أقام إذ الاستيطان في الماضي لا يُعقل أن يكون بالإقامة في المستقبل، فيكون مفاد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الاستيطان عبارة عن إقامة ستّة أشهرٍ في مكان له ملك، وهذا هو المراد من الوطن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منزلٌ يُقيم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جهة توصيف المنزل بالإقامة، ظاهرٌ في الاعداد والتجدّد والفعليّة في كلّ سنة، وكونه تفسيراً لاتّخاذ الوطن لاينافي ذلك، إذ هو وإنْ كان أمراً قصديّاً، وبهذا الاعتبار لا يتصوّر فيه سوى الماضي والاستقبال، إلّاأنّ الذي وقع في تفسيره إنّما هو القصد على المقام فيه في كلّ سنةٍ فترة ستّة أشهر، لا الإقامة فيما بعد، فيكون مفاد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محلٍّ وطناً إنّما يكون بالقصد، على أن يقيم فيه كلّ سنةٍ فترة ستّة أشهر، وهذا هو الوطن العرفي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الصحيح على إرادة الوطن العرفي بالتقريب المتقدّم لا يصحّ‌، فإنّ الوطن بذلك المعنى أمرٌ معلوم لدى العرف، فكيف يسأل السائل مع جلالة شأنه عنه، فيستكشف من ذلك أنّ للاستيطان معنى آخر مراداً للشارع، ويكون السؤال والجواب واردين لبيانه وهو الوطن الشرعي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المفروض في الصحيح أنّ للسائل وطناً آخر غير الضيعة، وأنّها لم تكن مقرّاً دائميّاً له، وبرغم ذلك حكم الإمام عليه السلام بالتمام على فرض </w:t>
      </w:r>
    </w:p>
    <w:p>
      <w:pPr>
        <w:pStyle w:val="BookText"/>
        <w:rPr/>
      </w:pPr>
      <w:r>
        <w:rPr>
          <w:rFonts w:ascii="Amiri" w:hAnsi="Amiri" w:eastAsia="Amiri" w:cs="Amiri"/>
          <w:color w:val="111111"/>
          <w:sz w:val="28"/>
          <w:sz w:val="28"/>
          <w:szCs w:val="28"/>
          <w:rtl w:val="true"/>
          <w:lang w:bidi="ar-SA"/>
        </w:rPr>
        <w:t>الاستيطان، سأل السائل عن الاستيطان في الضيعة التي ليست مقرّه الدائمي، فأجابه عليه السلام بأنّه يكفي في صدق الوطن البناء على الإقامة ستّة أشهر من كلّ سنة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السؤال عن الاُمور الواضحة ليس بعزيز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اعتبار الملك والمنزل، فلو حُمل الاستيطان على الفعلي المساوق للعرفي، لزم مخالفة الإجماع، إذ لا يعتبر في الوطن العرفي المِلْك إجماعاً، فلابدّ وأنْ يُحمل على الماضي، فيثبت مطلوب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الموضع الأوّل في الجهة الاُولى، مع أنّ الإجماع على عدم اعتبار المنزل لا يصلح قرينةً لرفع اليد عن ظهور الاستيطان في الفعلي، وإنّما يوجبُ رفع اليد عن ظهور الخبر في اعتباره لو كان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جدّنا العلّامة رحمه الله</w:t>
      </w:r>
      <w:r>
        <w:rPr>
          <w:rStyle w:val="FootnoteAnchor"/>
          <w:rtl w:val="true"/>
        </w:rPr>
        <w:footnoteReference w:id="1089"/>
      </w:r>
      <w:r>
        <w:rPr>
          <w:rFonts w:ascii="Amiri" w:hAnsi="Amiri" w:eastAsia="Amiri" w:cs="Amiri"/>
          <w:color w:val="111111"/>
          <w:sz w:val="28"/>
          <w:sz w:val="28"/>
          <w:szCs w:val="28"/>
          <w:rtl w:val="true"/>
          <w:lang w:bidi="ar-SA"/>
        </w:rPr>
        <w:t>، وإنْ استشكل فيه قدس سره وهو أنّ النصوص المتضمّنة للوطن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التمام في الضيعة مطلقاً، كصحيح إسماعيل بن الفضل،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يُسافر من أرضٍ إلى أرض، وإنّما ينزل قراه وضيعته‌؟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قراك وأرضك فأتمّ الصَّلاة، وإذا كنت في غير أرضك فقصّر</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ونحوه غيره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القصر فيها مطلقاً كخبر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ضيعةً له، ثمّ لم يرد المقام عشرة أيّام قصّر، وإنْ أراد المقام عشرةم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أيّام أتمَّ الصَّلاة</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والتعارض بين القسمين إنّما هو فيما إذا اتّخذ الضيعة وطناً عرفيّاً شرعيّاً، إذ لا إشكال ولا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ما إذا اتّخذها وطناً عرفيّاً عن الثاني، ودخوله في الأوّل، كما لا كلام في خروج ما إذا مرّ بالضيعة من دون أن يأخذها وطناً عرفيّاً أو شرعيّاً عن الأوّل ودخوله في الثاني، ويرتفع التعارض بدخول مورد التعارض في أحد القسمين، لكن لو قلنا بدخوله تحت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دلَّ على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حمل الإطلاقات الكثيرة الدالّة على التمام على الفرد النادر، وهو أخذُ الضيعة وطناً عرفيّاً دائميّاً لنفسه، وهذا بخلاف ما لو قلنا بدخوله تحت القسم الأوّل، فإنّه يوجب حمل كلٍّ من القسمين على الفرد المتعارف الشائع، فيتعيّن ذلك، لأنّه يوجب أقوائيّة الأوّل في مورد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الأقوائيّة لا يصلح شاهدا للجمع، بل الجمع المقبول هو الجمع العرفي، ومن الواضح أنّ هذين القسمين لو اُلقيا إلى العرف لا يرى العرف أحدهما قرينةً على الآخر، بل يرونهما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في المقام قسماً ثالثاً يشهد للجمع بينهما، وهو ما دلَّ على حصر التمام في المنزل الذي توطّنه، وأنّ المناط الاستيطان، كصحيح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فيمرّ بالمنزل له في الطريق يتمّ الصَّلاة أم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إنّما هو المنزل الذي توطّنه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 وهذا القسم يوجبُ حمل القسم الأوّل على المنزل الذي اتّخذه وطناً عرفيّاً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63" w:name="pg11802_154299"/>
    </w:p>
    <w:p>
      <w:pPr>
        <w:pStyle w:val="BookText"/>
        <w:rPr/>
      </w:pPr>
      <w:bookmarkEnd w:id="5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اُمورٌ اُخر استندوا إليها في إثبات الوطن الشرعي، لكن لأجل وضوح فسادها أغمضنا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الوطن الشرعي غير ثابتٍ‌، وأنّ المدار في التمام على تحقّق مفهوم الاستيطان عرفاً</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10531943_73709187"/>
      <w:bookmarkStart w:id="565" w:name="_Toc213"/>
      <w:bookmarkEnd w:id="564"/>
      <w:r>
        <w:rPr>
          <w:rtl w:val="true"/>
        </w:rPr>
        <w:t>ما يعتبر في الوطن الشرعي على القول به</w:t>
      </w:r>
      <w:bookmarkEnd w:id="565"/>
    </w:p>
    <w:p>
      <w:pPr>
        <w:pStyle w:val="BookText"/>
        <w:rPr/>
      </w:pPr>
      <w:r>
        <w:rPr>
          <w:rFonts w:ascii="Amiri" w:hAnsi="Amiri" w:eastAsia="Amiri" w:cs="Amiri"/>
          <w:color w:val="111111"/>
          <w:sz w:val="28"/>
          <w:sz w:val="28"/>
          <w:szCs w:val="28"/>
          <w:rtl w:val="true"/>
          <w:lang w:bidi="ar-SA"/>
        </w:rPr>
        <w:t>ثمّ إنّ هاهنا اُموراً لابدَّ من التنبيه عليها، على القول بثبوت الوطن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تكفي الإقامة ستّة أشهر على أيّ وجه اتّفقت، أم يعتبر فيها كونها عن قصد التوطّن، فيعتبر في الوطن الشرعي استيطانه الدائمي أوّلاً، ثمّ مُضيّ ستّة أشهر مقارناً لاستمرار ذلك القصد، ثمّ الإعراض عن ذلك المكان‌؟</w:t>
      </w:r>
    </w:p>
    <w:p>
      <w:pPr>
        <w:pStyle w:val="BookText"/>
        <w:rPr/>
      </w:pP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ومنهما يحدث وجهٌ ثالث، وهو اعتبار الاستيطان الدائمي أوّلاً، ثمّ إقامة ستّة أشهر على أيّ وجهٍ اتّفقت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أنّ الستّة في قوله عليه السلام في صحيح ابن بزيع في جواب السؤال عن الاستيطان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منزلٌ يُقيم فيه ستّة أشهر</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قيد للوطن المأخوذ في الاستيطان، أو للاتّخاذ المأخوذ فيه بمقتضى صيغة الاستفعال، إذ على الأوّل يكون المراد اتّخاذ المنزل مقراً لمدّة ستّة أشهر، وعلى الثاني يكون المراد اتّخاذ المنزل في ستّة أشهر وطناً ومقرّاً دائميّاً 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فإنّ القيد في الصحيح إنّما يرجع الى الإقامة لا </w:t>
      </w:r>
    </w:p>
    <w:p>
      <w:pPr>
        <w:pStyle w:val="BookText"/>
        <w:rPr/>
      </w:pPr>
      <w:r>
        <w:rPr>
          <w:rFonts w:ascii="Amiri" w:hAnsi="Amiri" w:eastAsia="Amiri" w:cs="Amiri"/>
          <w:color w:val="111111"/>
          <w:sz w:val="28"/>
          <w:sz w:val="28"/>
          <w:szCs w:val="28"/>
          <w:rtl w:val="true"/>
          <w:lang w:bidi="ar-SA"/>
        </w:rPr>
        <w:t>الوطن، وقد فُسّر فيه الاستيطان بالإقامة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اعتبار كون الإقامة ستّة أشهر في منزل له، والظاهر من كون مكانٍ منزلاً له، كونه مقرّه المأخوذ وطناً له، وقد صرّح بذلك في 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لا تستوطنه، فليس لك بمنزل</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 فالأظهر اعتبار كونها عن قصد التوطّن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في الوطن الشرعي أن يكون له فيه ملكٌ عين، أم يكفي إقامة ستّة أشهر في منزلٍ له، ولو كان على نحو الاختصاص‌؟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له منزلٌ يُقيم فيه</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إذا كان متعلّقها قابلاً للجِدة الاعتباريّة، تكون ظاهرة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w:t>
      </w:r>
      <w:r>
        <w:rPr>
          <w:rStyle w:val="FootnoteAnchor"/>
          <w:rtl w:val="true"/>
        </w:rPr>
        <w:footnoteReference w:id="1097"/>
      </w:r>
      <w:r>
        <w:rPr>
          <w:rFonts w:ascii="Amiri" w:hAnsi="Amiri" w:eastAsia="Amiri" w:cs="Amiri"/>
          <w:color w:val="111111"/>
          <w:sz w:val="28"/>
          <w:sz w:val="28"/>
          <w:szCs w:val="28"/>
          <w:rtl w:val="true"/>
          <w:lang w:bidi="ar-SA"/>
        </w:rPr>
        <w:t>، وهو أنّه لو لم يرد منها ملكيّة المنزل، لم يكن وجهٌ في اعتبار المنزل في الاستيطان في الضيعة، لأنّ الاستيطان فيها لا يكون إلّافي منزل، فكان 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يستوطنه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اللّام لا تفيد إلّاالاختصاص، خصوصاً بالنسبة إلى المنازل، فإنّها تفيد الاختصاص من حيث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الجهة الاُولى من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بموثّق عمّار، عن مولاناالصادق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في سفرٍ فيمرّ بقريةٍ له أو دار، فينزل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ولو لم يكن له إلّانخلة واحدة، ولا يقصّر، وليصم إذا حضره الصوم وهو فيها</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يُستدلّ له بالنصوص المتضمّنة، لأنّ المدار على الملك</w:t>
      </w:r>
      <w:r>
        <w:rPr>
          <w:rStyle w:val="FootnoteAnchor"/>
          <w:rtl w:val="true"/>
        </w:rPr>
        <w:footnoteReference w:id="1099"/>
      </w:r>
      <w:r>
        <w:rPr>
          <w:rFonts w:ascii="Amiri" w:hAnsi="Amiri" w:eastAsia="Amiri" w:cs="Amiri"/>
          <w:color w:val="111111"/>
          <w:sz w:val="28"/>
          <w:sz w:val="28"/>
          <w:szCs w:val="28"/>
          <w:rtl w:val="true"/>
          <w:lang w:bidi="ar-SA"/>
        </w:rPr>
        <w:t>بالتقريب المتقدّم في الجواب عمّا استدلّ به جدّنا العلّامة للوطن الشرعي، فالأظهر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إقامة ستّة أشهر، أن تكون متوالية، لأنّ الظاهر من تقدير شيءٍ قابل للاستمرار والدوام، بجعل مقدارٍ من الزمان ظرفاً له، هو اعتبار وحدته، وعدم انفصال بعض أجزائه عن بعض، ألا ترى أنّه لو أمر المولى عبده بالجلوس ثلاث ساعات في المسجد، لا يشكّ أحدٌ في ظهوره في إرادة الجلوس مستمرّاً، فلو جلس ساعة في أوّل النهار، وساعة في وسطه، وساعة في آخره، لايكون ممتثلاً 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اُمور، لأجل وضوحها أغمضنا عن 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66" w:name="pg11802_154302"/>
    </w:p>
    <w:p>
      <w:pPr>
        <w:pStyle w:val="BookText"/>
        <w:rPr/>
      </w:pPr>
      <w:bookmarkEnd w:id="566"/>
      <w:r>
        <w:rPr>
          <w:rFonts w:ascii="Amiri" w:hAnsi="Amiri" w:eastAsia="Amiri" w:cs="Amiri"/>
          <w:color w:val="111111"/>
          <w:sz w:val="28"/>
          <w:sz w:val="28"/>
          <w:szCs w:val="28"/>
          <w:rtl w:val="true"/>
          <w:lang w:bidi="ar-SA"/>
        </w:rPr>
        <w:t>ولو نَوى المسافر إقامة عشرة أيّام أتمّ‌</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0531945_73709187"/>
      <w:bookmarkStart w:id="568" w:name="_Toc214"/>
      <w:bookmarkEnd w:id="567"/>
      <w:r>
        <w:rPr>
          <w:rtl w:val="true"/>
        </w:rPr>
        <w:t>قاطعيّة الإقامة لعشرة أيّام</w:t>
      </w:r>
      <w:bookmarkEnd w:id="568"/>
    </w:p>
    <w:p>
      <w:pPr>
        <w:pStyle w:val="Heading6"/>
        <w:numPr>
          <w:ilvl w:val="5"/>
          <w:numId w:val="1"/>
        </w:numPr>
        <w:rPr/>
      </w:pPr>
      <w:bookmarkStart w:id="569" w:name="__RefHeading___Toc10531947_73709187"/>
      <w:bookmarkStart w:id="570" w:name="_Toc215"/>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الثاني من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إقامة عشرة أيّام متواليات في مكانٍ واحد، وقد تقدّم تنقيح القول فيه في شروط القصر، وعرفت أنّه قاطعٌ للسفر لا لحكمه، وقد تقدّم أيضاً أنّه لا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المسافر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البالغة حَدّ التواتر</w:t>
      </w:r>
      <w:r>
        <w:rPr>
          <w:rStyle w:val="FootnoteAnchor"/>
          <w:rtl w:val="true"/>
        </w:rPr>
        <w:footnoteReference w:id="1100"/>
      </w:r>
      <w:r>
        <w:rPr>
          <w:rFonts w:ascii="Amiri" w:hAnsi="Amiri" w:eastAsia="Amiri" w:cs="Amiri"/>
          <w:color w:val="111111"/>
          <w:sz w:val="28"/>
          <w:sz w:val="28"/>
          <w:szCs w:val="28"/>
          <w:rtl w:val="true"/>
          <w:lang w:bidi="ar-SA"/>
        </w:rPr>
        <w:t>فلا مورد لإطالة الكلام في أصل المسألة، وإنّما يقع البحث في المقام عن اُمور</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0531949_73709187"/>
      <w:bookmarkStart w:id="572" w:name="_Toc216"/>
      <w:bookmarkEnd w:id="571"/>
      <w:r>
        <w:rPr>
          <w:rtl w:val="true"/>
        </w:rPr>
        <w:t>لا دَخَل في ذكر البلد والضيعة في الحكم</w:t>
      </w:r>
      <w:bookmarkEnd w:id="57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جملة من النصوص من تخصيص البلد والضيعة بالذكر، إنّما يكون من باب التمثيل، ولا دَخَل لهما في الحكم، لإطلاق بعض النصوص الاُخر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فأيقنتَ أنّ لك بها مقام عشرة أيّام فأتمّ الصَّلاة</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3" w:name="__RefHeading___Toc10531951_73709187"/>
      <w:bookmarkStart w:id="574" w:name="_Toc217"/>
      <w:bookmarkEnd w:id="573"/>
      <w:r>
        <w:rPr>
          <w:rtl w:val="true"/>
        </w:rPr>
        <w:t>المراد بنيّة الإقامة هو الجزم بالبقاء</w:t>
      </w:r>
      <w:bookmarkEnd w:id="57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بنيّة الإقامة في كلمات الفقهاء، ليس هو القصد الخاص المعبّر عنه في كلماتهم بالنيّة، المعتبر في تحقّقها الاختيار، بل المراد بها الجزم بالبقاء ولو بأسباب قهريّة،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 صحيح زرارة المتقدّم وغيره، والمراد بالجزم هو ما لا ينافيه الاحتمالات البعيدة، التي لا ينظر اليها في </w:t>
      </w:r>
      <w:bookmarkStart w:id="575" w:name="pg11802_154303"/>
    </w:p>
    <w:p>
      <w:pPr>
        <w:pStyle w:val="BookText"/>
        <w:rPr/>
      </w:pPr>
      <w:bookmarkEnd w:id="575"/>
      <w:r>
        <w:rPr>
          <w:rFonts w:ascii="Amiri" w:hAnsi="Amiri" w:eastAsia="Amiri" w:cs="Amiri"/>
          <w:color w:val="111111"/>
          <w:sz w:val="28"/>
          <w:sz w:val="28"/>
          <w:szCs w:val="28"/>
          <w:rtl w:val="true"/>
          <w:lang w:bidi="ar-SA"/>
        </w:rPr>
        <w:t>العرف والعادة</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0531953_73709187"/>
      <w:bookmarkStart w:id="577" w:name="_Toc218"/>
      <w:bookmarkEnd w:id="576"/>
      <w:r>
        <w:rPr>
          <w:rtl w:val="true"/>
        </w:rPr>
        <w:t>يشترط وحدة محلّ الإقامة بلا خلافٍ‌</w:t>
      </w:r>
      <w:bookmarkEnd w:id="57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وحدة محلّ الإقامة بلا خلافٍ‌، لظهور الأدلّة في اعتبار الإقامة الواحدة المستمرّة، ومن عَزَم على إقامة عشرة أيّام في بلدين، بأنْ يُقيم في كلّ بلدٍ خمساً لا يقال عنه إنّه عازمٌ على إقامة عشرة أيّام في أرض معيّنة، ولا ينافيه ما ورد في موثّق عبد 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له الضياع بعضها قريبٌ من بعض، يخرج فيُقيم فيها، أيُتمّ أو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103"/>
      </w:r>
      <w:r>
        <w:rPr>
          <w:rFonts w:ascii="IRNazanin" w:hAnsi="IRNazanin" w:eastAsia="IRNazanin"/>
          <w:color w:val="111111"/>
          <w:sz w:val="28"/>
          <w:sz w:val="28"/>
          <w:szCs w:val="28"/>
          <w:rtl w:val="true"/>
          <w:lang w:bidi="fa-IR"/>
        </w:rPr>
        <w:t>والصدوق</w:t>
      </w:r>
      <w:r>
        <w:rPr>
          <w:rStyle w:val="FootnoteAnchor"/>
          <w:rtl w:val="true"/>
        </w:rPr>
        <w:footnoteReference w:id="1104"/>
      </w:r>
      <w:r>
        <w:rPr>
          <w:rFonts w:ascii="Amiri" w:hAnsi="Amiri" w:eastAsia="Amiri" w:cs="Amiri"/>
          <w:color w:val="111111"/>
          <w:sz w:val="28"/>
          <w:sz w:val="28"/>
          <w:szCs w:val="28"/>
          <w:rtl w:val="true"/>
          <w:lang w:bidi="ar-SA"/>
        </w:rPr>
        <w:t>نحوه،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يحتمل أن يكون المراد منه، ما دلَّ عليه بعض النصوص من وجوب التمام في الضيعة، وقد تقدّم الكلام فيه، فيكون أجنبيّاً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بين الأعلام في بيان المراد من الوحدة المعتبرة في محلّ الإقامة، إذ لا ريب في أنّ المراد ليس الوحدة الحقيقيّة، كي ينافيها تردّد المقيم في البلد من داره إلى المسجد، ولا الوحدة الاعتباريّة، لاختلافها جدّاً، مثلاً البلاد المتعدّدة الكثيرة تكون واحدة ببعض الاعتبارات كما هو الحال في إيران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w:t>
      </w:r>
      <w:r>
        <w:rPr>
          <w:rStyle w:val="FootnoteAnchor"/>
          <w:rtl w:val="true"/>
        </w:rPr>
        <w:footnoteReference w:id="1105"/>
      </w:r>
      <w:r>
        <w:rPr>
          <w:rFonts w:ascii="Amiri" w:hAnsi="Amiri" w:eastAsia="Amiri" w:cs="Amiri"/>
          <w:color w:val="111111"/>
          <w:sz w:val="28"/>
          <w:sz w:val="28"/>
          <w:szCs w:val="28"/>
          <w:rtl w:val="true"/>
          <w:lang w:bidi="ar-SA"/>
        </w:rPr>
        <w:t xml:space="preserve">هو الوحدة الاعتباريّة، بلحاظ عنوان الإقامة، فإذا كانت الأمكنة المتعدّدة حقيقةً بنحوٍ لا يكون تعدّدها موجباً لتعدّد الإقامة عرفاً فيها، كانت مكاناً واحداً بذلك الاعتبار، وإنْ كانت موجبة لتعدّد الإقامة </w:t>
      </w:r>
    </w:p>
    <w:p>
      <w:pPr>
        <w:pStyle w:val="BookText"/>
        <w:rPr/>
      </w:pPr>
      <w:r>
        <w:rPr>
          <w:rFonts w:ascii="Amiri" w:hAnsi="Amiri" w:eastAsia="Amiri" w:cs="Amiri"/>
          <w:color w:val="111111"/>
          <w:sz w:val="28"/>
          <w:sz w:val="28"/>
          <w:szCs w:val="28"/>
          <w:rtl w:val="true"/>
          <w:lang w:bidi="ar-SA"/>
        </w:rPr>
        <w:t>عرفاً كانت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الإقامة وتعدّدها تابعة لوحدة محلّها وتعدّده، فلا وجه لتعريفها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تعريفٌ بأمر مجهول، لعدم وضوح ملاك وحدة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الكون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هو الإيكال إلى العرف، أي أنّ المراد منها هو الوحدة الملحوظة في الوطن، بمعنى أنّه لو فرضنا كون ذلك المحلّ وطناً له، عُدّ بنظر العرف واحداً، وعلى هذا فلابدّ من ملاحظة خصوصيّات الأمكنة، مثلاً لا تلاحظ بلاد العراق بما هي وطناً للشخص، بل بلد منه فلا تكون بهذا اللّحاظ واحدة، بخلاف محلّات البلد، فإنّه بهذا اللّحاظ لا تعدّ كلّ محلّة بما هي في قبال الاُخرى‌، بل المجموع يعدّ مكاناً واحداً، فالمعتبر في محلّ الإقامة هو الوحدة بهذا المعنى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هو المحلّ الذي لو اُضيفت إليه الإقامة وقيل إنّ فلاناً أقام في هذا المحلّ‌، لا تكون النسبة مجملة بنظر العرف، بخلاف ما لو قيل إنّ زيداً أقام في إيران شهراً، كان ذلك مجملاً، ولا يصحّ عندهم السكوت عليه، بل يسألون عن أنّه ساكن في أيّ بلدٍ منه، وهذا بخلاف ما لو اُضيفت الإقامة إلى البلد</w:t>
      </w:r>
      <w:r>
        <w:rPr>
          <w:rFonts w:eastAsia="Amiri" w:cs="Amiri" w:ascii="Amiri" w:hAnsi="Amiri"/>
          <w:color w:val="111111"/>
          <w:sz w:val="28"/>
          <w:szCs w:val="28"/>
          <w:rtl w:val="true"/>
          <w:lang w:bidi="ar-SA"/>
        </w:rPr>
        <w:t>.</w:t>
      </w:r>
      <w:bookmarkStart w:id="578" w:name="pg11802_154305"/>
    </w:p>
    <w:p>
      <w:pPr>
        <w:pStyle w:val="Heading6"/>
        <w:numPr>
          <w:ilvl w:val="5"/>
          <w:numId w:val="1"/>
        </w:numPr>
        <w:rPr/>
      </w:pPr>
      <w:bookmarkStart w:id="579" w:name="__RefHeading___Toc10531955_73709187"/>
      <w:bookmarkStart w:id="580" w:name="_Toc219"/>
      <w:bookmarkEnd w:id="578"/>
      <w:bookmarkEnd w:id="579"/>
      <w:r>
        <w:rPr>
          <w:rtl w:val="true"/>
        </w:rPr>
        <w:t>قَصدُ الخروج عن السّور لا ينافي الإقامة</w:t>
      </w:r>
      <w:bookmarkEnd w:id="580"/>
    </w:p>
    <w:p>
      <w:pPr>
        <w:pStyle w:val="Heading6"/>
        <w:numPr>
          <w:ilvl w:val="5"/>
          <w:numId w:val="1"/>
        </w:numPr>
        <w:rPr/>
      </w:pPr>
      <w:bookmarkStart w:id="581" w:name="__RefHeading___Toc10531957_73709187"/>
      <w:bookmarkStart w:id="582" w:name="_Toc220"/>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بين الأعلام في أنّ نيّة الخروج عن حدود سور البلد أو عن حَدّ الترخّص، هل تُنافي قصد إقامة العشرة ليعتبر عدمها، أم لا؟ فيقع البحث هنا عن مسألتين</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10531959_73709187"/>
      <w:bookmarkStart w:id="584" w:name="_Toc221"/>
      <w:bookmarkEnd w:id="583"/>
      <w:r>
        <w:rPr>
          <w:rtl w:val="true"/>
        </w:rPr>
        <w:t>منافاة قصد الخروج لقصد إقامة العشرة في ابتداء الإقامة</w:t>
      </w:r>
      <w:bookmarkEnd w:id="584"/>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قصد الخروج لقصد إقامة العشرة في ابتداء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له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عدم الخروج عن مدار سور البلد، ولو إلى ما دون حَدّ الترخّص، وقد نُسب ذلك إلى الفاضل التوني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ممّا يدلّ على اشتهار هذا القول في عصرهما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عدم الخروج إلى ما زاد على حَدّ الترخّص، والظاهر أنّ هذا هو المشهور بين الأصحاب، بل هو المتّفق عليه إلى زمان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إضرار قصد الخروج إلى ما دون المسافة، وهو المنسوب إلى فخر المحقّقين، واختاره الكاشاني، ونُسب إلى الاُستاذ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واختاره جمعٌ من المتأخّرين</w:t>
      </w:r>
      <w:r>
        <w:rPr>
          <w:rStyle w:val="FootnoteAnchor"/>
          <w:rtl w:val="true"/>
        </w:rPr>
        <w:footnoteReference w:id="1107"/>
      </w:r>
      <w:r>
        <w:rPr>
          <w:rFonts w:ascii="Amiri" w:hAnsi="Amiri" w:eastAsia="Amiri" w:cs="Amiri"/>
          <w:color w:val="111111"/>
          <w:sz w:val="28"/>
          <w:sz w:val="28"/>
          <w:szCs w:val="28"/>
          <w:rtl w:val="true"/>
          <w:lang w:bidi="ar-SA"/>
        </w:rPr>
        <w:t>عنه، ولكنّهم اعتبروا الرجوع ليومه أو ليلته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نسبة هذا القول إلى المصنّف رحمه الله، فهي خطأٌ واشتباهٌ وخلط بين هذه </w:t>
      </w:r>
    </w:p>
    <w:p>
      <w:pPr>
        <w:pStyle w:val="BookText"/>
        <w:rPr/>
      </w:pPr>
      <w:r>
        <w:rPr>
          <w:rFonts w:ascii="Amiri" w:hAnsi="Amiri" w:eastAsia="Amiri" w:cs="Amiri"/>
          <w:color w:val="111111"/>
          <w:sz w:val="28"/>
          <w:sz w:val="28"/>
          <w:szCs w:val="28"/>
          <w:rtl w:val="true"/>
          <w:lang w:bidi="ar-SA"/>
        </w:rPr>
        <w:t>المسألة والمسألة الثانية، كما أنّ هذا الوهم أوجبَ الاستدلال ببعض ما 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للأوّل بأنّ هذا هو معنى الإقامة في البلد حقيقة، إذ البلد اسمٌ لمجتمع دورٍ، وما أحاط به سور، وعليه فلابدّ من الالتزام بمنافاة قصد الخروج عنه ولو إلى ما دون حَدّ الترخّص لقصد إقامة عشرة أيّام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ندّعي أنّ عنوان البلد له حقيقة شرعيّة، وحَدّه خفاء الأذان والجدران، كي يرد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من منع ذلك، بل ندَّعي أنّ ما دون حَدّ الترخّص من توابع البلد عرفاً، ولا يعدّ عند العرف مغايراً لمحلّ الإقامة، فإنّ من يسمع أذان البلد ويرى جدرانه لا يعدّ غائباً عن البلد، ومرتحلاً وذاهباً عنه، بل هو حاضر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للمنع عن قصد الخروج إلى ما دون حَدّ الترخّص، فهذا القول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ذكرناه بين المكث الطويل والقصير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مدرك القول الثاني المؤلّف من دعويين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إضرار قصد الخروج إلى ما دون حَدّ الترخّص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عدم الخروج عن حَدّ الترخّص إلى ما دون المسافة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الدعوى الاُولى تُثبت بما أُورد على الاستدلال للقول الأوّل، والدعوى الثانية تُثبت بذلك الدليل، من جهة أنّ ما فوق حَدّ الترخّص مغاير للبلد، فقصد الخروج إليه ينافي قصد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اعتبار قصد عدم التجاوز عن حَدّ الترخّص، يتوقّف على أحد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القول بأنّ الإقامة عبارة عن كون المحلّ مقرّاً له ومحطّاً لرحله، كي لا ينافيه قصد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القول بعدم اعتبار التوالي في العشرة، فلا يضرّ قصد الخروج إذا قصد الإضافة إلى العشرة بمقدارٍ يقصد الخروج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القول بعدم اعتبار وحدة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الإقامة في بلدٍ في مدّةٍ من الزمان، عبارة عن بقائه فيه متخليّاً عمّا هو شغل المسافرين في كلّ يوم من قطع مسافة قصيرة أو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عبارة عن الحضور الدائم في المحلّ دون أن يتركه ولو لفترةٍ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خلاف في اعتبار التوالي، والشاهد عليه نصوص التحديد بأجمعها، إذ الظاهر من تقدير شيء قابل للاستمرار والدوام بجعل مقدارٍ من الزمان ظرفاً له، هو اعتبار وحدته، وعدم انفصال بعض أجزائه عن بعض، ألا ترى أنّه لو أمر المولى عبده بالجلوس ثلاث ساعات في محلٍّ خاصّ‌، لا يشكّ أحدٌ في ظهوره في إرادة الجلوس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اعتبار وحدة محلّ الإقامة مفصّلاً في الأمرالثالث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إذا رجع ليومه أو ليلته،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هي الإقامة العرفيّة، وهي لا تنافي مع هذا المقدار من الخروج</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بالإقامة العرفيّة، كون العرف هو المرجع في تعيين مفهوم الإقامة فهذا ممّا لا ريب فيه، إلّاأنّ الإقامة عندهم ليست إلّاما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الرجوع إليهم في تطبيق المفهوم على المصداق، وأنّه عادةً تُراعى المسامحات العرفيّة في هذا المقام، فهو فاسدٌ، إذ المسامحات العرفيّة في هذا المقام مرفوضة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الإقامة ليست إلّاكون المحلّ مقرّاً له، ومحطّاً لرحله، وبديهي أنّ هذا لاينافي مع الخروج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ما فيه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عدم الإضرار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إبراهيم الحضيني،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استأمرت أبا جعفر عليه السلام في الإتمام والتقصر؟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عشرة أيّام وأتمّ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أقدم مكّة قبل التروية بيوم أو يومين أو ثلاثة‌؟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مقام عشرة أيّام وأتمّ الصَّلاة</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القصد في الفرض لا محالة يكون قاصداً الخروج إلى عرفات للحجّ قبل مُضيّ العشرة، فيدلّ الخبر على عدم إضراره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لعدم ثبوت وثاقة محمّد بن إبراهيم ولا حسنه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تماميّة الاستدلال به تتوقّف على عدم كون عرفات مسافة ولو لمن لا يرجع من يومه، وإلّا فالخبر ممّا اتّفق الأصحاب على طرحه وعدم العمل به، والثابت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يتوقّف على عدم كون عرفات على أربعة فراسخ من مكّة، أو عدم كون الأربعة مع عدم الرجوع ليومه مسافة، وإلّا فالخبر لم يعمل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إنّما أفتوا بمضرّية قصد الخروج إلى المسافة التي يتعيّن فيها القصر، ولم يتعرّضوا لقصد المسافة التي يصبح المكلّف فيها بالخيار بين القصر والتمام كما في الأربعة مع مبيت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دخل خصوص مكّة في هذا الحكم، أي وجوب الإتمام لو نوى مثل هذه الإقامة المتخلّلة بقطع هذه المسافة، كما أنّ أصل جواز الإتمام أو رجحانه للمسافر مختصٌّ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نظر الشيخ رحمه الله</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باعتبار النيّة، مع علم عدم الإقامة في مكّة خاصّة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وهو بمنزلة أهل مكّة، فإذا خرج إلى منى وجب عليه التقصير، فإذا زار البيت أتمّ الصَّلاة إذا رجع إلى منى حتّى ينفر</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يتمّ حكمه عليه السلام بوجوب الإتمام بعد قضائه نُسُك عرفات، ورجوعه لزيارة البيت، بعد فسخ إقامته الاُولى بخروجه إليها، إلّابأنْ يكون قد نوى الإقامة فيه بعد الحجّ‌، كما هو المعتاد على ما قيل، ولذا تَرَك التقيّد به في النص وإتمامه حينئذٍ، بمعنى لا يتمّ إلّاإذا قلنا بعدم منافاة قصد مثل ذلك في ابتداء الإقامة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هذا التأويل، مع أنّه لا شاهد له، فغاية ما يدلّ عليه الصحيح أنّ الخروج إلى ما دون المسافة بعد تحقّق الإقامة لا يضرّ، وهذا هو الفرع الآتي، ولا إشعار له بقصد ذلك من ابتداء الإقامة الذي هو محلّ الكلام، فتأمّل، فالعمدة أنّه تأويلٌ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مكّة إذا زاروا عليهم إتمام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المُقيم بمكّة إلى شهر بمنزلتهم</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اُريد به ما لو نوى الإقامة قبل الخروج إلى عرفات وبعده، ويكون تخصيص الشهر بالذِّكر، لاشتماله على الإقامتين اللّتين يتمّ بهما التشبيه بأهله في وجوب الإتمام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هذا تأويلٌ لا شاهد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لابدّ من طرح الموثّق؛ لاشتماله على عدم مضريّة قصد الخروج إلى عرفات، أو الالتزام باختصاصه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قصد الإقامة قصد عدم الخروج إلى ما فوق حَدّ الترخّص</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85" w:name="pg11802_154311"/>
    </w:p>
    <w:p>
      <w:pPr>
        <w:pStyle w:val="Heading6"/>
        <w:numPr>
          <w:ilvl w:val="5"/>
          <w:numId w:val="1"/>
        </w:numPr>
        <w:rPr/>
      </w:pPr>
      <w:bookmarkStart w:id="586" w:name="__RefHeading___Toc10531961_73709187"/>
      <w:bookmarkStart w:id="587" w:name="_Toc222"/>
      <w:bookmarkEnd w:id="585"/>
      <w:bookmarkEnd w:id="586"/>
      <w:r>
        <w:rPr>
          <w:rtl w:val="true"/>
        </w:rPr>
        <w:t>إذا بدا للمُقيم الخروج إلى ما دون المسافة</w:t>
      </w:r>
      <w:bookmarkEnd w:id="587"/>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تحقّقت الإقامة وتمّت العشرة، أو صَلّى صلاةً رباعيّة تامّة، ثمّ بدا للمُقيم الخروج إلى ما دون المسافة، ولو ملفّقةً‌، فلها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خرج إلى ما دون المسافة، مع العزم على العود إلى محلّ الإقامة، أو إلى محلٍّ آخر وإقامة عشرة مستأنفة، كما إذا خرج من النجف إلى الكوفة مع العزم على العود إليه وإقامة عشرة أيّام فيه، أو العزم على إقامة العشرة في محلّ آخر ممّا يكون بينه وبين النجف أقلّ 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في هذه الصورة أنّه يُتمّ في الذهاب والمقصد والإياب، وعن غير واحدٍ 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معاصري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 من تقدّم عليه، والشيخ محمّد طه نجف</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القصر من حين الخروج إلى أن ينتهي إلى محلّ قصد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لما عرفت من أنّ الإقامة قاطعة للسفر موضوعاً، فالقصر يحتاج إلى إنشاء سفرٍ جديد، وهو غير حاصل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للقول الآخر بوجهين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الإقامة قاطعة للسفر حكماً لا موضوعاً، فالمقيم في محلّ‌ </w:t>
      </w:r>
    </w:p>
    <w:p>
      <w:pPr>
        <w:pStyle w:val="BookText"/>
        <w:rPr/>
      </w:pPr>
      <w:r>
        <w:rPr>
          <w:rFonts w:ascii="Amiri" w:hAnsi="Amiri" w:eastAsia="Amiri" w:cs="Amiri"/>
          <w:color w:val="111111"/>
          <w:sz w:val="28"/>
          <w:sz w:val="28"/>
          <w:szCs w:val="28"/>
          <w:rtl w:val="true"/>
          <w:lang w:bidi="ar-SA"/>
        </w:rPr>
        <w:t>مسافر فيه، غاية الأمر يُتمّ‌، فإذا خرج يكون مقتضى العمومات الدالّة على وجوب القصر على المسافر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السير الواقع بعد الإقامة بما قبلها، فيكون مسافراً يجب عليه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شرط القصر مفصّلاً من أنّ الإقامة قاطعةٌ للسفر موضوعاً 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به بعض المعاصرين</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النائيني رحمه الله</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سُلّم كونها قاطعة لحكم السّفر، تعيّن أيضاً البناء على التمام، لأنّه إذا ورد عام وكان الزمان قيداً للحكم نفسه، وكان الحكم تحت الزمان، ولم يكن قيداً للمتعلّق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آية التقصير</w:t>
      </w:r>
      <w:r>
        <w:rPr>
          <w:rStyle w:val="FootnoteAnchor"/>
          <w:rtl w:val="true"/>
        </w:rPr>
        <w:footnoteReference w:id="1119"/>
      </w:r>
      <w:r>
        <w:rPr>
          <w:rFonts w:ascii="Amiri" w:hAnsi="Amiri" w:eastAsia="Amiri" w:cs="Amiri"/>
          <w:color w:val="111111"/>
          <w:sz w:val="28"/>
          <w:sz w:val="28"/>
          <w:szCs w:val="28"/>
          <w:rtl w:val="true"/>
          <w:lang w:bidi="ar-SA"/>
        </w:rPr>
        <w:t>بضميمة ما ورد</w:t>
      </w:r>
      <w:r>
        <w:rPr>
          <w:rStyle w:val="FootnoteAnchor"/>
          <w:rtl w:val="true"/>
        </w:rPr>
        <w:footnoteReference w:id="1120"/>
      </w:r>
      <w:r>
        <w:rPr>
          <w:rFonts w:ascii="Amiri" w:hAnsi="Amiri" w:eastAsia="Amiri" w:cs="Amiri"/>
          <w:color w:val="111111"/>
          <w:sz w:val="28"/>
          <w:sz w:val="28"/>
          <w:szCs w:val="28"/>
          <w:rtl w:val="true"/>
          <w:lang w:bidi="ar-SA"/>
        </w:rPr>
        <w:t>من الأخبار في تفسيرها، من أنّ الزمان ظرف للحكم، وخُصّص ذلك في زمان، ثمّ بعد مُضيّ ذلك الزمان شُكّ في بقاء حكم المخصّص وعدمه، يكون المرجع استصحاب حكم المخصّص لا عموم العام، وهكذا في المقام، فإنّه بعد خروج المقيم حال إقامته عن حكم المسافر، يشكّ في أنّه إذا خرج عنه إلى ما دون المسافة هل يكون حكم التمام باقياً أم لا؟ فالواجب حينئذٍ استصحاب حكم التمام، ولا مجال للرجوع إلى عموم أدلّة القصر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حقّقناه في محلّه في الاُصول،</w:t>
      </w:r>
      <w:r>
        <w:rPr>
          <w:rStyle w:val="FootnoteAnchor"/>
          <w:rtl w:val="true"/>
        </w:rPr>
        <w:footnoteReference w:id="1121"/>
      </w:r>
      <w:r>
        <w:rPr>
          <w:rFonts w:ascii="Amiri" w:hAnsi="Amiri" w:eastAsia="Amiri" w:cs="Amiri"/>
          <w:color w:val="111111"/>
          <w:sz w:val="28"/>
          <w:sz w:val="28"/>
          <w:szCs w:val="28"/>
          <w:rtl w:val="true"/>
          <w:lang w:bidi="ar-SA"/>
        </w:rPr>
        <w:t>من أنّ المرجع في جميع موارد هذه الكبرى الكليّة هو عموم العام، ولا مجال للرجوع في شيء من الموارد إلى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استصحاب حكم المخصّص، إذ المختار عدم جريان الاستصحاب في الأحكام، لكونه محكوماً لاستصحاب عدم الجعل، فعلى القول بكون الإقامة قاطعة للسفر حكماً، لا مناص عن الرجوع إلى عموم أدلّة القصر، إذا خرج عن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في الجواب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اُقيم بها عشرة أيّام، وأتمّ الصَّلاة، ثمّ بدا لي بعدُ أن لا اُقيم بها، فما ترى لي، أتمّ أم أُقصّر؟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دخلت المدينة وصلّيت بها صلاة فريضةٍ واحدة بتمام، فليس لك أن تقصّر حتّى تخرج منها، وإنْ كنتَ حين دخلتها على نيّتك المُقام، فلم تصلِّ صلاةً فيها فريضة واحدة بتمام، حتّى بدا لك أن لا تُقيم، فأنت في تلك الحال بالخيار</w:t>
      </w:r>
      <w:r>
        <w:rPr>
          <w:rStyle w:val="FootnoteAnchor"/>
          <w:rtl w:val="true"/>
        </w:rPr>
        <w:footnoteReference w:id="112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مقتضى إطلاق الخروج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المجعول غايةً للحكم، ظاهرٌ بقرينة الصدر وذيل الخبر في إرادة السفر والمفارقة لا مطلق الخروج، وعليه فمقتضى إطلاق المنطوق عدم القصر ما لم ينشأ سفراً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عدم العود إلى محلّ الإقامة قبل أن يصل إلى مقصده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وجوب القصر بلا خلافٍ‌، إذا كانت الفاصلة من محلّ إقامته إلى مقصده مسافة، أو كان مجموع ذلك والرجوع منه إلى محلّ الإقامة أو بلد آخر المسافة، لما دلّ على وجوب القصر على المسافر، إذ المفروض أنّه بخروجه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محلّ الإقامة قاصدٌ للسفر الجديد، غاية الأمر في الفرض الأوّل يكون السير ممتدّاً مستقيماً، وفي الثاني يكون ممتدّاً غير مستقيم، وفي الثالث يكون ملفّقاً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من دون قصد إقامة مستأنفة، لكن من حيث إنّه منزلٌ من منازله في سفره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المتأخّرين في المقام، وأمّا القدماء منهم إلى زمان الشيخ رحمه الله فلم يتعرّضوا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Style w:val="FootnoteAnchor"/>
          <w:rtl w:val="true"/>
        </w:rPr>
        <w:footnoteReference w:id="1123"/>
      </w:r>
      <w:r>
        <w:rPr>
          <w:rFonts w:ascii="Amiri" w:hAnsi="Amiri" w:eastAsia="Amiri" w:cs="Amiri"/>
          <w:color w:val="111111"/>
          <w:sz w:val="28"/>
          <w:sz w:val="28"/>
          <w:szCs w:val="28"/>
          <w:rtl w:val="true"/>
          <w:lang w:bidi="ar-SA"/>
        </w:rPr>
        <w:t>، والمصنّف في كثيرٍ من كتبه وغيرهما، بل عن الشهيد نسبته إلى المتأخّرين</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وجوب القصر في الذهاب، والمقصد ومحلّ الإقامة، والإياب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المهنائيّة</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وولده</w:t>
      </w:r>
      <w:r>
        <w:rPr>
          <w:rStyle w:val="FootnoteAnchor"/>
          <w:rtl w:val="true"/>
        </w:rPr>
        <w:footnoteReference w:id="1126"/>
      </w:r>
      <w:r>
        <w:rPr>
          <w:rFonts w:ascii="Amiri" w:hAnsi="Amiri" w:eastAsia="Amiri" w:cs="Amiri"/>
          <w:color w:val="111111"/>
          <w:sz w:val="28"/>
          <w:sz w:val="28"/>
          <w:szCs w:val="28"/>
          <w:rtl w:val="true"/>
          <w:lang w:bidi="ar-SA"/>
        </w:rPr>
        <w:t>، وجمعٌ من متأخّري المتأخّرين</w:t>
      </w:r>
      <w:r>
        <w:rPr>
          <w:rStyle w:val="FootnoteAnchor"/>
          <w:rtl w:val="true"/>
        </w:rPr>
        <w:footnoteReference w:id="1127"/>
      </w:r>
      <w:r>
        <w:rPr>
          <w:rFonts w:ascii="Amiri" w:hAnsi="Amiri" w:eastAsia="Amiri" w:cs="Amiri"/>
          <w:color w:val="111111"/>
          <w:sz w:val="28"/>
          <w:sz w:val="28"/>
          <w:szCs w:val="28"/>
          <w:rtl w:val="true"/>
          <w:lang w:bidi="ar-SA"/>
        </w:rPr>
        <w:t>أنّه يُتمّ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كالشهيد</w:t>
      </w:r>
      <w:r>
        <w:rPr>
          <w:rStyle w:val="FootnoteAnchor"/>
          <w:rtl w:val="true"/>
        </w:rPr>
        <w:footnoteReference w:id="1128"/>
      </w:r>
      <w:r>
        <w:rPr>
          <w:rFonts w:ascii="Amiri" w:hAnsi="Amiri" w:eastAsia="Amiri" w:cs="Amiri"/>
          <w:color w:val="111111"/>
          <w:sz w:val="28"/>
          <w:sz w:val="28"/>
          <w:szCs w:val="28"/>
          <w:rtl w:val="true"/>
          <w:lang w:bidi="ar-SA"/>
        </w:rPr>
        <w:t>في جملةٍ من كتبه، والمحقّق الثاني</w:t>
      </w:r>
      <w:r>
        <w:rPr>
          <w:rStyle w:val="FootnoteAnchor"/>
          <w:rtl w:val="true"/>
        </w:rPr>
        <w:footnoteReference w:id="1129"/>
      </w:r>
      <w:r>
        <w:rPr>
          <w:rFonts w:ascii="Amiri" w:hAnsi="Amiri" w:eastAsia="Amiri" w:cs="Amiri"/>
          <w:color w:val="111111"/>
          <w:sz w:val="28"/>
          <w:sz w:val="28"/>
          <w:szCs w:val="28"/>
          <w:rtl w:val="true"/>
          <w:lang w:bidi="ar-SA"/>
        </w:rPr>
        <w:t>وغيرهما، أنّه يُتمّ في الذهاب والمقصد، ويقصّر من حين الإياب، واختاره الاُستاذ الأعظم</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القول في المقام يقتضي التكلّم في موضعين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الذهاب وبه يظهر حال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الإياب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لوجوب القصر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الإقامة قاطعة لحكم السّفر لا لموضوعه، فبعد خروجه عن محلّ إقامته تبطل إقامته، فيتّصل سفره من حين الخروج عن ذلك المحلّ إلى ما قبل دخوله فيه ممّا يقتضي أن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الإقامة قاطعة للسفر موضوعاً 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المسافة الملفّقة وإنْ كان الذهاب أقلّ من أربعة فراسخ كافية في الحكم بالقصر، وفي المقام بما أنّ الخارج إلى ما دون المسافة يكون ابتداء سفره من حين خروجه عن محلّ إقامته، يكون بخروجه عنه محكوماً بوجوب القصر، وإنْ كان ذهابه أقلّ من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اعتبار كون الذهاب أربعة وما فوقها، وعدم كفاية التلفيق فيما إذا كان الذهاب أقلّ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غير ما إذا كان الذهاب بنفسه مسافة، ولكنّه انقطع لاحقه عن سابقه بإقامة ونحوها، وأمّا في هذه الصورة فتكفي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الإقامة بما أنّها قاطعة للسفر موضوعاً، فلا يكون الذهاب بنفسه مسافة كما هو واضح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عدم كفاية التلفيق فيما إذا كان الذهاب أقلّ من الأربعة في مقابل المطلقات، إنّما هو الإجماع، والمتيقّن منه غير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مدرك ذلك ظهور نصوص الأربعة فراجع،</w:t>
      </w:r>
      <w:r>
        <w:rPr>
          <w:rStyle w:val="FootnoteAnchor"/>
          <w:rtl w:val="true"/>
        </w:rPr>
        <w:footnoteReference w:id="1132"/>
      </w:r>
      <w:r>
        <w:rPr>
          <w:rFonts w:ascii="Amiri" w:hAnsi="Amiri" w:eastAsia="Amiri" w:cs="Amiri"/>
          <w:color w:val="111111"/>
          <w:sz w:val="28"/>
          <w:sz w:val="28"/>
          <w:szCs w:val="28"/>
          <w:rtl w:val="true"/>
          <w:lang w:bidi="ar-SA"/>
        </w:rPr>
        <w:t>وهي تقتضي عدم الاكتفاء بالتلفيق في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الذهاب الذي أقلّ من أربعة فراسخ، وإنْ لم يحتسب جزءٌ من المسافة الموجبة للقصر بمقتضى الأدلّة، إلّاأنّه إذا كان الإياب بنفسه بمقدار المسافة، فإنّه لا مانع من ثبوت حكم السّفر من أوّل الشروع في الذهاب، فإنّ موضوع القصر السّفر المشتمل على قطع الثمانية، وهو يثبتُ من أوّل الشروع فيه والتلبّس به، ففي المقام بما أنّ المفروض كون الإياب بنفسه بمقدار المسافة، فمن بداية الشروع في السّفر المشتمل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أوّل الخروج عن محلّ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إنّما هو وجوب القصر من حين الشروع في قطع المسافة الموجبة للقصر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بالقصر في الذهاب ضعيفٌ‌، بل عليه أن يُتمّ فيه، وبه يظهر أنّه يُتمّ في المقصد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أدلّة القصر، لزوم التقصير عليه، لأنّه قاصدٌ للمسافة وسفر جديد، ومحلّ الإقامة كأحد منازله الواقعة في طريقه، فلا يكون العبور إليه قاطعاً لسفره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لوجوب التمام عليه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الإياب ومحلّ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الإقامة قاطعة للسفر موضوعاً، ففي ثبوت القصر لابدّ من قصد السّفر عن محلّ الإقامة، بحيث يكون الكون فيه خارجاً عنه، وهذا إنّما ينطبق علىد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الخروج عن محلّ الإقامة كليّة، بعد العود إليه، ولا ينطبق على الإياب إليه، وإلّا لزم كون المرور بمحلّ الإقامة جزءً من السّفر عنه،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وإنْ تعدّ قاطعة للسفر موضوعاً لا حكماً، إلّاأنّ لازم ذلك ليس كون محلّ الإقامة ممّا يضرّ المرور إليه إلى الابدّ، بل مادام لم يرتحل عنه، ولم يبطل عنوان الإقامة عرفاً بالإعراض عن الإقامة فيه، وسلب العلاقة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الموضع محلّ إقامته وعليه التمام فيه ما لم يسافر عنه، فعلى هذا بما أنّ الخارج عنه إلى ما دون المسافة في الفرض قاصدٌ للسفر الجديد، ومُنشأٌ له، فهو بخروجه يصبح متلبّساً بالسفر، وعوده إلى محلّ إقامته إنّما يكون من قبيل المرور على سائر منازله في سفره الجديد، فلا وجه لوجوب التمام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قوله عليه السلام في صحيح أبي ولّاد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لك أن تقصر حتّى تخرج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تعيّن التمام ما لم يخرج عن محلّ الإقامة مسافراً، بحيث يكون خطّ السير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إنّما يدلّ على لزوم التمام ما لم يخرج مسافراً، ولا يدلّ على اعتبار كون خطّ السير في خارجه، والمفروض أنّه بالخروج عن محلّ الإقامة إلى ما دون المسافة، يخرج عنه مسافراً ولا يعود إليه إلّاكمروره على سائر منازله، فالأظهر لزوم القصر عليه في الإياب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إليه، باعتبار أنّه محلّ إقامته، بأنْ لا يكون حين الخروج معرضاً عنه، بل قصد قضاء حاجته في خارجه ثمّ العود إليه، ثمّ إنشاء السّفر منه ولو بعد يومين أو يوم، بل أقلّ منهما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 الأصحاب في هذه الصورة أيضاً، ولهم فيها أقوال ثلاثة، </w:t>
      </w:r>
    </w:p>
    <w:p>
      <w:pPr>
        <w:pStyle w:val="BookText"/>
        <w:rPr/>
      </w:pPr>
      <w:r>
        <w:rPr>
          <w:rFonts w:ascii="Amiri" w:hAnsi="Amiri" w:eastAsia="Amiri" w:cs="Amiri"/>
          <w:color w:val="111111"/>
          <w:sz w:val="28"/>
          <w:sz w:val="28"/>
          <w:szCs w:val="28"/>
          <w:rtl w:val="true"/>
          <w:lang w:bidi="ar-SA"/>
        </w:rPr>
        <w:t>وتنقيح القول في المقام أيضاً يقتضي التكلّم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الذهاب والمقصد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الإياب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لوجوب القصر فيهما بما استدلّ به على وجوبه فيهما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 من عدم كونه بالخروج عن محلّ إقامته مسافراً ومتلبّساً بالسير الموجب للقصر، فلا ينبغي التوقّف في أنّ عليه أن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فيهما التمام أيضاً، لعدم كونه مسافراً ومتلبّساً بالسير السّفري الموجب للقصر بالإياب، بل مبدأ سفره إنّما هو الخروج ثانياً عن محلّ الإقامة، فلا قصر عليه في الإياب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العمومات</w:t>
      </w:r>
      <w:r>
        <w:rPr>
          <w:rStyle w:val="FootnoteAnchor"/>
          <w:rtl w:val="true"/>
        </w:rPr>
        <w:footnoteReference w:id="1133"/>
      </w:r>
      <w:r>
        <w:rPr>
          <w:rFonts w:ascii="Amiri" w:hAnsi="Amiri" w:eastAsia="Amiri" w:cs="Amiri"/>
          <w:color w:val="111111"/>
          <w:sz w:val="28"/>
          <w:sz w:val="28"/>
          <w:szCs w:val="28"/>
          <w:rtl w:val="true"/>
          <w:lang w:bidi="ar-SA"/>
        </w:rPr>
        <w:t xml:space="preserve">الدالّة على وجوب التمام على المقيم عشرة أيّام ما لم يسافر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 في صحيح</w:t>
      </w:r>
      <w:r>
        <w:rPr>
          <w:rStyle w:val="FootnoteAnchor"/>
          <w:rtl w:val="true"/>
        </w:rPr>
        <w:footnoteReference w:id="1134"/>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لوجوب القصر عليه فيهما بوجهين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الأعظم رحمه الله</w:t>
      </w:r>
      <w:r>
        <w:rPr>
          <w:rStyle w:val="FootnoteAnchor"/>
          <w:rtl w:val="true"/>
        </w:rPr>
        <w:footnoteReference w:id="1135"/>
      </w:r>
      <w:r>
        <w:rPr>
          <w:rFonts w:ascii="Amiri" w:hAnsi="Amiri" w:eastAsia="Amiri" w:cs="Amiri"/>
          <w:color w:val="111111"/>
          <w:sz w:val="28"/>
          <w:sz w:val="28"/>
          <w:szCs w:val="28"/>
          <w:rtl w:val="true"/>
          <w:lang w:bidi="ar-SA"/>
        </w:rPr>
        <w:t>وهو أنّ مناط التقصير شرعاً ليس صدق السّفر إلى محلٍّ حتّى يُقال إنّه غير متلبّس بالسّفر الفلاني، بل العنوان المذكور في الأدلّة هو قصد قطع مسير ثمانية فراسخ غير ناوٍ لإقامة عشرة أيّام في أثنائه،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وتلبّس بجزء من تلك المسافة، ومن البيّن أنّ من يعود إلى محلّ إقامته في الفرض، يصدق عليه هذا العنوان، لكونه قاصداً الخروج عنه إلى بلدٍ يكون مسافة، وإنْ لم يصدق عليه المسافر إلى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الأدلّة كما صرّح بذلك جماعة ليس مطلق السفر، بل السّفر البالغ حَدّ ثمانية فراسخ، ولذلك قال المحقّق الأردبيلي</w:t>
      </w:r>
      <w:r>
        <w:rPr>
          <w:rStyle w:val="FootnoteAnchor"/>
          <w:rtl w:val="true"/>
        </w:rPr>
        <w:footnoteReference w:id="113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تابعٌ لقصده، فإنْ صدق عليه عرفاً أنّه مسافر تحقّقت شرائط القصر قصّر، وإلّا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Style w:val="FootnoteAnchor"/>
          <w:rtl w:val="true"/>
        </w:rPr>
        <w:footnoteReference w:id="1137"/>
      </w:r>
      <w:r>
        <w:rPr>
          <w:rFonts w:ascii="Amiri" w:hAnsi="Amiri" w:eastAsia="Amiri" w:cs="Amiri"/>
          <w:color w:val="111111"/>
          <w:sz w:val="28"/>
          <w:sz w:val="28"/>
          <w:szCs w:val="28"/>
          <w:rtl w:val="true"/>
          <w:lang w:bidi="ar-SA"/>
        </w:rPr>
        <w:t>، من أنّ عدم صدق السّفر إلى ذلك البلد الذي بينه وبين محلّ الإقامة مسافة من حين السير من المقصد، مبنيٌ على المسامحة، إذ لا ينبغي التأمّل في كون المسافر عند شروعه في الإياب قاصداً للسفر إلى ذلك البلد حقيقةً‌، غاية الأمر أنّه بلحاظ كونه لما لم يقضّ وطره من محلّ الإقامة يقال بنحوٍ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ذاهبٌ إلى محلّ الإقامة لا الى بلده، وهذا المقدار لا يدور عليه الحكم، فلا يكون هذا المقام في هذا الموضع قاطعاً للسفر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تنظّر في المقام بما إذا خرج من وطنه لحاجة له في موضعٍ على رأس ثلاثة فراسخ، لكنّه عجز عن النزول فيه عند الوصول إليه لعدم وقوف القطار فيه مثلاً، بل كان محطّته على رأس أربعة فراسخ، فإنّه إذا وقف القطار على رأس الأربعة، فرجع إلى مقصده يقال عند شروعه في الرجوع إليه إنّه قاصدٌ السّفر إلى المقصد لا إلى بلده، مع أنّه لا يظنّ من أحدٍ التوقّف في وجوب القصر عليه في الذهاب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والإياب، لما ذكرناه من كونه قاصداً الرجوع إلى بلده حقيقة، وإنْ كان يمرّ بمقصده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لما أفاده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النصّ والفتوى على انحصار قواطع السّفر بالمرور بالوطن، والإقامة عشراً، والتردّد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ضروريّات نصوص الإقامة أنّ الإقامة دون العشرة في الضياع والقرى المملوكة لا تَقطع السّفر، ولا تَقدح في اتّصال السّفر ما قبلها بما بعدها على أيّ نحو كانت، فكيف يكون السكنى في موضع الإقامة قاطعاً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يرى مثل هذا السير في المقام إلى ذلك البلد فردان، وحيث أنّ قطعة منه سيرٌ إلى محلّ الإقامة، وقطعةٌ منه إلى الخارج، فلا يكون واحداً، كي يكون له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الإياب بما أنّه عود إلى محلّ الإقامة لا يقصّر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تنظّره فلا علاقة له بالمقام، إذ في المثال يجب القصر لكونه مسافراً ثمانية فراسخ غير قاصدٍ للإقامة في أثنائه، وفي المقام برغم أنّه يقطع ثمانية فراسخ، إلّا أنّه لا يقصّر في الإياب إلى محلّ الإقامة في أثنائه، من حيث أنّ هذا السير قد قُطع بالتوقّف في محلّ الإقامة الذي يعدّ المقام فيه قاطعاً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والفتوى وإنْ كانا متّفقين على انحصار القواطع بما ذكر، إلّاأنّ المدّعى أنّه بعد كون الإقامة قاطعة للسفر ما لم يقصد السير منه إلى ثمانية فراسخ، لا يبطل حكمها، ففي الحقيقة لا مقتضي لوجوب القصر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القواطع الإقامة، وهي ما لم تُبطل، كما تكون قاطعة حدوثاً، تكون مانعة بقاء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الوجه الثاني الذي ذكره، فإنّ السكنى في الضياع المملوكة دون العشره، مع عدم ثبوت وطنيّتها، لا يعدّ مانعاً عن إجراء حكم السّفر، لانحصار القواطع بما ذكر، وهذا بخلاف المقام في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 التمام في الإياب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لكن مع التردّد في الإقامة بعد العود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كسيّد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والمحقّق السبزواري</w:t>
      </w:r>
      <w:r>
        <w:rPr>
          <w:rStyle w:val="FootnoteAnchor"/>
          <w:rtl w:val="true"/>
        </w:rPr>
        <w:footnoteReference w:id="1139"/>
      </w:r>
      <w:r>
        <w:rPr>
          <w:rFonts w:ascii="Amiri" w:hAnsi="Amiri" w:eastAsia="Amiri" w:cs="Amiri"/>
          <w:color w:val="111111"/>
          <w:sz w:val="28"/>
          <w:sz w:val="28"/>
          <w:szCs w:val="28"/>
          <w:rtl w:val="true"/>
          <w:lang w:bidi="ar-SA"/>
        </w:rPr>
        <w:t>، والاُستاذ الأكبر البهبهاني رحمه الله</w:t>
      </w:r>
      <w:r>
        <w:rPr>
          <w:rStyle w:val="FootnoteAnchor"/>
          <w:rtl w:val="true"/>
        </w:rPr>
        <w:footnoteReference w:id="114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في الذهاب والإياب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الغرية</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مستمسك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الجعفريّة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الذهاب، فوجوب التمام فيه بعد وجوبه فيه في الصورتين السابقتين واضحٌ‌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الإياب، فعلى القول بوجوب التمام فيه في تينك الصورتين يتمّ‌، وعلى القول بوجوب القصر يقصّر،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المختار من وجوب القصر في الاُولى منهما، والتمام في الثانية، فيُتمّ فيه في هذه الصورة، إذ التردّد في الإقامة في محلّ الإقامة، تردّدٌ في السّفر الموجب للقصر، ومعه لابدَّ من التمام، إذ في ثبوت القصر لا بدَّ من العزم على السّفر،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مع الغفلة عن الإقامة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بوجوب التمام في الصورتين الثالثة والرابعة، أو القصر فيهما، فإنّه لا كلام فيه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المختار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 غفلته عن الإقامة ذاهلاً عن السفر منه بعد العود أيضاً، فالحكم فيه هو التمام، لعدم كونه قاصداً للسفر الذي هو الموضوع لوجوب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ذاهل عنه، إن أمكن تصوّر الغفلة عن الإقامة مع عدم الغفلة عن السفر، فالحكم هو القصر، لكونه قاصداً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قاصداً للسفر، إلّاأنّ موضوع القصر هو السّفر غير المنقطع بالإقامة في المحلّ‌، وهذا غير مقصودٍ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التمام على المختار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متردّداً في العود وعدمه، أو غافلاً عنه، ففيها 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ربما يكون على فرض عدم العود، قاصداً الإقامة في المقصد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يكون قاصداً للسفر إلى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التقدير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تقدير العود قاصداً الإقامة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قاصداً السفر إلى أهله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متردّداً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يظهر الحكم في جميع الفروض على المختار الذي عرفته في الصورة 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تردّده في العود وعدمه، أو غفلته عنه موجباً لتردّده في السّفر الموجب للقصر، أي غير المنقطع بالسكنى في محلّ الإقامة من حيث أنّه محلّ إقامته أتمَّ‌، وإلّا فيقصّر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 الحكم في الفرض الثالث هو القصر، وفي سائر الفروض هو التمام</w:t>
      </w:r>
      <w:r>
        <w:rPr>
          <w:rFonts w:eastAsia="Amiri" w:cs="Amiri" w:ascii="Amiri" w:hAnsi="Amiri"/>
          <w:color w:val="111111"/>
          <w:sz w:val="28"/>
          <w:szCs w:val="28"/>
          <w:rtl w:val="true"/>
          <w:lang w:bidi="ar-SA"/>
        </w:rPr>
        <w:t>.</w:t>
      </w:r>
      <w:bookmarkStart w:id="588" w:name="pg11802_154324"/>
    </w:p>
    <w:p>
      <w:pPr>
        <w:pStyle w:val="Heading6"/>
        <w:numPr>
          <w:ilvl w:val="5"/>
          <w:numId w:val="1"/>
        </w:numPr>
        <w:rPr/>
      </w:pPr>
      <w:bookmarkStart w:id="589" w:name="__RefHeading___Toc10531963_73709187"/>
      <w:bookmarkStart w:id="590" w:name="_Toc223"/>
      <w:bookmarkEnd w:id="588"/>
      <w:bookmarkEnd w:id="589"/>
      <w:r>
        <w:rPr>
          <w:rtl w:val="true"/>
        </w:rPr>
        <w:t>المراد باليوم المقام</w:t>
      </w:r>
      <w:bookmarkEnd w:id="590"/>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ما يشمل اللّيل، أم المراد به النهار، وعلى الثاني هل المعتبر فيه من طلوع الشمس، أم من طلوع الفجر؟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للنهار لغةً وعرفاً، وغلبة استعماله فيما يشمل اللّيل لا تصلح أن تكون قرينة لإرادة الأعمّ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في المقام مايدخل فيه اللّيل، لأنّه لازم اعتبارالاستمرار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يقتضي دخول اللّيالي المتوسّطة دون اللّيلة الاُولى والأخيرة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بين الطلوعين غير داخل في اليوم عرفاً، مضافاً إلى ما دلَّ على خروجه عن اللّيل والنهار، وأمّا دخوله فيه في موضوع الإعتكاف، فإنّما هو من جهة اعتبار الصوم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ينبغي التوقّف في كفاية التلفيق، وعدم اعتبار عشرة أيّام كاملة بلا تكسر، كما هو الأشهر، لأنّ الظاهر من التحديد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ماثلهما، هو إرادة المقدار من الزمان، كما يظهر لمن راجع العرف في الموارد التي تقدّر بالأيّام والشهور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التحديد إنْ حُملت على محض المقدار، فلازمه الاكتفاء بالتلفيق ولو من اللّيل أيضاً، وإنْ حُملت على اليوم التامّ على نحو الموضوعيّة، فلازمه عدم الاكتفاء بالنهار الملفّق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النصوص في موضوعيّة النهار لا تُنكر، إلّاأنّ الظاهر منها </w:t>
      </w:r>
    </w:p>
    <w:p>
      <w:pPr>
        <w:pStyle w:val="BookText"/>
        <w:rPr/>
      </w:pPr>
      <w:r>
        <w:rPr>
          <w:rFonts w:ascii="Amiri" w:hAnsi="Amiri" w:eastAsia="Amiri" w:cs="Amiri"/>
          <w:color w:val="111111"/>
          <w:sz w:val="28"/>
          <w:sz w:val="28"/>
          <w:szCs w:val="28"/>
          <w:rtl w:val="true"/>
          <w:lang w:bidi="ar-SA"/>
        </w:rPr>
        <w:t>إرادة اليوم التامّ على نحو الطريقيّة إلى الساعات النهاريّة، وعليه فلا يُجتزي باللّيل، بل يجتزي بالنهار الملفّق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ظهر ما في كلمات القوم في المقام</w:t>
      </w:r>
      <w:r>
        <w:rPr>
          <w:rFonts w:eastAsia="Amiri" w:cs="Amiri" w:ascii="Amiri" w:hAnsi="Amiri"/>
          <w:color w:val="111111"/>
          <w:sz w:val="28"/>
          <w:szCs w:val="28"/>
          <w:rtl w:val="true"/>
          <w:lang w:bidi="ar-SA"/>
        </w:rPr>
        <w:t>.</w:t>
      </w:r>
      <w:bookmarkStart w:id="591" w:name="pg11802_154326"/>
    </w:p>
    <w:p>
      <w:pPr>
        <w:pStyle w:val="Heading6"/>
        <w:numPr>
          <w:ilvl w:val="5"/>
          <w:numId w:val="1"/>
        </w:numPr>
        <w:rPr/>
      </w:pPr>
      <w:bookmarkStart w:id="592" w:name="__RefHeading___Toc10531965_73709187"/>
      <w:bookmarkStart w:id="593" w:name="_Toc224"/>
      <w:bookmarkEnd w:id="591"/>
      <w:bookmarkEnd w:id="592"/>
      <w:r>
        <w:rPr>
          <w:rtl w:val="true"/>
        </w:rPr>
        <w:t>العدول عن قصد الإقامة بعد العزم عليها</w:t>
      </w:r>
      <w:bookmarkEnd w:id="593"/>
    </w:p>
    <w:p>
      <w:pPr>
        <w:pStyle w:val="Heading6"/>
        <w:numPr>
          <w:ilvl w:val="5"/>
          <w:numId w:val="1"/>
        </w:numPr>
        <w:rPr/>
      </w:pPr>
      <w:bookmarkStart w:id="594" w:name="__RefHeading___Toc10531967_73709187"/>
      <w:bookmarkStart w:id="595" w:name="_Toc225"/>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أنّ المسافر إذا عزم على الإقامة، ثمّ عَدَل عن قصده قبل إتمام إقامة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صلّى مع العزم المذكور رباعيّة تامّة، بعد قصده الإقامة، بقي على التمام مادام في ذلك المحلّ‌، وإلّا رجع إلى القصر، كما هو المشهور بين الأصحاب شهرة عظيمة، بل بلا خلافٍ كما عن غير واحد</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اُقيم بها عشرة أيّام وأتمّ الصَّلاة، ثمّ بدا لي بعد أنْ لا اُقيم بها، فما ترى لي أتمُّ أم أُقصّر؟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دخلت المدينة، وحين صلّيت بها صلاة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عشراً فقصّر ما بينك وبين شهر، فإذا مضى لك شهرٌ فأتمّ الصَّلاة</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خبر حمزة بن عبد اللّه الجعفري، 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نفرتُ من منى نويتُ المُقام بمكّة، فأتممتُ الصَّلاة حتّى جاءني خبرٌ من المنزل، فلم أجدُ بُدّاً من المصير إلى المنزل، ولم أدر أتمُّ أم أُقصّر، وأبو الحسن عليه السلام </w:t>
      </w:r>
      <w:bookmarkStart w:id="596" w:name="pg11802_154327"/>
    </w:p>
    <w:p>
      <w:pPr>
        <w:pStyle w:val="BookText"/>
        <w:rPr/>
      </w:pPr>
      <w:bookmarkEnd w:id="596"/>
      <w:r>
        <w:rPr>
          <w:rFonts w:ascii="Amiri" w:hAnsi="Amiri" w:eastAsia="Amiri" w:cs="Amiri"/>
          <w:color w:val="111111"/>
          <w:sz w:val="28"/>
          <w:sz w:val="28"/>
          <w:szCs w:val="28"/>
          <w:rtl w:val="true"/>
          <w:lang w:bidi="ar-SA"/>
        </w:rPr>
        <w:t>يومئذٍ بمكّة، فأتيته فقصصتُ عليه القصّة‌؟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التقصير</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لإعراض الأصحاب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فأصل الحكم في الجملة ممّا لا ريب فيه</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10531969_73709187"/>
      <w:bookmarkStart w:id="598" w:name="_Toc226"/>
      <w:bookmarkEnd w:id="597"/>
      <w:r>
        <w:rPr>
          <w:rtl w:val="true"/>
        </w:rPr>
        <w:t>انما الكلام يقع في مواضع</w:t>
      </w:r>
      <w:r>
        <w:rPr>
          <w:rtl w:val="true"/>
        </w:rPr>
        <w:t>:</w:t>
      </w:r>
      <w:bookmarkEnd w:id="598"/>
    </w:p>
    <w:p>
      <w:pPr>
        <w:pStyle w:val="Heading6"/>
        <w:numPr>
          <w:ilvl w:val="5"/>
          <w:numId w:val="1"/>
        </w:numPr>
        <w:rPr/>
      </w:pPr>
      <w:bookmarkStart w:id="599" w:name="__RefHeading___Toc10531971_73709187"/>
      <w:bookmarkStart w:id="600" w:name="_Toc227"/>
      <w:bookmarkEnd w:id="599"/>
      <w:r>
        <w:rPr>
          <w:rtl w:val="true"/>
        </w:rPr>
        <w:t>عدم الفرق بين العزم على السّفر، وبين التردّد فيه</w:t>
      </w:r>
      <w:bookmarkEnd w:id="600"/>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هذا الحكم بين العزم على السّفر، وبين التردّد فيه، لإطلاق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بالأولى والوجه فيه حينئذٍ كونه مسافراً بسفرٍ جديد، وهذا بخلاف صورة التردّد، من جهة كون أبي ولّاد عراقيّاً، وكونه عازماًعلى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جوابه عليه السلام مطلق، بل صريحٌ في ثبوت هذا الحكم لصورة التردّد،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فقصّر ما بينك وبين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السّفر الجديد إنّما يوجب القصر لو تلبّس به لا ما لو عزم عليه، فالوجه في القصر يكون منحصراً في بطلان الإقامة، والرجوع إلى السّفر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كون السير الواقع بعد ذلك بمقدار المسافة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الشهيدين</w:t>
      </w:r>
      <w:r>
        <w:rPr>
          <w:rStyle w:val="FootnoteAnchor"/>
          <w:rtl w:val="true"/>
        </w:rPr>
        <w:footnoteReference w:id="1146"/>
      </w:r>
      <w:r>
        <w:rPr>
          <w:rFonts w:ascii="Amiri" w:hAnsi="Amiri" w:eastAsia="Amiri" w:cs="Amiri"/>
          <w:color w:val="111111"/>
          <w:sz w:val="28"/>
          <w:sz w:val="28"/>
          <w:szCs w:val="28"/>
          <w:rtl w:val="true"/>
          <w:lang w:bidi="ar-SA"/>
        </w:rPr>
        <w:t>من احتمال اشتراط المسافة، معلّلاً بأنّ الإقامة تقطع السّفر، فيبطل حكم ما سبق، كما لو وصل إلى وطنه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لأنّه يشبه الاجتهاد في مقابل النص الذي هو صحيح أبي ولّاد</w:t>
      </w:r>
      <w:r>
        <w:rPr>
          <w:rFonts w:eastAsia="Amiri" w:cs="Amiri" w:ascii="Amiri" w:hAnsi="Amiri"/>
          <w:color w:val="111111"/>
          <w:sz w:val="28"/>
          <w:szCs w:val="28"/>
          <w:rtl w:val="true"/>
          <w:lang w:bidi="ar-SA"/>
        </w:rPr>
        <w:t xml:space="preserve">. </w:t>
      </w:r>
      <w:bookmarkStart w:id="601" w:name="pg11802_154328"/>
    </w:p>
    <w:p>
      <w:pPr>
        <w:pStyle w:val="Heading6"/>
        <w:numPr>
          <w:ilvl w:val="5"/>
          <w:numId w:val="1"/>
        </w:numPr>
        <w:rPr/>
      </w:pPr>
      <w:bookmarkStart w:id="602" w:name="__RefHeading___Toc10531973_73709187"/>
      <w:bookmarkStart w:id="603" w:name="_Toc228"/>
      <w:bookmarkEnd w:id="601"/>
      <w:bookmarkEnd w:id="602"/>
      <w:r>
        <w:rPr>
          <w:rtl w:val="true"/>
        </w:rPr>
        <w:t>العبرة في البقاء على التمام بإتيان رباعيّة تامّة</w:t>
      </w:r>
      <w:bookmarkEnd w:id="603"/>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 أنّ العبرة في البقاء على التمام بالإتيان بخصوص الفريضة الرباعيّة التامّة، ويترتّب على ذلك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شرع في الرباعيّة، ولكن لم يُتمّها فعَدَل عن قصد الإقامة، فإنّه يرجع إلى القصر، وإنْ دخل في ركوع الرّكعة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بها صلاة فريضه واحدة بتمام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هو ظاهرٌ في بادئ النظر في انقضاء الصَّلاة، والإتيان بها بتمامها، إلّاأنّه بعد التأمّل يظهر أنّه بدوي يزول، لأنّ استعمال الماضي في المعنى التلبّسي أمرٌ عرفي شائع، فالمراد هو التلبّس بصلاة 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خلاف الظاهر، لا يُصار إليه من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منصرفٌ عن الفرض، فيجب الرجوع فيه إلى ما دلَّ على وجوب التمام على من قَصَد الإقامة ولو حدوثاً، وهو ما تضمّن إناطة الحكم بوجوب التمام على العزم الظاهر في موضوعيّته لهذا الحكم، وكونه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الانصراف، لعدم المنشأ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خصوص صورة الدخول في ركوع الرّكعة الثالثة، يمكن أن يُستدلّ للبقاء على التمام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وجوب القصر، إبطال ما بيده من الصَّلاة، وهو حرام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بطلان الصَّلاة من جهة تبدّل الحكم، ولا يكون ذلك إبطالاً منهيّاً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مندرجٍ تحت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فانو المقام وأتمَّ‌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يتصوّر التخيير بين القصر والتمام في الفرض، فلا محالة يكون مشمولاً للشرطيّة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يتمكّن من القصر بالاستيناف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الأظهر أنّه يلحقه حكم المسافر ما لم يُتمّ صلاته الرباعيّة، وأمّا الصَّلاة التي بيده؛ فإنْ دخل في ركوع الرّكعة الثالثة بطلت لعدم إمكان تصحيحها، وإنْ دخل في قيام الثالثة نقَضَ القيام، وإنْ كان قبله أتمّها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الإقامة وأتى بغير الفريضة الرباعيّة ممّا لا يجوز فعله للمسافر كالنوافل، فإنّ عليه الرجوع إلى القصر، لإختصاص الصحيح بالفريضة، والتعدّي عنها إلى غيرها يحتاج إلى العلم بعدم خصوصيّة الفريضة في الحكم، فيكون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لايجوز له الدخول فيه 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إرادة العام من الخاص أمراً عرفيّاً ارتكازيّاً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لا سبيل إلى الحكم بفساد ماأتى به من النافلة للأمر بها، فلا محالة يُحكم بالصحّة، ولا وجه له سوى صحّة الإقامة والخروج عن كونه مسافراً، فيحتاج جواز التقصير إلى قطع مسافة جديدة، ولايكفي فيه العدول عن نيّة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اجتهادٌ في مقابل النص، إذ مقتضى الصحيح الرجوع إلى القصر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صام واجباً بعد قصد الإقامة، ثمّ عَدَل عنها، فإنّه يرجع إلى التقصير، لإطلاق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للبقاء على التمام فيما إذا عَدَل عن قصده بعد الزوال، بأنّ هذا الصائم إذا سافر لا يمكن الحكم ببطلان صومه ووجوب الإفطار عليه، للعمومات والإطلاقات الدالّة على أنّ الصائم إذا سافر بعد الزوال وجب عليه الإتمام، وعليه فإنْ قلنا ببطلان الإقامة، لزم وقوع الصوم الواجب سفراً بغير نيّة الإقامة، وهو لا يجوز إجماعاً، إلّاما استثني مثل النذر، فلا مناص عن البناء على بقاء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نختار صحّة الصوم في الفرض، من جهة أنّ العدول عن الإقامة ناقلٌ من حين العدول، لا أنّه كاشفٌ عن عدم تحقّق الإقامة القاطعة للسفر من الأوّل، لأنّ ذلك مقتضى ما دلَّ على أنّ قصد الإقامة قاطع للسفر، إذ غاية ما ثبت تقييده بدليل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العدول عنه قبل الإتيان برباعيّة تامّة، يوجب تطبيق حكم المسافر عليه، وأمّا أنّ ذلك من جهة تقييد العزم القاطع للسفر بكونه متعقّباً بالصلاة التامّة، فلا يستفاد منه، ومن الممكن أن يكون العزم قاطعاً للسفر، والعدول موجباً للرجوع إلى حكم السّفر السابق، وعليه فلا وجه للبناء على الكشف، ولا يترتّب على صحّته محذور، إذ الصوم في الفرض لا يكون واقعاً بتمامه في السّفر، بل ماكان منه بعد الزوال، وهذا لا محذور 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عَدَل بعد الإتيان بفريضةٍ غير رباعيّة مثل الصبح، أو برباعيّة قضاءٍ لا أداء، فإنّ عليه الرجوع إلى القصر، وذلك لظهور الصحيح في إناطة البقاء على التمام بالإتيان برباعيّة تامّة، مترتّبة على الإقامة، ومعلومٌ أنّ فريضة من الفرائض غير الرباعيّة أو الرباعيّة القضائية لا تكون مترتّبة على الإقامة، ولا يؤتى بها بما هي وظيفة المقيم، فلا يشملها هذا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04" w:name="pg11802_154331"/>
    </w:p>
    <w:p>
      <w:pPr>
        <w:pStyle w:val="Heading6"/>
        <w:numPr>
          <w:ilvl w:val="5"/>
          <w:numId w:val="1"/>
        </w:numPr>
        <w:rPr/>
      </w:pPr>
      <w:bookmarkStart w:id="605" w:name="__RefHeading___Toc10531975_73709187"/>
      <w:bookmarkStart w:id="606" w:name="_Toc229"/>
      <w:bookmarkEnd w:id="604"/>
      <w:bookmarkEnd w:id="605"/>
      <w:r>
        <w:rPr>
          <w:rtl w:val="true"/>
        </w:rPr>
        <w:t>لو عدل عن الإقامة بعد استقرار التمام في الذمّة</w:t>
      </w:r>
      <w:bookmarkEnd w:id="606"/>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عن الإقامة ولم يأتِ بالصلاة الرباعيّة التامّة، حتّى خرج الوقت،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عليه البقاء على التمام كما عن جُلّ الفقهاء</w:t>
      </w:r>
      <w:r>
        <w:rPr>
          <w:rStyle w:val="FootnoteAnchor"/>
          <w:rtl w:val="true"/>
        </w:rPr>
        <w:footnoteReference w:id="11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يكون في حكم من لم يُصلِّ فريضةً تامّة‌؟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الصحيح في بادئ النظر هو الثاني، فإنّه ظاهرٌ في كون الموضوع فعل الصَّلاة التامّة، والاكتفاء باستقرارها في الذمّة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قيل في مقابل هذا الظهور، هو ما أفاده المحقّق النائيني رحمه الله على ما نُسِب إليه من أنّ الخبر الصحيح مذيّلٌ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يَنو المُقام عشرة يقصّر بينه وبين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شُبهة في أنّه إذا لم ينو المقام يجب عليه كلّ ما يجب على المسافر من غير اختصاصٍ بالقصر، فيكون ذكر القصر من باب المثال، وأنّ المراد ماهو وظيفة المسافر، فمن هذا يُستكشف أنّ المراد بالصلاة التامّة التي عُلّق عليها البقاء على التمام أيضاً، هو وظيفة الحاضر، وإنْ ذُكر الصَّلاة التامّة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ذلك لا يصلح قرينةً لصرف ظهور صدر الصحيح</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الرجوع إلى القصر</w:t>
      </w:r>
      <w:r>
        <w:rPr>
          <w:rFonts w:eastAsia="Amiri" w:cs="Amiri" w:ascii="Amiri" w:hAnsi="Amiri"/>
          <w:color w:val="111111"/>
          <w:sz w:val="28"/>
          <w:szCs w:val="28"/>
          <w:rtl w:val="true"/>
          <w:lang w:bidi="ar-SA"/>
        </w:rPr>
        <w:t>.</w:t>
      </w:r>
      <w:bookmarkStart w:id="607" w:name="pg11802_154332"/>
    </w:p>
    <w:p>
      <w:pPr>
        <w:pStyle w:val="Heading6"/>
        <w:numPr>
          <w:ilvl w:val="5"/>
          <w:numId w:val="1"/>
        </w:numPr>
        <w:rPr/>
      </w:pPr>
      <w:bookmarkStart w:id="608" w:name="__RefHeading___Toc10531977_73709187"/>
      <w:bookmarkStart w:id="609" w:name="_Toc230"/>
      <w:bookmarkEnd w:id="607"/>
      <w:bookmarkEnd w:id="608"/>
      <w:r>
        <w:rPr>
          <w:rtl w:val="true"/>
        </w:rPr>
        <w:t>لو عدل عن الإقامة وشكّ في الإتيان بالرباعيّة</w:t>
      </w:r>
      <w:bookmarkEnd w:id="609"/>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على الإقامة ثمّ عدل عنها، وشكّ في الإتيان بالصلاة التامّة قبل العدول، فلا محالة يحصل له العلم الإجمالي بوجوب القصر عليه أو التمام، ولازمه الجمع بينهما، إلّاأنّ الكلام في أنّه هل ينحلّ هذا العلم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البحث يقتضي ملاحظة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بإتيان الصَّلاة الرباعيّة، ولكن شكّ في صحّتها وفسادها، وفي هذه الصوره لا ريب في الانحلال ولزوم التمام عليه، لأنّ مقتضى قاعدة</w:t>
      </w:r>
      <w:r>
        <w:rPr>
          <w:rStyle w:val="FootnoteAnchor"/>
          <w:rtl w:val="true"/>
        </w:rPr>
        <w:footnoteReference w:id="1151"/>
      </w:r>
      <w:r>
        <w:rPr>
          <w:rFonts w:ascii="Amiri" w:hAnsi="Amiri" w:eastAsia="Amiri" w:cs="Amiri"/>
          <w:color w:val="111111"/>
          <w:sz w:val="28"/>
          <w:sz w:val="28"/>
          <w:szCs w:val="28"/>
          <w:rtl w:val="true"/>
          <w:lang w:bidi="ar-SA"/>
        </w:rPr>
        <w:t>الفراغ الحكم بصحّة الصَّلاة، وترتيب آثار الصحّة عليها، ومنها وجوب التمام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إتيان الصَّلاة بعد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هذه الصورة أيضاً البقاء على التمام، لأنّ مقتضى القاعدة</w:t>
      </w:r>
      <w:r>
        <w:rPr>
          <w:rStyle w:val="FootnoteAnchor"/>
          <w:rtl w:val="true"/>
        </w:rPr>
        <w:footnoteReference w:id="1152"/>
      </w:r>
      <w:r>
        <w:rPr>
          <w:rFonts w:ascii="Amiri" w:hAnsi="Amiri" w:eastAsia="Amiri" w:cs="Amiri"/>
          <w:color w:val="111111"/>
          <w:sz w:val="28"/>
          <w:sz w:val="28"/>
          <w:szCs w:val="28"/>
          <w:rtl w:val="true"/>
          <w:lang w:bidi="ar-SA"/>
        </w:rPr>
        <w:t>الدالّة على أنّ الوقت حائل، هو البناء على تحقّق الصَّلاة، فيترتّب عليه جميع الآثار منها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الانحلال، وعدم البقاء على التمام بوجهين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اليزدي</w:t>
      </w:r>
      <w:r>
        <w:rPr>
          <w:rStyle w:val="FootnoteAnchor"/>
          <w:rtl w:val="true"/>
        </w:rPr>
        <w:footnoteReference w:id="1153"/>
      </w:r>
      <w:r>
        <w:rPr>
          <w:rFonts w:ascii="Amiri" w:hAnsi="Amiri" w:eastAsia="Amiri" w:cs="Amiri"/>
          <w:color w:val="111111"/>
          <w:sz w:val="28"/>
          <w:sz w:val="28"/>
          <w:szCs w:val="28"/>
          <w:rtl w:val="true"/>
          <w:lang w:bidi="ar-SA"/>
        </w:rPr>
        <w:t xml:space="preserve">وهو أنّ مقتضى الشكّ بعد انقضاء الوقت، وإنْ كان الحكم بوقوعها شرعاً، لكن لا يثبت بذلك أنّ العدول المزبور واقعٌ‌ </w:t>
      </w:r>
    </w:p>
    <w:p>
      <w:pPr>
        <w:pStyle w:val="BookText"/>
        <w:rPr/>
      </w:pPr>
      <w:r>
        <w:rPr>
          <w:rFonts w:ascii="Amiri" w:hAnsi="Amiri" w:eastAsia="Amiri" w:cs="Amiri"/>
          <w:color w:val="111111"/>
          <w:sz w:val="28"/>
          <w:sz w:val="28"/>
          <w:szCs w:val="28"/>
          <w:rtl w:val="true"/>
          <w:lang w:bidi="ar-SA"/>
        </w:rPr>
        <w:t>في حال ايجاد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لوجوب التمام، ليس هو العدول الواقع في تلك الحال، كي يُقال إنّه لا يثبت بإجراء قاعدة الوقت حائلٌ‌، بل الموضوع مركّبٌ من العزم على الإقامة والإتيان بالصلاة التمام، وحيثُ أنّ أحد جزئي الموضوع محرزٌ بالوجدان، والآخر بالتعبّد، فلا مناص من 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فرق بين كون هذه القاعدة من الأمارات أو من الاُصول المحرِزة أو من الاُصول غير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اختصاص قاعدة الشكّ بعد خروج الوقت بنفي الإعادة، للاقتصار في دليلها وهو صحيح زرارة والفضيل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مثل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المتضمّنة لنفي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المتفاهم العرفي، هو البناء على الوجود، لاحظ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بالعدول عن الإقامة، والإتيان بصلاة رباعيّة، ولكن شكّ في المتقدّم منهما، وفي هذه الصورة يمكن البناء على وجوب التمام،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ذلك هو العزم على الإقامة، وإتيان الصَّلاة الرباعيّة الصحيحة، وحيثُ أنّ أحد جزئي الموضوع محرَزٌ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محرزٌ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إتيان الصَّلاة، لأنّ مقتضى قاعدة الفراغ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الأثر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إنّما هو الإتيان بالرباعيّة حين العزم على الإقامة، وهذا القيد لا يُحرز بالتعبّد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الإقامة موجبٌ لانقطاع السّفر، وخروج المُقيم عن كونه مسافراً، ولكن العدول عنها قبل الإتيان بالرباعيّة يوجبُ انهدام أثر القاطع من حينه، وعليه فلا مانع من استصحاب عدم تحقّق موجب القصر، إذ يشكّ في أنّ العدول كان قبل الإتيان بالرباعيّة ليوجب القصر، أو كان بعده فلا يوجبه، ومقتضى الأصل عدم تحقّق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يورد على هذا الوجه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موضوع التمام، ليس هو العزم المجرّد، بل هو مع الإتيان برباعيّة في تلك الحال، وهذا لا يثبت بالأصل المزبور، إلّاعلى القول بالأصل المثبت، فإذاً لا دليل على انحلال العلم الإجمالي المتقدّم في هذه الصورة، ومقتضاه الجمع بين القصر والتمام</w:t>
      </w:r>
      <w:r>
        <w:rPr>
          <w:rFonts w:eastAsia="Amiri" w:cs="Amiri" w:ascii="Amiri" w:hAnsi="Amiri"/>
          <w:color w:val="111111"/>
          <w:sz w:val="28"/>
          <w:szCs w:val="28"/>
          <w:rtl w:val="true"/>
          <w:lang w:bidi="ar-SA"/>
        </w:rPr>
        <w:t>.</w:t>
      </w:r>
      <w:bookmarkStart w:id="610" w:name="pg11802_154335"/>
    </w:p>
    <w:p>
      <w:pPr>
        <w:pStyle w:val="BookText"/>
        <w:rPr/>
      </w:pPr>
      <w:bookmarkEnd w:id="610"/>
      <w:r>
        <w:rPr>
          <w:rFonts w:ascii="Amiri" w:hAnsi="Amiri" w:eastAsia="Amiri" w:cs="Amiri"/>
          <w:color w:val="111111"/>
          <w:sz w:val="28"/>
          <w:sz w:val="28"/>
          <w:szCs w:val="28"/>
          <w:rtl w:val="true"/>
          <w:lang w:bidi="ar-SA"/>
        </w:rPr>
        <w:t>ولو لم ينوِ قصَّر إلى ثلاثين يوماً ثمّ يُتِّم</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0531979_73709187"/>
      <w:bookmarkStart w:id="612" w:name="_Toc231"/>
      <w:bookmarkEnd w:id="611"/>
      <w:r>
        <w:rPr>
          <w:rtl w:val="true"/>
        </w:rPr>
        <w:t>من القواطع التردّد ثلاثين يوماً</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ثلاثين يوماً متردّداً، وعليه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المسافر في 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إلى ثلاثين يوماً، ثمّ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ما دام في ذلك المكان، ولو كان ناوياً للخروج بعد ساعة، كما هو المشهور بين الأصحاب شهرة عظيمة، بل عن غير واحدٍ دعوى الإجماع عليه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كثيرة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1155"/>
      </w:r>
      <w:r>
        <w:rPr>
          <w:rFonts w:ascii="Amiri" w:hAnsi="Amiri" w:eastAsia="Amiri" w:cs="Amiri"/>
          <w:color w:val="111111"/>
          <w:sz w:val="28"/>
          <w:sz w:val="28"/>
          <w:szCs w:val="28"/>
          <w:rtl w:val="true"/>
          <w:lang w:bidi="ar-SA"/>
        </w:rPr>
        <w:t>أبي ولّاد المتقدّم في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تدر ما مقامك بها تقول غداً أخرُج أو بعد غد، فقصّر ما بينك وبين أن يمضي شهر، فإذا تمَّ لك شهرٌ فأتمّ الصَّلاة، وإنْ أردت أن تخرج من ساعتك</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يعارضها خبر حنّان عن أبيه،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البلدة فقلت اليومُ أخرجُ أو غداً أخرج فاستتممت عشرا فأتمّ‌</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 xml:space="preserve">، لقصوره عن المكافئة </w:t>
      </w:r>
    </w:p>
    <w:p>
      <w:pPr>
        <w:pStyle w:val="BookText"/>
        <w:rPr/>
      </w:pPr>
      <w:r>
        <w:rPr>
          <w:rFonts w:ascii="IRNazanin" w:hAnsi="IRNazanin" w:eastAsia="IRNazanin"/>
          <w:color w:val="111111"/>
          <w:sz w:val="28"/>
          <w:sz w:val="28"/>
          <w:szCs w:val="28"/>
          <w:rtl w:val="true"/>
          <w:lang w:bidi="fa-IR"/>
        </w:rPr>
        <w:t>لها من وجوهٍ لا تخفى‌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فأصل الحكم ممّا لا كلام فيه، انما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الإقامة في محلٍّ ثلاثين يوماً متردّداً قاطعةٌ للسفر موضوعاً، ليترتّب عليها جميع أحكام الوطن، حتّى يحتاج القصر إلى إنشاء سفر جديد منه‌؟ أو قاطعة له حكماً، فلا يترتّب عليها سوى وجوب التمام ما دام في ذلك المحلّ؟</w:t>
      </w:r>
    </w:p>
    <w:p>
      <w:pPr>
        <w:pStyle w:val="BookText"/>
        <w:rPr/>
      </w:pPr>
      <w:r>
        <w:rPr>
          <w:rFonts w:ascii="Amiri" w:hAnsi="Amiri" w:eastAsia="Amiri" w:cs="Amiri"/>
          <w:color w:val="111111"/>
          <w:sz w:val="28"/>
          <w:sz w:val="28"/>
          <w:szCs w:val="28"/>
          <w:rtl w:val="true"/>
          <w:lang w:bidi="ar-SA"/>
        </w:rPr>
        <w:t>وجهان، أقواهما الأوّل، لصحيح صفوان، عن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أهل مكّة إذا زاروا عليهم إتمام الصَّلاة‌؟ قال عليه السلام نعم، المقيم بمكّة إلى شهر بمنزلتهم</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عموم المنزلة، بل لا يبعد دعوى استظهار ذلك من نصوص الباب أيضاً، بتقريب أنّه بعدما لا ريب في أنّ المُقيم في بلدٍ مدّةً طويلة لا يصدق عليه المسافر، فقد حَدّد الشارع ذلك فيما إذا كان المقام مع العزم بعشرة أيّام، وفي ما إذا كان مع التردّد بثلاثين يوماً، ويؤكّده وحدة لسان النصوص في الإقامة والبقاء ثلاثين يوماً متردّداً، فقد نُزّل فيها المقيم عشرة أيّام مع العزم، والمقيم ثلاثين يوماً مع التردّد، منزلة أهل البلد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للمشهور، بل عن الشهيد الثاني</w:t>
      </w:r>
      <w:r>
        <w:rPr>
          <w:rStyle w:val="FootnoteAnchor"/>
          <w:rtl w:val="true"/>
        </w:rPr>
        <w:footnoteReference w:id="1159"/>
      </w:r>
      <w:r>
        <w:rPr>
          <w:rFonts w:ascii="Amiri" w:hAnsi="Amiri" w:eastAsia="Amiri" w:cs="Amiri"/>
          <w:color w:val="111111"/>
          <w:sz w:val="28"/>
          <w:sz w:val="28"/>
          <w:szCs w:val="28"/>
          <w:rtl w:val="true"/>
          <w:lang w:bidi="ar-SA"/>
        </w:rPr>
        <w:t xml:space="preserve">مساواة الإقامة ثلاثين يوماً متردّداً للإقامة عشرة أيّام في حكاية الإجماعات على قاطعيّتها للسفر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قاطعة لموضوع السّفر لا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أكثر النصوص، وفي عبارات الأكثر، هو تعليق الحكم المزبور على الشهر، وفي خصوص صحيح ابن أبي أيّوب، وأكثر</w:t>
      </w:r>
      <w:r>
        <w:rPr>
          <w:rStyle w:val="FootnoteAnchor"/>
          <w:rtl w:val="true"/>
        </w:rPr>
        <w:footnoteReference w:id="1160"/>
      </w:r>
      <w:r>
        <w:rPr>
          <w:rFonts w:ascii="Amiri" w:hAnsi="Amiri" w:eastAsia="Amiri" w:cs="Amiri"/>
          <w:color w:val="111111"/>
          <w:sz w:val="28"/>
          <w:sz w:val="28"/>
          <w:szCs w:val="28"/>
          <w:rtl w:val="true"/>
          <w:lang w:bidi="ar-SA"/>
        </w:rPr>
        <w:t>عبارات المتأخّرين ذكر الثلاثين، ولهذا وقع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المدار على إقامة الشهر الهلالي مطلقاً، أو على إقامة ثلاثين يوماًكذلك‌؟</w:t>
      </w:r>
    </w:p>
    <w:p>
      <w:pPr>
        <w:pStyle w:val="BookText"/>
        <w:rPr/>
      </w:pPr>
      <w:r>
        <w:rPr>
          <w:rFonts w:ascii="Amiri" w:hAnsi="Amiri" w:eastAsia="Amiri" w:cs="Amiri"/>
          <w:color w:val="111111"/>
          <w:sz w:val="28"/>
          <w:sz w:val="28"/>
          <w:szCs w:val="28"/>
          <w:rtl w:val="true"/>
          <w:lang w:bidi="ar-SA"/>
        </w:rPr>
        <w:t>أو يفصّل بين ما إذا كان مبدأ الإقامة أوّل الشهر، فالمدار على الهلالي، وبين ما إذا كان مبدئها في أثناء الهلالي، المدار على إقامة الثلاثين‌؟</w:t>
      </w:r>
    </w:p>
    <w:p>
      <w:pPr>
        <w:pStyle w:val="BookText"/>
        <w:rPr/>
      </w:pPr>
      <w:r>
        <w:rPr>
          <w:rFonts w:ascii="Amiri" w:hAnsi="Amiri" w:eastAsia="Amiri" w:cs="Amiri"/>
          <w:color w:val="111111"/>
          <w:sz w:val="28"/>
          <w:sz w:val="28"/>
          <w:szCs w:val="28"/>
          <w:rtl w:val="true"/>
          <w:lang w:bidi="ar-SA"/>
        </w:rPr>
        <w:t xml:space="preserve">المشهور بين الأصحاب هو الثاني،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إختيار الثالث، وتبعه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بعدما لا ريب ولا كلام في أنّه لا يعتبر الشهر بمعنى ما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اختصاص النصوص والحكم بما إذا وقع التردّد في أوّل آنات الشهر، وهو بديهي البطلان، بل لو كان المدار على الشهر، كان اللّازم إرادة المقدار منه، بحيث يُكتفى بالملفّق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في مقام الجمع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خبر الثلاثين على ما إذا كان مبدأ الإقامة في أثناء الهلالي، ونصوص الشهر على ما إذا كان مبدؤها أوّل الشهر، فيثبت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حَمل الثلاثين على إرادة الشهر، من جهة أنّ الشهر الكامل هو ذلك، فيثبت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حمل الشهر على إرادة الثلاثين فيثبت الثاني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الأخير، وذلك لأنّه بعد وضوح فساد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جمعاً تبرّعيّاً لا شاهد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نصوص الشهر على إرادة ما بين الهلالين، لازمه اختصاصه بما إذا كان مبدأ الإقامة أوّل آنات الشهر، من دون تعرّض لكونه من ثاني آنات اليوم الأوّل من الشهر، وهو كما ترى‌، يتعيّن حمل الشهر على إرادة المقدار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حمل المطلق على المقيّد، حمل الشهر على إرادة الثلاثين لأنّ للشهر الهلالي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وعشرون، فكذلك للمقدار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الشهر الاكتفاء بكلّ منهما، ولكن خبر الثلاثين يقيّده بالفرد الكامل، وهو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الوحدة في محلّ الإقامة، والتوالي بين الأيّام التي يقيم فيها متردّداً، لما مرّ في المبحث السابق، فلو تردّدٍ في أمكنةٍ متعدّدة لا ينقطع به السّفر، كما أنّه لو توقّف متردّداً شهراً في ضمن شهرين لا ينقطع السّفر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الصور والأحكام للخروج إلى ما دون المسافة، بعد العزم على الإقامة وتحقّقها، تجري في المقام بعد الإقامة ثلاثين يوماً، لأنّه بعد كونها قاطعة للسفر موضوعاً كما عرفت، لا فرق بينها وبين إقامة العشرة في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مباحث الصَّلاة، وقد وقع الفراغ منها في يوم الثامن عشر من شهر جُمادي الثانية، من شهور سنة الواحد والسبعين بعد الألف والثلاثمائة من الهجرة النبويّة، على مهاجرها أفضل الصَّلاة والسّلام، في البلدة الطيّبة قُمّ المشرّفة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كرّرتُ النظر في المباحث المندرجة في هذا الجزء من أوّله إلى آخره، وكان ختامه يوم الثلاثاء الرابع عشر من شهر رمضان المبارك من شهور سنة ثمان وسبعين وثلاثمائة بعد الألف من الهجرة النبويّة، والحمد للّه أوّلاً وآخراً</w:t>
      </w:r>
      <w:r>
        <w:rPr>
          <w:rFonts w:eastAsia="Amiri" w:cs="Amiri" w:ascii="Amiri" w:hAnsi="Amiri"/>
          <w:color w:val="111111"/>
          <w:sz w:val="28"/>
          <w:szCs w:val="28"/>
          <w:rtl w:val="true"/>
          <w:lang w:bidi="ar-SA"/>
        </w:rPr>
        <w:t>.</w:t>
      </w:r>
      <w:bookmarkStart w:id="613" w:name="pg11802_154340"/>
    </w:p>
    <w:p>
      <w:pPr>
        <w:pStyle w:val="Heading2"/>
        <w:numPr>
          <w:ilvl w:val="1"/>
          <w:numId w:val="1"/>
        </w:numPr>
        <w:rPr/>
      </w:pPr>
      <w:bookmarkStart w:id="614" w:name="__RefHeading___Toc10531981_73709187"/>
      <w:bookmarkStart w:id="615" w:name="_Toc232"/>
      <w:bookmarkEnd w:id="613"/>
      <w:bookmarkEnd w:id="614"/>
      <w:r>
        <w:rPr>
          <w:rtl w:val="true"/>
        </w:rPr>
        <w:t>فهرس الموضوعات</w:t>
      </w:r>
      <w:bookmarkEnd w:id="615"/>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في اعتبار عدم الحائل بين الإمام والمأموم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حكم جماعة من بجناحي من يكون بحيال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اعتبار عدم العلوّ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في اعتبار عدم التباعد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يعتبر عدم تقدّم المأموم على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الجماعة حول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فيما تُدْرَك به الرَّكعة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لو ركع بتخيّل إدراك الإمام راكعاً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لو شكّ في إدراك الإمام راكعاً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فيما تُدرَك به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القراءة في الإخفاتيّة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حكم القراءة في الأولتين من الجَهريّة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حكم القراءة في الأخيرتين من الإخفاتيّة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حكم القراءة في الأخيرتين من الجهريّة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القراءة خلف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تقدّم المأموم في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التأخّر في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وجوب المتابعة تعبّدي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تغتفر زيادة الرّكن لأجل المتابعة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الرجوع أو السجود قبل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المتابعة في تكبيرة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المتابعة في سائر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في شرائط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شرط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مفهوم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أدلّة كون العدالة هي حُسنُ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أدلّة كون العدالة هي مجرّد ترك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أدلّة اعتبار المَلَكة في العدالة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طرق معرفة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طريقيّة حسن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طريقيّة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شهادة العَدل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ثبوت العدالة بالشَّهادة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الشّياع الظنّي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الوثوق بالعدالة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الظنّ بالعدالة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تعديل الشخص بقيام الطريق إلى عدالته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اعتبار المروّة في العدالة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حول الكبيرة والصغيرة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به تمتاز الكبيرة عن الصغيرة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اشتراط العدالة باجتناب جميع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الإصرار على الصغائر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موضوع الإصرار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ختام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حكم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اعتبار طهارة المولد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إمامة القاعدُ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إمامة الاُمّي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في إمامة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 مَن أولى بالإمامة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مراتب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مَنْ يُكره الإئتمام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العدول من إمامٍ إلى آخر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إقامة الجماعة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لو خاف فوات الرّكعة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المأموم المسبوق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اختلاف الإمام والمأموم اجتهاداً أو تقليداً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تبيّن بطلان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استحباب إعادة الصَّلاة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في تبديل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القيد والدّاعي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جواز استعمال آلات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حكم زخرفة المساجد ونقشها بالصور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حكم إخراج الحَصى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مكروهات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مستحبّات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الخوف والمطاردة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شروط صلاة الخوف وكيفيّتها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بيان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صلاة المطاردة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حَدّ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حكم المسافة الملفّقة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في تعيين مبدأ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في المسافة المستديرة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طرق ثبوت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اعتبار قصد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لو أخرج إلى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عدم اعتبار قصد المسافة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لو تردّد في الأثناء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حكم التابع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إذا صلّى قصراً ثمّ عدل عن القصد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الوصول إلى الوطن قاطع للسَّفر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الإقامة قاطعة للسفر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إباحة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حكم الرجوع من سفر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اعتبار إباحة السّفر ابتداءً واستدامةً‌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لو رجع إلى الطاعة بعد قصد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حكم الغاية الملفّقة من الطاعة والمعصية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حكم الصَّلاة في سفر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لو نذر الإتمام في يوم فسافر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حكم كثير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حكم السّفر الأوّل لمن اتّخذ السّفر عملاً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ما يعتبر في وجوب التمام على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إقامة عشرة أيّام قاطعة لعمليّة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القاطع نفس الإقامة وإنْ لم تكن عن 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كثيرُ السّفر يُتمّ في السّفر الثاني بعد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اعتبار الوصول إلى حَدّ الترخّص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حكم القصر ينقطع بالرّجوع إلى حَدّ الترخّص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عدم اختصاص اعتبار حَدّ الترخّص بالوطن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التخيير في الأماكن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المراد من الأماكن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لو أتمّ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لو أتمّ المسافر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العبرة بحال الأداء لا حال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قواطع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الوطن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الوطن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ما يعتبر في الوطن الشرعي على القول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قاطعيّة الإقامة لعشرة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قَصدُ الخروج عن السّور لا ينافي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إذا بدا للمُقيم الخروج إلى ما دون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المراد باليوم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العدول عن قصد الإقامة بعد العزم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العبرة في البقاء على التمام بإتيان رباعيّة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لو عدل عن الإقامة بعد استقرار التمام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لو عدل عن الإقامة وشكّ في الإتيان بالرباعيّة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من القواطع التردّد ثلاثين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واحتمال توقّف انعقاد الجماعة على إدراك ركوع الرّكعة الاُولى‌، بحيث إنْ لم يركع معه ينكشف أن لا ائتمام، واضح الفساد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المأموم إذا منعه الزحام والسّهو عن الركوع أو السّجود في الجمعة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المأموم إذا منعه الزحام والسّهو عن الركوع أو السّجود في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ح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 أثناء قراءة الحمد أو السّورة، وجب عليه إتمامها خاصّة، لا استئنافهامن الأوّل، ولا سقوطهما من رأس، كما صرّح به جماعة، بل لعلّه كذلك في أثناء الكلمة الواحدة، فضلاً عن غيرهما، إلّاأنّ الإنصاف أنّ للتأمّل فيه بل فيما هو بمنزلة الواحدة مجالاً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عليه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الأحوط استئنافها، خصوصاً إذا كان في الأثناء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أعاد السّورة التي فارق فيها، ويحتمل قويّاً الاجتزاء بالقراءة من موضع القطع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والاستئناف في الموضعين متّجه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الحكم مجمعٌ عليه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هذا الحكم متّفقٌ عليه بين الأصحاب كما نقله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بالإجماع نقله غير واحدٍ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عن جملة من الأصحاب دعوى الإجماع عليه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غير واحد إرسال المسلّمات من المحشّين على العروة وغيرهم، وفي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الإجماع عن العزيّة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رخصة للنساء أن يُصلّين إذا كان بينهنّ وبين الإمام حائط، والأوّل أظهر وهو الأصحّ‌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النائيني للكاظمي، بتصرّف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الأحوط الاجتناب، بل الصحّة لا تخلو من الإشكال لأنّ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السترة والجدار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الصَّلاة تقرير بحث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كشف اللِّثام 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تصحّ صلاة من والى جانبيه في الصف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ظاهر جملة من الأصحاب بل صريحهم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 بينهم، بل لم يثبت القول بخلافه ممّن عدا المحقّق البهبهاني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النائيني عن جماعة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الأصحاب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لا خلاف فيما أجده إلّامن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عن غير واحد الإجماع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علمائنا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أن يكون موضع الإمام أعلى من موضع المأموم إلّابما لا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دليلناإجماع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يكره أن يكون الإمام أعلى من المأموم على مثل السطح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قصد به التحريم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الشيخ في الخلاف إلى كراهة كون الإمام أعلى من المأموم بما يعتدّ به كالأبنية، وهو متّجه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فبرغم أنّه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لا يصلح الائتمام مع علوّ الإمام على المأموم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القول بالكراهية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والمختصر النافع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يتردّد وحكم بالنهي عن الائتمام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المحقّق الخوئي قدس سره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تقدير للعُلوّ إلّابالعرف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عرفاً في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إنّه القدر المعتدّ به وأنّه لا تقدير إلّابالعرف، وهو قول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الأكثر إلى العرف والعادة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يعلو الإمام على المأموم ببناء لا يتخطّى وقيل بشبر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13/173</w:t>
      </w:r>
      <w:r>
        <w:rPr>
          <w:rFonts w:ascii="IRNazanin" w:hAnsi="IRNazanin" w:eastAsia="IRNazanin"/>
          <w:b w:val="false"/>
          <w:b w:val="false"/>
          <w:bCs w:val="false"/>
          <w:i w:val="false"/>
          <w:i w:val="false"/>
          <w:iCs w:val="false"/>
          <w:color w:val="333333"/>
          <w:sz w:val="20"/>
          <w:sz w:val="20"/>
          <w:szCs w:val="20"/>
          <w:rtl w:val="true"/>
        </w:rPr>
        <w:t>، وكذلك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نقل قوله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يضرّ البُعد المفرط مع اتّصال الصفوف إذا كان بين كلّ صفّين القُرب العرفي إجماعاً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السيّد الخوئي قدس سره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شبر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بقطع سيل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يضرّ عُلوّ المأموم من الإمام مطلقاً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إليه علماؤنا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كالمدارك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الأصحاب بجوازه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المساجدو الصَّلاة فيها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علمائنا وهو قول أكثر العلماء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المنع من التباعد الكثير، ويستند في ذلك إلى العرف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الأكثر إلى أنّ المرجع فيه إلى العادة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وإلى هذا القول مالَ جملة من أفاضل متأخّري المتأخّرين وهو الحقّ الحقيق بالاتّباع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بين كلّ صفّين قدر مسقط الجسد، فإن تجاوز ذلك إلى القَدَر الذي لا يتخطّى لم يجز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يخطو إلى الصف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بينه وبين الإمام ما لا يتخطّى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والظاهر من الحكاية أنّه لما رواه الصدوق 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13/174</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المراد بالقبلة كما عن المجلسي ومولانا مراد في شرحيهما على الفقيه الصف الذي قبلك أو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عن المجلسى وغيره في شرح الحديث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جدّي والفاضل مولانا مراد في شرحيهما على الفقيه، المراد بالقبلة الصف الذي قبلك أو الإمام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حكى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إلى الشهيد عن الذخيرة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الأصحاب لا أعرف خلاف في ما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لا يتقدّم المأموم على الإمام في الابتداء والاستدامة عند علمائنا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جماعة كالعزيّة وإرشاد الجعفريّة والمفاتيح والمنتهى والمدارك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جواز المساواة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الصحّة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ساواه صحّ إجماعاً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الجنيد 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فالأقوى صحّة الجماعة مع الاستدارة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 عليه عملاً في كلّ الأعصار السالفة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صلّيا داخل الكعبة أو خارجها مشاهدين لها فالأقرب اتّحاد الجهة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صلّى الإمام في المسجد الحرام إلى ناحية من النواحي الكعبة واستدار حولها صحّت صلاة من خلف الإمام خاصّة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محلّ تردّد، ولا ريب أنّ الوقوف في جهة الإمام أولى وأحوط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فإشكال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 عليه عملاً في كلّ الأعصار السالفة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ولكن هنا فقط للمجوّزين، راجع الصفحة السابقة ح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لا يكون المأموم أقرب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والأحوط عدم أقربيّة المأموم فيها إلى الكعبة بحسب الدائرة، وأحوط منه ملاحظة الكعبة مع ذلك، وأحوط منه أقربيّة الإمام إليها دائرةً وعيناً، واللّه العالم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عن الخلاف دعوى الإجماع على إدراك الرّكعة بإدراك الإمام راكعاً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الصَّلاة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بحث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ذهاب غير واحد من محشي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تعليقهم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ذهب إليه صاحب العروة من القول بالبطلان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بحث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ذهب إلى الصحّة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7/204</w:t>
      </w:r>
      <w:r>
        <w:rPr>
          <w:rFonts w:ascii="IRNazanin" w:hAnsi="IRNazanin" w:eastAsia="IRNazanin"/>
          <w:b w:val="false"/>
          <w:b w:val="false"/>
          <w:bCs w:val="false"/>
          <w:i w:val="false"/>
          <w:i w:val="false"/>
          <w:iCs w:val="false"/>
          <w:color w:val="333333"/>
          <w:sz w:val="20"/>
          <w:sz w:val="20"/>
          <w:szCs w:val="20"/>
          <w:rtl w:val="true"/>
        </w:rPr>
        <w:t>، وقد ذهب إلى ذلك والإتمام منفرداً غير واحد من محشي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باب نوادر الجمعة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هو المشهور من الشيخ ومن تأخّر عنه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تقرير بحث النائيني الكاظمي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النائيني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أنّه يكبّر ويتبعه في السجدتين والتشهّد، والأكثر ينوي ويُعيد التكبيربعد التشهّد وجوباً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 أكثر علمائنا للمأموم التكبير ومتابعة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الجماعة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الجماعة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لم يوجبه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 ينوي ويُعيد التكبير بعد التشهّد وجوباً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وبنى على تلك التكبيرة أنّ الافتتاح، وبه قال علم الهدى في المصابيح والشيخ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شكّ في إدراك الإمام راكعاً، فلا إشكال في أنّه يجوزله الدخول في الصَّلاة بنيّة الاقتداء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المساجد والصَّلاة فيها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وممّن ذهب إلى ذلك الشهيد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الفاضلان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سلّم الإمام قام وأتمّ‌، قال الفاضلان في المعتبر والمنتهى إنّه مذهب علمائنا أجمع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الإجماع في الحقيقة لعدم عامل بهذه أجده إلّاشيخنا الشهيد الثاني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الظاهر عدم الخلاف في مرجوحيّتها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حيث نسبه إلى جماعة من القدماء والمتأخّرين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ونسبه الشيخ الأعظم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وفاقاً للمشهور على الظاهر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تسمعها أنتَ فإنّه حيث إذ يجب عليك القراءة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الأشهر،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هو الأشهر الأقوى‌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فإنّه ذكر واجبات الجماعة ولم يعدّ منها القراءة والتسبيح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والأولى 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نفي القراءة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حيث علّل عدم القراءة بأنّ الإمام ضامن، بعد صدور روايات بالنهي عنها، واعتبر هذه الروايات أنّها الأظهر والتي يقتضيها اُصول المذهب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وعنه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ذلك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الموجود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مضافاً إلى الإجماع علي ماحكاه بعض الأصحاب علي عدم وجوب الإنصات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كتاب الصَّلاة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أبواب صلاة الجماعة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عمل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ذلك محلّ 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اقرأ الحمد حتّى يركع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متابعة الإمام في أفعال الصَّلاة، وعليه اتّفاق العلماء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متابعة الإمام في الأفعال بالإجماع المستفيض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الأعظم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المحقّق وكأنّ الأصل فيه ما اشتهر من النبويّ‌، وإنْ كان عاميّاً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يصلّي خلف الإمام، وذكر في العديد من مصادر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المحقّق في المعتبر، وغيره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المنجبرين بالاشتهار والعمل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لهذا الاستدلال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من تأخّر عن العلّامة وفاقاً له أنّ المراد عدم التقدّم المجامع للمقارنة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المشهور، بل لم أعثر على مصرّحٍ بخلافه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 شرح الإرشاد لفخر المحقّقين الإجماع عليه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عليه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إجماعاً بمعنى أن لا يتقدّمه فيها، بل إمّا أن يتأخّر عنه وهو الأفضل، أو يقارنه لكن مع المقارنة تفوت فضيلة الجماعة، وإنْ صحّت الصَّلاة، وإنّما فضلها مع المقارنة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الحكم العديد من الفقهاء، وأرسلوه إرسال المسلّمات، ودعوى الشهرة أو الإجماع في التأخّر الفاحش ذكروه بالملازمة كما قاله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المتابعة تعبّدي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المشهور، بل عن جماعة نسبته إلى الأصحاب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ذكرالشرطيّة الحائري اليزدي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والظاهر أنّه مبنى السيّد الخوئي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استظهار ذلك من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صلاة الجماعة، أو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فارق الإمام لغير عذر بطلت صلاته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المأمومين من لا صلاة له، و هو الذي يسبق الإمام في ركوعه و سجوده و رفعه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وربما نُسب إلى ابن إدريس أيضاً، ولم يعرف لأحدٍ غيرهم من القدماء و المتأخّرين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بالشرطيّة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في الصحّة مع تأخّره بها عن الإمام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المشهور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الجعفريّة السيّد الحكيم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ردّه على الجعفريّة والدروس والبيان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من مذهب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إليه علماؤنا أجمع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 بين الأصحاب نقلاً وتحصيلاً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بإجماعنا المقطوع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خلافاً لظاهر المحكيّ عن أبي علي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خلاف فيه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خلاف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الأظهرالأشهر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الإجماع، منتهي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إليه علماؤنا أجمع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علمائنا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منتهي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إليه علماؤنا أجمع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الشيخ عبد الكريم الحائري اليزدي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المشهور بين العلّامة ومن تأخّر عنه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علماء العامّة والخاصّة في الاُصول والفروع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الآخوند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في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العدل أن لا يخلّ بواجب ولا يرتكب قبيحاً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واجتناب القبائح أجمع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الشيخ الأعظم في 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والعدل من كان معروفاً بالدِّين والوَرَع عن محارم اللّه عزّ و جلّ‌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 الإيمان، ثمّ يُعرف بالستر والصلاح والعفاف، والكفّ عن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 باجتناب الكبائر التي أوعد اللّه عزّ وجلّ عليها النّار من شرب الخمر، والزِّنا، والرِّبا، وعقوق الوالدين، والفرار من الزحف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الاجتناب من الكبائر، ومن الإصرار على الصغائر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 باجتناب الكبائر التي أوعد اللّه عزّ وجلّ عليها النّار من شرب الخمر، والزِّنا، والرِّبا، وعقوق الوالدين، والفرار من الزحف وغير ذلك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رسائل فقهيّة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أكثر المتأخّرين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12/279</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الأعظم في 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الأعظم في 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الإصفهاني في بحوث في الاُصول، 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المقدّس الأردبيلي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ascii="IRNazanin" w:hAnsi="IRNazanin" w:eastAsia="IRNazanin"/>
          <w:b w:val="false"/>
          <w:b w:val="false"/>
          <w:bCs w:val="false"/>
          <w:i w:val="false"/>
          <w:i w:val="false"/>
          <w:iCs w:val="false"/>
          <w:color w:val="333333"/>
          <w:sz w:val="20"/>
          <w:sz w:val="20"/>
          <w:szCs w:val="20"/>
          <w:rtl w:val="true"/>
        </w:rPr>
        <w:t>، باب ما يعتبر في الشاهد من العدالة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البيّنات،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يعتبر في الشاهد من العدالة، وقد تقدّم قبل صفحات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للاصفهاني 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رسائل فقهيّة للشيخ الأعظم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وبحوث في الاُصول للاصفهاني 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رقم </w:t>
      </w:r>
      <w:r>
        <w:rPr>
          <w:rFonts w:eastAsia="IRNazanin" w:cs="IRNazanin"/>
          <w:b w:val="false"/>
          <w:bCs w:val="false"/>
          <w:i w:val="false"/>
          <w:iCs w:val="false"/>
          <w:color w:val="333333"/>
          <w:sz w:val="20"/>
          <w:szCs w:val="20"/>
        </w:rPr>
        <w:t>34054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النضيد في الاجتهاد والاحتياط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الحديث الشيخ الأعظم في الرسائل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العدالة بالشهادة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أيضاً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ويعلم العدالة بالشياع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عدلين خلفه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طرق معرفة العدالة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طرق معرفة العدالة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الإصفهاني في بحوث في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البيّنات،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يعتبر في الشاهد من العدالة، وقد تقدّم قبل صفحات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فظنّوا به خيراً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دلَّ على أنّ البناء في الشهادة بصلاح شخص، رؤيته مواظباً للصّلوات في الجماعة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العدل أن لا يخلّ بواجبٍ ولا يرتكب قبيحاً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يعتبر المروّة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4/868</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الشيخ الأنصاري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إلّاأنّه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تبعث عن ملازمة التقوى والمروّة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ادّعى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يستبعد ذلك منه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حديث طويل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يحتاج إلى معرفة الكفّ عن جميع المعاصي، وهو ظاهر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والعدالة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ذلك نصّ جمهور الأصحاب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هذا ذهب أصحابنا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هذا ذهب أصحابنا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وكتاب الاجتهاد والتقليد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13/294</w:t>
      </w:r>
      <w:r>
        <w:rPr>
          <w:rFonts w:ascii="IRNazanin" w:hAnsi="IRNazanin" w:eastAsia="IRNazanin"/>
          <w:b w:val="false"/>
          <w:b w:val="false"/>
          <w:bCs w:val="false"/>
          <w:i w:val="false"/>
          <w:i w:val="false"/>
          <w:iCs w:val="false"/>
          <w:color w:val="333333"/>
          <w:sz w:val="20"/>
          <w:sz w:val="20"/>
          <w:szCs w:val="20"/>
          <w:rtl w:val="true"/>
        </w:rPr>
        <w:t>، فقد نقل عن مصابيح الظلام أنّه المشهور بين الأصحاب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الإجماع المحكيّ عن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النصوص الواردة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اجْتَنَبَ الْكَبَائِرَ مِنَ الْمُؤْمِنِينَ لَمْ يُسْأَلْ عَنِ الصَّغَائِرِ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التحف غير واحد منهم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من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لابن بابوية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استقصاء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وأصرّ يعدو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90/282</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طرق العامّة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20993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رسائل فقهيّة للشيخ الأعظم رحمه 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علماؤنا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 شرطٌ في الإمام، ونعني به من لم يتحقّق ولادته عن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واشتراط ذلك مذهب الأصحاب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 منّا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تصحّ إمامة ولد الزّنا المعلوم حاله إجماعاً منّا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المشهور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علمائنا أجمع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 لا يؤمّون النّاس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وبهذا قال علماؤنا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يؤمّ المملوك</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 بذلك جماعة من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بها أكثر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اتّفاق العلماء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قول معظم الأصحاب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للأكثر بل عليه عامّة من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علمائنا أجمع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أبي علي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حاكياً رأي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لا يجوز لها أن تؤمّ النساء في الفرائض ويجوز في النوافل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في شيء من ذلك أجده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اتّفاق العلماء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صلاة الجماعة وفضلها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وقال في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إمكان تحصيل الإجماع أو الضرورة على عدم الوجوب، وعن التذكرة لا نعلم خلافاً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صلاة الجماعة وفضلها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المشهور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الأظهر الأشهر بل عليه عامّة من تأخّر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 الفرقة، البيان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كثير من الأصحاب 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والأجذم والأبرص ممّن ليس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فالمشهور بين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ذكرالأصحاب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وفاقاً للمشهور بين المتأخّرين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جماعة من القدماء الحرمة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أطلق جملة من الأصحاب كراهة إمامة الأغلف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 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 لا يكون ممّن يكره المأمومون على الأظهر الأشهر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المشهور بين المتأخّرين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ومنع كثيرٌ من الأصحاب إمامة الأعرابي بالمهاجرين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هذه الروايات قبل صفحات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في شيء من ذلك بيننا أجده بالإجماع في جملة من الأعذار المسطورة في العبارة، عدا الإغماء، صرّح به جماعة حَدّ الاستفاضة، بل في الذكرى وغيرها الإجماع في مطلق العذر، فيدخل ما ذكرناه أيضاً، ونحوه الإغماء، وحكي الإجماع فيه وفي الموت عن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هذا مالَ أكثر أصحابنا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لعلّه ظاهر أكثرهم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الحكم مقطوع به في كلام الأصحاب، وأسنده في التذكرة إلى علمائنا، مؤذناً بدعوى الإجماع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صريح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صلاة الجماعة للاصفهاني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خلاف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صريح أجده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إليه علماؤنا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وقد يظهر ذلك من البيان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شرائط الاقتداء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وقد يظهر ذلك من مسالك الأفهام،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المشهور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إليه علماؤنا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مذهب علمائنا كافّة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اتّفق علماؤنا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وجماعة متأخّرى المتأخّرين كالمُحدِّث البحراني والمحقّق البهبهاني وغيرهما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بقاء التخيير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في الشرح عن بعض الأصحاب وجوب الفاتحة في ركعة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تخلو الصَّلاة عن الفاتحة، فالمشهور بقاء التخيير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الشرح عن بعض الأصحاب وجوب الفاتحة في ركعة،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تخلو الصَّلاة عن الفاتحة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ذهب بعض أصحابنا إلى من فاتته الركعتان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على المأموم أن يقرأ بالحمد في الأخيرتين حذراً من خلوّ صلاته من الفاتحة ولا صلاة إلّابها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وذكره في مواطن كثيرة أيضاً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 ملحق بالكفر إجماعاً وبطريق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إجماعاً مركّباً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وذهب السيّد المرتضى إلى وجوب الإعادة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حكاه 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فيه بين الأصحاب، بل ادّعى عليه الإجماع جمعٌ منهم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عليه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متّفقٌ عليه بين الأصحاب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السيّد الخوئي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17/419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الخوئي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قولان أصحّهما الجواز</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نوى الفرض جاز</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الأكثر الندب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هذه الروايات المستدلّ بها في الصفحتين السابقتين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رواية البختري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الخوئي للفيّاض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ذكر رأي الوحيد،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المدارك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ومفتاح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كالميرزا محمّد تقي في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وفاقاً للمشهور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 الزخرفة والتصوير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ويكره إخراج الحصى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عليه غير واحد من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عليه كثيرٌ من الأصحاب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 في كلام المتقدّمين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حاشية المدارك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 ويستحبّ أن 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مقطوع به في كلام أكثر الأصحاب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جملة من كتب الأصحاب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الشهيد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فى مفتاح الكرامة عن المراسم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ابن أبي عقيل في مجموعة فتاوى ابن أبي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وقد 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تقام الحدود في المساجد، ولا في مشاهد الأئمّة عليهم السلام، ومن فعل في المساجد أو المشاهد ما يوجب إقامة الحَدّ عليه، أقيم عليه الحَدّ خارجاً منها، ولم تقم عليه الحدود فيها إن شاء اللّه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أكثر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الجماعة في الخوف وكيفيّتها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المشهور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قول الشيخ وأكثر الأصحاب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صلاة المطاردة والمسايفة وجملة من أحكامها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عليه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عليه بين الأصحاب على ما نقله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لا خلاف فيه، بل ادّعى غير واحدٍ في كلماتهم الإجماع عليه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منصوص</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علمائنا أجمع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 أهل العلم في السَّفر الجامع للشرائط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القصر في السّفر فرض واجب لا رخصة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من الخاصّة والعامّة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علمائنا أجمع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داود يلحق الحكم بالسّفر القصير كالطويل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العلماء كافّة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والميل ثلاثة الآف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بالإجماع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14/199</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والميل ثلاثة الآف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بالإجماع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11/632</w:t>
      </w:r>
      <w:r>
        <w:rPr>
          <w:rFonts w:ascii="IRNazanin" w:hAnsi="IRNazanin" w:eastAsia="IRNazanin"/>
          <w:b w:val="false"/>
          <w:b w:val="false"/>
          <w:bCs w:val="false"/>
          <w:i w:val="false"/>
          <w:i w:val="false"/>
          <w:iCs w:val="false"/>
          <w:color w:val="333333"/>
          <w:sz w:val="20"/>
          <w:sz w:val="20"/>
          <w:szCs w:val="20"/>
          <w:rtl w:val="true"/>
        </w:rPr>
        <w:t>،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إجماع الطائفة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معتدٍّ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أجده، بل عن الأمالي من دين الإماميّة، بل نصّ عليه أكثر الأعيان من الأصحاب إنْ لم يكن جميعهم، بل هو ظاهر الجميع عدا الشيخ</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نقلاً وتحصيلاً، بل عن الأمالي من دين الإماميّة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جمعٌ من الأصحاب منهم المرتضى وابن إدريس وكثير من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يرد الرجوع من يومه كان مخيّراً بين القصر والتمام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القصر في بريدين في ثمانية فراسخ</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القصر في بريدين في ثمانية فراسخ</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وصل إلى منزل له قد استوطنه ستّة أشهر فصاعداً أو ملك كذلك ولو نخلة واحدة وجب عليه التمام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يؤسف له أنّ مخطوطات جدّ الشارح قد تلفت، ولم يصل منها إلّابعضها مبتورة ناقصة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سماحة المؤلّف دام ظلّه عن بعض المخطوطات الناقصة لجدّه التي وصلت إليه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سيّما بين المتقدّمين، إلّاأنّهم عبّروا هنا بخفاء جدران البلد، بمعنى أنّه لا يجب عليه التقصير حتّى يتوارى عنه جدران البلد الذي خرج منه أو يخفى عليه أذانها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أكثر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مبدؤها من آخر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صرّح غير واحد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تُطبع هذه الحاشية للمؤلّف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ذيل حديث رقم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الأنصاري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ممّا أفاده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محمع عليه تحصيلاً ونقلاً مستفيضاً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من المستفاد من النصوص ومعاقد الإجماعات التي يشهد لها ظاهر الفتاوى بين العصيان بنفس السّفر كالفرار من الزحف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بين الأصحاب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الزاهر في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الرابع أن يكون السّفر سائغاً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 الظاهر من الأدلّة أنّ السّفر الحرام الذي يوجب التمام ما يكون محرّماً بعنوان أنّه السّفر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يجوز للمرأة أن تسخط زوجها ولا تتطيّب ولا تتزيّن لغيره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المزار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عدم كون السّفر معصية في وجوب القصر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وفي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بابويه يتمّحاله ويقصّر عند عوده إلى الطريق</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اللّهو فلا تقصير فيه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معصية لم يقصّر، كاتباع الجائر وصيد اللّهو، وهذا الشرط مجمعٌ عليه بين الأصحاب كما نقله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الروايات ما ورد 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11217</w:t>
      </w:r>
      <w:r>
        <w:rPr>
          <w:rFonts w:ascii="IRNazanin" w:hAnsi="IRNazanin" w:eastAsia="IRNazanin"/>
          <w:b w:val="false"/>
          <w:b w:val="false"/>
          <w:bCs w:val="false"/>
          <w:i w:val="false"/>
          <w:i w:val="false"/>
          <w:iCs w:val="false"/>
          <w:color w:val="333333"/>
          <w:sz w:val="20"/>
          <w:sz w:val="20"/>
          <w:szCs w:val="20"/>
          <w:rtl w:val="true"/>
        </w:rPr>
        <w:t>، وغيرهما من نفس الباب وغيره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خرج إلى الصيد للّهو أو الفضول وجب عليه التمام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قيل إنّه مذهب القدماء، بل لعلّه لا خلاف فيه بينهم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القصر على المكاري والجمّال إذا جَدَّ بهما السّير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 أنّ المكاريين يتمّون ما داموا يتردّدون في أقلّ المسافة أو في المسافة غير مقصودة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الجواهر وغيره صاحب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المعروف من مذهب الأصحاب، بل هو مقطوع به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الأصحاب الاتّفاق على أنّ إقامة العشرة أيّام في البلد قاطعة لكثرة السّفروموجبة للقصر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النسبة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8/283</w:t>
      </w:r>
      <w:r>
        <w:rPr>
          <w:rFonts w:ascii="IRNazanin" w:hAnsi="IRNazanin" w:eastAsia="IRNazanin"/>
          <w:b w:val="false"/>
          <w:b w:val="false"/>
          <w:bCs w:val="false"/>
          <w:i w:val="false"/>
          <w:i w:val="false"/>
          <w:iCs w:val="false"/>
          <w:color w:val="333333"/>
          <w:sz w:val="20"/>
          <w:sz w:val="20"/>
          <w:szCs w:val="20"/>
          <w:rtl w:val="true"/>
        </w:rPr>
        <w:t xml:space="preserve">، والظاهر أنّ الناسب المحقّق السبزواري، في الذخيرة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وحكاه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الشهيد في الروض</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وجوب القصر بخفاء الجدران والأذان خروجاً وعوداً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بين الأصحاب سيّما المتقدّمين إلّاأنّهم عبّروا هنا بخفاء جدران البلد بمعنى أنّه لا يجب عليه التقصير حتّى يتوارى عنه جدران البلد الذي خرج منه أو يخفى عنه أذانها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الشهرة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المشهور بل كاد أن يكون إجماعاً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وجد القائل بالجواز والاستحباب فهو حسن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المسافر إذا دخل بلده ولم يدخل منزله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مال إليه بعض متأخّري المتأخّرين من التخيير لمن بلغ إلى محلّ‌الترخّص في إيابه بيت القصر والإتمام عملاً بالدليلين، بل هو أضعف من الأوّل بوجوه، بل يمكن دعوى الإجماع المركّب على خلافه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يظهر إلّامن صريح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 الاعتكاف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 المسافر في مكّة والمدينة والكوفة والحائر مع عدم نيّة الإقامة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 المسافر في مكّة والمدينة والكوفة والحائر مع عدم نيّة الإقامة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الإتمام في مكّة والمدينة وإنْ وقعت خارج المسجدين، وهو المشهوربين الأصحاب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الإتمام في أربعة مواطن في السّفر في نفس المسجد الحرام وفي نفس مسجد المدينة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الشيخ نجيب الدِّين يحيى بن سعيد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حرم الحسين عليه السلام الذي يستحبّ التبرّك به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صاحب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صاحب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صاحب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صاحب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يظنّ انفراد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متّفق عليه بين الأصحاب ونقل اتّفاقهم المصنّف في التذكرة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أتمّ في السّفر عامداً وجب عليه الإعادة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 مطلقاً على الأشهر الأقوى‌، بل عليه إجماع في الجملة في ظاهربعض العبارات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الأظهر الأشهر، بل عليه عامّة من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صريح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وظاهر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الإجماع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للسيّد البروجردي الاستثناء مقصورٌ على ناسي الموضوع على الأقوى‌</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والإجماع حاصلٌ على وجوب القصر للمسافر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الحاشية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دخل عليه الوقت وهو حاضر فسافر أو بالعكس</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من دخل عليه الوقت وهو حاضر فسافر أو بالعكس</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حملنا الاُولى على الإجزاء وهذا الاستحباب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له الإتمام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من وصل إلى منزل له قد استوطنه ستّة أشهر فصاعداً، أو ملك كذلك ولو نخلة واحدة وجبَ عليه التمام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وجوب القصر بخفاء الجدران والأذان خروجاً وعَوداً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من دخل عليه الوقت وهو حاضر فسافر أو بالعكس</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القصر على من قصد ثمانية فراسخ أربعة ذهاباً وأربعة إياباً مطلقاً لا أقلّ من ذلك</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الرسائل التسع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مستمسك العروة ة الوثقى‌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المشهور نقلاً وتحصيلاً، بل لا خلاف فيه إلّامن نادر، بل في الروض وعن التذكرة الإجماع عليه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وصل إلى منزل له قد استوطنه ستّة أشهر فصاعداً أو ملك كذلك ولو نخلة واحدة وجب عليه التمام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وصل إلى منزل له قد استوطنه ستّة أشهر فصاعداً أو ملك كذلك ولونخلة واحدة وجب عليه التمام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المسافر إذا نوى الإقامة عشرة أيّام وجب عليه الإتمام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اشتهر في هذه الأوقات المتأخّرة والأزمنة المتغيّرة، من أنّ من أقام في بلد مثلاً فلا يجوز له الخروج من سورها المحيط بها أم عن حدود بنيانها ودورها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الإصفهاني في صلاة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الإصفهاني في صلاة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وأيضاً أشار إليه قوله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النائيني للخوانساري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صلاة المسافر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أجوبة المسائل المهنائيّة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المسافر إذا نوى الإقامة عشرة أيّام وجب عليه الإتمام في الصَّلاة والصيام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الغرية والدرّة السنيَّة بالتقصير في الفرض في الذهاب والمقصد أيضاً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أُخرج بعد العزم الإقامة وقد صلّى تماماً اشترط مسافة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فيتوقّف القصر بعده على سفر جديد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المستفادة من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 أبواب الخلل الواقع في الصَّلاة،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المستفادة من أخبار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مجمعٌ عليه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خلافاً أجده بل عليه الإجماع في عبائر جماعة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73627</Words>
  <Characters>331848</Characters>
  <CharactersWithSpaces>402065</CharactersWithSpaces>
  <Paragraphs>3793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2026-08-22T07:53:17Z</dcterms:created>
  <dc:creator>ghaemiyeh.com</dc:creator>
  <dc:description/>
  <dc:language>en-US</dc:language>
  <cp:lastModifiedBy/>
  <dcterms:modified xsi:type="dcterms:W3CDTF">2026-08-22T11:23:33Z</dcterms:modified>
  <cp:revision>1</cp:revision>
  <dc:subject/>
  <dc:title>فقه الصادق علیه السلام جلد 9</dc:title>
</cp:coreProperties>
</file>

<file path=docProps/custom.xml><?xml version="1.0" encoding="utf-8"?>
<Properties xmlns="http://schemas.openxmlformats.org/officeDocument/2006/custom-properties" xmlns:vt="http://schemas.openxmlformats.org/officeDocument/2006/docPropsVTypes"/>
</file>