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4308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444310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444312_73709187">
            <w:r>
              <w:rPr>
                <w:webHidden/>
                <w:rStyle w:val="IndexLink"/>
                <w:rtl w:val="true"/>
              </w:rPr>
              <w:t>كتاب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10444314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444316_73709187">
            <w:r>
              <w:rPr>
                <w:webHidden/>
                <w:rStyle w:val="IndexLink"/>
                <w:rtl w:val="true"/>
              </w:rPr>
              <w:t>الباب الأوّل</w:t>
            </w:r>
            <w:r>
              <w:rPr>
                <w:rStyle w:val="IndexLink"/>
                <w:rtl w:val="true"/>
              </w:rPr>
              <w:t xml:space="preserve">: </w:t>
            </w:r>
            <w:r>
              <w:rPr>
                <w:rStyle w:val="IndexLink"/>
                <w:rtl w:val="true"/>
              </w:rPr>
              <w:t>في المقدّمات</w:t>
            </w:r>
            <w:r>
              <w:rPr>
                <w:rStyle w:val="IndexLink"/>
                <w:rtl w:val="true"/>
              </w:rPr>
              <w:tab/>
            </w:r>
            <w:r>
              <w:rPr>
                <w:rStyle w:val="IndexLink"/>
              </w:rPr>
              <w:t>16</w:t>
            </w:r>
          </w:hyperlink>
        </w:p>
        <w:p>
          <w:pPr>
            <w:pStyle w:val="Contents4"/>
            <w:tabs>
              <w:tab w:val="clear" w:pos="8176"/>
              <w:tab w:val="right" w:pos="9026" w:leader="dot"/>
            </w:tabs>
            <w:rPr/>
          </w:pPr>
          <w:hyperlink w:anchor="__RefHeading___Toc10444318_7370918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0444320_73709187">
            <w:r>
              <w:rPr>
                <w:webHidden/>
                <w:rStyle w:val="IndexLink"/>
                <w:rtl w:val="true"/>
              </w:rPr>
              <w:t>الفصل الأوّل في أعداد الفرائض</w:t>
            </w:r>
            <w:r>
              <w:rPr>
                <w:rStyle w:val="IndexLink"/>
                <w:rtl w:val="true"/>
              </w:rPr>
              <w:tab/>
            </w:r>
            <w:r>
              <w:rPr>
                <w:rStyle w:val="IndexLink"/>
              </w:rPr>
              <w:t>16</w:t>
            </w:r>
          </w:hyperlink>
        </w:p>
        <w:p>
          <w:pPr>
            <w:pStyle w:val="Contents5"/>
            <w:tabs>
              <w:tab w:val="clear" w:pos="7892"/>
              <w:tab w:val="right" w:pos="9026" w:leader="dot"/>
            </w:tabs>
            <w:rPr/>
          </w:pPr>
          <w:hyperlink w:anchor="__RefHeading___Toc10444322_7370918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0444324_73709187">
            <w:r>
              <w:rPr>
                <w:webHidden/>
                <w:rStyle w:val="IndexLink"/>
                <w:rtl w:val="true"/>
              </w:rPr>
              <w:t>تنبيهات الفرائض</w:t>
            </w:r>
            <w:r>
              <w:rPr>
                <w:rStyle w:val="IndexLink"/>
                <w:rtl w:val="true"/>
              </w:rPr>
              <w:tab/>
            </w:r>
            <w:r>
              <w:rPr>
                <w:rStyle w:val="IndexLink"/>
              </w:rPr>
              <w:t>21</w:t>
            </w:r>
          </w:hyperlink>
        </w:p>
        <w:p>
          <w:pPr>
            <w:pStyle w:val="Contents6"/>
            <w:tabs>
              <w:tab w:val="clear" w:pos="7609"/>
              <w:tab w:val="right" w:pos="9026" w:leader="dot"/>
            </w:tabs>
            <w:rPr/>
          </w:pPr>
          <w:hyperlink w:anchor="__RefHeading___Toc10444326_73709187">
            <w:r>
              <w:rPr>
                <w:webHidden/>
                <w:rStyle w:val="IndexLink"/>
                <w:rtl w:val="true"/>
              </w:rPr>
              <w:t>نافلة العصر ثمان ركعات قبلها</w:t>
            </w:r>
            <w:r>
              <w:rPr>
                <w:rStyle w:val="IndexLink"/>
                <w:rtl w:val="true"/>
              </w:rPr>
              <w:tab/>
            </w:r>
            <w:r>
              <w:rPr>
                <w:rStyle w:val="IndexLink"/>
              </w:rPr>
              <w:t>21</w:t>
            </w:r>
          </w:hyperlink>
        </w:p>
        <w:p>
          <w:pPr>
            <w:pStyle w:val="Contents6"/>
            <w:tabs>
              <w:tab w:val="clear" w:pos="7609"/>
              <w:tab w:val="right" w:pos="9026" w:leader="dot"/>
            </w:tabs>
            <w:rPr/>
          </w:pPr>
          <w:hyperlink w:anchor="__RefHeading___Toc10444328_73709187">
            <w:r>
              <w:rPr>
                <w:webHidden/>
                <w:rStyle w:val="IndexLink"/>
                <w:rtl w:val="true"/>
              </w:rPr>
              <w:t>ظاهرُ جماعةٍ تعيّن الجلوس في الركعتين بعد العشاء</w:t>
            </w:r>
            <w:r>
              <w:rPr>
                <w:rStyle w:val="IndexLink"/>
                <w:rtl w:val="true"/>
              </w:rPr>
              <w:tab/>
            </w:r>
            <w:r>
              <w:rPr>
                <w:rStyle w:val="IndexLink"/>
              </w:rPr>
              <w:t>21</w:t>
            </w:r>
          </w:hyperlink>
        </w:p>
        <w:p>
          <w:pPr>
            <w:pStyle w:val="Contents6"/>
            <w:tabs>
              <w:tab w:val="clear" w:pos="7609"/>
              <w:tab w:val="right" w:pos="9026" w:leader="dot"/>
            </w:tabs>
            <w:rPr/>
          </w:pPr>
          <w:hyperlink w:anchor="__RefHeading___Toc10444330_73709187">
            <w:r>
              <w:rPr>
                <w:webHidden/>
                <w:rStyle w:val="IndexLink"/>
                <w:rtl w:val="true"/>
              </w:rPr>
              <w:t>القنوت في الشَّفع في الرّكعة الثانية</w:t>
            </w:r>
            <w:r>
              <w:rPr>
                <w:rStyle w:val="IndexLink"/>
                <w:rtl w:val="true"/>
              </w:rPr>
              <w:tab/>
            </w:r>
            <w:r>
              <w:rPr>
                <w:rStyle w:val="IndexLink"/>
              </w:rPr>
              <w:t>22</w:t>
            </w:r>
          </w:hyperlink>
        </w:p>
        <w:p>
          <w:pPr>
            <w:pStyle w:val="Contents6"/>
            <w:tabs>
              <w:tab w:val="clear" w:pos="7609"/>
              <w:tab w:val="right" w:pos="9026" w:leader="dot"/>
            </w:tabs>
            <w:rPr/>
          </w:pPr>
          <w:hyperlink w:anchor="__RefHeading___Toc10444332_73709187">
            <w:r>
              <w:rPr>
                <w:webHidden/>
                <w:rStyle w:val="IndexLink"/>
                <w:rtl w:val="true"/>
              </w:rPr>
              <w:t>لا شبهة في استحباب القنوت في مفردة الوتر قبل الركوع</w:t>
            </w:r>
            <w:r>
              <w:rPr>
                <w:rStyle w:val="IndexLink"/>
                <w:rtl w:val="true"/>
              </w:rPr>
              <w:tab/>
            </w:r>
            <w:r>
              <w:rPr>
                <w:rStyle w:val="IndexLink"/>
              </w:rPr>
              <w:t>22</w:t>
            </w:r>
          </w:hyperlink>
        </w:p>
        <w:p>
          <w:pPr>
            <w:pStyle w:val="Contents6"/>
            <w:tabs>
              <w:tab w:val="clear" w:pos="7609"/>
              <w:tab w:val="right" w:pos="9026" w:leader="dot"/>
            </w:tabs>
            <w:rPr/>
          </w:pPr>
          <w:hyperlink w:anchor="__RefHeading___Toc10444334_73709187">
            <w:r>
              <w:rPr>
                <w:webHidden/>
                <w:rStyle w:val="IndexLink"/>
                <w:rtl w:val="true"/>
              </w:rPr>
              <w:t>صَلاة الغُفيلة</w:t>
            </w:r>
            <w:r>
              <w:rPr>
                <w:rStyle w:val="IndexLink"/>
                <w:rtl w:val="true"/>
              </w:rPr>
              <w:tab/>
            </w:r>
            <w:r>
              <w:rPr>
                <w:rStyle w:val="IndexLink"/>
              </w:rPr>
              <w:t>23</w:t>
            </w:r>
          </w:hyperlink>
        </w:p>
        <w:p>
          <w:pPr>
            <w:pStyle w:val="Contents5"/>
            <w:tabs>
              <w:tab w:val="clear" w:pos="7892"/>
              <w:tab w:val="right" w:pos="9026" w:leader="dot"/>
            </w:tabs>
            <w:rPr/>
          </w:pPr>
          <w:hyperlink w:anchor="__RefHeading___Toc10444336_73709187">
            <w:r>
              <w:rPr>
                <w:webHidden/>
                <w:rStyle w:val="IndexLink"/>
                <w:rtl w:val="true"/>
              </w:rPr>
              <w:t>صلاة الوصيّة</w:t>
            </w:r>
            <w:r>
              <w:rPr>
                <w:rStyle w:val="IndexLink"/>
                <w:rtl w:val="true"/>
              </w:rPr>
              <w:tab/>
            </w:r>
            <w:r>
              <w:rPr>
                <w:rStyle w:val="IndexLink"/>
              </w:rPr>
              <w:t>25</w:t>
            </w:r>
          </w:hyperlink>
        </w:p>
        <w:p>
          <w:pPr>
            <w:pStyle w:val="Contents5"/>
            <w:tabs>
              <w:tab w:val="clear" w:pos="7892"/>
              <w:tab w:val="right" w:pos="9026" w:leader="dot"/>
            </w:tabs>
            <w:rPr/>
          </w:pPr>
          <w:hyperlink w:anchor="__RefHeading___Toc10444338_73709187">
            <w:r>
              <w:rPr>
                <w:webHidden/>
                <w:rStyle w:val="IndexLink"/>
                <w:rtl w:val="true"/>
              </w:rPr>
              <w:t>سقوط نوافل الظهرين في السَّفر</w:t>
            </w:r>
            <w:r>
              <w:rPr>
                <w:rStyle w:val="IndexLink"/>
                <w:rtl w:val="true"/>
              </w:rPr>
              <w:tab/>
            </w:r>
            <w:r>
              <w:rPr>
                <w:rStyle w:val="IndexLink"/>
              </w:rPr>
              <w:t>27</w:t>
            </w:r>
          </w:hyperlink>
        </w:p>
        <w:p>
          <w:pPr>
            <w:pStyle w:val="Contents4"/>
            <w:tabs>
              <w:tab w:val="clear" w:pos="8176"/>
              <w:tab w:val="right" w:pos="9026" w:leader="dot"/>
            </w:tabs>
            <w:rPr/>
          </w:pPr>
          <w:hyperlink w:anchor="__RefHeading___Toc10444340_73709187">
            <w:r>
              <w:rPr>
                <w:webHidden/>
                <w:rStyle w:val="IndexLink"/>
                <w:rtl w:val="true"/>
              </w:rPr>
              <w:t>الفصل الثاني</w:t>
            </w:r>
            <w:r>
              <w:rPr>
                <w:rStyle w:val="IndexLink"/>
                <w:rtl w:val="true"/>
              </w:rPr>
              <w:t xml:space="preserve">: </w:t>
            </w:r>
            <w:r>
              <w:rPr>
                <w:rStyle w:val="IndexLink"/>
                <w:rtl w:val="true"/>
              </w:rPr>
              <w:t>في أوقاتها</w:t>
            </w:r>
            <w:r>
              <w:rPr>
                <w:rStyle w:val="IndexLink"/>
                <w:rtl w:val="true"/>
              </w:rPr>
              <w:tab/>
            </w:r>
            <w:r>
              <w:rPr>
                <w:rStyle w:val="IndexLink"/>
              </w:rPr>
              <w:t>33</w:t>
            </w:r>
          </w:hyperlink>
        </w:p>
        <w:p>
          <w:pPr>
            <w:pStyle w:val="Contents5"/>
            <w:tabs>
              <w:tab w:val="clear" w:pos="7892"/>
              <w:tab w:val="right" w:pos="9026" w:leader="dot"/>
            </w:tabs>
            <w:rPr/>
          </w:pPr>
          <w:hyperlink w:anchor="__RefHeading___Toc10444342_7370918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0444344_73709187">
            <w:r>
              <w:rPr>
                <w:webHidden/>
                <w:rStyle w:val="IndexLink"/>
                <w:rtl w:val="true"/>
              </w:rPr>
              <w:t>مقاديرها</w:t>
            </w:r>
            <w:r>
              <w:rPr>
                <w:rStyle w:val="IndexLink"/>
                <w:rtl w:val="true"/>
              </w:rPr>
              <w:tab/>
            </w:r>
            <w:r>
              <w:rPr>
                <w:rStyle w:val="IndexLink"/>
              </w:rPr>
              <w:t>33</w:t>
            </w:r>
          </w:hyperlink>
        </w:p>
        <w:p>
          <w:pPr>
            <w:pStyle w:val="Contents6"/>
            <w:tabs>
              <w:tab w:val="clear" w:pos="7609"/>
              <w:tab w:val="right" w:pos="9026" w:leader="dot"/>
            </w:tabs>
            <w:rPr/>
          </w:pPr>
          <w:hyperlink w:anchor="__RefHeading___Toc10444346_73709187">
            <w:r>
              <w:rPr>
                <w:webHidden/>
                <w:rStyle w:val="IndexLink"/>
                <w:rtl w:val="true"/>
              </w:rPr>
              <w:t>وقت الظهرين</w:t>
            </w:r>
            <w:r>
              <w:rPr>
                <w:rStyle w:val="IndexLink"/>
                <w:rtl w:val="true"/>
              </w:rPr>
              <w:tab/>
            </w:r>
            <w:r>
              <w:rPr>
                <w:rStyle w:val="IndexLink"/>
              </w:rPr>
              <w:t>33</w:t>
            </w:r>
          </w:hyperlink>
        </w:p>
        <w:p>
          <w:pPr>
            <w:pStyle w:val="Contents6"/>
            <w:tabs>
              <w:tab w:val="clear" w:pos="7609"/>
              <w:tab w:val="right" w:pos="9026" w:leader="dot"/>
            </w:tabs>
            <w:rPr/>
          </w:pPr>
          <w:hyperlink w:anchor="__RefHeading___Toc10444348_73709187">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0444350_73709187">
            <w:r>
              <w:rPr>
                <w:webHidden/>
                <w:rStyle w:val="IndexLink"/>
                <w:rtl w:val="true"/>
              </w:rPr>
              <w:t>في المبدإ</w:t>
            </w:r>
            <w:r>
              <w:rPr>
                <w:rStyle w:val="IndexLink"/>
                <w:rtl w:val="true"/>
              </w:rPr>
              <w:tab/>
            </w:r>
            <w:r>
              <w:rPr>
                <w:rStyle w:val="IndexLink"/>
              </w:rPr>
              <w:t>33</w:t>
            </w:r>
          </w:hyperlink>
        </w:p>
        <w:p>
          <w:pPr>
            <w:pStyle w:val="Contents6"/>
            <w:tabs>
              <w:tab w:val="clear" w:pos="7609"/>
              <w:tab w:val="right" w:pos="9026" w:leader="dot"/>
            </w:tabs>
            <w:rPr/>
          </w:pPr>
          <w:hyperlink w:anchor="__RefHeading___Toc10444352_73709187">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0444354_73709187">
            <w:r>
              <w:rPr>
                <w:webHidden/>
                <w:rStyle w:val="IndexLink"/>
                <w:rtl w:val="true"/>
              </w:rPr>
              <w:t>اختصاص أوّل الوقت بالظهر</w:t>
            </w:r>
            <w:r>
              <w:rPr>
                <w:rStyle w:val="IndexLink"/>
                <w:rtl w:val="true"/>
              </w:rPr>
              <w:tab/>
            </w:r>
            <w:r>
              <w:rPr>
                <w:rStyle w:val="IndexLink"/>
              </w:rPr>
              <w:t>37</w:t>
            </w:r>
          </w:hyperlink>
        </w:p>
        <w:p>
          <w:pPr>
            <w:pStyle w:val="Contents6"/>
            <w:tabs>
              <w:tab w:val="clear" w:pos="7609"/>
              <w:tab w:val="right" w:pos="9026" w:leader="dot"/>
            </w:tabs>
            <w:rPr/>
          </w:pPr>
          <w:hyperlink w:anchor="__RefHeading___Toc10444356_73709187">
            <w:r>
              <w:rPr>
                <w:webHidden/>
                <w:rStyle w:val="IndexLink"/>
                <w:rtl w:val="true"/>
              </w:rPr>
              <w:t>آخر وقت الظُّهرين</w:t>
            </w:r>
            <w:r>
              <w:rPr>
                <w:rStyle w:val="IndexLink"/>
                <w:rtl w:val="true"/>
              </w:rPr>
              <w:tab/>
            </w:r>
            <w:r>
              <w:rPr>
                <w:rStyle w:val="IndexLink"/>
              </w:rPr>
              <w:t>43</w:t>
            </w:r>
          </w:hyperlink>
        </w:p>
        <w:p>
          <w:pPr>
            <w:pStyle w:val="Contents6"/>
            <w:tabs>
              <w:tab w:val="clear" w:pos="7609"/>
              <w:tab w:val="right" w:pos="9026" w:leader="dot"/>
            </w:tabs>
            <w:rPr/>
          </w:pPr>
          <w:hyperlink w:anchor="__RefHeading___Toc10444358_73709187">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0444360_73709187">
            <w:r>
              <w:rPr>
                <w:webHidden/>
                <w:rStyle w:val="IndexLink"/>
                <w:rtl w:val="true"/>
              </w:rPr>
              <w:t>امتداد وقت الظهرين إلى الغروب</w:t>
            </w:r>
            <w:r>
              <w:rPr>
                <w:rStyle w:val="IndexLink"/>
                <w:rtl w:val="true"/>
              </w:rPr>
              <w:tab/>
            </w:r>
            <w:r>
              <w:rPr>
                <w:rStyle w:val="IndexLink"/>
              </w:rPr>
              <w:t>43</w:t>
            </w:r>
          </w:hyperlink>
        </w:p>
        <w:p>
          <w:pPr>
            <w:pStyle w:val="Contents6"/>
            <w:tabs>
              <w:tab w:val="clear" w:pos="7609"/>
              <w:tab w:val="right" w:pos="9026" w:leader="dot"/>
            </w:tabs>
            <w:rPr/>
          </w:pPr>
          <w:hyperlink w:anchor="__RefHeading___Toc10444362_73709187">
            <w:r>
              <w:rPr>
                <w:webHidden/>
                <w:rStyle w:val="IndexLink"/>
                <w:rtl w:val="true"/>
              </w:rPr>
              <w:t>اختصاص آخر الوقت بالعَصر</w:t>
            </w:r>
            <w:r>
              <w:rPr>
                <w:rStyle w:val="IndexLink"/>
                <w:rtl w:val="true"/>
              </w:rPr>
              <w:tab/>
            </w:r>
            <w:r>
              <w:rPr>
                <w:rStyle w:val="IndexLink"/>
              </w:rPr>
              <w:t>47</w:t>
            </w:r>
          </w:hyperlink>
        </w:p>
        <w:p>
          <w:pPr>
            <w:pStyle w:val="Contents6"/>
            <w:tabs>
              <w:tab w:val="clear" w:pos="7609"/>
              <w:tab w:val="right" w:pos="9026" w:leader="dot"/>
            </w:tabs>
            <w:rPr/>
          </w:pPr>
          <w:hyperlink w:anchor="__RefHeading___Toc10444364_73709187">
            <w:r>
              <w:rPr>
                <w:webHidden/>
                <w:rStyle w:val="IndexLink"/>
                <w:rtl w:val="true"/>
              </w:rPr>
              <w:t>أوّل وقت المغرب والعشاء</w:t>
            </w:r>
            <w:r>
              <w:rPr>
                <w:rStyle w:val="IndexLink"/>
                <w:rtl w:val="true"/>
              </w:rPr>
              <w:tab/>
            </w:r>
            <w:r>
              <w:rPr>
                <w:rStyle w:val="IndexLink"/>
              </w:rPr>
              <w:t>51</w:t>
            </w:r>
          </w:hyperlink>
        </w:p>
        <w:p>
          <w:pPr>
            <w:pStyle w:val="Contents6"/>
            <w:tabs>
              <w:tab w:val="clear" w:pos="7609"/>
              <w:tab w:val="right" w:pos="9026" w:leader="dot"/>
            </w:tabs>
            <w:rPr/>
          </w:pPr>
          <w:hyperlink w:anchor="__RefHeading___Toc10444366_7370918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0444368_73709187">
            <w:r>
              <w:rPr>
                <w:webHidden/>
                <w:rStyle w:val="IndexLink"/>
                <w:rtl w:val="true"/>
              </w:rPr>
              <w:t>أمور</w:t>
            </w:r>
            <w:r>
              <w:rPr>
                <w:rStyle w:val="IndexLink"/>
                <w:rtl w:val="true"/>
              </w:rPr>
              <w:t>:</w:t>
              <w:tab/>
            </w:r>
            <w:r>
              <w:rPr>
                <w:rStyle w:val="IndexLink"/>
              </w:rPr>
              <w:t>51</w:t>
            </w:r>
          </w:hyperlink>
        </w:p>
        <w:p>
          <w:pPr>
            <w:pStyle w:val="Contents6"/>
            <w:tabs>
              <w:tab w:val="clear" w:pos="7609"/>
              <w:tab w:val="right" w:pos="9026" w:leader="dot"/>
            </w:tabs>
            <w:rPr/>
          </w:pPr>
          <w:hyperlink w:anchor="__RefHeading___Toc10444370_7370918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0444372_73709187">
            <w:r>
              <w:rPr>
                <w:webHidden/>
                <w:rStyle w:val="IndexLink"/>
                <w:rtl w:val="true"/>
              </w:rPr>
              <w:t>لا ريب في دخول وقتهما بالغروب في الجملة</w:t>
            </w:r>
            <w:r>
              <w:rPr>
                <w:rStyle w:val="IndexLink"/>
                <w:rtl w:val="true"/>
              </w:rPr>
              <w:tab/>
            </w:r>
            <w:r>
              <w:rPr>
                <w:rStyle w:val="IndexLink"/>
              </w:rPr>
              <w:t>51</w:t>
            </w:r>
          </w:hyperlink>
        </w:p>
        <w:p>
          <w:pPr>
            <w:pStyle w:val="Contents6"/>
            <w:tabs>
              <w:tab w:val="clear" w:pos="7609"/>
              <w:tab w:val="right" w:pos="9026" w:leader="dot"/>
            </w:tabs>
            <w:rPr/>
          </w:pPr>
          <w:hyperlink w:anchor="__RefHeading___Toc10444374_73709187">
            <w:r>
              <w:rPr>
                <w:webHidden/>
                <w:rStyle w:val="IndexLink"/>
                <w:rtl w:val="true"/>
              </w:rPr>
              <w:t>آخر وقت العشائين</w:t>
            </w:r>
            <w:r>
              <w:rPr>
                <w:rStyle w:val="IndexLink"/>
                <w:rtl w:val="true"/>
              </w:rPr>
              <w:tab/>
            </w:r>
            <w:r>
              <w:rPr>
                <w:rStyle w:val="IndexLink"/>
              </w:rPr>
              <w:t>61</w:t>
            </w:r>
          </w:hyperlink>
        </w:p>
        <w:p>
          <w:pPr>
            <w:pStyle w:val="Contents6"/>
            <w:tabs>
              <w:tab w:val="clear" w:pos="7609"/>
              <w:tab w:val="right" w:pos="9026" w:leader="dot"/>
            </w:tabs>
            <w:rPr/>
          </w:pPr>
          <w:hyperlink w:anchor="__RefHeading___Toc10444376_73709187">
            <w:r>
              <w:rPr>
                <w:webHidden/>
                <w:rStyle w:val="IndexLink"/>
                <w:rtl w:val="true"/>
              </w:rPr>
              <w:t>اختصاص أوّل الوقت بالمغرب وآخره بالعشاء</w:t>
            </w:r>
            <w:r>
              <w:rPr>
                <w:rStyle w:val="IndexLink"/>
                <w:rtl w:val="true"/>
              </w:rPr>
              <w:tab/>
            </w:r>
            <w:r>
              <w:rPr>
                <w:rStyle w:val="IndexLink"/>
              </w:rPr>
              <w:t>67</w:t>
            </w:r>
          </w:hyperlink>
        </w:p>
        <w:p>
          <w:pPr>
            <w:pStyle w:val="Contents6"/>
            <w:tabs>
              <w:tab w:val="clear" w:pos="7609"/>
              <w:tab w:val="right" w:pos="9026" w:leader="dot"/>
            </w:tabs>
            <w:rPr/>
          </w:pPr>
          <w:hyperlink w:anchor="__RefHeading___Toc10444378_73709187">
            <w:r>
              <w:rPr>
                <w:webHidden/>
                <w:rStyle w:val="IndexLink"/>
                <w:rtl w:val="true"/>
              </w:rPr>
              <w:t>أوّل وقت الصُّبح</w:t>
            </w:r>
            <w:r>
              <w:rPr>
                <w:rStyle w:val="IndexLink"/>
                <w:rtl w:val="true"/>
              </w:rPr>
              <w:tab/>
            </w:r>
            <w:r>
              <w:rPr>
                <w:rStyle w:val="IndexLink"/>
              </w:rPr>
              <w:t>70</w:t>
            </w:r>
          </w:hyperlink>
        </w:p>
        <w:p>
          <w:pPr>
            <w:pStyle w:val="Contents6"/>
            <w:tabs>
              <w:tab w:val="clear" w:pos="7609"/>
              <w:tab w:val="right" w:pos="9026" w:leader="dot"/>
            </w:tabs>
            <w:rPr/>
          </w:pPr>
          <w:hyperlink w:anchor="__RefHeading___Toc10444380_73709187">
            <w:r>
              <w:rPr>
                <w:webHidden/>
                <w:rStyle w:val="IndexLink"/>
                <w:rtl w:val="true"/>
              </w:rPr>
              <w:t>آخر وقت الصّبح</w:t>
            </w:r>
            <w:r>
              <w:rPr>
                <w:rStyle w:val="IndexLink"/>
                <w:rtl w:val="true"/>
              </w:rPr>
              <w:tab/>
            </w:r>
            <w:r>
              <w:rPr>
                <w:rStyle w:val="IndexLink"/>
              </w:rPr>
              <w:t>72</w:t>
            </w:r>
          </w:hyperlink>
        </w:p>
        <w:p>
          <w:pPr>
            <w:pStyle w:val="Contents6"/>
            <w:tabs>
              <w:tab w:val="clear" w:pos="7609"/>
              <w:tab w:val="right" w:pos="9026" w:leader="dot"/>
            </w:tabs>
            <w:rPr/>
          </w:pPr>
          <w:hyperlink w:anchor="__RefHeading___Toc10444382_73709187">
            <w:r>
              <w:rPr>
                <w:webHidden/>
                <w:rStyle w:val="IndexLink"/>
                <w:rtl w:val="true"/>
              </w:rPr>
              <w:t>وقت نافلة الظهرين</w:t>
            </w:r>
            <w:r>
              <w:rPr>
                <w:rStyle w:val="IndexLink"/>
                <w:rtl w:val="true"/>
              </w:rPr>
              <w:tab/>
            </w:r>
            <w:r>
              <w:rPr>
                <w:rStyle w:val="IndexLink"/>
              </w:rPr>
              <w:t>73</w:t>
            </w:r>
          </w:hyperlink>
        </w:p>
        <w:p>
          <w:pPr>
            <w:pStyle w:val="Contents6"/>
            <w:tabs>
              <w:tab w:val="clear" w:pos="7609"/>
              <w:tab w:val="right" w:pos="9026" w:leader="dot"/>
            </w:tabs>
            <w:rPr/>
          </w:pPr>
          <w:hyperlink w:anchor="__RefHeading___Toc10444384_73709187">
            <w:r>
              <w:rPr>
                <w:webHidden/>
                <w:rStyle w:val="IndexLink"/>
                <w:rtl w:val="true"/>
              </w:rPr>
              <w:t>وقتُ نافلة المغرب</w:t>
            </w:r>
            <w:r>
              <w:rPr>
                <w:rStyle w:val="IndexLink"/>
                <w:rtl w:val="true"/>
              </w:rPr>
              <w:tab/>
            </w:r>
            <w:r>
              <w:rPr>
                <w:rStyle w:val="IndexLink"/>
              </w:rPr>
              <w:t>77</w:t>
            </w:r>
          </w:hyperlink>
        </w:p>
        <w:p>
          <w:pPr>
            <w:pStyle w:val="Contents6"/>
            <w:tabs>
              <w:tab w:val="clear" w:pos="7609"/>
              <w:tab w:val="right" w:pos="9026" w:leader="dot"/>
            </w:tabs>
            <w:rPr/>
          </w:pPr>
          <w:hyperlink w:anchor="__RefHeading___Toc10444386_73709187">
            <w:r>
              <w:rPr>
                <w:webHidden/>
                <w:rStyle w:val="IndexLink"/>
                <w:rtl w:val="true"/>
              </w:rPr>
              <w:t>وقت نافلة الوتيرة</w:t>
            </w:r>
            <w:r>
              <w:rPr>
                <w:rStyle w:val="IndexLink"/>
                <w:rtl w:val="true"/>
              </w:rPr>
              <w:tab/>
            </w:r>
            <w:r>
              <w:rPr>
                <w:rStyle w:val="IndexLink"/>
              </w:rPr>
              <w:t>80</w:t>
            </w:r>
          </w:hyperlink>
        </w:p>
        <w:p>
          <w:pPr>
            <w:pStyle w:val="Contents6"/>
            <w:tabs>
              <w:tab w:val="clear" w:pos="7609"/>
              <w:tab w:val="right" w:pos="9026" w:leader="dot"/>
            </w:tabs>
            <w:rPr/>
          </w:pPr>
          <w:hyperlink w:anchor="__RefHeading___Toc10444388_73709187">
            <w:r>
              <w:rPr>
                <w:webHidden/>
                <w:rStyle w:val="IndexLink"/>
                <w:rtl w:val="true"/>
              </w:rPr>
              <w:t>وقتُ نافلة اللّيل</w:t>
            </w:r>
            <w:r>
              <w:rPr>
                <w:rStyle w:val="IndexLink"/>
                <w:rtl w:val="true"/>
              </w:rPr>
              <w:tab/>
            </w:r>
            <w:r>
              <w:rPr>
                <w:rStyle w:val="IndexLink"/>
              </w:rPr>
              <w:t>81</w:t>
            </w:r>
          </w:hyperlink>
        </w:p>
        <w:p>
          <w:pPr>
            <w:pStyle w:val="Contents6"/>
            <w:tabs>
              <w:tab w:val="clear" w:pos="7609"/>
              <w:tab w:val="right" w:pos="9026" w:leader="dot"/>
            </w:tabs>
            <w:rPr/>
          </w:pPr>
          <w:hyperlink w:anchor="__RefHeading___Toc10444390_73709187">
            <w:r>
              <w:rPr>
                <w:webHidden/>
                <w:rStyle w:val="IndexLink"/>
                <w:rtl w:val="true"/>
              </w:rPr>
              <w:t>وقت نافلة الصّبح</w:t>
            </w:r>
            <w:r>
              <w:rPr>
                <w:rStyle w:val="IndexLink"/>
                <w:rtl w:val="true"/>
              </w:rPr>
              <w:tab/>
            </w:r>
            <w:r>
              <w:rPr>
                <w:rStyle w:val="IndexLink"/>
              </w:rPr>
              <w:t>84</w:t>
            </w:r>
          </w:hyperlink>
        </w:p>
        <w:p>
          <w:pPr>
            <w:pStyle w:val="Contents5"/>
            <w:tabs>
              <w:tab w:val="clear" w:pos="7892"/>
              <w:tab w:val="right" w:pos="9026" w:leader="dot"/>
            </w:tabs>
            <w:rPr/>
          </w:pPr>
          <w:hyperlink w:anchor="__RefHeading___Toc10444392_73709187">
            <w:r>
              <w:rPr>
                <w:webHidden/>
                <w:rStyle w:val="IndexLink"/>
                <w:rtl w:val="true"/>
              </w:rPr>
              <w:t>مسائل</w:t>
            </w:r>
            <w:r>
              <w:rPr>
                <w:rStyle w:val="IndexLink"/>
                <w:rtl w:val="true"/>
              </w:rPr>
              <w:t>:</w:t>
              <w:tab/>
            </w:r>
            <w:r>
              <w:rPr>
                <w:rStyle w:val="IndexLink"/>
              </w:rPr>
              <w:t>87</w:t>
            </w:r>
          </w:hyperlink>
        </w:p>
        <w:p>
          <w:pPr>
            <w:pStyle w:val="Contents6"/>
            <w:tabs>
              <w:tab w:val="clear" w:pos="7609"/>
              <w:tab w:val="right" w:pos="9026" w:leader="dot"/>
            </w:tabs>
            <w:rPr/>
          </w:pPr>
          <w:hyperlink w:anchor="__RefHeading___Toc10444394_73709187">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0444396_73709187">
            <w:r>
              <w:rPr>
                <w:webHidden/>
                <w:rStyle w:val="IndexLink"/>
                <w:rtl w:val="true"/>
              </w:rPr>
              <w:t>تُصلّى الفريضة في كلّ وقت</w:t>
            </w:r>
            <w:r>
              <w:rPr>
                <w:rStyle w:val="IndexLink"/>
                <w:rtl w:val="true"/>
              </w:rPr>
              <w:tab/>
            </w:r>
            <w:r>
              <w:rPr>
                <w:rStyle w:val="IndexLink"/>
              </w:rPr>
              <w:t>87</w:t>
            </w:r>
          </w:hyperlink>
        </w:p>
        <w:p>
          <w:pPr>
            <w:pStyle w:val="Contents6"/>
            <w:tabs>
              <w:tab w:val="clear" w:pos="7609"/>
              <w:tab w:val="right" w:pos="9026" w:leader="dot"/>
            </w:tabs>
            <w:rPr/>
          </w:pPr>
          <w:hyperlink w:anchor="__RefHeading___Toc10444398_73709187">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0444400_73709187">
            <w:r>
              <w:rPr>
                <w:webHidden/>
                <w:rStyle w:val="IndexLink"/>
                <w:rtl w:val="true"/>
              </w:rPr>
              <w:t>التطوّع في وقت الفريضة</w:t>
            </w:r>
            <w:r>
              <w:rPr>
                <w:rStyle w:val="IndexLink"/>
                <w:rtl w:val="true"/>
              </w:rPr>
              <w:tab/>
            </w:r>
            <w:r>
              <w:rPr>
                <w:rStyle w:val="IndexLink"/>
              </w:rPr>
              <w:t>88</w:t>
            </w:r>
          </w:hyperlink>
        </w:p>
        <w:p>
          <w:pPr>
            <w:pStyle w:val="Contents6"/>
            <w:tabs>
              <w:tab w:val="clear" w:pos="7609"/>
              <w:tab w:val="right" w:pos="9026" w:leader="dot"/>
            </w:tabs>
            <w:rPr/>
          </w:pPr>
          <w:hyperlink w:anchor="__RefHeading___Toc10444402_73709187">
            <w:r>
              <w:rPr>
                <w:webHidden/>
                <w:rStyle w:val="IndexLink"/>
                <w:rtl w:val="true"/>
              </w:rPr>
              <w:t>التطوّعُ لمن عليه فائتة</w:t>
            </w:r>
            <w:r>
              <w:rPr>
                <w:rStyle w:val="IndexLink"/>
                <w:rtl w:val="true"/>
              </w:rPr>
              <w:tab/>
            </w:r>
            <w:r>
              <w:rPr>
                <w:rStyle w:val="IndexLink"/>
              </w:rPr>
              <w:t>92</w:t>
            </w:r>
          </w:hyperlink>
        </w:p>
        <w:p>
          <w:pPr>
            <w:pStyle w:val="Contents6"/>
            <w:tabs>
              <w:tab w:val="clear" w:pos="7609"/>
              <w:tab w:val="right" w:pos="9026" w:leader="dot"/>
            </w:tabs>
            <w:rPr/>
          </w:pPr>
          <w:hyperlink w:anchor="__RefHeading___Toc10444404_73709187">
            <w:r>
              <w:rPr>
                <w:webHidden/>
                <w:rStyle w:val="IndexLink"/>
                <w:rtl w:val="true"/>
              </w:rPr>
              <w:t>كراهة النّوافل في خمسة أوقات</w:t>
            </w:r>
            <w:r>
              <w:rPr>
                <w:rStyle w:val="IndexLink"/>
                <w:rtl w:val="true"/>
              </w:rPr>
              <w:tab/>
            </w:r>
            <w:r>
              <w:rPr>
                <w:rStyle w:val="IndexLink"/>
              </w:rPr>
              <w:t>96</w:t>
            </w:r>
          </w:hyperlink>
        </w:p>
        <w:p>
          <w:pPr>
            <w:pStyle w:val="Contents6"/>
            <w:tabs>
              <w:tab w:val="clear" w:pos="7609"/>
              <w:tab w:val="right" w:pos="9026" w:leader="dot"/>
            </w:tabs>
            <w:rPr/>
          </w:pPr>
          <w:hyperlink w:anchor="__RefHeading___Toc10444406_73709187">
            <w:r>
              <w:rPr>
                <w:webHidden/>
                <w:rStyle w:val="IndexLink"/>
                <w:rtl w:val="true"/>
              </w:rPr>
              <w:t>تقديم كلّ صلاةٍ في أوّل وقتها أفضل</w:t>
            </w:r>
            <w:r>
              <w:rPr>
                <w:rStyle w:val="IndexLink"/>
                <w:rtl w:val="true"/>
              </w:rPr>
              <w:tab/>
            </w:r>
            <w:r>
              <w:rPr>
                <w:rStyle w:val="IndexLink"/>
              </w:rPr>
              <w:t>100</w:t>
            </w:r>
          </w:hyperlink>
        </w:p>
        <w:p>
          <w:pPr>
            <w:pStyle w:val="Contents6"/>
            <w:tabs>
              <w:tab w:val="clear" w:pos="7609"/>
              <w:tab w:val="right" w:pos="9026" w:leader="dot"/>
            </w:tabs>
            <w:rPr/>
          </w:pPr>
          <w:hyperlink w:anchor="__RefHeading___Toc10444408_73709187">
            <w:r>
              <w:rPr>
                <w:webHidden/>
                <w:rStyle w:val="IndexLink"/>
                <w:rtl w:val="true"/>
              </w:rPr>
              <w:t>قاعدة مَنْ أدركَ‌</w:t>
            </w:r>
            <w:r>
              <w:rPr>
                <w:rStyle w:val="IndexLink"/>
                <w:rtl w:val="true"/>
              </w:rPr>
              <w:tab/>
            </w:r>
            <w:r>
              <w:rPr>
                <w:rStyle w:val="IndexLink"/>
              </w:rPr>
              <w:t>101</w:t>
            </w:r>
          </w:hyperlink>
        </w:p>
        <w:p>
          <w:pPr>
            <w:pStyle w:val="Contents6"/>
            <w:tabs>
              <w:tab w:val="clear" w:pos="7609"/>
              <w:tab w:val="right" w:pos="9026" w:leader="dot"/>
            </w:tabs>
            <w:rPr/>
          </w:pPr>
          <w:hyperlink w:anchor="__RefHeading___Toc10444410_73709187">
            <w:r>
              <w:rPr>
                <w:webHidden/>
                <w:rStyle w:val="IndexLink"/>
                <w:rtl w:val="true"/>
              </w:rPr>
              <w:t>حكم الصَّبي المتطوّع</w:t>
            </w:r>
            <w:r>
              <w:rPr>
                <w:rStyle w:val="IndexLink"/>
                <w:rtl w:val="true"/>
              </w:rPr>
              <w:tab/>
            </w:r>
            <w:r>
              <w:rPr>
                <w:rStyle w:val="IndexLink"/>
              </w:rPr>
              <w:t>107</w:t>
            </w:r>
          </w:hyperlink>
        </w:p>
        <w:p>
          <w:pPr>
            <w:pStyle w:val="Contents6"/>
            <w:tabs>
              <w:tab w:val="clear" w:pos="7609"/>
              <w:tab w:val="right" w:pos="9026" w:leader="dot"/>
            </w:tabs>
            <w:rPr/>
          </w:pPr>
          <w:hyperlink w:anchor="__RefHeading___Toc10444412_73709187">
            <w:r>
              <w:rPr>
                <w:webHidden/>
                <w:rStyle w:val="IndexLink"/>
                <w:rtl w:val="true"/>
              </w:rPr>
              <w:t>في أمارات الوقت</w:t>
            </w:r>
            <w:r>
              <w:rPr>
                <w:rStyle w:val="IndexLink"/>
                <w:rtl w:val="true"/>
              </w:rPr>
              <w:tab/>
            </w:r>
            <w:r>
              <w:rPr>
                <w:rStyle w:val="IndexLink"/>
              </w:rPr>
              <w:t>109</w:t>
            </w:r>
          </w:hyperlink>
        </w:p>
        <w:p>
          <w:pPr>
            <w:pStyle w:val="Contents6"/>
            <w:tabs>
              <w:tab w:val="clear" w:pos="7609"/>
              <w:tab w:val="right" w:pos="9026" w:leader="dot"/>
            </w:tabs>
            <w:rPr/>
          </w:pPr>
          <w:hyperlink w:anchor="__RefHeading___Toc10444414_73709187">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0444416_73709187">
            <w:r>
              <w:rPr>
                <w:webHidden/>
                <w:rStyle w:val="IndexLink"/>
                <w:rtl w:val="true"/>
              </w:rPr>
              <w:t>الظنون الخاصّة</w:t>
            </w:r>
            <w:r>
              <w:rPr>
                <w:rStyle w:val="IndexLink"/>
                <w:rtl w:val="true"/>
              </w:rPr>
              <w:tab/>
            </w:r>
            <w:r>
              <w:rPr>
                <w:rStyle w:val="IndexLink"/>
              </w:rPr>
              <w:t>110</w:t>
            </w:r>
          </w:hyperlink>
        </w:p>
        <w:p>
          <w:pPr>
            <w:pStyle w:val="Contents6"/>
            <w:tabs>
              <w:tab w:val="clear" w:pos="7609"/>
              <w:tab w:val="right" w:pos="9026" w:leader="dot"/>
            </w:tabs>
            <w:rPr/>
          </w:pPr>
          <w:hyperlink w:anchor="__RefHeading___Toc10444418_73709187">
            <w:r>
              <w:rPr>
                <w:webHidden/>
                <w:rStyle w:val="IndexLink"/>
                <w:rtl w:val="true"/>
              </w:rPr>
              <w:t>الظنّ بالوقت</w:t>
            </w:r>
            <w:r>
              <w:rPr>
                <w:rStyle w:val="IndexLink"/>
                <w:rtl w:val="true"/>
              </w:rPr>
              <w:tab/>
            </w:r>
            <w:r>
              <w:rPr>
                <w:rStyle w:val="IndexLink"/>
              </w:rPr>
              <w:t>113</w:t>
            </w:r>
          </w:hyperlink>
        </w:p>
        <w:p>
          <w:pPr>
            <w:pStyle w:val="Contents6"/>
            <w:tabs>
              <w:tab w:val="clear" w:pos="7609"/>
              <w:tab w:val="right" w:pos="9026" w:leader="dot"/>
            </w:tabs>
            <w:rPr/>
          </w:pPr>
          <w:hyperlink w:anchor="__RefHeading___Toc10444420_73709187">
            <w:r>
              <w:rPr>
                <w:webHidden/>
                <w:rStyle w:val="IndexLink"/>
                <w:rtl w:val="true"/>
              </w:rPr>
              <w:t>لو شكّ بعد الصّلاة في وقوعها في الوقت</w:t>
            </w:r>
            <w:r>
              <w:rPr>
                <w:rStyle w:val="IndexLink"/>
                <w:rtl w:val="true"/>
              </w:rPr>
              <w:tab/>
            </w:r>
            <w:r>
              <w:rPr>
                <w:rStyle w:val="IndexLink"/>
              </w:rPr>
              <w:t>117</w:t>
            </w:r>
          </w:hyperlink>
        </w:p>
        <w:p>
          <w:pPr>
            <w:pStyle w:val="Contents4"/>
            <w:tabs>
              <w:tab w:val="clear" w:pos="8176"/>
              <w:tab w:val="right" w:pos="9026" w:leader="dot"/>
            </w:tabs>
            <w:rPr/>
          </w:pPr>
          <w:hyperlink w:anchor="__RefHeading___Toc10444422_73709187">
            <w:r>
              <w:rPr>
                <w:webHidden/>
                <w:rStyle w:val="IndexLink"/>
                <w:rtl w:val="true"/>
              </w:rPr>
              <w:t>الفصل الثالث في القبلة</w:t>
            </w:r>
            <w:r>
              <w:rPr>
                <w:rStyle w:val="IndexLink"/>
                <w:rtl w:val="true"/>
              </w:rPr>
              <w:tab/>
            </w:r>
            <w:r>
              <w:rPr>
                <w:rStyle w:val="IndexLink"/>
              </w:rPr>
              <w:t>119</w:t>
            </w:r>
          </w:hyperlink>
        </w:p>
        <w:p>
          <w:pPr>
            <w:pStyle w:val="Contents5"/>
            <w:tabs>
              <w:tab w:val="clear" w:pos="7892"/>
              <w:tab w:val="right" w:pos="9026" w:leader="dot"/>
            </w:tabs>
            <w:rPr/>
          </w:pPr>
          <w:hyperlink w:anchor="__RefHeading___Toc10444424_7370918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0444426_73709187">
            <w:r>
              <w:rPr>
                <w:webHidden/>
                <w:rStyle w:val="IndexLink"/>
                <w:rtl w:val="true"/>
              </w:rPr>
              <w:t>في بيان ماهيّة القبلة</w:t>
            </w:r>
            <w:r>
              <w:rPr>
                <w:rStyle w:val="IndexLink"/>
                <w:rtl w:val="true"/>
              </w:rPr>
              <w:tab/>
            </w:r>
            <w:r>
              <w:rPr>
                <w:rStyle w:val="IndexLink"/>
              </w:rPr>
              <w:t>119</w:t>
            </w:r>
          </w:hyperlink>
        </w:p>
        <w:p>
          <w:pPr>
            <w:pStyle w:val="Contents6"/>
            <w:tabs>
              <w:tab w:val="clear" w:pos="7609"/>
              <w:tab w:val="right" w:pos="9026" w:leader="dot"/>
            </w:tabs>
            <w:rPr/>
          </w:pPr>
          <w:hyperlink w:anchor="__RefHeading___Toc10444428_7370918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0444430_73709187">
            <w:r>
              <w:rPr>
                <w:webHidden/>
                <w:rStyle w:val="IndexLink"/>
                <w:rtl w:val="true"/>
              </w:rPr>
              <w:t>مواجهة البعيد نفس الكعبة</w:t>
            </w:r>
            <w:r>
              <w:rPr>
                <w:rStyle w:val="IndexLink"/>
                <w:rtl w:val="true"/>
              </w:rPr>
              <w:tab/>
            </w:r>
            <w:r>
              <w:rPr>
                <w:rStyle w:val="IndexLink"/>
              </w:rPr>
              <w:t>122</w:t>
            </w:r>
          </w:hyperlink>
        </w:p>
        <w:p>
          <w:pPr>
            <w:pStyle w:val="Contents6"/>
            <w:tabs>
              <w:tab w:val="clear" w:pos="7609"/>
              <w:tab w:val="right" w:pos="9026" w:leader="dot"/>
            </w:tabs>
            <w:rPr/>
          </w:pPr>
          <w:hyperlink w:anchor="__RefHeading___Toc10444432_73709187">
            <w:r>
              <w:rPr>
                <w:webHidden/>
                <w:rStyle w:val="IndexLink"/>
                <w:rtl w:val="true"/>
              </w:rPr>
              <w:t>حكم المُصلّي في الكعبة</w:t>
            </w:r>
            <w:r>
              <w:rPr>
                <w:rStyle w:val="IndexLink"/>
                <w:rtl w:val="true"/>
              </w:rPr>
              <w:tab/>
            </w:r>
            <w:r>
              <w:rPr>
                <w:rStyle w:val="IndexLink"/>
              </w:rPr>
              <w:t>125</w:t>
            </w:r>
          </w:hyperlink>
        </w:p>
        <w:p>
          <w:pPr>
            <w:pStyle w:val="Contents6"/>
            <w:tabs>
              <w:tab w:val="clear" w:pos="7609"/>
              <w:tab w:val="right" w:pos="9026" w:leader="dot"/>
            </w:tabs>
            <w:rPr/>
          </w:pPr>
          <w:hyperlink w:anchor="__RefHeading___Toc10444434_73709187">
            <w:r>
              <w:rPr>
                <w:webHidden/>
                <w:rStyle w:val="IndexLink"/>
                <w:rtl w:val="true"/>
              </w:rPr>
              <w:t>الصّلاة على سطح الكعبة</w:t>
            </w:r>
            <w:r>
              <w:rPr>
                <w:rStyle w:val="IndexLink"/>
                <w:rtl w:val="true"/>
              </w:rPr>
              <w:tab/>
            </w:r>
            <w:r>
              <w:rPr>
                <w:rStyle w:val="IndexLink"/>
              </w:rPr>
              <w:t>128</w:t>
            </w:r>
          </w:hyperlink>
        </w:p>
        <w:p>
          <w:pPr>
            <w:pStyle w:val="Contents6"/>
            <w:tabs>
              <w:tab w:val="clear" w:pos="7609"/>
              <w:tab w:val="right" w:pos="9026" w:leader="dot"/>
            </w:tabs>
            <w:rPr/>
          </w:pPr>
          <w:hyperlink w:anchor="__RefHeading___Toc10444436_73709187">
            <w:r>
              <w:rPr>
                <w:webHidden/>
                <w:rStyle w:val="IndexLink"/>
                <w:rtl w:val="true"/>
              </w:rPr>
              <w:t>كيفيّة اتجاه المصلّي</w:t>
            </w:r>
            <w:r>
              <w:rPr>
                <w:rStyle w:val="IndexLink"/>
                <w:rtl w:val="true"/>
              </w:rPr>
              <w:tab/>
            </w:r>
            <w:r>
              <w:rPr>
                <w:rStyle w:val="IndexLink"/>
              </w:rPr>
              <w:t>130</w:t>
            </w:r>
          </w:hyperlink>
        </w:p>
        <w:p>
          <w:pPr>
            <w:pStyle w:val="Contents5"/>
            <w:tabs>
              <w:tab w:val="clear" w:pos="7892"/>
              <w:tab w:val="right" w:pos="9026" w:leader="dot"/>
            </w:tabs>
            <w:rPr/>
          </w:pPr>
          <w:hyperlink w:anchor="__RefHeading___Toc10444438_73709187">
            <w:r>
              <w:rPr>
                <w:webHidden/>
                <w:rStyle w:val="IndexLink"/>
                <w:rtl w:val="true"/>
              </w:rPr>
              <w:t>أمارات القبلة</w:t>
            </w:r>
            <w:r>
              <w:rPr>
                <w:rStyle w:val="IndexLink"/>
                <w:rtl w:val="true"/>
              </w:rPr>
              <w:tab/>
            </w:r>
            <w:r>
              <w:rPr>
                <w:rStyle w:val="IndexLink"/>
              </w:rPr>
              <w:t>130</w:t>
            </w:r>
          </w:hyperlink>
        </w:p>
        <w:p>
          <w:pPr>
            <w:pStyle w:val="Contents6"/>
            <w:tabs>
              <w:tab w:val="clear" w:pos="7609"/>
              <w:tab w:val="right" w:pos="9026" w:leader="dot"/>
            </w:tabs>
            <w:rPr/>
          </w:pPr>
          <w:hyperlink w:anchor="__RefHeading___Toc10444440_73709187">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0444442_73709187">
            <w:r>
              <w:rPr>
                <w:webHidden/>
                <w:rStyle w:val="IndexLink"/>
                <w:rtl w:val="true"/>
              </w:rPr>
              <w:t>الظنّ بالقبلة حُجّة</w:t>
            </w:r>
            <w:r>
              <w:rPr>
                <w:rStyle w:val="IndexLink"/>
                <w:rtl w:val="true"/>
              </w:rPr>
              <w:tab/>
            </w:r>
            <w:r>
              <w:rPr>
                <w:rStyle w:val="IndexLink"/>
              </w:rPr>
              <w:t>133</w:t>
            </w:r>
          </w:hyperlink>
        </w:p>
        <w:p>
          <w:pPr>
            <w:pStyle w:val="Contents6"/>
            <w:tabs>
              <w:tab w:val="clear" w:pos="7609"/>
              <w:tab w:val="right" w:pos="9026" w:leader="dot"/>
            </w:tabs>
            <w:rPr/>
          </w:pPr>
          <w:hyperlink w:anchor="__RefHeading___Toc10444444_73709187">
            <w:r>
              <w:rPr>
                <w:webHidden/>
                <w:rStyle w:val="IndexLink"/>
                <w:rtl w:val="true"/>
              </w:rPr>
              <w:t>في الجهل بالقبلة</w:t>
            </w:r>
            <w:r>
              <w:rPr>
                <w:rStyle w:val="IndexLink"/>
                <w:rtl w:val="true"/>
              </w:rPr>
              <w:tab/>
            </w:r>
            <w:r>
              <w:rPr>
                <w:rStyle w:val="IndexLink"/>
              </w:rPr>
              <w:t>135</w:t>
            </w:r>
          </w:hyperlink>
        </w:p>
        <w:p>
          <w:pPr>
            <w:pStyle w:val="Contents6"/>
            <w:tabs>
              <w:tab w:val="clear" w:pos="7609"/>
              <w:tab w:val="right" w:pos="9026" w:leader="dot"/>
            </w:tabs>
            <w:rPr/>
          </w:pPr>
          <w:hyperlink w:anchor="__RefHeading___Toc10444446_73709187">
            <w:r>
              <w:rPr>
                <w:webHidden/>
                <w:rStyle w:val="IndexLink"/>
                <w:rtl w:val="true"/>
              </w:rPr>
              <w:t>فروع بحث القبلة</w:t>
            </w:r>
            <w:r>
              <w:rPr>
                <w:rStyle w:val="IndexLink"/>
                <w:rtl w:val="true"/>
              </w:rPr>
              <w:tab/>
            </w:r>
            <w:r>
              <w:rPr>
                <w:rStyle w:val="IndexLink"/>
              </w:rPr>
              <w:t>139</w:t>
            </w:r>
          </w:hyperlink>
        </w:p>
        <w:p>
          <w:pPr>
            <w:pStyle w:val="Contents5"/>
            <w:tabs>
              <w:tab w:val="clear" w:pos="7892"/>
              <w:tab w:val="right" w:pos="9026" w:leader="dot"/>
            </w:tabs>
            <w:rPr/>
          </w:pPr>
          <w:hyperlink w:anchor="__RefHeading___Toc10444448_73709187">
            <w:r>
              <w:rPr>
                <w:webHidden/>
                <w:rStyle w:val="IndexLink"/>
                <w:rtl w:val="true"/>
              </w:rPr>
              <w:t>في أحكام الخلل</w:t>
            </w:r>
            <w:r>
              <w:rPr>
                <w:rStyle w:val="IndexLink"/>
                <w:rtl w:val="true"/>
              </w:rPr>
              <w:tab/>
            </w:r>
            <w:r>
              <w:rPr>
                <w:rStyle w:val="IndexLink"/>
              </w:rPr>
              <w:t>144</w:t>
            </w:r>
          </w:hyperlink>
        </w:p>
        <w:p>
          <w:pPr>
            <w:pStyle w:val="Contents6"/>
            <w:tabs>
              <w:tab w:val="clear" w:pos="7609"/>
              <w:tab w:val="right" w:pos="9026" w:leader="dot"/>
            </w:tabs>
            <w:rPr/>
          </w:pPr>
          <w:hyperlink w:anchor="__RefHeading___Toc10444450_7370918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0444452_73709187">
            <w:r>
              <w:rPr>
                <w:webHidden/>
                <w:rStyle w:val="IndexLink"/>
                <w:rtl w:val="true"/>
              </w:rPr>
              <w:t>مسائل</w:t>
            </w:r>
            <w:r>
              <w:rPr>
                <w:rStyle w:val="IndexLink"/>
                <w:rtl w:val="true"/>
              </w:rPr>
              <w:t>:</w:t>
              <w:tab/>
            </w:r>
            <w:r>
              <w:rPr>
                <w:rStyle w:val="IndexLink"/>
              </w:rPr>
              <w:t>144</w:t>
            </w:r>
          </w:hyperlink>
        </w:p>
        <w:p>
          <w:pPr>
            <w:pStyle w:val="Contents6"/>
            <w:tabs>
              <w:tab w:val="clear" w:pos="7609"/>
              <w:tab w:val="right" w:pos="9026" w:leader="dot"/>
            </w:tabs>
            <w:rPr/>
          </w:pPr>
          <w:hyperlink w:anchor="__RefHeading___Toc10444454_73709187">
            <w:r>
              <w:rPr>
                <w:webHidden/>
                <w:rStyle w:val="IndexLink"/>
                <w:rtl w:val="true"/>
              </w:rPr>
              <w:t>لو ترك الاستقبال عمداً أعاد</w:t>
            </w:r>
            <w:r>
              <w:rPr>
                <w:rStyle w:val="IndexLink"/>
                <w:rtl w:val="true"/>
              </w:rPr>
              <w:tab/>
            </w:r>
            <w:r>
              <w:rPr>
                <w:rStyle w:val="IndexLink"/>
              </w:rPr>
              <w:t>144</w:t>
            </w:r>
          </w:hyperlink>
        </w:p>
        <w:p>
          <w:pPr>
            <w:pStyle w:val="Contents6"/>
            <w:tabs>
              <w:tab w:val="clear" w:pos="7609"/>
              <w:tab w:val="right" w:pos="9026" w:leader="dot"/>
            </w:tabs>
            <w:rPr/>
          </w:pPr>
          <w:hyperlink w:anchor="__RefHeading___Toc10444456_73709187">
            <w:r>
              <w:rPr>
                <w:webHidden/>
                <w:rStyle w:val="IndexLink"/>
                <w:rtl w:val="true"/>
              </w:rPr>
              <w:t>ولو كان ظانّاً أو ناسياً، وكان بين المشرق والمغرب، فلا إعادة</w:t>
            </w:r>
            <w:r>
              <w:rPr>
                <w:rStyle w:val="IndexLink"/>
                <w:rtl w:val="true"/>
              </w:rPr>
              <w:tab/>
            </w:r>
            <w:r>
              <w:rPr>
                <w:rStyle w:val="IndexLink"/>
              </w:rPr>
              <w:t>144</w:t>
            </w:r>
          </w:hyperlink>
        </w:p>
        <w:p>
          <w:pPr>
            <w:pStyle w:val="Contents6"/>
            <w:tabs>
              <w:tab w:val="clear" w:pos="7609"/>
              <w:tab w:val="right" w:pos="9026" w:leader="dot"/>
            </w:tabs>
            <w:rPr/>
          </w:pPr>
          <w:hyperlink w:anchor="__RefHeading___Toc10444458_7370918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0444460_73709187">
            <w:r>
              <w:rPr>
                <w:webHidden/>
                <w:rStyle w:val="IndexLink"/>
                <w:rtl w:val="true"/>
              </w:rPr>
              <w:t>الانحراف إلى الاستدبار</w:t>
            </w:r>
            <w:r>
              <w:rPr>
                <w:rStyle w:val="IndexLink"/>
                <w:rtl w:val="true"/>
              </w:rPr>
              <w:tab/>
            </w:r>
            <w:r>
              <w:rPr>
                <w:rStyle w:val="IndexLink"/>
              </w:rPr>
              <w:t>148</w:t>
            </w:r>
          </w:hyperlink>
        </w:p>
        <w:p>
          <w:pPr>
            <w:pStyle w:val="Contents6"/>
            <w:tabs>
              <w:tab w:val="clear" w:pos="7609"/>
              <w:tab w:val="right" w:pos="9026" w:leader="dot"/>
            </w:tabs>
            <w:rPr/>
          </w:pPr>
          <w:hyperlink w:anchor="__RefHeading___Toc10444462_73709187">
            <w:r>
              <w:rPr>
                <w:webHidden/>
                <w:rStyle w:val="IndexLink"/>
                <w:rtl w:val="true"/>
              </w:rPr>
              <w:t>زوال الظنّ بالقبلة بعد الصّلاة</w:t>
            </w:r>
            <w:r>
              <w:rPr>
                <w:rStyle w:val="IndexLink"/>
                <w:rtl w:val="true"/>
              </w:rPr>
              <w:tab/>
            </w:r>
            <w:r>
              <w:rPr>
                <w:rStyle w:val="IndexLink"/>
              </w:rPr>
              <w:t>152</w:t>
            </w:r>
          </w:hyperlink>
        </w:p>
        <w:p>
          <w:pPr>
            <w:pStyle w:val="Contents5"/>
            <w:tabs>
              <w:tab w:val="clear" w:pos="7892"/>
              <w:tab w:val="right" w:pos="9026" w:leader="dot"/>
            </w:tabs>
            <w:rPr/>
          </w:pPr>
          <w:hyperlink w:anchor="__RefHeading___Toc10444464_73709187">
            <w:r>
              <w:rPr>
                <w:webHidden/>
                <w:rStyle w:val="IndexLink"/>
                <w:rtl w:val="true"/>
              </w:rPr>
              <w:t>فيما يُستقبل له</w:t>
            </w:r>
            <w:r>
              <w:rPr>
                <w:rStyle w:val="IndexLink"/>
                <w:rtl w:val="true"/>
              </w:rPr>
              <w:tab/>
            </w:r>
            <w:r>
              <w:rPr>
                <w:rStyle w:val="IndexLink"/>
              </w:rPr>
              <w:t>154</w:t>
            </w:r>
          </w:hyperlink>
        </w:p>
        <w:p>
          <w:pPr>
            <w:pStyle w:val="Contents6"/>
            <w:tabs>
              <w:tab w:val="clear" w:pos="7609"/>
              <w:tab w:val="right" w:pos="9026" w:leader="dot"/>
            </w:tabs>
            <w:rPr/>
          </w:pPr>
          <w:hyperlink w:anchor="__RefHeading___Toc10444466_73709187">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0444468_73709187">
            <w:r>
              <w:rPr>
                <w:webHidden/>
                <w:rStyle w:val="IndexLink"/>
                <w:rtl w:val="true"/>
              </w:rPr>
              <w:t>شرطيّة الاستقبال لصَّلاة النافلة</w:t>
            </w:r>
            <w:r>
              <w:rPr>
                <w:rStyle w:val="IndexLink"/>
                <w:rtl w:val="true"/>
              </w:rPr>
              <w:tab/>
            </w:r>
            <w:r>
              <w:rPr>
                <w:rStyle w:val="IndexLink"/>
              </w:rPr>
              <w:t>154</w:t>
            </w:r>
          </w:hyperlink>
        </w:p>
        <w:p>
          <w:pPr>
            <w:pStyle w:val="Contents6"/>
            <w:tabs>
              <w:tab w:val="clear" w:pos="7609"/>
              <w:tab w:val="right" w:pos="9026" w:leader="dot"/>
            </w:tabs>
            <w:rPr/>
          </w:pPr>
          <w:hyperlink w:anchor="__RefHeading___Toc10444470_73709187">
            <w:r>
              <w:rPr>
                <w:webHidden/>
                <w:rStyle w:val="IndexLink"/>
                <w:rtl w:val="true"/>
              </w:rPr>
              <w:t>لا يعتبر الإستقبال في حال المشي في النّافلة</w:t>
            </w:r>
            <w:r>
              <w:rPr>
                <w:rStyle w:val="IndexLink"/>
                <w:rtl w:val="true"/>
              </w:rPr>
              <w:tab/>
            </w:r>
            <w:r>
              <w:rPr>
                <w:rStyle w:val="IndexLink"/>
              </w:rPr>
              <w:t>158</w:t>
            </w:r>
          </w:hyperlink>
        </w:p>
        <w:p>
          <w:pPr>
            <w:pStyle w:val="Contents6"/>
            <w:tabs>
              <w:tab w:val="clear" w:pos="7609"/>
              <w:tab w:val="right" w:pos="9026" w:leader="dot"/>
            </w:tabs>
            <w:rPr/>
          </w:pPr>
          <w:hyperlink w:anchor="__RefHeading___Toc10444472_73709187">
            <w:r>
              <w:rPr>
                <w:webHidden/>
                <w:rStyle w:val="IndexLink"/>
                <w:rtl w:val="true"/>
              </w:rPr>
              <w:t>الصّلاة على الراحلة</w:t>
            </w:r>
            <w:r>
              <w:rPr>
                <w:rStyle w:val="IndexLink"/>
                <w:rtl w:val="true"/>
              </w:rPr>
              <w:tab/>
            </w:r>
            <w:r>
              <w:rPr>
                <w:rStyle w:val="IndexLink"/>
              </w:rPr>
              <w:t>160</w:t>
            </w:r>
          </w:hyperlink>
        </w:p>
        <w:p>
          <w:pPr>
            <w:pStyle w:val="Contents6"/>
            <w:tabs>
              <w:tab w:val="clear" w:pos="7609"/>
              <w:tab w:val="right" w:pos="9026" w:leader="dot"/>
            </w:tabs>
            <w:rPr/>
          </w:pPr>
          <w:hyperlink w:anchor="__RefHeading___Toc10444474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0444476_73709187">
            <w:r>
              <w:rPr>
                <w:webHidden/>
                <w:rStyle w:val="IndexLink"/>
                <w:rtl w:val="true"/>
              </w:rPr>
              <w:t>فهاهنا فروع</w:t>
            </w:r>
            <w:r>
              <w:rPr>
                <w:rStyle w:val="IndexLink"/>
                <w:rtl w:val="true"/>
              </w:rPr>
              <w:t>:</w:t>
              <w:tab/>
            </w:r>
            <w:r>
              <w:rPr>
                <w:rStyle w:val="IndexLink"/>
              </w:rPr>
              <w:t>160</w:t>
            </w:r>
          </w:hyperlink>
        </w:p>
        <w:p>
          <w:pPr>
            <w:pStyle w:val="Contents6"/>
            <w:tabs>
              <w:tab w:val="clear" w:pos="7609"/>
              <w:tab w:val="right" w:pos="9026" w:leader="dot"/>
            </w:tabs>
            <w:rPr/>
          </w:pPr>
          <w:hyperlink w:anchor="__RefHeading___Toc10444478_73709187">
            <w:r>
              <w:rPr>
                <w:webHidden/>
                <w:rStyle w:val="IndexLink"/>
                <w:rtl w:val="true"/>
              </w:rPr>
              <w:t>في الفريضة على الراحلة في حال الاختيار</w:t>
            </w:r>
            <w:r>
              <w:rPr>
                <w:rStyle w:val="IndexLink"/>
                <w:rtl w:val="true"/>
              </w:rPr>
              <w:tab/>
            </w:r>
            <w:r>
              <w:rPr>
                <w:rStyle w:val="IndexLink"/>
              </w:rPr>
              <w:t>160</w:t>
            </w:r>
          </w:hyperlink>
        </w:p>
        <w:p>
          <w:pPr>
            <w:pStyle w:val="Contents6"/>
            <w:tabs>
              <w:tab w:val="clear" w:pos="7609"/>
              <w:tab w:val="right" w:pos="9026" w:leader="dot"/>
            </w:tabs>
            <w:rPr/>
          </w:pPr>
          <w:hyperlink w:anchor="__RefHeading___Toc10444480_73709187">
            <w:r>
              <w:rPr>
                <w:webHidden/>
                <w:rStyle w:val="IndexLink"/>
                <w:rtl w:val="true"/>
              </w:rPr>
              <w:t>تجوز الفريضة على الراحلة في حال الضرورة</w:t>
            </w:r>
            <w:r>
              <w:rPr>
                <w:rStyle w:val="IndexLink"/>
                <w:rtl w:val="true"/>
              </w:rPr>
              <w:tab/>
            </w:r>
            <w:r>
              <w:rPr>
                <w:rStyle w:val="IndexLink"/>
              </w:rPr>
              <w:t>162</w:t>
            </w:r>
          </w:hyperlink>
        </w:p>
        <w:p>
          <w:pPr>
            <w:pStyle w:val="Contents6"/>
            <w:tabs>
              <w:tab w:val="clear" w:pos="7609"/>
              <w:tab w:val="right" w:pos="9026" w:leader="dot"/>
            </w:tabs>
            <w:rPr/>
          </w:pPr>
          <w:hyperlink w:anchor="__RefHeading___Toc10444482_73709187">
            <w:r>
              <w:rPr>
                <w:webHidden/>
                <w:rStyle w:val="IndexLink"/>
                <w:rtl w:val="true"/>
              </w:rPr>
              <w:t>الاضطرار إلى ترك بعض الأجزاء والشرائط</w:t>
            </w:r>
            <w:r>
              <w:rPr>
                <w:rStyle w:val="IndexLink"/>
                <w:rtl w:val="true"/>
              </w:rPr>
              <w:tab/>
            </w:r>
            <w:r>
              <w:rPr>
                <w:rStyle w:val="IndexLink"/>
              </w:rPr>
              <w:t>163</w:t>
            </w:r>
          </w:hyperlink>
        </w:p>
        <w:p>
          <w:pPr>
            <w:pStyle w:val="Contents6"/>
            <w:tabs>
              <w:tab w:val="clear" w:pos="7609"/>
              <w:tab w:val="right" w:pos="9026" w:leader="dot"/>
            </w:tabs>
            <w:rPr/>
          </w:pPr>
          <w:hyperlink w:anchor="__RefHeading___Toc10444484_73709187">
            <w:r>
              <w:rPr>
                <w:webHidden/>
                <w:rStyle w:val="IndexLink"/>
                <w:rtl w:val="true"/>
              </w:rPr>
              <w:t>يجوز إيقاع النافلة على الرّاحلة</w:t>
            </w:r>
            <w:r>
              <w:rPr>
                <w:rStyle w:val="IndexLink"/>
                <w:rtl w:val="true"/>
              </w:rPr>
              <w:tab/>
            </w:r>
            <w:r>
              <w:rPr>
                <w:rStyle w:val="IndexLink"/>
              </w:rPr>
              <w:t>166</w:t>
            </w:r>
          </w:hyperlink>
        </w:p>
        <w:p>
          <w:pPr>
            <w:pStyle w:val="Contents4"/>
            <w:tabs>
              <w:tab w:val="clear" w:pos="8176"/>
              <w:tab w:val="right" w:pos="9026" w:leader="dot"/>
            </w:tabs>
            <w:rPr/>
          </w:pPr>
          <w:hyperlink w:anchor="__RefHeading___Toc10444486_73709187">
            <w:r>
              <w:rPr>
                <w:webHidden/>
                <w:rStyle w:val="IndexLink"/>
                <w:rtl w:val="true"/>
              </w:rPr>
              <w:t>الفصل الرابع</w:t>
            </w:r>
            <w:r>
              <w:rPr>
                <w:rStyle w:val="IndexLink"/>
                <w:rtl w:val="true"/>
              </w:rPr>
              <w:t xml:space="preserve">: </w:t>
            </w:r>
            <w:r>
              <w:rPr>
                <w:rStyle w:val="IndexLink"/>
                <w:rtl w:val="true"/>
              </w:rPr>
              <w:t>في اللّباس ووجوبِ سَتر العورة</w:t>
            </w:r>
            <w:r>
              <w:rPr>
                <w:rStyle w:val="IndexLink"/>
                <w:rtl w:val="true"/>
              </w:rPr>
              <w:tab/>
            </w:r>
            <w:r>
              <w:rPr>
                <w:rStyle w:val="IndexLink"/>
              </w:rPr>
              <w:t>167</w:t>
            </w:r>
          </w:hyperlink>
        </w:p>
        <w:p>
          <w:pPr>
            <w:pStyle w:val="Contents5"/>
            <w:tabs>
              <w:tab w:val="clear" w:pos="7892"/>
              <w:tab w:val="right" w:pos="9026" w:leader="dot"/>
            </w:tabs>
            <w:rPr/>
          </w:pPr>
          <w:hyperlink w:anchor="__RefHeading___Toc10444488_7370918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0444490_73709187">
            <w:r>
              <w:rPr>
                <w:webHidden/>
                <w:rStyle w:val="IndexLink"/>
                <w:rtl w:val="true"/>
              </w:rPr>
              <w:t>فروع</w:t>
            </w:r>
            <w:r>
              <w:rPr>
                <w:rStyle w:val="IndexLink"/>
                <w:rtl w:val="true"/>
              </w:rPr>
              <w:t>:</w:t>
              <w:tab/>
            </w:r>
            <w:r>
              <w:rPr>
                <w:rStyle w:val="IndexLink"/>
              </w:rPr>
              <w:t>168</w:t>
            </w:r>
          </w:hyperlink>
        </w:p>
        <w:p>
          <w:pPr>
            <w:pStyle w:val="Contents6"/>
            <w:tabs>
              <w:tab w:val="clear" w:pos="7609"/>
              <w:tab w:val="right" w:pos="9026" w:leader="dot"/>
            </w:tabs>
            <w:rPr/>
          </w:pPr>
          <w:hyperlink w:anchor="__RefHeading___Toc10444492_73709187">
            <w:r>
              <w:rPr>
                <w:webHidden/>
                <w:rStyle w:val="IndexLink"/>
                <w:rtl w:val="true"/>
              </w:rPr>
              <w:t>اعتبار السَّتر في جميع الأكوان الصّلاتيّة</w:t>
            </w:r>
            <w:r>
              <w:rPr>
                <w:rStyle w:val="IndexLink"/>
                <w:rtl w:val="true"/>
              </w:rPr>
              <w:tab/>
            </w:r>
            <w:r>
              <w:rPr>
                <w:rStyle w:val="IndexLink"/>
              </w:rPr>
              <w:t>168</w:t>
            </w:r>
          </w:hyperlink>
        </w:p>
        <w:p>
          <w:pPr>
            <w:pStyle w:val="Contents6"/>
            <w:tabs>
              <w:tab w:val="clear" w:pos="7609"/>
              <w:tab w:val="right" w:pos="9026" w:leader="dot"/>
            </w:tabs>
            <w:rPr/>
          </w:pPr>
          <w:hyperlink w:anchor="__RefHeading___Toc10444494_73709187">
            <w:r>
              <w:rPr>
                <w:webHidden/>
                <w:rStyle w:val="IndexLink"/>
                <w:rtl w:val="true"/>
              </w:rPr>
              <w:t>هل التستّر شَرطٌ ذُكْرِيّ‌</w:t>
            </w:r>
            <w:r>
              <w:rPr>
                <w:rStyle w:val="IndexLink"/>
                <w:rtl w:val="true"/>
              </w:rPr>
              <w:tab/>
            </w:r>
            <w:r>
              <w:rPr>
                <w:rStyle w:val="IndexLink"/>
              </w:rPr>
              <w:t>168</w:t>
            </w:r>
          </w:hyperlink>
        </w:p>
        <w:p>
          <w:pPr>
            <w:pStyle w:val="Contents6"/>
            <w:tabs>
              <w:tab w:val="clear" w:pos="7609"/>
              <w:tab w:val="right" w:pos="9026" w:leader="dot"/>
            </w:tabs>
            <w:rPr/>
          </w:pPr>
          <w:hyperlink w:anchor="__RefHeading___Toc10444496_73709187">
            <w:r>
              <w:rPr>
                <w:webHidden/>
                <w:rStyle w:val="IndexLink"/>
                <w:rtl w:val="true"/>
              </w:rPr>
              <w:t>لا يجب سَتر الحجم</w:t>
            </w:r>
            <w:r>
              <w:rPr>
                <w:rStyle w:val="IndexLink"/>
                <w:rtl w:val="true"/>
              </w:rPr>
              <w:tab/>
            </w:r>
            <w:r>
              <w:rPr>
                <w:rStyle w:val="IndexLink"/>
              </w:rPr>
              <w:t>170</w:t>
            </w:r>
          </w:hyperlink>
        </w:p>
        <w:p>
          <w:pPr>
            <w:pStyle w:val="Contents6"/>
            <w:tabs>
              <w:tab w:val="clear" w:pos="7609"/>
              <w:tab w:val="right" w:pos="9026" w:leader="dot"/>
            </w:tabs>
            <w:rPr/>
          </w:pPr>
          <w:hyperlink w:anchor="__RefHeading___Toc10444498_73709187">
            <w:r>
              <w:rPr>
                <w:webHidden/>
                <w:rStyle w:val="IndexLink"/>
                <w:rtl w:val="true"/>
              </w:rPr>
              <w:t>ما به يتحقّق السّتر</w:t>
            </w:r>
            <w:r>
              <w:rPr>
                <w:rStyle w:val="IndexLink"/>
                <w:rtl w:val="true"/>
              </w:rPr>
              <w:tab/>
            </w:r>
            <w:r>
              <w:rPr>
                <w:rStyle w:val="IndexLink"/>
              </w:rPr>
              <w:t>172</w:t>
            </w:r>
          </w:hyperlink>
        </w:p>
        <w:p>
          <w:pPr>
            <w:pStyle w:val="Contents5"/>
            <w:tabs>
              <w:tab w:val="clear" w:pos="7892"/>
              <w:tab w:val="right" w:pos="9026" w:leader="dot"/>
            </w:tabs>
            <w:rPr/>
          </w:pPr>
          <w:hyperlink w:anchor="__RefHeading___Toc10444500_73709187">
            <w:r>
              <w:rPr>
                <w:webHidden/>
                <w:rStyle w:val="IndexLink"/>
                <w:rtl w:val="true"/>
              </w:rPr>
              <w:t>الصَّلاة في الخَزّ</w:t>
            </w:r>
            <w:r>
              <w:rPr>
                <w:rStyle w:val="IndexLink"/>
                <w:rtl w:val="true"/>
              </w:rPr>
              <w:tab/>
            </w:r>
            <w:r>
              <w:rPr>
                <w:rStyle w:val="IndexLink"/>
              </w:rPr>
              <w:t>176</w:t>
            </w:r>
          </w:hyperlink>
        </w:p>
        <w:p>
          <w:pPr>
            <w:pStyle w:val="Contents6"/>
            <w:tabs>
              <w:tab w:val="clear" w:pos="7609"/>
              <w:tab w:val="right" w:pos="9026" w:leader="dot"/>
            </w:tabs>
            <w:rPr/>
          </w:pPr>
          <w:hyperlink w:anchor="__RefHeading___Toc10444502_73709187">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0444504_73709187">
            <w:r>
              <w:rPr>
                <w:webHidden/>
                <w:rStyle w:val="IndexLink"/>
                <w:rtl w:val="true"/>
              </w:rPr>
              <w:t>البحث عن موضوع الخزّ</w:t>
            </w:r>
            <w:r>
              <w:rPr>
                <w:rStyle w:val="IndexLink"/>
                <w:rtl w:val="true"/>
              </w:rPr>
              <w:tab/>
            </w:r>
            <w:r>
              <w:rPr>
                <w:rStyle w:val="IndexLink"/>
              </w:rPr>
              <w:t>176</w:t>
            </w:r>
          </w:hyperlink>
        </w:p>
        <w:p>
          <w:pPr>
            <w:pStyle w:val="Contents6"/>
            <w:tabs>
              <w:tab w:val="clear" w:pos="7609"/>
              <w:tab w:val="right" w:pos="9026" w:leader="dot"/>
            </w:tabs>
            <w:rPr/>
          </w:pPr>
          <w:hyperlink w:anchor="__RefHeading___Toc10444506_73709187">
            <w:r>
              <w:rPr>
                <w:webHidden/>
                <w:rStyle w:val="IndexLink"/>
                <w:rtl w:val="true"/>
              </w:rPr>
              <w:t>حُكم الخَزّ الموجود في زمان الشارع</w:t>
            </w:r>
            <w:r>
              <w:rPr>
                <w:rStyle w:val="IndexLink"/>
                <w:rtl w:val="true"/>
              </w:rPr>
              <w:tab/>
            </w:r>
            <w:r>
              <w:rPr>
                <w:rStyle w:val="IndexLink"/>
              </w:rPr>
              <w:t>179</w:t>
            </w:r>
          </w:hyperlink>
        </w:p>
        <w:p>
          <w:pPr>
            <w:pStyle w:val="Contents6"/>
            <w:tabs>
              <w:tab w:val="clear" w:pos="7609"/>
              <w:tab w:val="right" w:pos="9026" w:leader="dot"/>
            </w:tabs>
            <w:rPr/>
          </w:pPr>
          <w:hyperlink w:anchor="__RefHeading___Toc10444508_73709187">
            <w:r>
              <w:rPr>
                <w:webHidden/>
                <w:rStyle w:val="IndexLink"/>
                <w:rtl w:val="true"/>
              </w:rPr>
              <w:t>حُكم الخَزّ الموجود في عصرنا</w:t>
            </w:r>
            <w:r>
              <w:rPr>
                <w:rStyle w:val="IndexLink"/>
                <w:rtl w:val="true"/>
              </w:rPr>
              <w:tab/>
            </w:r>
            <w:r>
              <w:rPr>
                <w:rStyle w:val="IndexLink"/>
              </w:rPr>
              <w:t>181</w:t>
            </w:r>
          </w:hyperlink>
        </w:p>
        <w:p>
          <w:pPr>
            <w:pStyle w:val="Contents6"/>
            <w:tabs>
              <w:tab w:val="clear" w:pos="7609"/>
              <w:tab w:val="right" w:pos="9026" w:leader="dot"/>
            </w:tabs>
            <w:rPr/>
          </w:pPr>
          <w:hyperlink w:anchor="__RefHeading___Toc10444510_73709187">
            <w:r>
              <w:rPr>
                <w:webHidden/>
                <w:rStyle w:val="IndexLink"/>
                <w:rtl w:val="true"/>
              </w:rPr>
              <w:t>حكم الصَّلاة في وَبَر الخَزّ المغشوش</w:t>
            </w:r>
            <w:r>
              <w:rPr>
                <w:rStyle w:val="IndexLink"/>
                <w:rtl w:val="true"/>
              </w:rPr>
              <w:tab/>
            </w:r>
            <w:r>
              <w:rPr>
                <w:rStyle w:val="IndexLink"/>
              </w:rPr>
              <w:t>182</w:t>
            </w:r>
          </w:hyperlink>
        </w:p>
        <w:p>
          <w:pPr>
            <w:pStyle w:val="Contents5"/>
            <w:tabs>
              <w:tab w:val="clear" w:pos="7892"/>
              <w:tab w:val="right" w:pos="9026" w:leader="dot"/>
            </w:tabs>
            <w:rPr/>
          </w:pPr>
          <w:hyperlink w:anchor="__RefHeading___Toc10444512_73709187">
            <w:r>
              <w:rPr>
                <w:webHidden/>
                <w:rStyle w:val="IndexLink"/>
                <w:rtl w:val="true"/>
              </w:rPr>
              <w:t>الصَّلاة في الصّوف والشعر</w:t>
            </w:r>
            <w:r>
              <w:rPr>
                <w:rStyle w:val="IndexLink"/>
                <w:rtl w:val="true"/>
              </w:rPr>
              <w:tab/>
            </w:r>
            <w:r>
              <w:rPr>
                <w:rStyle w:val="IndexLink"/>
              </w:rPr>
              <w:t>183</w:t>
            </w:r>
          </w:hyperlink>
        </w:p>
        <w:p>
          <w:pPr>
            <w:pStyle w:val="Contents5"/>
            <w:tabs>
              <w:tab w:val="clear" w:pos="7892"/>
              <w:tab w:val="right" w:pos="9026" w:leader="dot"/>
            </w:tabs>
            <w:rPr/>
          </w:pPr>
          <w:hyperlink w:anchor="__RefHeading___Toc10444514_73709187">
            <w:r>
              <w:rPr>
                <w:webHidden/>
                <w:rStyle w:val="IndexLink"/>
                <w:rtl w:val="true"/>
              </w:rPr>
              <w:t>الصَّلاة في جلد الميتة</w:t>
            </w:r>
            <w:r>
              <w:rPr>
                <w:rStyle w:val="IndexLink"/>
                <w:rtl w:val="true"/>
              </w:rPr>
              <w:tab/>
            </w:r>
            <w:r>
              <w:rPr>
                <w:rStyle w:val="IndexLink"/>
              </w:rPr>
              <w:t>184</w:t>
            </w:r>
          </w:hyperlink>
        </w:p>
        <w:p>
          <w:pPr>
            <w:pStyle w:val="Contents6"/>
            <w:tabs>
              <w:tab w:val="clear" w:pos="7609"/>
              <w:tab w:val="right" w:pos="9026" w:leader="dot"/>
            </w:tabs>
            <w:rPr/>
          </w:pPr>
          <w:hyperlink w:anchor="__RefHeading___Toc10444516_73709187">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0444518_73709187">
            <w:r>
              <w:rPr>
                <w:webHidden/>
                <w:rStyle w:val="IndexLink"/>
                <w:rtl w:val="true"/>
              </w:rPr>
              <w:t>تنبيهات</w:t>
            </w:r>
            <w:r>
              <w:rPr>
                <w:rStyle w:val="IndexLink"/>
                <w:rtl w:val="true"/>
              </w:rPr>
              <w:t>:</w:t>
              <w:tab/>
            </w:r>
            <w:r>
              <w:rPr>
                <w:rStyle w:val="IndexLink"/>
              </w:rPr>
              <w:t>184</w:t>
            </w:r>
          </w:hyperlink>
        </w:p>
        <w:p>
          <w:pPr>
            <w:pStyle w:val="Contents6"/>
            <w:tabs>
              <w:tab w:val="clear" w:pos="7609"/>
              <w:tab w:val="right" w:pos="9026" w:leader="dot"/>
            </w:tabs>
            <w:rPr/>
          </w:pPr>
          <w:hyperlink w:anchor="__RefHeading___Toc10444520_73709187">
            <w:r>
              <w:rPr>
                <w:webHidden/>
                <w:rStyle w:val="IndexLink"/>
                <w:rtl w:val="true"/>
              </w:rPr>
              <w:t>عدم الفرق بين كون جلد الميتة ممّا تتمّ الصَّلاة فيه، وما لا تتمّ‌</w:t>
            </w:r>
            <w:r>
              <w:rPr>
                <w:rStyle w:val="IndexLink"/>
                <w:rtl w:val="true"/>
              </w:rPr>
              <w:tab/>
            </w:r>
            <w:r>
              <w:rPr>
                <w:rStyle w:val="IndexLink"/>
              </w:rPr>
              <w:t>184</w:t>
            </w:r>
          </w:hyperlink>
        </w:p>
        <w:p>
          <w:pPr>
            <w:pStyle w:val="Contents6"/>
            <w:tabs>
              <w:tab w:val="clear" w:pos="7609"/>
              <w:tab w:val="right" w:pos="9026" w:leader="dot"/>
            </w:tabs>
            <w:rPr/>
          </w:pPr>
          <w:hyperlink w:anchor="__RefHeading___Toc10444522_73709187">
            <w:r>
              <w:rPr>
                <w:webHidden/>
                <w:rStyle w:val="IndexLink"/>
                <w:rtl w:val="true"/>
              </w:rPr>
              <w:t>عدم اختصاص المنع بميتة ذي النفس</w:t>
            </w:r>
            <w:r>
              <w:rPr>
                <w:rStyle w:val="IndexLink"/>
                <w:rtl w:val="true"/>
              </w:rPr>
              <w:tab/>
            </w:r>
            <w:r>
              <w:rPr>
                <w:rStyle w:val="IndexLink"/>
              </w:rPr>
              <w:t>185</w:t>
            </w:r>
          </w:hyperlink>
        </w:p>
        <w:p>
          <w:pPr>
            <w:pStyle w:val="Contents6"/>
            <w:tabs>
              <w:tab w:val="clear" w:pos="7609"/>
              <w:tab w:val="right" w:pos="9026" w:leader="dot"/>
            </w:tabs>
            <w:rPr/>
          </w:pPr>
          <w:hyperlink w:anchor="__RefHeading___Toc10444524_73709187">
            <w:r>
              <w:rPr>
                <w:webHidden/>
                <w:rStyle w:val="IndexLink"/>
                <w:rtl w:val="true"/>
              </w:rPr>
              <w:t>الظاهر عدم شمول المنع للمحمول</w:t>
            </w:r>
            <w:r>
              <w:rPr>
                <w:rStyle w:val="IndexLink"/>
                <w:rtl w:val="true"/>
              </w:rPr>
              <w:tab/>
            </w:r>
            <w:r>
              <w:rPr>
                <w:rStyle w:val="IndexLink"/>
              </w:rPr>
              <w:t>186</w:t>
            </w:r>
          </w:hyperlink>
        </w:p>
        <w:p>
          <w:pPr>
            <w:pStyle w:val="Contents6"/>
            <w:tabs>
              <w:tab w:val="clear" w:pos="7609"/>
              <w:tab w:val="right" w:pos="9026" w:leader="dot"/>
            </w:tabs>
            <w:rPr/>
          </w:pPr>
          <w:hyperlink w:anchor="__RefHeading___Toc10444526_73709187">
            <w:r>
              <w:rPr>
                <w:webHidden/>
                <w:rStyle w:val="IndexLink"/>
                <w:rtl w:val="true"/>
              </w:rPr>
              <w:t>الشكّ في التذكية</w:t>
            </w:r>
            <w:r>
              <w:rPr>
                <w:rStyle w:val="IndexLink"/>
                <w:rtl w:val="true"/>
              </w:rPr>
              <w:tab/>
            </w:r>
            <w:r>
              <w:rPr>
                <w:rStyle w:val="IndexLink"/>
              </w:rPr>
              <w:t>187</w:t>
            </w:r>
          </w:hyperlink>
        </w:p>
        <w:p>
          <w:pPr>
            <w:pStyle w:val="Contents5"/>
            <w:tabs>
              <w:tab w:val="clear" w:pos="7892"/>
              <w:tab w:val="right" w:pos="9026" w:leader="dot"/>
            </w:tabs>
            <w:rPr/>
          </w:pPr>
          <w:hyperlink w:anchor="__RefHeading___Toc10444528_73709187">
            <w:r>
              <w:rPr>
                <w:webHidden/>
                <w:rStyle w:val="IndexLink"/>
                <w:rtl w:val="true"/>
              </w:rPr>
              <w:t>الصَّلاة فيما لا يؤكل لحمه</w:t>
            </w:r>
            <w:r>
              <w:rPr>
                <w:rStyle w:val="IndexLink"/>
                <w:rtl w:val="true"/>
              </w:rPr>
              <w:tab/>
            </w:r>
            <w:r>
              <w:rPr>
                <w:rStyle w:val="IndexLink"/>
              </w:rPr>
              <w:t>191</w:t>
            </w:r>
          </w:hyperlink>
        </w:p>
        <w:p>
          <w:pPr>
            <w:pStyle w:val="Contents6"/>
            <w:tabs>
              <w:tab w:val="clear" w:pos="7609"/>
              <w:tab w:val="right" w:pos="9026" w:leader="dot"/>
            </w:tabs>
            <w:rPr/>
          </w:pPr>
          <w:hyperlink w:anchor="__RefHeading___Toc10444530_7370918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0444532_73709187">
            <w:r>
              <w:rPr>
                <w:webHidden/>
                <w:rStyle w:val="IndexLink"/>
                <w:rtl w:val="true"/>
              </w:rPr>
              <w:t>أقول</w:t>
            </w:r>
            <w:r>
              <w:rPr>
                <w:rStyle w:val="IndexLink"/>
                <w:rtl w:val="true"/>
              </w:rPr>
              <w:t xml:space="preserve">: </w:t>
            </w:r>
            <w:r>
              <w:rPr>
                <w:rStyle w:val="IndexLink"/>
                <w:rtl w:val="true"/>
              </w:rPr>
              <w:t>وتنقيح القول فيه يتحقّق بالتكلّم في اُمور</w:t>
            </w:r>
            <w:r>
              <w:rPr>
                <w:rStyle w:val="IndexLink"/>
                <w:rtl w:val="true"/>
              </w:rPr>
              <w:t>:</w:t>
              <w:tab/>
            </w:r>
            <w:r>
              <w:rPr>
                <w:rStyle w:val="IndexLink"/>
              </w:rPr>
              <w:t>191</w:t>
            </w:r>
          </w:hyperlink>
        </w:p>
        <w:p>
          <w:pPr>
            <w:pStyle w:val="Contents6"/>
            <w:tabs>
              <w:tab w:val="clear" w:pos="7609"/>
              <w:tab w:val="right" w:pos="9026" w:leader="dot"/>
            </w:tabs>
            <w:rPr/>
          </w:pPr>
          <w:hyperlink w:anchor="__RefHeading___Toc10444534_7370918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0444536_73709187">
            <w:r>
              <w:rPr>
                <w:webHidden/>
                <w:rStyle w:val="IndexLink"/>
                <w:rtl w:val="true"/>
              </w:rPr>
              <w:t>عدم اختصاص هذا الحكم بالسِّباع</w:t>
            </w:r>
            <w:r>
              <w:rPr>
                <w:rStyle w:val="IndexLink"/>
                <w:rtl w:val="true"/>
              </w:rPr>
              <w:tab/>
            </w:r>
            <w:r>
              <w:rPr>
                <w:rStyle w:val="IndexLink"/>
              </w:rPr>
              <w:t>192</w:t>
            </w:r>
          </w:hyperlink>
        </w:p>
        <w:p>
          <w:pPr>
            <w:pStyle w:val="Contents6"/>
            <w:tabs>
              <w:tab w:val="clear" w:pos="7609"/>
              <w:tab w:val="right" w:pos="9026" w:leader="dot"/>
            </w:tabs>
            <w:rPr/>
          </w:pPr>
          <w:hyperlink w:anchor="__RefHeading___Toc10444538_73709187">
            <w:r>
              <w:rPr>
                <w:webHidden/>
                <w:rStyle w:val="IndexLink"/>
                <w:rtl w:val="true"/>
              </w:rPr>
              <w:t>عدم اختصاص الحكم بالملابس</w:t>
            </w:r>
            <w:r>
              <w:rPr>
                <w:rStyle w:val="IndexLink"/>
                <w:rtl w:val="true"/>
              </w:rPr>
              <w:tab/>
            </w:r>
            <w:r>
              <w:rPr>
                <w:rStyle w:val="IndexLink"/>
              </w:rPr>
              <w:t>194</w:t>
            </w:r>
          </w:hyperlink>
        </w:p>
        <w:p>
          <w:pPr>
            <w:pStyle w:val="Contents6"/>
            <w:tabs>
              <w:tab w:val="clear" w:pos="7609"/>
              <w:tab w:val="right" w:pos="9026" w:leader="dot"/>
            </w:tabs>
            <w:rPr/>
          </w:pPr>
          <w:hyperlink w:anchor="__RefHeading___Toc10444540_73709187">
            <w:r>
              <w:rPr>
                <w:webHidden/>
                <w:rStyle w:val="IndexLink"/>
                <w:rtl w:val="true"/>
              </w:rPr>
              <w:t>حكم الصَّلاة فيما لا تتمّ فيه من غير المأكول</w:t>
            </w:r>
            <w:r>
              <w:rPr>
                <w:rStyle w:val="IndexLink"/>
                <w:rtl w:val="true"/>
              </w:rPr>
              <w:tab/>
            </w:r>
            <w:r>
              <w:rPr>
                <w:rStyle w:val="IndexLink"/>
              </w:rPr>
              <w:t>197</w:t>
            </w:r>
          </w:hyperlink>
        </w:p>
        <w:p>
          <w:pPr>
            <w:pStyle w:val="Contents6"/>
            <w:tabs>
              <w:tab w:val="clear" w:pos="7609"/>
              <w:tab w:val="right" w:pos="9026" w:leader="dot"/>
            </w:tabs>
            <w:rPr/>
          </w:pPr>
          <w:hyperlink w:anchor="__RefHeading___Toc10444542_73709187">
            <w:r>
              <w:rPr>
                <w:webHidden/>
                <w:rStyle w:val="IndexLink"/>
                <w:rtl w:val="true"/>
              </w:rPr>
              <w:t>حكم الصَّلاة في أجزاء الإنسان</w:t>
            </w:r>
            <w:r>
              <w:rPr>
                <w:rStyle w:val="IndexLink"/>
                <w:rtl w:val="true"/>
              </w:rPr>
              <w:tab/>
            </w:r>
            <w:r>
              <w:rPr>
                <w:rStyle w:val="IndexLink"/>
              </w:rPr>
              <w:t>200</w:t>
            </w:r>
          </w:hyperlink>
        </w:p>
        <w:p>
          <w:pPr>
            <w:pStyle w:val="Contents6"/>
            <w:tabs>
              <w:tab w:val="clear" w:pos="7609"/>
              <w:tab w:val="right" w:pos="9026" w:leader="dot"/>
            </w:tabs>
            <w:rPr/>
          </w:pPr>
          <w:hyperlink w:anchor="__RefHeading___Toc10444544_73709187">
            <w:r>
              <w:rPr>
                <w:webHidden/>
                <w:rStyle w:val="IndexLink"/>
                <w:rtl w:val="true"/>
              </w:rPr>
              <w:t>عدم اختصاص الحكم بما له نفسٌ سائلة</w:t>
            </w:r>
            <w:r>
              <w:rPr>
                <w:rStyle w:val="IndexLink"/>
                <w:rtl w:val="true"/>
              </w:rPr>
              <w:tab/>
            </w:r>
            <w:r>
              <w:rPr>
                <w:rStyle w:val="IndexLink"/>
              </w:rPr>
              <w:t>202</w:t>
            </w:r>
          </w:hyperlink>
        </w:p>
        <w:p>
          <w:pPr>
            <w:pStyle w:val="Contents6"/>
            <w:tabs>
              <w:tab w:val="clear" w:pos="7609"/>
              <w:tab w:val="right" w:pos="9026" w:leader="dot"/>
            </w:tabs>
            <w:rPr/>
          </w:pPr>
          <w:hyperlink w:anchor="__RefHeading___Toc10444546_73709187">
            <w:r>
              <w:rPr>
                <w:webHidden/>
                <w:rStyle w:val="IndexLink"/>
                <w:rtl w:val="true"/>
              </w:rPr>
              <w:t>عدم شمول الحكم ما لا لحم له</w:t>
            </w:r>
            <w:r>
              <w:rPr>
                <w:rStyle w:val="IndexLink"/>
                <w:rtl w:val="true"/>
              </w:rPr>
              <w:tab/>
            </w:r>
            <w:r>
              <w:rPr>
                <w:rStyle w:val="IndexLink"/>
              </w:rPr>
              <w:t>204</w:t>
            </w:r>
          </w:hyperlink>
        </w:p>
        <w:p>
          <w:pPr>
            <w:pStyle w:val="Contents6"/>
            <w:tabs>
              <w:tab w:val="clear" w:pos="7609"/>
              <w:tab w:val="right" w:pos="9026" w:leader="dot"/>
            </w:tabs>
            <w:rPr/>
          </w:pPr>
          <w:hyperlink w:anchor="__RefHeading___Toc10444548_73709187">
            <w:r>
              <w:rPr>
                <w:webHidden/>
                <w:rStyle w:val="IndexLink"/>
                <w:rtl w:val="true"/>
              </w:rPr>
              <w:t>المستثنيات عن الحكم</w:t>
            </w:r>
            <w:r>
              <w:rPr>
                <w:rStyle w:val="IndexLink"/>
                <w:rtl w:val="true"/>
              </w:rPr>
              <w:tab/>
            </w:r>
            <w:r>
              <w:rPr>
                <w:rStyle w:val="IndexLink"/>
              </w:rPr>
              <w:t>205</w:t>
            </w:r>
          </w:hyperlink>
        </w:p>
        <w:p>
          <w:pPr>
            <w:pStyle w:val="Contents6"/>
            <w:tabs>
              <w:tab w:val="clear" w:pos="7609"/>
              <w:tab w:val="right" w:pos="9026" w:leader="dot"/>
            </w:tabs>
            <w:rPr/>
          </w:pPr>
          <w:hyperlink w:anchor="__RefHeading___Toc10444550_73709187">
            <w:r>
              <w:rPr>
                <w:webHidden/>
                <w:rStyle w:val="IndexLink"/>
                <w:rtl w:val="true"/>
              </w:rPr>
              <w:t>الصَّلاة في ما يشكّ أنّه مأكول اللّحم</w:t>
            </w:r>
            <w:r>
              <w:rPr>
                <w:rStyle w:val="IndexLink"/>
                <w:rtl w:val="true"/>
              </w:rPr>
              <w:tab/>
            </w:r>
            <w:r>
              <w:rPr>
                <w:rStyle w:val="IndexLink"/>
              </w:rPr>
              <w:t>210</w:t>
            </w:r>
          </w:hyperlink>
        </w:p>
        <w:p>
          <w:pPr>
            <w:pStyle w:val="Contents6"/>
            <w:tabs>
              <w:tab w:val="clear" w:pos="7609"/>
              <w:tab w:val="right" w:pos="9026" w:leader="dot"/>
            </w:tabs>
            <w:rPr/>
          </w:pPr>
          <w:hyperlink w:anchor="__RefHeading___Toc10444552_7370918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0444554_73709187">
            <w:r>
              <w:rPr>
                <w:webHidden/>
                <w:rStyle w:val="IndexLink"/>
                <w:rtl w:val="true"/>
              </w:rPr>
              <w:t>أمّا المقدّمة</w:t>
            </w:r>
            <w:r>
              <w:rPr>
                <w:rStyle w:val="IndexLink"/>
                <w:rtl w:val="true"/>
              </w:rPr>
              <w:t xml:space="preserve">: </w:t>
            </w:r>
            <w:r>
              <w:rPr>
                <w:rStyle w:val="IndexLink"/>
                <w:rtl w:val="true"/>
              </w:rPr>
              <w:t>ففي بيان اُمور</w:t>
            </w:r>
            <w:r>
              <w:rPr>
                <w:rStyle w:val="IndexLink"/>
                <w:rtl w:val="true"/>
              </w:rPr>
              <w:t>:</w:t>
              <w:tab/>
            </w:r>
            <w:r>
              <w:rPr>
                <w:rStyle w:val="IndexLink"/>
              </w:rPr>
              <w:t>212</w:t>
            </w:r>
          </w:hyperlink>
        </w:p>
        <w:p>
          <w:pPr>
            <w:pStyle w:val="Contents6"/>
            <w:tabs>
              <w:tab w:val="clear" w:pos="7609"/>
              <w:tab w:val="right" w:pos="9026" w:leader="dot"/>
            </w:tabs>
            <w:rPr/>
          </w:pPr>
          <w:hyperlink w:anchor="__RefHeading___Toc10444556_73709187">
            <w:r>
              <w:rPr>
                <w:webHidden/>
                <w:rStyle w:val="IndexLink"/>
                <w:rtl w:val="true"/>
              </w:rPr>
              <w:t>التلازم بين حرمة أكل اللّحم وعدم جواز الصَّلاة فيه</w:t>
            </w:r>
            <w:r>
              <w:rPr>
                <w:rStyle w:val="IndexLink"/>
                <w:rtl w:val="true"/>
              </w:rPr>
              <w:tab/>
            </w:r>
            <w:r>
              <w:rPr>
                <w:rStyle w:val="IndexLink"/>
              </w:rPr>
              <w:t>212</w:t>
            </w:r>
          </w:hyperlink>
        </w:p>
        <w:p>
          <w:pPr>
            <w:pStyle w:val="Contents6"/>
            <w:tabs>
              <w:tab w:val="clear" w:pos="7609"/>
              <w:tab w:val="right" w:pos="9026" w:leader="dot"/>
            </w:tabs>
            <w:rPr/>
          </w:pPr>
          <w:hyperlink w:anchor="__RefHeading___Toc10444558_73709187">
            <w:r>
              <w:rPr>
                <w:webHidden/>
                <w:rStyle w:val="IndexLink"/>
                <w:rtl w:val="true"/>
              </w:rPr>
              <w:t>المراد من الجواز الشرعي هنا ما يقابل المنع وضعاً</w:t>
            </w:r>
            <w:r>
              <w:rPr>
                <w:rStyle w:val="IndexLink"/>
                <w:rtl w:val="true"/>
              </w:rPr>
              <w:tab/>
            </w:r>
            <w:r>
              <w:rPr>
                <w:rStyle w:val="IndexLink"/>
              </w:rPr>
              <w:t>212</w:t>
            </w:r>
          </w:hyperlink>
        </w:p>
        <w:p>
          <w:pPr>
            <w:pStyle w:val="Contents6"/>
            <w:tabs>
              <w:tab w:val="clear" w:pos="7609"/>
              <w:tab w:val="right" w:pos="9026" w:leader="dot"/>
            </w:tabs>
            <w:rPr/>
          </w:pPr>
          <w:hyperlink w:anchor="__RefHeading___Toc10444560_73709187">
            <w:r>
              <w:rPr>
                <w:webHidden/>
                <w:rStyle w:val="IndexLink"/>
                <w:rtl w:val="true"/>
              </w:rPr>
              <w:t>الملاك يعمّ كلّ مشتبهٍ‌</w:t>
            </w:r>
            <w:r>
              <w:rPr>
                <w:rStyle w:val="IndexLink"/>
                <w:rtl w:val="true"/>
              </w:rPr>
              <w:tab/>
            </w:r>
            <w:r>
              <w:rPr>
                <w:rStyle w:val="IndexLink"/>
              </w:rPr>
              <w:t>212</w:t>
            </w:r>
          </w:hyperlink>
        </w:p>
        <w:p>
          <w:pPr>
            <w:pStyle w:val="Contents6"/>
            <w:tabs>
              <w:tab w:val="clear" w:pos="7609"/>
              <w:tab w:val="right" w:pos="9026" w:leader="dot"/>
            </w:tabs>
            <w:rPr/>
          </w:pPr>
          <w:hyperlink w:anchor="__RefHeading___Toc10444562_73709187">
            <w:r>
              <w:rPr>
                <w:webHidden/>
                <w:rStyle w:val="IndexLink"/>
                <w:rtl w:val="true"/>
              </w:rPr>
              <w:t>يعم البحث ما إذا شكّ أنه محلّل الأكل أو محرّمه أيضا</w:t>
            </w:r>
            <w:r>
              <w:rPr>
                <w:rStyle w:val="IndexLink"/>
                <w:rtl w:val="true"/>
              </w:rPr>
              <w:tab/>
            </w:r>
            <w:r>
              <w:rPr>
                <w:rStyle w:val="IndexLink"/>
              </w:rPr>
              <w:t>213</w:t>
            </w:r>
          </w:hyperlink>
        </w:p>
        <w:p>
          <w:pPr>
            <w:pStyle w:val="Contents6"/>
            <w:tabs>
              <w:tab w:val="clear" w:pos="7609"/>
              <w:tab w:val="right" w:pos="9026" w:leader="dot"/>
            </w:tabs>
            <w:rPr/>
          </w:pPr>
          <w:hyperlink w:anchor="__RefHeading___Toc10444564_73709187">
            <w:r>
              <w:rPr>
                <w:webHidden/>
                <w:rStyle w:val="IndexLink"/>
                <w:rtl w:val="true"/>
              </w:rPr>
              <w:t>المجعول هي الشرطيّة أو المانعيّة</w:t>
            </w:r>
            <w:r>
              <w:rPr>
                <w:rStyle w:val="IndexLink"/>
                <w:rtl w:val="true"/>
              </w:rPr>
              <w:tab/>
            </w:r>
            <w:r>
              <w:rPr>
                <w:rStyle w:val="IndexLink"/>
              </w:rPr>
              <w:t>213</w:t>
            </w:r>
          </w:hyperlink>
        </w:p>
        <w:p>
          <w:pPr>
            <w:pStyle w:val="Contents6"/>
            <w:tabs>
              <w:tab w:val="clear" w:pos="7609"/>
              <w:tab w:val="right" w:pos="9026" w:leader="dot"/>
            </w:tabs>
            <w:rPr/>
          </w:pPr>
          <w:hyperlink w:anchor="__RefHeading___Toc10444566_7370918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0444568_73709187">
            <w:r>
              <w:rPr>
                <w:webHidden/>
                <w:rStyle w:val="IndexLink"/>
                <w:rtl w:val="true"/>
              </w:rPr>
              <w:t>قد يقال باستحالة ذلك ملاكاً وخطاباً</w:t>
            </w:r>
            <w:r>
              <w:rPr>
                <w:rStyle w:val="IndexLink"/>
                <w:rtl w:val="true"/>
              </w:rPr>
              <w:tab/>
            </w:r>
            <w:r>
              <w:rPr>
                <w:rStyle w:val="IndexLink"/>
              </w:rPr>
              <w:t>214</w:t>
            </w:r>
          </w:hyperlink>
        </w:p>
        <w:p>
          <w:pPr>
            <w:pStyle w:val="Contents6"/>
            <w:tabs>
              <w:tab w:val="clear" w:pos="7609"/>
              <w:tab w:val="right" w:pos="9026" w:leader="dot"/>
            </w:tabs>
            <w:rPr/>
          </w:pPr>
          <w:hyperlink w:anchor="__RefHeading___Toc10444570_73709187">
            <w:r>
              <w:rPr>
                <w:webHidden/>
                <w:rStyle w:val="IndexLink"/>
                <w:rtl w:val="true"/>
              </w:rPr>
              <w:t>ما يستفاد من الأدلّة في مقام الإثبات</w:t>
            </w:r>
            <w:r>
              <w:rPr>
                <w:rStyle w:val="IndexLink"/>
                <w:rtl w:val="true"/>
              </w:rPr>
              <w:tab/>
            </w:r>
            <w:r>
              <w:rPr>
                <w:rStyle w:val="IndexLink"/>
              </w:rPr>
              <w:t>216</w:t>
            </w:r>
          </w:hyperlink>
        </w:p>
        <w:p>
          <w:pPr>
            <w:pStyle w:val="Contents6"/>
            <w:tabs>
              <w:tab w:val="clear" w:pos="7609"/>
              <w:tab w:val="right" w:pos="9026" w:leader="dot"/>
            </w:tabs>
            <w:rPr/>
          </w:pPr>
          <w:hyperlink w:anchor="__RefHeading___Toc10444572_73709187">
            <w:r>
              <w:rPr>
                <w:webHidden/>
                <w:rStyle w:val="IndexLink"/>
                <w:rtl w:val="true"/>
              </w:rPr>
              <w:t>أقسام النهي</w:t>
            </w:r>
            <w:r>
              <w:rPr>
                <w:rStyle w:val="IndexLink"/>
                <w:rtl w:val="true"/>
              </w:rPr>
              <w:tab/>
            </w:r>
            <w:r>
              <w:rPr>
                <w:rStyle w:val="IndexLink"/>
              </w:rPr>
              <w:t>220</w:t>
            </w:r>
          </w:hyperlink>
        </w:p>
        <w:p>
          <w:pPr>
            <w:pStyle w:val="Contents6"/>
            <w:tabs>
              <w:tab w:val="clear" w:pos="7609"/>
              <w:tab w:val="right" w:pos="9026" w:leader="dot"/>
            </w:tabs>
            <w:rPr/>
          </w:pPr>
          <w:hyperlink w:anchor="__RefHeading___Toc10444574_73709187">
            <w:r>
              <w:rPr>
                <w:webHidden/>
                <w:rStyle w:val="IndexLink"/>
                <w:rtl w:val="true"/>
              </w:rPr>
              <w:t>مركز القيد</w:t>
            </w:r>
            <w:r>
              <w:rPr>
                <w:rStyle w:val="IndexLink"/>
                <w:rtl w:val="true"/>
              </w:rPr>
              <w:tab/>
            </w:r>
            <w:r>
              <w:rPr>
                <w:rStyle w:val="IndexLink"/>
              </w:rPr>
              <w:t>221</w:t>
            </w:r>
          </w:hyperlink>
        </w:p>
        <w:p>
          <w:pPr>
            <w:pStyle w:val="Contents6"/>
            <w:tabs>
              <w:tab w:val="clear" w:pos="7609"/>
              <w:tab w:val="right" w:pos="9026" w:leader="dot"/>
            </w:tabs>
            <w:rPr/>
          </w:pPr>
          <w:hyperlink w:anchor="__RefHeading___Toc10444576_73709187">
            <w:r>
              <w:rPr>
                <w:webHidden/>
                <w:rStyle w:val="IndexLink"/>
                <w:rtl w:val="true"/>
              </w:rPr>
              <w:t>المانع هو عنوان محرّم الأكل أو معروضه</w:t>
            </w:r>
            <w:r>
              <w:rPr>
                <w:rStyle w:val="IndexLink"/>
                <w:rtl w:val="true"/>
              </w:rPr>
              <w:tab/>
            </w:r>
            <w:r>
              <w:rPr>
                <w:rStyle w:val="IndexLink"/>
              </w:rPr>
              <w:t>222</w:t>
            </w:r>
          </w:hyperlink>
        </w:p>
        <w:p>
          <w:pPr>
            <w:pStyle w:val="Contents6"/>
            <w:tabs>
              <w:tab w:val="clear" w:pos="7609"/>
              <w:tab w:val="right" w:pos="9026" w:leader="dot"/>
            </w:tabs>
            <w:rPr/>
          </w:pPr>
          <w:hyperlink w:anchor="__RefHeading___Toc10444578_73709187">
            <w:r>
              <w:rPr>
                <w:webHidden/>
                <w:rStyle w:val="IndexLink"/>
                <w:rtl w:val="true"/>
              </w:rPr>
              <w:t>المقصد الأوّل الاستدلال للجواز بالأدلّة الاجتهاديّة</w:t>
            </w:r>
            <w:r>
              <w:rPr>
                <w:rStyle w:val="IndexLink"/>
                <w:rtl w:val="true"/>
              </w:rPr>
              <w:tab/>
            </w:r>
            <w:r>
              <w:rPr>
                <w:rStyle w:val="IndexLink"/>
              </w:rPr>
              <w:t>224</w:t>
            </w:r>
          </w:hyperlink>
        </w:p>
        <w:p>
          <w:pPr>
            <w:pStyle w:val="Contents6"/>
            <w:tabs>
              <w:tab w:val="clear" w:pos="7609"/>
              <w:tab w:val="right" w:pos="9026" w:leader="dot"/>
            </w:tabs>
            <w:rPr/>
          </w:pPr>
          <w:hyperlink w:anchor="__RefHeading___Toc10444580_73709187">
            <w:r>
              <w:rPr>
                <w:webHidden/>
                <w:rStyle w:val="IndexLink"/>
                <w:rtl w:val="true"/>
              </w:rPr>
              <w:t>المقصد الثاني فيما تقتضيه الاُصول الموضوعيّة</w:t>
            </w:r>
            <w:r>
              <w:rPr>
                <w:rStyle w:val="IndexLink"/>
                <w:rtl w:val="true"/>
              </w:rPr>
              <w:tab/>
            </w:r>
            <w:r>
              <w:rPr>
                <w:rStyle w:val="IndexLink"/>
              </w:rPr>
              <w:t>228</w:t>
            </w:r>
          </w:hyperlink>
        </w:p>
        <w:p>
          <w:pPr>
            <w:pStyle w:val="Contents6"/>
            <w:tabs>
              <w:tab w:val="clear" w:pos="7609"/>
              <w:tab w:val="right" w:pos="9026" w:leader="dot"/>
            </w:tabs>
            <w:rPr/>
          </w:pPr>
          <w:hyperlink w:anchor="__RefHeading___Toc10444582_7370918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444584_73709187">
            <w:r>
              <w:rPr>
                <w:webHidden/>
                <w:rStyle w:val="IndexLink"/>
                <w:rtl w:val="true"/>
              </w:rPr>
              <w:t>جريان الاستصحاب في الأعدام الأزليّة</w:t>
            </w:r>
            <w:r>
              <w:rPr>
                <w:rStyle w:val="IndexLink"/>
                <w:rtl w:val="true"/>
              </w:rPr>
              <w:tab/>
            </w:r>
            <w:r>
              <w:rPr>
                <w:rStyle w:val="IndexLink"/>
              </w:rPr>
              <w:t>228</w:t>
            </w:r>
          </w:hyperlink>
        </w:p>
        <w:p>
          <w:pPr>
            <w:pStyle w:val="Contents6"/>
            <w:tabs>
              <w:tab w:val="clear" w:pos="7609"/>
              <w:tab w:val="right" w:pos="9026" w:leader="dot"/>
            </w:tabs>
            <w:rPr/>
          </w:pPr>
          <w:hyperlink w:anchor="__RefHeading___Toc10444586_73709187">
            <w:r>
              <w:rPr>
                <w:webHidden/>
                <w:rStyle w:val="IndexLink"/>
                <w:rtl w:val="true"/>
              </w:rPr>
              <w:t>أصالة عدم لبس غير المأكول</w:t>
            </w:r>
            <w:r>
              <w:rPr>
                <w:rStyle w:val="IndexLink"/>
                <w:rtl w:val="true"/>
              </w:rPr>
              <w:tab/>
            </w:r>
            <w:r>
              <w:rPr>
                <w:rStyle w:val="IndexLink"/>
              </w:rPr>
              <w:t>236</w:t>
            </w:r>
          </w:hyperlink>
        </w:p>
        <w:p>
          <w:pPr>
            <w:pStyle w:val="Contents6"/>
            <w:tabs>
              <w:tab w:val="clear" w:pos="7609"/>
              <w:tab w:val="right" w:pos="9026" w:leader="dot"/>
            </w:tabs>
            <w:rPr/>
          </w:pPr>
          <w:hyperlink w:anchor="__RefHeading___Toc10444588_73709187">
            <w:r>
              <w:rPr>
                <w:webHidden/>
                <w:rStyle w:val="IndexLink"/>
                <w:rtl w:val="true"/>
              </w:rPr>
              <w:t>الاستصحاب التعليقي</w:t>
            </w:r>
            <w:r>
              <w:rPr>
                <w:rStyle w:val="IndexLink"/>
                <w:rtl w:val="true"/>
              </w:rPr>
              <w:tab/>
            </w:r>
            <w:r>
              <w:rPr>
                <w:rStyle w:val="IndexLink"/>
              </w:rPr>
              <w:t>239</w:t>
            </w:r>
          </w:hyperlink>
        </w:p>
        <w:p>
          <w:pPr>
            <w:pStyle w:val="Contents6"/>
            <w:tabs>
              <w:tab w:val="clear" w:pos="7609"/>
              <w:tab w:val="right" w:pos="9026" w:leader="dot"/>
            </w:tabs>
            <w:rPr/>
          </w:pPr>
          <w:hyperlink w:anchor="__RefHeading___Toc10444590_73709187">
            <w:r>
              <w:rPr>
                <w:webHidden/>
                <w:rStyle w:val="IndexLink"/>
                <w:rtl w:val="true"/>
              </w:rPr>
              <w:t>استصحاب عدم الحرمة</w:t>
            </w:r>
            <w:r>
              <w:rPr>
                <w:rStyle w:val="IndexLink"/>
                <w:rtl w:val="true"/>
              </w:rPr>
              <w:tab/>
            </w:r>
            <w:r>
              <w:rPr>
                <w:rStyle w:val="IndexLink"/>
              </w:rPr>
              <w:t>241</w:t>
            </w:r>
          </w:hyperlink>
        </w:p>
        <w:p>
          <w:pPr>
            <w:pStyle w:val="Contents6"/>
            <w:tabs>
              <w:tab w:val="clear" w:pos="7609"/>
              <w:tab w:val="right" w:pos="9026" w:leader="dot"/>
            </w:tabs>
            <w:rPr/>
          </w:pPr>
          <w:hyperlink w:anchor="__RefHeading___Toc10444592_73709187">
            <w:r>
              <w:rPr>
                <w:webHidden/>
                <w:rStyle w:val="IndexLink"/>
                <w:rtl w:val="true"/>
              </w:rPr>
              <w:t>استصحاب العدم النعتي</w:t>
            </w:r>
            <w:r>
              <w:rPr>
                <w:rStyle w:val="IndexLink"/>
                <w:rtl w:val="true"/>
              </w:rPr>
              <w:tab/>
            </w:r>
            <w:r>
              <w:rPr>
                <w:rStyle w:val="IndexLink"/>
              </w:rPr>
              <w:t>243</w:t>
            </w:r>
          </w:hyperlink>
        </w:p>
        <w:p>
          <w:pPr>
            <w:pStyle w:val="Contents6"/>
            <w:tabs>
              <w:tab w:val="clear" w:pos="7609"/>
              <w:tab w:val="right" w:pos="9026" w:leader="dot"/>
            </w:tabs>
            <w:rPr/>
          </w:pPr>
          <w:hyperlink w:anchor="__RefHeading___Toc10444594_73709187">
            <w:r>
              <w:rPr>
                <w:webHidden/>
                <w:rStyle w:val="IndexLink"/>
                <w:rtl w:val="true"/>
              </w:rPr>
              <w:t>أصالة الإباحة</w:t>
            </w:r>
            <w:r>
              <w:rPr>
                <w:rStyle w:val="IndexLink"/>
                <w:rtl w:val="true"/>
              </w:rPr>
              <w:tab/>
            </w:r>
            <w:r>
              <w:rPr>
                <w:rStyle w:val="IndexLink"/>
              </w:rPr>
              <w:t>244</w:t>
            </w:r>
          </w:hyperlink>
        </w:p>
        <w:p>
          <w:pPr>
            <w:pStyle w:val="Contents6"/>
            <w:tabs>
              <w:tab w:val="clear" w:pos="7609"/>
              <w:tab w:val="right" w:pos="9026" w:leader="dot"/>
            </w:tabs>
            <w:rPr/>
          </w:pPr>
          <w:hyperlink w:anchor="__RefHeading___Toc10444596_73709187">
            <w:r>
              <w:rPr>
                <w:webHidden/>
                <w:rStyle w:val="IndexLink"/>
                <w:rtl w:val="true"/>
              </w:rPr>
              <w:t>قاعدة الطهارة</w:t>
            </w:r>
            <w:r>
              <w:rPr>
                <w:rStyle w:val="IndexLink"/>
                <w:rtl w:val="true"/>
              </w:rPr>
              <w:tab/>
            </w:r>
            <w:r>
              <w:rPr>
                <w:rStyle w:val="IndexLink"/>
              </w:rPr>
              <w:t>248</w:t>
            </w:r>
          </w:hyperlink>
        </w:p>
        <w:p>
          <w:pPr>
            <w:pStyle w:val="Contents6"/>
            <w:tabs>
              <w:tab w:val="clear" w:pos="7609"/>
              <w:tab w:val="right" w:pos="9026" w:leader="dot"/>
            </w:tabs>
            <w:rPr/>
          </w:pPr>
          <w:hyperlink w:anchor="__RefHeading___Toc10444598_73709187">
            <w:r>
              <w:rPr>
                <w:webHidden/>
                <w:rStyle w:val="IndexLink"/>
                <w:rtl w:val="true"/>
              </w:rPr>
              <w:t>المقصد الثالث</w:t>
            </w:r>
            <w:r>
              <w:rPr>
                <w:rStyle w:val="IndexLink"/>
                <w:rtl w:val="true"/>
              </w:rPr>
              <w:t xml:space="preserve">: </w:t>
            </w:r>
            <w:r>
              <w:rPr>
                <w:rStyle w:val="IndexLink"/>
                <w:rtl w:val="true"/>
              </w:rPr>
              <w:t>فيما تقتضيه الاُصول الحُكميّة</w:t>
            </w:r>
            <w:r>
              <w:rPr>
                <w:rStyle w:val="IndexLink"/>
                <w:rtl w:val="true"/>
              </w:rPr>
              <w:tab/>
            </w:r>
            <w:r>
              <w:rPr>
                <w:rStyle w:val="IndexLink"/>
              </w:rPr>
              <w:t>249</w:t>
            </w:r>
          </w:hyperlink>
        </w:p>
        <w:p>
          <w:pPr>
            <w:pStyle w:val="Contents6"/>
            <w:tabs>
              <w:tab w:val="clear" w:pos="7609"/>
              <w:tab w:val="right" w:pos="9026" w:leader="dot"/>
            </w:tabs>
            <w:rPr/>
          </w:pPr>
          <w:hyperlink w:anchor="__RefHeading___Toc10444600_7370918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0444602_73709187">
            <w:r>
              <w:rPr>
                <w:webHidden/>
                <w:rStyle w:val="IndexLink"/>
                <w:rtl w:val="true"/>
              </w:rPr>
              <w:t>أصالة الحِلّ في الصَّلاة</w:t>
            </w:r>
            <w:r>
              <w:rPr>
                <w:rStyle w:val="IndexLink"/>
                <w:rtl w:val="true"/>
              </w:rPr>
              <w:tab/>
            </w:r>
            <w:r>
              <w:rPr>
                <w:rStyle w:val="IndexLink"/>
              </w:rPr>
              <w:t>249</w:t>
            </w:r>
          </w:hyperlink>
        </w:p>
        <w:p>
          <w:pPr>
            <w:pStyle w:val="Contents6"/>
            <w:tabs>
              <w:tab w:val="clear" w:pos="7609"/>
              <w:tab w:val="right" w:pos="9026" w:leader="dot"/>
            </w:tabs>
            <w:rPr/>
          </w:pPr>
          <w:hyperlink w:anchor="__RefHeading___Toc10444604_73709187">
            <w:r>
              <w:rPr>
                <w:webHidden/>
                <w:rStyle w:val="IndexLink"/>
                <w:rtl w:val="true"/>
              </w:rPr>
              <w:t>الاستدلال للجواز بالبراءة</w:t>
            </w:r>
            <w:r>
              <w:rPr>
                <w:rStyle w:val="IndexLink"/>
                <w:rtl w:val="true"/>
              </w:rPr>
              <w:tab/>
            </w:r>
            <w:r>
              <w:rPr>
                <w:rStyle w:val="IndexLink"/>
              </w:rPr>
              <w:t>254</w:t>
            </w:r>
          </w:hyperlink>
        </w:p>
        <w:p>
          <w:pPr>
            <w:pStyle w:val="Contents6"/>
            <w:tabs>
              <w:tab w:val="clear" w:pos="7609"/>
              <w:tab w:val="right" w:pos="9026" w:leader="dot"/>
            </w:tabs>
            <w:rPr/>
          </w:pPr>
          <w:hyperlink w:anchor="__RefHeading___Toc10444606_7370918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0444608_73709187">
            <w:r>
              <w:rPr>
                <w:webHidden/>
                <w:rStyle w:val="IndexLink"/>
                <w:rtl w:val="true"/>
              </w:rPr>
              <w:t>جريان البراءة في المقام يتوقّف على اُمور ثلاثة</w:t>
            </w:r>
            <w:r>
              <w:rPr>
                <w:rStyle w:val="IndexLink"/>
                <w:rtl w:val="true"/>
              </w:rPr>
              <w:tab/>
            </w:r>
            <w:r>
              <w:rPr>
                <w:rStyle w:val="IndexLink"/>
              </w:rPr>
              <w:t>254</w:t>
            </w:r>
          </w:hyperlink>
        </w:p>
        <w:p>
          <w:pPr>
            <w:pStyle w:val="Contents6"/>
            <w:tabs>
              <w:tab w:val="clear" w:pos="7609"/>
              <w:tab w:val="right" w:pos="9026" w:leader="dot"/>
            </w:tabs>
            <w:rPr/>
          </w:pPr>
          <w:hyperlink w:anchor="__RefHeading___Toc10444610_7370918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0444612_73709187">
            <w:r>
              <w:rPr>
                <w:webHidden/>
                <w:rStyle w:val="IndexLink"/>
                <w:rtl w:val="true"/>
              </w:rPr>
              <w:t>جريان البراءة في الشبهة الموضوعيّة</w:t>
            </w:r>
            <w:r>
              <w:rPr>
                <w:rStyle w:val="IndexLink"/>
                <w:rtl w:val="true"/>
              </w:rPr>
              <w:tab/>
            </w:r>
            <w:r>
              <w:rPr>
                <w:rStyle w:val="IndexLink"/>
              </w:rPr>
              <w:t>255</w:t>
            </w:r>
          </w:hyperlink>
        </w:p>
        <w:p>
          <w:pPr>
            <w:pStyle w:val="Contents6"/>
            <w:tabs>
              <w:tab w:val="clear" w:pos="7609"/>
              <w:tab w:val="right" w:pos="9026" w:leader="dot"/>
            </w:tabs>
            <w:rPr/>
          </w:pPr>
          <w:hyperlink w:anchor="__RefHeading___Toc10444614_73709187">
            <w:r>
              <w:rPr>
                <w:webHidden/>
                <w:rStyle w:val="IndexLink"/>
                <w:rtl w:val="true"/>
              </w:rPr>
              <w:t>جريان البراءة في الأقلّ والأكثر</w:t>
            </w:r>
            <w:r>
              <w:rPr>
                <w:rStyle w:val="IndexLink"/>
                <w:rtl w:val="true"/>
              </w:rPr>
              <w:tab/>
            </w:r>
            <w:r>
              <w:rPr>
                <w:rStyle w:val="IndexLink"/>
              </w:rPr>
              <w:t>257</w:t>
            </w:r>
          </w:hyperlink>
        </w:p>
        <w:p>
          <w:pPr>
            <w:pStyle w:val="Contents6"/>
            <w:tabs>
              <w:tab w:val="clear" w:pos="7609"/>
              <w:tab w:val="right" w:pos="9026" w:leader="dot"/>
            </w:tabs>
            <w:rPr/>
          </w:pPr>
          <w:hyperlink w:anchor="__RefHeading___Toc10444616_73709187">
            <w:r>
              <w:rPr>
                <w:webHidden/>
                <w:rStyle w:val="IndexLink"/>
                <w:rtl w:val="true"/>
              </w:rPr>
              <w:t>تميّيز موارد البراءة والإشتغال في الشبهة الموضوعيّة</w:t>
            </w:r>
            <w:r>
              <w:rPr>
                <w:rStyle w:val="IndexLink"/>
                <w:rtl w:val="true"/>
              </w:rPr>
              <w:tab/>
            </w:r>
            <w:r>
              <w:rPr>
                <w:rStyle w:val="IndexLink"/>
              </w:rPr>
              <w:t>259</w:t>
            </w:r>
          </w:hyperlink>
        </w:p>
        <w:p>
          <w:pPr>
            <w:pStyle w:val="Contents6"/>
            <w:tabs>
              <w:tab w:val="clear" w:pos="7609"/>
              <w:tab w:val="right" w:pos="9026" w:leader="dot"/>
            </w:tabs>
            <w:rPr/>
          </w:pPr>
          <w:hyperlink w:anchor="__RefHeading___Toc10444618_73709187">
            <w:r>
              <w:rPr>
                <w:webHidden/>
                <w:rStyle w:val="IndexLink"/>
                <w:rtl w:val="true"/>
              </w:rPr>
              <w:t>تقريب جريان البراءة</w:t>
            </w:r>
            <w:r>
              <w:rPr>
                <w:rStyle w:val="IndexLink"/>
                <w:rtl w:val="true"/>
              </w:rPr>
              <w:tab/>
            </w:r>
            <w:r>
              <w:rPr>
                <w:rStyle w:val="IndexLink"/>
              </w:rPr>
              <w:t>265</w:t>
            </w:r>
          </w:hyperlink>
        </w:p>
        <w:p>
          <w:pPr>
            <w:pStyle w:val="Contents6"/>
            <w:tabs>
              <w:tab w:val="clear" w:pos="7609"/>
              <w:tab w:val="right" w:pos="9026" w:leader="dot"/>
            </w:tabs>
            <w:rPr/>
          </w:pPr>
          <w:hyperlink w:anchor="__RefHeading___Toc10444620_73709187">
            <w:r>
              <w:rPr>
                <w:webHidden/>
                <w:rStyle w:val="IndexLink"/>
                <w:rtl w:val="true"/>
              </w:rPr>
              <w:t>الخاتمة</w:t>
            </w:r>
            <w:r>
              <w:rPr>
                <w:rStyle w:val="IndexLink"/>
                <w:rtl w:val="true"/>
              </w:rPr>
              <w:tab/>
            </w:r>
            <w:r>
              <w:rPr>
                <w:rStyle w:val="IndexLink"/>
              </w:rPr>
              <w:t>267</w:t>
            </w:r>
          </w:hyperlink>
        </w:p>
        <w:p>
          <w:pPr>
            <w:pStyle w:val="Contents6"/>
            <w:tabs>
              <w:tab w:val="clear" w:pos="7609"/>
              <w:tab w:val="right" w:pos="9026" w:leader="dot"/>
            </w:tabs>
            <w:rPr/>
          </w:pPr>
          <w:hyperlink w:anchor="__RefHeading___Toc10444622_73709187">
            <w:r>
              <w:rPr>
                <w:webHidden/>
                <w:rStyle w:val="IndexLink"/>
                <w:rtl w:val="true"/>
              </w:rPr>
              <w:t>مدارك سائر الأقوال والجواب عنها</w:t>
            </w:r>
            <w:r>
              <w:rPr>
                <w:rStyle w:val="IndexLink"/>
                <w:rtl w:val="true"/>
              </w:rPr>
              <w:tab/>
            </w:r>
            <w:r>
              <w:rPr>
                <w:rStyle w:val="IndexLink"/>
              </w:rPr>
              <w:t>267</w:t>
            </w:r>
          </w:hyperlink>
        </w:p>
        <w:p>
          <w:pPr>
            <w:pStyle w:val="Contents6"/>
            <w:tabs>
              <w:tab w:val="clear" w:pos="7609"/>
              <w:tab w:val="right" w:pos="9026" w:leader="dot"/>
            </w:tabs>
            <w:rPr/>
          </w:pPr>
          <w:hyperlink w:anchor="__RefHeading___Toc10444624_73709187">
            <w:r>
              <w:rPr>
                <w:webHidden/>
                <w:rStyle w:val="IndexLink"/>
                <w:rtl w:val="true"/>
              </w:rPr>
              <w:t>وقوع الصَّلاة في غير المأكول جهلاً أو نسياناً</w:t>
            </w:r>
            <w:r>
              <w:rPr>
                <w:rStyle w:val="IndexLink"/>
                <w:rtl w:val="true"/>
              </w:rPr>
              <w:tab/>
            </w:r>
            <w:r>
              <w:rPr>
                <w:rStyle w:val="IndexLink"/>
              </w:rPr>
              <w:t>269</w:t>
            </w:r>
          </w:hyperlink>
        </w:p>
        <w:p>
          <w:pPr>
            <w:pStyle w:val="Contents5"/>
            <w:tabs>
              <w:tab w:val="clear" w:pos="7892"/>
              <w:tab w:val="right" w:pos="9026" w:leader="dot"/>
            </w:tabs>
            <w:rPr/>
          </w:pPr>
          <w:hyperlink w:anchor="__RefHeading___Toc10444626_73709187">
            <w:r>
              <w:rPr>
                <w:webHidden/>
                <w:rStyle w:val="IndexLink"/>
                <w:rtl w:val="true"/>
              </w:rPr>
              <w:t>الصَّلاة في الحَرير</w:t>
            </w:r>
            <w:r>
              <w:rPr>
                <w:rStyle w:val="IndexLink"/>
                <w:rtl w:val="true"/>
              </w:rPr>
              <w:tab/>
            </w:r>
            <w:r>
              <w:rPr>
                <w:rStyle w:val="IndexLink"/>
              </w:rPr>
              <w:t>272</w:t>
            </w:r>
          </w:hyperlink>
        </w:p>
        <w:p>
          <w:pPr>
            <w:pStyle w:val="Contents6"/>
            <w:tabs>
              <w:tab w:val="clear" w:pos="7609"/>
              <w:tab w:val="right" w:pos="9026" w:leader="dot"/>
            </w:tabs>
            <w:rPr/>
          </w:pPr>
          <w:hyperlink w:anchor="__RefHeading___Toc10444628_7370918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0444630_73709187">
            <w:r>
              <w:rPr>
                <w:webHidden/>
                <w:rStyle w:val="IndexLink"/>
                <w:rtl w:val="true"/>
              </w:rPr>
              <w:t>لبس الحَرير في حال الضّرورة</w:t>
            </w:r>
            <w:r>
              <w:rPr>
                <w:rStyle w:val="IndexLink"/>
                <w:rtl w:val="true"/>
              </w:rPr>
              <w:tab/>
            </w:r>
            <w:r>
              <w:rPr>
                <w:rStyle w:val="IndexLink"/>
              </w:rPr>
              <w:t>277</w:t>
            </w:r>
          </w:hyperlink>
        </w:p>
        <w:p>
          <w:pPr>
            <w:pStyle w:val="Contents6"/>
            <w:tabs>
              <w:tab w:val="clear" w:pos="7609"/>
              <w:tab w:val="right" w:pos="9026" w:leader="dot"/>
            </w:tabs>
            <w:rPr/>
          </w:pPr>
          <w:hyperlink w:anchor="__RefHeading___Toc10444632_73709187">
            <w:r>
              <w:rPr>
                <w:webHidden/>
                <w:rStyle w:val="IndexLink"/>
                <w:rtl w:val="true"/>
              </w:rPr>
              <w:t>تنبيهات قماش الحرير</w:t>
            </w:r>
            <w:r>
              <w:rPr>
                <w:rStyle w:val="IndexLink"/>
                <w:rtl w:val="true"/>
              </w:rPr>
              <w:tab/>
            </w:r>
            <w:r>
              <w:rPr>
                <w:rStyle w:val="IndexLink"/>
              </w:rPr>
              <w:t>281</w:t>
            </w:r>
          </w:hyperlink>
        </w:p>
        <w:p>
          <w:pPr>
            <w:pStyle w:val="Contents5"/>
            <w:tabs>
              <w:tab w:val="clear" w:pos="7892"/>
              <w:tab w:val="right" w:pos="9026" w:leader="dot"/>
            </w:tabs>
            <w:rPr/>
          </w:pPr>
          <w:hyperlink w:anchor="__RefHeading___Toc10444634_73709187">
            <w:r>
              <w:rPr>
                <w:webHidden/>
                <w:rStyle w:val="IndexLink"/>
                <w:rtl w:val="true"/>
              </w:rPr>
              <w:t>الصَّلاة في المغصوب</w:t>
            </w:r>
            <w:r>
              <w:rPr>
                <w:rStyle w:val="IndexLink"/>
                <w:rtl w:val="true"/>
              </w:rPr>
              <w:tab/>
            </w:r>
            <w:r>
              <w:rPr>
                <w:rStyle w:val="IndexLink"/>
              </w:rPr>
              <w:t>285</w:t>
            </w:r>
          </w:hyperlink>
        </w:p>
        <w:p>
          <w:pPr>
            <w:pStyle w:val="Contents5"/>
            <w:tabs>
              <w:tab w:val="clear" w:pos="7892"/>
              <w:tab w:val="right" w:pos="9026" w:leader="dot"/>
            </w:tabs>
            <w:rPr/>
          </w:pPr>
          <w:hyperlink w:anchor="__RefHeading___Toc10444636_73709187">
            <w:r>
              <w:rPr>
                <w:webHidden/>
                <w:rStyle w:val="IndexLink"/>
                <w:rtl w:val="true"/>
              </w:rPr>
              <w:t>الصَّلاة في ما يستر ظَهر القدم</w:t>
            </w:r>
            <w:r>
              <w:rPr>
                <w:rStyle w:val="IndexLink"/>
                <w:rtl w:val="true"/>
              </w:rPr>
              <w:tab/>
            </w:r>
            <w:r>
              <w:rPr>
                <w:rStyle w:val="IndexLink"/>
              </w:rPr>
              <w:t>293</w:t>
            </w:r>
          </w:hyperlink>
        </w:p>
        <w:p>
          <w:pPr>
            <w:pStyle w:val="Contents5"/>
            <w:tabs>
              <w:tab w:val="clear" w:pos="7892"/>
              <w:tab w:val="right" w:pos="9026" w:leader="dot"/>
            </w:tabs>
            <w:rPr/>
          </w:pPr>
          <w:hyperlink w:anchor="__RefHeading___Toc10444638_73709187">
            <w:r>
              <w:rPr>
                <w:webHidden/>
                <w:rStyle w:val="IndexLink"/>
                <w:rtl w:val="true"/>
              </w:rPr>
              <w:t>ما يُكره من الثياب</w:t>
            </w:r>
            <w:r>
              <w:rPr>
                <w:rStyle w:val="IndexLink"/>
                <w:rtl w:val="true"/>
              </w:rPr>
              <w:tab/>
            </w:r>
            <w:r>
              <w:rPr>
                <w:rStyle w:val="IndexLink"/>
              </w:rPr>
              <w:t>296</w:t>
            </w:r>
          </w:hyperlink>
        </w:p>
        <w:p>
          <w:pPr>
            <w:pStyle w:val="Contents5"/>
            <w:tabs>
              <w:tab w:val="clear" w:pos="7892"/>
              <w:tab w:val="right" w:pos="9026" w:leader="dot"/>
            </w:tabs>
            <w:rPr/>
          </w:pPr>
          <w:hyperlink w:anchor="__RefHeading___Toc10444640_73709187">
            <w:r>
              <w:rPr>
                <w:webHidden/>
                <w:rStyle w:val="IndexLink"/>
                <w:rtl w:val="true"/>
              </w:rPr>
              <w:t>تحديد العورة</w:t>
            </w:r>
            <w:r>
              <w:rPr>
                <w:rStyle w:val="IndexLink"/>
                <w:rtl w:val="true"/>
              </w:rPr>
              <w:tab/>
            </w:r>
            <w:r>
              <w:rPr>
                <w:rStyle w:val="IndexLink"/>
              </w:rPr>
              <w:t>303</w:t>
            </w:r>
          </w:hyperlink>
        </w:p>
        <w:p>
          <w:pPr>
            <w:pStyle w:val="Contents5"/>
            <w:tabs>
              <w:tab w:val="clear" w:pos="7892"/>
              <w:tab w:val="right" w:pos="9026" w:leader="dot"/>
            </w:tabs>
            <w:rPr/>
          </w:pPr>
          <w:hyperlink w:anchor="__RefHeading___Toc10444642_73709187">
            <w:r>
              <w:rPr>
                <w:webHidden/>
                <w:rStyle w:val="IndexLink"/>
                <w:rtl w:val="true"/>
              </w:rPr>
              <w:t>المستثنيات من وجوب السَّتر</w:t>
            </w:r>
            <w:r>
              <w:rPr>
                <w:rStyle w:val="IndexLink"/>
                <w:rtl w:val="true"/>
              </w:rPr>
              <w:tab/>
            </w:r>
            <w:r>
              <w:rPr>
                <w:rStyle w:val="IndexLink"/>
              </w:rPr>
              <w:t>310</w:t>
            </w:r>
          </w:hyperlink>
        </w:p>
        <w:p>
          <w:pPr>
            <w:pStyle w:val="Contents5"/>
            <w:tabs>
              <w:tab w:val="clear" w:pos="7892"/>
              <w:tab w:val="right" w:pos="9026" w:leader="dot"/>
            </w:tabs>
            <w:rPr/>
          </w:pPr>
          <w:hyperlink w:anchor="__RefHeading___Toc10444644_73709187">
            <w:r>
              <w:rPr>
                <w:webHidden/>
                <w:rStyle w:val="IndexLink"/>
                <w:rtl w:val="true"/>
              </w:rPr>
              <w:t>في صلاة العاري</w:t>
            </w:r>
            <w:r>
              <w:rPr>
                <w:rStyle w:val="IndexLink"/>
                <w:rtl w:val="true"/>
              </w:rPr>
              <w:tab/>
            </w:r>
            <w:r>
              <w:rPr>
                <w:rStyle w:val="IndexLink"/>
              </w:rPr>
              <w:t>316</w:t>
            </w:r>
          </w:hyperlink>
        </w:p>
        <w:p>
          <w:pPr>
            <w:pStyle w:val="Contents6"/>
            <w:tabs>
              <w:tab w:val="clear" w:pos="7609"/>
              <w:tab w:val="right" w:pos="9026" w:leader="dot"/>
            </w:tabs>
            <w:rPr/>
          </w:pPr>
          <w:hyperlink w:anchor="__RefHeading___Toc10444646_7370918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0444648_73709187">
            <w:r>
              <w:rPr>
                <w:webHidden/>
                <w:rStyle w:val="IndexLink"/>
                <w:rtl w:val="true"/>
              </w:rPr>
              <w:t>صفة صلاة العاري</w:t>
            </w:r>
            <w:r>
              <w:rPr>
                <w:rStyle w:val="IndexLink"/>
                <w:rtl w:val="true"/>
              </w:rPr>
              <w:tab/>
            </w:r>
            <w:r>
              <w:rPr>
                <w:rStyle w:val="IndexLink"/>
              </w:rPr>
              <w:t>319</w:t>
            </w:r>
          </w:hyperlink>
        </w:p>
        <w:p>
          <w:pPr>
            <w:pStyle w:val="Contents6"/>
            <w:tabs>
              <w:tab w:val="clear" w:pos="7609"/>
              <w:tab w:val="right" w:pos="9026" w:leader="dot"/>
            </w:tabs>
            <w:rPr/>
          </w:pPr>
          <w:hyperlink w:anchor="__RefHeading___Toc10444650_73709187">
            <w:r>
              <w:rPr>
                <w:webHidden/>
                <w:rStyle w:val="IndexLink"/>
                <w:rtl w:val="true"/>
              </w:rPr>
              <w:t>فروع</w:t>
            </w:r>
            <w:r>
              <w:rPr>
                <w:rStyle w:val="IndexLink"/>
                <w:rtl w:val="true"/>
              </w:rPr>
              <w:t>:</w:t>
              <w:tab/>
            </w:r>
            <w:r>
              <w:rPr>
                <w:rStyle w:val="IndexLink"/>
              </w:rPr>
              <w:t>323</w:t>
            </w:r>
          </w:hyperlink>
        </w:p>
        <w:p>
          <w:pPr>
            <w:pStyle w:val="Contents6"/>
            <w:tabs>
              <w:tab w:val="clear" w:pos="7609"/>
              <w:tab w:val="right" w:pos="9026" w:leader="dot"/>
            </w:tabs>
            <w:rPr/>
          </w:pPr>
          <w:hyperlink w:anchor="__RefHeading___Toc10444652_73709187">
            <w:r>
              <w:rPr>
                <w:webHidden/>
                <w:rStyle w:val="IndexLink"/>
                <w:rtl w:val="true"/>
              </w:rPr>
              <w:t>صفة جماعة العُراة</w:t>
            </w:r>
            <w:r>
              <w:rPr>
                <w:rStyle w:val="IndexLink"/>
                <w:rtl w:val="true"/>
              </w:rPr>
              <w:tab/>
            </w:r>
            <w:r>
              <w:rPr>
                <w:rStyle w:val="IndexLink"/>
              </w:rPr>
              <w:t>323</w:t>
            </w:r>
          </w:hyperlink>
        </w:p>
        <w:p>
          <w:pPr>
            <w:pStyle w:val="Contents6"/>
            <w:tabs>
              <w:tab w:val="clear" w:pos="7609"/>
              <w:tab w:val="right" w:pos="9026" w:leader="dot"/>
            </w:tabs>
            <w:rPr/>
          </w:pPr>
          <w:hyperlink w:anchor="__RefHeading___Toc10444654_73709187">
            <w:r>
              <w:rPr>
                <w:webHidden/>
                <w:rStyle w:val="IndexLink"/>
                <w:rtl w:val="true"/>
              </w:rPr>
              <w:t>ظاهر كثير من الفتاوى أنّ الواجب على المأمومين وقوفهم في صفٍّ واحد</w:t>
            </w:r>
            <w:r>
              <w:rPr>
                <w:rStyle w:val="IndexLink"/>
                <w:rtl w:val="true"/>
              </w:rPr>
              <w:tab/>
            </w:r>
            <w:r>
              <w:rPr>
                <w:rStyle w:val="IndexLink"/>
              </w:rPr>
              <w:t>323</w:t>
            </w:r>
          </w:hyperlink>
        </w:p>
        <w:p>
          <w:pPr>
            <w:pStyle w:val="Contents6"/>
            <w:tabs>
              <w:tab w:val="clear" w:pos="7609"/>
              <w:tab w:val="right" w:pos="9026" w:leader="dot"/>
            </w:tabs>
            <w:rPr/>
          </w:pPr>
          <w:hyperlink w:anchor="__RefHeading___Toc10444656_73709187">
            <w:r>
              <w:rPr>
                <w:webHidden/>
                <w:rStyle w:val="IndexLink"/>
                <w:rtl w:val="true"/>
              </w:rPr>
              <w:t>لا يجبُ على مَن صَلّى قائماً أن يجلس للإيماء للسجود</w:t>
            </w:r>
            <w:r>
              <w:rPr>
                <w:rStyle w:val="IndexLink"/>
                <w:rtl w:val="true"/>
              </w:rPr>
              <w:tab/>
            </w:r>
            <w:r>
              <w:rPr>
                <w:rStyle w:val="IndexLink"/>
              </w:rPr>
              <w:t>323</w:t>
            </w:r>
          </w:hyperlink>
        </w:p>
        <w:p>
          <w:pPr>
            <w:pStyle w:val="Contents6"/>
            <w:tabs>
              <w:tab w:val="clear" w:pos="7609"/>
              <w:tab w:val="right" w:pos="9026" w:leader="dot"/>
            </w:tabs>
            <w:rPr/>
          </w:pPr>
          <w:hyperlink w:anchor="__RefHeading___Toc10444658_73709187">
            <w:r>
              <w:rPr>
                <w:webHidden/>
                <w:rStyle w:val="IndexLink"/>
                <w:rtl w:val="true"/>
              </w:rPr>
              <w:t>عدم وجوب جعل الإيماء إلى السّجود أخفض منه إلى الركوع</w:t>
            </w:r>
            <w:r>
              <w:rPr>
                <w:rStyle w:val="IndexLink"/>
                <w:rtl w:val="true"/>
              </w:rPr>
              <w:tab/>
            </w:r>
            <w:r>
              <w:rPr>
                <w:rStyle w:val="IndexLink"/>
              </w:rPr>
              <w:t>324</w:t>
            </w:r>
          </w:hyperlink>
        </w:p>
        <w:p>
          <w:pPr>
            <w:pStyle w:val="Contents6"/>
            <w:tabs>
              <w:tab w:val="clear" w:pos="7609"/>
              <w:tab w:val="right" w:pos="9026" w:leader="dot"/>
            </w:tabs>
            <w:rPr/>
          </w:pPr>
          <w:hyperlink w:anchor="__RefHeading___Toc10444660_73709187">
            <w:r>
              <w:rPr>
                <w:webHidden/>
                <w:rStyle w:val="IndexLink"/>
                <w:rtl w:val="true"/>
              </w:rPr>
              <w:t>صلاة العاري في سعة الوقت</w:t>
            </w:r>
            <w:r>
              <w:rPr>
                <w:rStyle w:val="IndexLink"/>
                <w:rtl w:val="true"/>
              </w:rPr>
              <w:tab/>
            </w:r>
            <w:r>
              <w:rPr>
                <w:rStyle w:val="IndexLink"/>
              </w:rPr>
              <w:t>325</w:t>
            </w:r>
          </w:hyperlink>
        </w:p>
        <w:p>
          <w:pPr>
            <w:pStyle w:val="Contents6"/>
            <w:tabs>
              <w:tab w:val="clear" w:pos="7609"/>
              <w:tab w:val="right" w:pos="9026" w:leader="dot"/>
            </w:tabs>
            <w:rPr/>
          </w:pPr>
          <w:hyperlink w:anchor="__RefHeading___Toc10444662_73709187">
            <w:r>
              <w:rPr>
                <w:webHidden/>
                <w:rStyle w:val="IndexLink"/>
                <w:rtl w:val="true"/>
              </w:rPr>
              <w:t>لو وجد السّاتر في أثناء الصَّلاة</w:t>
            </w:r>
            <w:r>
              <w:rPr>
                <w:rStyle w:val="IndexLink"/>
                <w:rtl w:val="true"/>
              </w:rPr>
              <w:tab/>
            </w:r>
            <w:r>
              <w:rPr>
                <w:rStyle w:val="IndexLink"/>
              </w:rPr>
              <w:t>327</w:t>
            </w:r>
          </w:hyperlink>
        </w:p>
        <w:p>
          <w:pPr>
            <w:pStyle w:val="Contents4"/>
            <w:tabs>
              <w:tab w:val="clear" w:pos="8176"/>
              <w:tab w:val="right" w:pos="9026" w:leader="dot"/>
            </w:tabs>
            <w:rPr/>
          </w:pPr>
          <w:hyperlink w:anchor="__RefHeading___Toc10444664_73709187">
            <w:r>
              <w:rPr>
                <w:webHidden/>
                <w:rStyle w:val="IndexLink"/>
                <w:rtl w:val="true"/>
              </w:rPr>
              <w:t>الفصل الخامس البحث عن مكان المصلّي</w:t>
            </w:r>
            <w:r>
              <w:rPr>
                <w:rStyle w:val="IndexLink"/>
                <w:rtl w:val="true"/>
              </w:rPr>
              <w:tab/>
            </w:r>
            <w:r>
              <w:rPr>
                <w:rStyle w:val="IndexLink"/>
              </w:rPr>
              <w:t>330</w:t>
            </w:r>
          </w:hyperlink>
        </w:p>
        <w:p>
          <w:pPr>
            <w:pStyle w:val="Contents5"/>
            <w:tabs>
              <w:tab w:val="clear" w:pos="7892"/>
              <w:tab w:val="right" w:pos="9026" w:leader="dot"/>
            </w:tabs>
            <w:rPr/>
          </w:pPr>
          <w:hyperlink w:anchor="__RefHeading___Toc10444666_7370918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0444668_73709187">
            <w:r>
              <w:rPr>
                <w:webHidden/>
                <w:rStyle w:val="IndexLink"/>
                <w:rtl w:val="true"/>
              </w:rPr>
              <w:t>الصَّلاة في المكان المغصوب</w:t>
            </w:r>
            <w:r>
              <w:rPr>
                <w:rStyle w:val="IndexLink"/>
                <w:rtl w:val="true"/>
              </w:rPr>
              <w:tab/>
            </w:r>
            <w:r>
              <w:rPr>
                <w:rStyle w:val="IndexLink"/>
              </w:rPr>
              <w:t>332</w:t>
            </w:r>
          </w:hyperlink>
        </w:p>
        <w:p>
          <w:pPr>
            <w:pStyle w:val="Contents6"/>
            <w:tabs>
              <w:tab w:val="clear" w:pos="7609"/>
              <w:tab w:val="right" w:pos="9026" w:leader="dot"/>
            </w:tabs>
            <w:rPr/>
          </w:pPr>
          <w:hyperlink w:anchor="__RefHeading___Toc10444670_7370918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0444672_73709187">
            <w:r>
              <w:rPr>
                <w:webHidden/>
                <w:rStyle w:val="IndexLink"/>
                <w:rtl w:val="true"/>
              </w:rPr>
              <w:t>حَقّ السَّبق في المسجد</w:t>
            </w:r>
            <w:r>
              <w:rPr>
                <w:rStyle w:val="IndexLink"/>
                <w:rtl w:val="true"/>
              </w:rPr>
              <w:tab/>
            </w:r>
            <w:r>
              <w:rPr>
                <w:rStyle w:val="IndexLink"/>
              </w:rPr>
              <w:t>336</w:t>
            </w:r>
          </w:hyperlink>
        </w:p>
        <w:p>
          <w:pPr>
            <w:pStyle w:val="Contents6"/>
            <w:tabs>
              <w:tab w:val="clear" w:pos="7609"/>
              <w:tab w:val="right" w:pos="9026" w:leader="dot"/>
            </w:tabs>
            <w:rPr/>
          </w:pPr>
          <w:hyperlink w:anchor="__RefHeading___Toc10444674_73709187">
            <w:r>
              <w:rPr>
                <w:webHidden/>
                <w:rStyle w:val="IndexLink"/>
                <w:rtl w:val="true"/>
              </w:rPr>
              <w:t>الصَّلاة حال الخروج</w:t>
            </w:r>
            <w:r>
              <w:rPr>
                <w:rStyle w:val="IndexLink"/>
                <w:rtl w:val="true"/>
              </w:rPr>
              <w:tab/>
            </w:r>
            <w:r>
              <w:rPr>
                <w:rStyle w:val="IndexLink"/>
              </w:rPr>
              <w:t>338</w:t>
            </w:r>
          </w:hyperlink>
        </w:p>
        <w:p>
          <w:pPr>
            <w:pStyle w:val="Contents5"/>
            <w:tabs>
              <w:tab w:val="clear" w:pos="7892"/>
              <w:tab w:val="right" w:pos="9026" w:leader="dot"/>
            </w:tabs>
            <w:rPr/>
          </w:pPr>
          <w:hyperlink w:anchor="__RefHeading___Toc10444676_73709187">
            <w:r>
              <w:rPr>
                <w:webHidden/>
                <w:rStyle w:val="IndexLink"/>
                <w:rtl w:val="true"/>
              </w:rPr>
              <w:t>طهارة محلّ وضع الجبهة</w:t>
            </w:r>
            <w:r>
              <w:rPr>
                <w:rStyle w:val="IndexLink"/>
                <w:rtl w:val="true"/>
              </w:rPr>
              <w:tab/>
            </w:r>
            <w:r>
              <w:rPr>
                <w:rStyle w:val="IndexLink"/>
              </w:rPr>
              <w:t>341</w:t>
            </w:r>
          </w:hyperlink>
        </w:p>
        <w:p>
          <w:pPr>
            <w:pStyle w:val="Contents6"/>
            <w:tabs>
              <w:tab w:val="clear" w:pos="7609"/>
              <w:tab w:val="right" w:pos="9026" w:leader="dot"/>
            </w:tabs>
            <w:rPr/>
          </w:pPr>
          <w:hyperlink w:anchor="__RefHeading___Toc10444678_7370918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0444680_73709187">
            <w:r>
              <w:rPr>
                <w:webHidden/>
                <w:rStyle w:val="IndexLink"/>
                <w:rtl w:val="true"/>
              </w:rPr>
              <w:t>فروع</w:t>
            </w:r>
            <w:r>
              <w:rPr>
                <w:rStyle w:val="IndexLink"/>
                <w:rtl w:val="true"/>
              </w:rPr>
              <w:t>:</w:t>
              <w:tab/>
            </w:r>
            <w:r>
              <w:rPr>
                <w:rStyle w:val="IndexLink"/>
              </w:rPr>
              <w:t>344</w:t>
            </w:r>
          </w:hyperlink>
        </w:p>
        <w:p>
          <w:pPr>
            <w:pStyle w:val="Contents6"/>
            <w:tabs>
              <w:tab w:val="clear" w:pos="7609"/>
              <w:tab w:val="right" w:pos="9026" w:leader="dot"/>
            </w:tabs>
            <w:rPr/>
          </w:pPr>
          <w:hyperlink w:anchor="__RefHeading___Toc10444682_73709187">
            <w:r>
              <w:rPr>
                <w:webHidden/>
                <w:rStyle w:val="IndexLink"/>
                <w:rtl w:val="true"/>
              </w:rPr>
              <w:t>اعتبار عدم نجاسة المحل إذا كانت النجاسة مُسريةً‌</w:t>
            </w:r>
            <w:r>
              <w:rPr>
                <w:rStyle w:val="IndexLink"/>
                <w:rtl w:val="true"/>
              </w:rPr>
              <w:tab/>
            </w:r>
            <w:r>
              <w:rPr>
                <w:rStyle w:val="IndexLink"/>
              </w:rPr>
              <w:t>344</w:t>
            </w:r>
          </w:hyperlink>
        </w:p>
        <w:p>
          <w:pPr>
            <w:pStyle w:val="Contents6"/>
            <w:tabs>
              <w:tab w:val="clear" w:pos="7609"/>
              <w:tab w:val="right" w:pos="9026" w:leader="dot"/>
            </w:tabs>
            <w:rPr/>
          </w:pPr>
          <w:hyperlink w:anchor="__RefHeading___Toc10444684_73709187">
            <w:r>
              <w:rPr>
                <w:webHidden/>
                <w:rStyle w:val="IndexLink"/>
                <w:rtl w:val="true"/>
              </w:rPr>
              <w:t>هل المعتبر طهارة تمام موضع الجبهة</w:t>
            </w:r>
            <w:r>
              <w:rPr>
                <w:rStyle w:val="IndexLink"/>
                <w:rtl w:val="true"/>
              </w:rPr>
              <w:tab/>
            </w:r>
            <w:r>
              <w:rPr>
                <w:rStyle w:val="IndexLink"/>
              </w:rPr>
              <w:t>345</w:t>
            </w:r>
          </w:hyperlink>
        </w:p>
        <w:p>
          <w:pPr>
            <w:pStyle w:val="Contents6"/>
            <w:tabs>
              <w:tab w:val="clear" w:pos="7609"/>
              <w:tab w:val="right" w:pos="9026" w:leader="dot"/>
            </w:tabs>
            <w:rPr/>
          </w:pPr>
          <w:hyperlink w:anchor="__RefHeading___Toc10444686_73709187">
            <w:r>
              <w:rPr>
                <w:webHidden/>
                <w:rStyle w:val="IndexLink"/>
                <w:rtl w:val="true"/>
              </w:rPr>
              <w:t>لو تعذّر تحصيل الأرض الطاهرة</w:t>
            </w:r>
            <w:r>
              <w:rPr>
                <w:rStyle w:val="IndexLink"/>
                <w:rtl w:val="true"/>
              </w:rPr>
              <w:tab/>
            </w:r>
            <w:r>
              <w:rPr>
                <w:rStyle w:val="IndexLink"/>
              </w:rPr>
              <w:t>347</w:t>
            </w:r>
          </w:hyperlink>
        </w:p>
        <w:p>
          <w:pPr>
            <w:pStyle w:val="Contents5"/>
            <w:tabs>
              <w:tab w:val="clear" w:pos="7892"/>
              <w:tab w:val="right" w:pos="9026" w:leader="dot"/>
            </w:tabs>
            <w:rPr/>
          </w:pPr>
          <w:hyperlink w:anchor="__RefHeading___Toc10444688_73709187">
            <w:r>
              <w:rPr>
                <w:webHidden/>
                <w:rStyle w:val="IndexLink"/>
                <w:rtl w:val="true"/>
              </w:rPr>
              <w:t>استحباب أداء الفرائض في المسجد</w:t>
            </w:r>
            <w:r>
              <w:rPr>
                <w:rStyle w:val="IndexLink"/>
                <w:rtl w:val="true"/>
              </w:rPr>
              <w:tab/>
            </w:r>
            <w:r>
              <w:rPr>
                <w:rStyle w:val="IndexLink"/>
              </w:rPr>
              <w:t>349</w:t>
            </w:r>
          </w:hyperlink>
        </w:p>
        <w:p>
          <w:pPr>
            <w:pStyle w:val="Contents5"/>
            <w:tabs>
              <w:tab w:val="clear" w:pos="7892"/>
              <w:tab w:val="right" w:pos="9026" w:leader="dot"/>
            </w:tabs>
            <w:rPr/>
          </w:pPr>
          <w:hyperlink w:anchor="__RefHeading___Toc10444690_73709187">
            <w:r>
              <w:rPr>
                <w:webHidden/>
                <w:rStyle w:val="IndexLink"/>
                <w:rtl w:val="true"/>
              </w:rPr>
              <w:t>الأمكنة المكروهة</w:t>
            </w:r>
            <w:r>
              <w:rPr>
                <w:rStyle w:val="IndexLink"/>
                <w:rtl w:val="true"/>
              </w:rPr>
              <w:tab/>
            </w:r>
            <w:r>
              <w:rPr>
                <w:rStyle w:val="IndexLink"/>
              </w:rPr>
              <w:t>350</w:t>
            </w:r>
          </w:hyperlink>
        </w:p>
        <w:p>
          <w:pPr>
            <w:pStyle w:val="Contents6"/>
            <w:tabs>
              <w:tab w:val="clear" w:pos="7609"/>
              <w:tab w:val="right" w:pos="9026" w:leader="dot"/>
            </w:tabs>
            <w:rPr/>
          </w:pPr>
          <w:hyperlink w:anchor="__RefHeading___Toc10444692_73709187">
            <w:r>
              <w:rPr>
                <w:webHidden/>
                <w:rStyle w:val="IndexLink"/>
                <w:rtl w:val="true"/>
              </w:rPr>
              <w:t>الحمّام</w:t>
            </w:r>
            <w:r>
              <w:rPr>
                <w:rStyle w:val="IndexLink"/>
                <w:rtl w:val="true"/>
              </w:rPr>
              <w:tab/>
            </w:r>
            <w:r>
              <w:rPr>
                <w:rStyle w:val="IndexLink"/>
              </w:rPr>
              <w:t>350</w:t>
            </w:r>
          </w:hyperlink>
        </w:p>
        <w:p>
          <w:pPr>
            <w:pStyle w:val="Contents6"/>
            <w:tabs>
              <w:tab w:val="clear" w:pos="7609"/>
              <w:tab w:val="right" w:pos="9026" w:leader="dot"/>
            </w:tabs>
            <w:rPr/>
          </w:pPr>
          <w:hyperlink w:anchor="__RefHeading___Toc10444694_73709187">
            <w:r>
              <w:rPr>
                <w:webHidden/>
                <w:rStyle w:val="IndexLink"/>
                <w:rtl w:val="true"/>
              </w:rPr>
              <w:t>كراه الصَّلاة بين المقابر</w:t>
            </w:r>
            <w:r>
              <w:rPr>
                <w:rStyle w:val="IndexLink"/>
                <w:rtl w:val="true"/>
              </w:rPr>
              <w:tab/>
            </w:r>
            <w:r>
              <w:rPr>
                <w:rStyle w:val="IndexLink"/>
              </w:rPr>
              <w:t>353</w:t>
            </w:r>
          </w:hyperlink>
        </w:p>
        <w:p>
          <w:pPr>
            <w:pStyle w:val="Contents6"/>
            <w:tabs>
              <w:tab w:val="clear" w:pos="7609"/>
              <w:tab w:val="right" w:pos="9026" w:leader="dot"/>
            </w:tabs>
            <w:rPr/>
          </w:pPr>
          <w:hyperlink w:anchor="__RefHeading___Toc10444696_73709187">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0444698_73709187">
            <w:r>
              <w:rPr>
                <w:webHidden/>
                <w:rStyle w:val="IndexLink"/>
                <w:rtl w:val="true"/>
              </w:rPr>
              <w:t>الصَّلاة قُدّام قبر المعصوم</w:t>
            </w:r>
            <w:r>
              <w:rPr>
                <w:rStyle w:val="IndexLink"/>
                <w:rtl w:val="true"/>
              </w:rPr>
              <w:tab/>
            </w:r>
            <w:r>
              <w:rPr>
                <w:rStyle w:val="IndexLink"/>
              </w:rPr>
              <w:t>356</w:t>
            </w:r>
          </w:hyperlink>
        </w:p>
        <w:p>
          <w:pPr>
            <w:pStyle w:val="Contents6"/>
            <w:tabs>
              <w:tab w:val="clear" w:pos="7609"/>
              <w:tab w:val="right" w:pos="9026" w:leader="dot"/>
            </w:tabs>
            <w:rPr/>
          </w:pPr>
          <w:hyperlink w:anchor="__RefHeading___Toc10444700_73709187">
            <w:r>
              <w:rPr>
                <w:webHidden/>
                <w:rStyle w:val="IndexLink"/>
                <w:rtl w:val="true"/>
              </w:rPr>
              <w:t>جملة من الأمكنة الّتي تُكره فيها الصَّلاة</w:t>
            </w:r>
            <w:r>
              <w:rPr>
                <w:rStyle w:val="IndexLink"/>
                <w:rtl w:val="true"/>
              </w:rPr>
              <w:tab/>
            </w:r>
            <w:r>
              <w:rPr>
                <w:rStyle w:val="IndexLink"/>
              </w:rPr>
              <w:t>359</w:t>
            </w:r>
          </w:hyperlink>
        </w:p>
        <w:p>
          <w:pPr>
            <w:pStyle w:val="Contents6"/>
            <w:tabs>
              <w:tab w:val="clear" w:pos="7609"/>
              <w:tab w:val="right" w:pos="9026" w:leader="dot"/>
            </w:tabs>
            <w:rPr/>
          </w:pPr>
          <w:hyperlink w:anchor="__RefHeading___Toc10444702_73709187">
            <w:r>
              <w:rPr>
                <w:webHidden/>
                <w:rStyle w:val="IndexLink"/>
                <w:rtl w:val="true"/>
              </w:rPr>
              <w:t>محاذاة المرأة للرجل أو تقدّمها عليه</w:t>
            </w:r>
            <w:r>
              <w:rPr>
                <w:rStyle w:val="IndexLink"/>
                <w:rtl w:val="true"/>
              </w:rPr>
              <w:tab/>
            </w:r>
            <w:r>
              <w:rPr>
                <w:rStyle w:val="IndexLink"/>
              </w:rPr>
              <w:t>363</w:t>
            </w:r>
          </w:hyperlink>
        </w:p>
        <w:p>
          <w:pPr>
            <w:pStyle w:val="Contents6"/>
            <w:tabs>
              <w:tab w:val="clear" w:pos="7609"/>
              <w:tab w:val="right" w:pos="9026" w:leader="dot"/>
            </w:tabs>
            <w:rPr/>
          </w:pPr>
          <w:hyperlink w:anchor="__RefHeading___Toc10444704_73709187">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0444706_73709187">
            <w:r>
              <w:rPr>
                <w:webHidden/>
                <w:rStyle w:val="IndexLink"/>
                <w:rtl w:val="true"/>
              </w:rPr>
              <w:t>تنبيهات</w:t>
            </w:r>
            <w:r>
              <w:rPr>
                <w:rStyle w:val="IndexLink"/>
                <w:rtl w:val="true"/>
              </w:rPr>
              <w:t>:</w:t>
              <w:tab/>
            </w:r>
            <w:r>
              <w:rPr>
                <w:rStyle w:val="IndexLink"/>
              </w:rPr>
              <w:t>369</w:t>
            </w:r>
          </w:hyperlink>
        </w:p>
        <w:p>
          <w:pPr>
            <w:pStyle w:val="Contents6"/>
            <w:tabs>
              <w:tab w:val="clear" w:pos="7609"/>
              <w:tab w:val="right" w:pos="9026" w:leader="dot"/>
            </w:tabs>
            <w:rPr/>
          </w:pPr>
          <w:hyperlink w:anchor="__RefHeading___Toc10444708_73709187">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0444710_73709187">
            <w:r>
              <w:rPr>
                <w:webHidden/>
                <w:rStyle w:val="IndexLink"/>
                <w:rtl w:val="true"/>
              </w:rPr>
              <w:t>إذا تعاقبت الصَّلاتان</w:t>
            </w:r>
            <w:r>
              <w:rPr>
                <w:rStyle w:val="IndexLink"/>
                <w:rtl w:val="true"/>
              </w:rPr>
              <w:tab/>
            </w:r>
            <w:r>
              <w:rPr>
                <w:rStyle w:val="IndexLink"/>
              </w:rPr>
              <w:t>372</w:t>
            </w:r>
          </w:hyperlink>
        </w:p>
        <w:p>
          <w:pPr>
            <w:pStyle w:val="Contents6"/>
            <w:tabs>
              <w:tab w:val="clear" w:pos="7609"/>
              <w:tab w:val="right" w:pos="9026" w:leader="dot"/>
            </w:tabs>
            <w:rPr/>
          </w:pPr>
          <w:hyperlink w:anchor="__RefHeading___Toc10444712_73709187">
            <w:r>
              <w:rPr>
                <w:webHidden/>
                <w:rStyle w:val="IndexLink"/>
                <w:rtl w:val="true"/>
              </w:rPr>
              <w:t>الصَّلاة إلى باب مفتوح أو إلى نار مُضرَمة</w:t>
            </w:r>
            <w:r>
              <w:rPr>
                <w:rStyle w:val="IndexLink"/>
                <w:rtl w:val="true"/>
              </w:rPr>
              <w:tab/>
            </w:r>
            <w:r>
              <w:rPr>
                <w:rStyle w:val="IndexLink"/>
              </w:rPr>
              <w:t>376</w:t>
            </w:r>
          </w:hyperlink>
        </w:p>
        <w:p>
          <w:pPr>
            <w:pStyle w:val="Contents5"/>
            <w:tabs>
              <w:tab w:val="clear" w:pos="7892"/>
              <w:tab w:val="right" w:pos="9026" w:leader="dot"/>
            </w:tabs>
            <w:rPr/>
          </w:pPr>
          <w:hyperlink w:anchor="__RefHeading___Toc10444714_73709187">
            <w:r>
              <w:rPr>
                <w:webHidden/>
                <w:rStyle w:val="IndexLink"/>
                <w:rtl w:val="true"/>
              </w:rPr>
              <w:t>مسجد الجبهة</w:t>
            </w:r>
            <w:r>
              <w:rPr>
                <w:rStyle w:val="IndexLink"/>
                <w:rtl w:val="true"/>
              </w:rPr>
              <w:tab/>
            </w:r>
            <w:r>
              <w:rPr>
                <w:rStyle w:val="IndexLink"/>
              </w:rPr>
              <w:t>379</w:t>
            </w:r>
          </w:hyperlink>
        </w:p>
        <w:p>
          <w:pPr>
            <w:pStyle w:val="Contents6"/>
            <w:tabs>
              <w:tab w:val="clear" w:pos="7609"/>
              <w:tab w:val="right" w:pos="9026" w:leader="dot"/>
            </w:tabs>
            <w:rPr/>
          </w:pPr>
          <w:hyperlink w:anchor="__RefHeading___Toc10444716_73709187">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10444718_73709187">
            <w:r>
              <w:rPr>
                <w:webHidden/>
                <w:rStyle w:val="IndexLink"/>
                <w:rtl w:val="true"/>
              </w:rPr>
              <w:t>فروع</w:t>
            </w:r>
            <w:r>
              <w:rPr>
                <w:rStyle w:val="IndexLink"/>
                <w:rtl w:val="true"/>
              </w:rPr>
              <w:t>:</w:t>
              <w:tab/>
            </w:r>
            <w:r>
              <w:rPr>
                <w:rStyle w:val="IndexLink"/>
              </w:rPr>
              <w:t>383</w:t>
            </w:r>
          </w:hyperlink>
        </w:p>
        <w:p>
          <w:pPr>
            <w:pStyle w:val="Contents6"/>
            <w:tabs>
              <w:tab w:val="clear" w:pos="7609"/>
              <w:tab w:val="right" w:pos="9026" w:leader="dot"/>
            </w:tabs>
            <w:rPr/>
          </w:pPr>
          <w:hyperlink w:anchor="__RefHeading___Toc10444720_73709187">
            <w:r>
              <w:rPr>
                <w:webHidden/>
                <w:rStyle w:val="IndexLink"/>
                <w:rtl w:val="true"/>
              </w:rPr>
              <w:t>السّجود على الثمار غير المأكولة</w:t>
            </w:r>
            <w:r>
              <w:rPr>
                <w:rStyle w:val="IndexLink"/>
                <w:rtl w:val="true"/>
              </w:rPr>
              <w:tab/>
            </w:r>
            <w:r>
              <w:rPr>
                <w:rStyle w:val="IndexLink"/>
              </w:rPr>
              <w:t>383</w:t>
            </w:r>
          </w:hyperlink>
        </w:p>
        <w:p>
          <w:pPr>
            <w:pStyle w:val="Contents6"/>
            <w:tabs>
              <w:tab w:val="clear" w:pos="7609"/>
              <w:tab w:val="right" w:pos="9026" w:leader="dot"/>
            </w:tabs>
            <w:rPr/>
          </w:pPr>
          <w:hyperlink w:anchor="__RefHeading___Toc10444722_73709187">
            <w:r>
              <w:rPr>
                <w:webHidden/>
                <w:rStyle w:val="IndexLink"/>
                <w:rtl w:val="true"/>
              </w:rPr>
              <w:t>جواز السّجود على المعدن</w:t>
            </w:r>
            <w:r>
              <w:rPr>
                <w:rStyle w:val="IndexLink"/>
                <w:rtl w:val="true"/>
              </w:rPr>
              <w:tab/>
            </w:r>
            <w:r>
              <w:rPr>
                <w:rStyle w:val="IndexLink"/>
              </w:rPr>
              <w:t>384</w:t>
            </w:r>
          </w:hyperlink>
        </w:p>
        <w:p>
          <w:pPr>
            <w:pStyle w:val="Contents6"/>
            <w:tabs>
              <w:tab w:val="clear" w:pos="7609"/>
              <w:tab w:val="right" w:pos="9026" w:leader="dot"/>
            </w:tabs>
            <w:rPr/>
          </w:pPr>
          <w:hyperlink w:anchor="__RefHeading___Toc10444724_73709187">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10444726_73709187">
            <w:r>
              <w:rPr>
                <w:webHidden/>
                <w:rStyle w:val="IndexLink"/>
                <w:rtl w:val="true"/>
              </w:rPr>
              <w:t>السّجود على القير والجِصّ وما شاكل</w:t>
            </w:r>
            <w:r>
              <w:rPr>
                <w:rStyle w:val="IndexLink"/>
                <w:rtl w:val="true"/>
              </w:rPr>
              <w:tab/>
            </w:r>
            <w:r>
              <w:rPr>
                <w:rStyle w:val="IndexLink"/>
              </w:rPr>
              <w:t>386</w:t>
            </w:r>
          </w:hyperlink>
        </w:p>
        <w:p>
          <w:pPr>
            <w:pStyle w:val="Contents6"/>
            <w:tabs>
              <w:tab w:val="clear" w:pos="7609"/>
              <w:tab w:val="right" w:pos="9026" w:leader="dot"/>
            </w:tabs>
            <w:rPr/>
          </w:pPr>
          <w:hyperlink w:anchor="__RefHeading___Toc10444728_73709187">
            <w:r>
              <w:rPr>
                <w:webHidden/>
                <w:rStyle w:val="IndexLink"/>
                <w:rtl w:val="true"/>
              </w:rPr>
              <w:t>السّجود على القرطاس</w:t>
            </w:r>
            <w:r>
              <w:rPr>
                <w:rStyle w:val="IndexLink"/>
                <w:rtl w:val="true"/>
              </w:rPr>
              <w:tab/>
            </w:r>
            <w:r>
              <w:rPr>
                <w:rStyle w:val="IndexLink"/>
              </w:rPr>
              <w:t>388</w:t>
            </w:r>
          </w:hyperlink>
        </w:p>
        <w:p>
          <w:pPr>
            <w:pStyle w:val="Contents6"/>
            <w:tabs>
              <w:tab w:val="clear" w:pos="7609"/>
              <w:tab w:val="right" w:pos="9026" w:leader="dot"/>
            </w:tabs>
            <w:rPr/>
          </w:pPr>
          <w:hyperlink w:anchor="__RefHeading___Toc10444730_73709187">
            <w:r>
              <w:rPr>
                <w:webHidden/>
                <w:rStyle w:val="IndexLink"/>
                <w:rtl w:val="true"/>
              </w:rPr>
              <w:t>البحث عن شروط المسجد</w:t>
            </w:r>
            <w:r>
              <w:rPr>
                <w:rStyle w:val="IndexLink"/>
                <w:rtl w:val="true"/>
              </w:rPr>
              <w:tab/>
            </w:r>
            <w:r>
              <w:rPr>
                <w:rStyle w:val="IndexLink"/>
              </w:rPr>
              <w:t>391</w:t>
            </w:r>
          </w:hyperlink>
        </w:p>
        <w:p>
          <w:pPr>
            <w:pStyle w:val="Contents6"/>
            <w:tabs>
              <w:tab w:val="clear" w:pos="7609"/>
              <w:tab w:val="right" w:pos="9026" w:leader="dot"/>
            </w:tabs>
            <w:rPr/>
          </w:pPr>
          <w:hyperlink w:anchor="__RefHeading___Toc10444732_73709187">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0444734_73709187">
            <w:r>
              <w:rPr>
                <w:webHidden/>
                <w:rStyle w:val="IndexLink"/>
                <w:rtl w:val="true"/>
              </w:rPr>
              <w:t>اُمورٌ لابدَّ من التنبيه عليها</w:t>
            </w:r>
            <w:r>
              <w:rPr>
                <w:rStyle w:val="IndexLink"/>
                <w:rtl w:val="true"/>
              </w:rPr>
              <w:tab/>
            </w:r>
            <w:r>
              <w:rPr>
                <w:rStyle w:val="IndexLink"/>
              </w:rPr>
              <w:t>392</w:t>
            </w:r>
          </w:hyperlink>
        </w:p>
        <w:p>
          <w:pPr>
            <w:pStyle w:val="Contents6"/>
            <w:tabs>
              <w:tab w:val="clear" w:pos="7609"/>
              <w:tab w:val="right" w:pos="9026" w:leader="dot"/>
            </w:tabs>
            <w:rPr/>
          </w:pPr>
          <w:hyperlink w:anchor="__RefHeading___Toc10444736_73709187">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10444738_73709187">
            <w:r>
              <w:rPr>
                <w:webHidden/>
                <w:rStyle w:val="IndexLink"/>
                <w:rtl w:val="true"/>
              </w:rPr>
              <w:t>ما يُسجَد عليه عند الاضطرار</w:t>
            </w:r>
            <w:r>
              <w:rPr>
                <w:rStyle w:val="IndexLink"/>
                <w:rtl w:val="true"/>
              </w:rPr>
              <w:tab/>
            </w:r>
            <w:r>
              <w:rPr>
                <w:rStyle w:val="IndexLink"/>
              </w:rPr>
              <w:t>393</w:t>
            </w:r>
          </w:hyperlink>
        </w:p>
        <w:p>
          <w:pPr>
            <w:pStyle w:val="Contents6"/>
            <w:tabs>
              <w:tab w:val="clear" w:pos="7609"/>
              <w:tab w:val="right" w:pos="9026" w:leader="dot"/>
            </w:tabs>
            <w:rPr/>
          </w:pPr>
          <w:hyperlink w:anchor="__RefHeading___Toc10444740_73709187">
            <w:r>
              <w:rPr>
                <w:webHidden/>
                <w:rStyle w:val="IndexLink"/>
                <w:rtl w:val="true"/>
              </w:rPr>
              <w:t>السّجود على ما لا تتمكّن الجبهة عليه</w:t>
            </w:r>
            <w:r>
              <w:rPr>
                <w:rStyle w:val="IndexLink"/>
                <w:rtl w:val="true"/>
              </w:rPr>
              <w:tab/>
            </w:r>
            <w:r>
              <w:rPr>
                <w:rStyle w:val="IndexLink"/>
              </w:rPr>
              <w:t>397</w:t>
            </w:r>
          </w:hyperlink>
        </w:p>
        <w:p>
          <w:pPr>
            <w:pStyle w:val="Contents6"/>
            <w:tabs>
              <w:tab w:val="clear" w:pos="7609"/>
              <w:tab w:val="right" w:pos="9026" w:leader="dot"/>
            </w:tabs>
            <w:rPr/>
          </w:pPr>
          <w:hyperlink w:anchor="__RefHeading___Toc10444742_73709187">
            <w:r>
              <w:rPr>
                <w:webHidden/>
                <w:rStyle w:val="IndexLink"/>
                <w:rtl w:val="true"/>
              </w:rPr>
              <w:t>في مراتب فضل السجود</w:t>
            </w:r>
            <w:r>
              <w:rPr>
                <w:rStyle w:val="IndexLink"/>
                <w:rtl w:val="true"/>
              </w:rPr>
              <w:tab/>
            </w:r>
            <w:r>
              <w:rPr>
                <w:rStyle w:val="IndexLink"/>
              </w:rPr>
              <w:t>399</w:t>
            </w:r>
          </w:hyperlink>
        </w:p>
        <w:p>
          <w:pPr>
            <w:pStyle w:val="Contents4"/>
            <w:tabs>
              <w:tab w:val="clear" w:pos="8176"/>
              <w:tab w:val="right" w:pos="9026" w:leader="dot"/>
            </w:tabs>
            <w:rPr/>
          </w:pPr>
          <w:hyperlink w:anchor="__RefHeading___Toc10444744_73709187">
            <w:r>
              <w:rPr>
                <w:webHidden/>
                <w:rStyle w:val="IndexLink"/>
                <w:rtl w:val="true"/>
              </w:rPr>
              <w:t>الفصل السادس في الأذان والإقامة</w:t>
            </w:r>
            <w:r>
              <w:rPr>
                <w:rStyle w:val="IndexLink"/>
                <w:rtl w:val="true"/>
              </w:rPr>
              <w:tab/>
            </w:r>
            <w:r>
              <w:rPr>
                <w:rStyle w:val="IndexLink"/>
              </w:rPr>
              <w:t>400</w:t>
            </w:r>
          </w:hyperlink>
        </w:p>
        <w:p>
          <w:pPr>
            <w:pStyle w:val="Contents5"/>
            <w:tabs>
              <w:tab w:val="clear" w:pos="7892"/>
              <w:tab w:val="right" w:pos="9026" w:leader="dot"/>
            </w:tabs>
            <w:rPr/>
          </w:pPr>
          <w:hyperlink w:anchor="__RefHeading___Toc10444746_7370918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0444748_73709187">
            <w:r>
              <w:rPr>
                <w:webHidden/>
                <w:rStyle w:val="IndexLink"/>
                <w:rtl w:val="true"/>
              </w:rPr>
              <w:t>فيما يؤذّن له ويقام</w:t>
            </w:r>
            <w:r>
              <w:rPr>
                <w:rStyle w:val="IndexLink"/>
                <w:rtl w:val="true"/>
              </w:rPr>
              <w:tab/>
            </w:r>
            <w:r>
              <w:rPr>
                <w:rStyle w:val="IndexLink"/>
              </w:rPr>
              <w:t>400</w:t>
            </w:r>
          </w:hyperlink>
        </w:p>
        <w:p>
          <w:pPr>
            <w:pStyle w:val="Contents6"/>
            <w:tabs>
              <w:tab w:val="clear" w:pos="7609"/>
              <w:tab w:val="right" w:pos="9026" w:leader="dot"/>
            </w:tabs>
            <w:rPr/>
          </w:pPr>
          <w:hyperlink w:anchor="__RefHeading___Toc10444750_73709187">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10444752_73709187">
            <w:r>
              <w:rPr>
                <w:webHidden/>
                <w:rStyle w:val="IndexLink"/>
                <w:rtl w:val="true"/>
              </w:rPr>
              <w:t>استحباب الأذان مطلقاً</w:t>
            </w:r>
            <w:r>
              <w:rPr>
                <w:rStyle w:val="IndexLink"/>
                <w:rtl w:val="true"/>
              </w:rPr>
              <w:tab/>
            </w:r>
            <w:r>
              <w:rPr>
                <w:rStyle w:val="IndexLink"/>
              </w:rPr>
              <w:t>403</w:t>
            </w:r>
          </w:hyperlink>
        </w:p>
        <w:p>
          <w:pPr>
            <w:pStyle w:val="Contents6"/>
            <w:tabs>
              <w:tab w:val="clear" w:pos="7609"/>
              <w:tab w:val="right" w:pos="9026" w:leader="dot"/>
            </w:tabs>
            <w:rPr/>
          </w:pPr>
          <w:hyperlink w:anchor="__RefHeading___Toc10444754_73709187">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10444756_73709187">
            <w:r>
              <w:rPr>
                <w:webHidden/>
                <w:rStyle w:val="IndexLink"/>
                <w:rtl w:val="true"/>
              </w:rPr>
              <w:t>الأذان لصلاة القضاء</w:t>
            </w:r>
            <w:r>
              <w:rPr>
                <w:rStyle w:val="IndexLink"/>
                <w:rtl w:val="true"/>
              </w:rPr>
              <w:tab/>
            </w:r>
            <w:r>
              <w:rPr>
                <w:rStyle w:val="IndexLink"/>
              </w:rPr>
              <w:t>409</w:t>
            </w:r>
          </w:hyperlink>
        </w:p>
        <w:p>
          <w:pPr>
            <w:pStyle w:val="Contents6"/>
            <w:tabs>
              <w:tab w:val="clear" w:pos="7609"/>
              <w:tab w:val="right" w:pos="9026" w:leader="dot"/>
            </w:tabs>
            <w:rPr/>
          </w:pPr>
          <w:hyperlink w:anchor="__RefHeading___Toc10444758_73709187">
            <w:r>
              <w:rPr>
                <w:webHidden/>
                <w:rStyle w:val="IndexLink"/>
                <w:rtl w:val="true"/>
              </w:rPr>
              <w:t>البحث عن الإقامة</w:t>
            </w:r>
            <w:r>
              <w:rPr>
                <w:rStyle w:val="IndexLink"/>
                <w:rtl w:val="true"/>
              </w:rPr>
              <w:tab/>
            </w:r>
            <w:r>
              <w:rPr>
                <w:rStyle w:val="IndexLink"/>
              </w:rPr>
              <w:t>412</w:t>
            </w:r>
          </w:hyperlink>
        </w:p>
        <w:p>
          <w:pPr>
            <w:pStyle w:val="Contents6"/>
            <w:tabs>
              <w:tab w:val="clear" w:pos="7609"/>
              <w:tab w:val="right" w:pos="9026" w:leader="dot"/>
            </w:tabs>
            <w:rPr/>
          </w:pPr>
          <w:hyperlink w:anchor="__RefHeading___Toc10444760_73709187">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10444762_73709187">
            <w:r>
              <w:rPr>
                <w:webHidden/>
                <w:rStyle w:val="IndexLink"/>
                <w:rtl w:val="true"/>
              </w:rPr>
              <w:t>أدلّة وجوب الإقامة</w:t>
            </w:r>
            <w:r>
              <w:rPr>
                <w:rStyle w:val="IndexLink"/>
                <w:rtl w:val="true"/>
              </w:rPr>
              <w:tab/>
            </w:r>
            <w:r>
              <w:rPr>
                <w:rStyle w:val="IndexLink"/>
              </w:rPr>
              <w:t>414</w:t>
            </w:r>
          </w:hyperlink>
        </w:p>
        <w:p>
          <w:pPr>
            <w:pStyle w:val="Contents6"/>
            <w:tabs>
              <w:tab w:val="clear" w:pos="7609"/>
              <w:tab w:val="right" w:pos="9026" w:leader="dot"/>
            </w:tabs>
            <w:rPr/>
          </w:pPr>
          <w:hyperlink w:anchor="__RefHeading___Toc10444764_73709187">
            <w:r>
              <w:rPr>
                <w:webHidden/>
                <w:rStyle w:val="IndexLink"/>
                <w:rtl w:val="true"/>
              </w:rPr>
              <w:t>مسألتان</w:t>
            </w:r>
            <w:r>
              <w:rPr>
                <w:rStyle w:val="IndexLink"/>
                <w:rtl w:val="true"/>
              </w:rPr>
              <w:t>:</w:t>
              <w:tab/>
            </w:r>
            <w:r>
              <w:rPr>
                <w:rStyle w:val="IndexLink"/>
              </w:rPr>
              <w:t>419</w:t>
            </w:r>
          </w:hyperlink>
        </w:p>
        <w:p>
          <w:pPr>
            <w:pStyle w:val="Contents6"/>
            <w:tabs>
              <w:tab w:val="clear" w:pos="7609"/>
              <w:tab w:val="right" w:pos="9026" w:leader="dot"/>
            </w:tabs>
            <w:rPr/>
          </w:pPr>
          <w:hyperlink w:anchor="__RefHeading___Toc10444766_73709187">
            <w:r>
              <w:rPr>
                <w:webHidden/>
                <w:rStyle w:val="IndexLink"/>
                <w:rtl w:val="true"/>
              </w:rPr>
              <w:t>موارد سقوط الأذان</w:t>
            </w:r>
            <w:r>
              <w:rPr>
                <w:rStyle w:val="IndexLink"/>
                <w:rtl w:val="true"/>
              </w:rPr>
              <w:tab/>
            </w:r>
            <w:r>
              <w:rPr>
                <w:rStyle w:val="IndexLink"/>
              </w:rPr>
              <w:t>419</w:t>
            </w:r>
          </w:hyperlink>
        </w:p>
        <w:p>
          <w:pPr>
            <w:pStyle w:val="Contents6"/>
            <w:tabs>
              <w:tab w:val="clear" w:pos="7609"/>
              <w:tab w:val="right" w:pos="9026" w:leader="dot"/>
            </w:tabs>
            <w:rPr/>
          </w:pPr>
          <w:hyperlink w:anchor="__RefHeading___Toc10444768_73709187">
            <w:r>
              <w:rPr>
                <w:webHidden/>
                <w:rStyle w:val="IndexLink"/>
                <w:rtl w:val="true"/>
              </w:rPr>
              <w:t>موارد سقوط الأذان والإقامة</w:t>
            </w:r>
            <w:r>
              <w:rPr>
                <w:rStyle w:val="IndexLink"/>
                <w:rtl w:val="true"/>
              </w:rPr>
              <w:tab/>
            </w:r>
            <w:r>
              <w:rPr>
                <w:rStyle w:val="IndexLink"/>
              </w:rPr>
              <w:t>425</w:t>
            </w:r>
          </w:hyperlink>
        </w:p>
        <w:p>
          <w:pPr>
            <w:pStyle w:val="Contents5"/>
            <w:tabs>
              <w:tab w:val="clear" w:pos="7892"/>
              <w:tab w:val="right" w:pos="9026" w:leader="dot"/>
            </w:tabs>
            <w:rPr/>
          </w:pPr>
          <w:hyperlink w:anchor="__RefHeading___Toc10444770_73709187">
            <w:r>
              <w:rPr>
                <w:webHidden/>
                <w:rStyle w:val="IndexLink"/>
                <w:rtl w:val="true"/>
              </w:rPr>
              <w:t>كيفيّة الأذان والإقامة</w:t>
            </w:r>
            <w:r>
              <w:rPr>
                <w:rStyle w:val="IndexLink"/>
                <w:rtl w:val="true"/>
              </w:rPr>
              <w:tab/>
            </w:r>
            <w:r>
              <w:rPr>
                <w:rStyle w:val="IndexLink"/>
              </w:rPr>
              <w:t>432</w:t>
            </w:r>
          </w:hyperlink>
        </w:p>
        <w:p>
          <w:pPr>
            <w:pStyle w:val="Contents5"/>
            <w:tabs>
              <w:tab w:val="clear" w:pos="7892"/>
              <w:tab w:val="right" w:pos="9026" w:leader="dot"/>
            </w:tabs>
            <w:rPr/>
          </w:pPr>
          <w:hyperlink w:anchor="__RefHeading___Toc10444772_73709187">
            <w:r>
              <w:rPr>
                <w:webHidden/>
                <w:rStyle w:val="IndexLink"/>
                <w:rtl w:val="true"/>
              </w:rPr>
              <w:t>شرائط الأذان والإقامة</w:t>
            </w:r>
            <w:r>
              <w:rPr>
                <w:rStyle w:val="IndexLink"/>
                <w:rtl w:val="true"/>
              </w:rPr>
              <w:tab/>
            </w:r>
            <w:r>
              <w:rPr>
                <w:rStyle w:val="IndexLink"/>
              </w:rPr>
              <w:t>437</w:t>
            </w:r>
          </w:hyperlink>
        </w:p>
        <w:p>
          <w:pPr>
            <w:pStyle w:val="Contents6"/>
            <w:tabs>
              <w:tab w:val="clear" w:pos="7609"/>
              <w:tab w:val="right" w:pos="9026" w:leader="dot"/>
            </w:tabs>
            <w:rPr/>
          </w:pPr>
          <w:hyperlink w:anchor="__RefHeading___Toc10444774_73709187">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10444776_73709187">
            <w:r>
              <w:rPr>
                <w:webHidden/>
                <w:rStyle w:val="IndexLink"/>
                <w:rtl w:val="true"/>
              </w:rPr>
              <w:t>حكم المخالف للترتيب</w:t>
            </w:r>
            <w:r>
              <w:rPr>
                <w:rStyle w:val="IndexLink"/>
                <w:rtl w:val="true"/>
              </w:rPr>
              <w:tab/>
            </w:r>
            <w:r>
              <w:rPr>
                <w:rStyle w:val="IndexLink"/>
              </w:rPr>
              <w:t>442</w:t>
            </w:r>
          </w:hyperlink>
        </w:p>
        <w:p>
          <w:pPr>
            <w:pStyle w:val="Contents6"/>
            <w:tabs>
              <w:tab w:val="clear" w:pos="7609"/>
              <w:tab w:val="right" w:pos="9026" w:leader="dot"/>
            </w:tabs>
            <w:rPr/>
          </w:pPr>
          <w:hyperlink w:anchor="__RefHeading___Toc10444778_73709187">
            <w:r>
              <w:rPr>
                <w:webHidden/>
                <w:rStyle w:val="IndexLink"/>
                <w:rtl w:val="true"/>
              </w:rPr>
              <w:t>ما يستحبُّ في الأذان والإقامة</w:t>
            </w:r>
            <w:r>
              <w:rPr>
                <w:rStyle w:val="IndexLink"/>
                <w:rtl w:val="true"/>
              </w:rPr>
              <w:tab/>
            </w:r>
            <w:r>
              <w:rPr>
                <w:rStyle w:val="IndexLink"/>
              </w:rPr>
              <w:t>444</w:t>
            </w:r>
          </w:hyperlink>
        </w:p>
        <w:p>
          <w:pPr>
            <w:pStyle w:val="Contents6"/>
            <w:tabs>
              <w:tab w:val="clear" w:pos="7609"/>
              <w:tab w:val="right" w:pos="9026" w:leader="dot"/>
            </w:tabs>
            <w:rPr/>
          </w:pPr>
          <w:hyperlink w:anchor="__RefHeading___Toc10444780_73709187">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10444782_73709187">
            <w:r>
              <w:rPr>
                <w:webHidden/>
                <w:rStyle w:val="IndexLink"/>
                <w:rtl w:val="true"/>
              </w:rPr>
              <w:t>كون المؤذّن عَدْلاً</w:t>
            </w:r>
            <w:r>
              <w:rPr>
                <w:rStyle w:val="IndexLink"/>
                <w:rtl w:val="true"/>
              </w:rPr>
              <w:tab/>
            </w:r>
            <w:r>
              <w:rPr>
                <w:rStyle w:val="IndexLink"/>
              </w:rPr>
              <w:t>444</w:t>
            </w:r>
          </w:hyperlink>
        </w:p>
        <w:p>
          <w:pPr>
            <w:pStyle w:val="Contents6"/>
            <w:tabs>
              <w:tab w:val="clear" w:pos="7609"/>
              <w:tab w:val="right" w:pos="9026" w:leader="dot"/>
            </w:tabs>
            <w:rPr/>
          </w:pPr>
          <w:hyperlink w:anchor="__RefHeading___Toc10444784_73709187">
            <w:r>
              <w:rPr>
                <w:webHidden/>
                <w:rStyle w:val="IndexLink"/>
                <w:rtl w:val="true"/>
              </w:rPr>
              <w:t>و صَيّتاً</w:t>
            </w:r>
            <w:r>
              <w:rPr>
                <w:rStyle w:val="IndexLink"/>
                <w:rtl w:val="true"/>
              </w:rPr>
              <w:tab/>
            </w:r>
            <w:r>
              <w:rPr>
                <w:rStyle w:val="IndexLink"/>
              </w:rPr>
              <w:t>444</w:t>
            </w:r>
          </w:hyperlink>
        </w:p>
        <w:p>
          <w:pPr>
            <w:pStyle w:val="Contents6"/>
            <w:tabs>
              <w:tab w:val="clear" w:pos="7609"/>
              <w:tab w:val="right" w:pos="9026" w:leader="dot"/>
            </w:tabs>
            <w:rPr/>
          </w:pPr>
          <w:hyperlink w:anchor="__RefHeading___Toc10444786_73709187">
            <w:r>
              <w:rPr>
                <w:webHidden/>
                <w:rStyle w:val="IndexLink"/>
                <w:rtl w:val="true"/>
              </w:rPr>
              <w:t>و بصيراً بالأوقات</w:t>
            </w:r>
            <w:r>
              <w:rPr>
                <w:rStyle w:val="IndexLink"/>
                <w:rtl w:val="true"/>
              </w:rPr>
              <w:tab/>
            </w:r>
            <w:r>
              <w:rPr>
                <w:rStyle w:val="IndexLink"/>
              </w:rPr>
              <w:t>444</w:t>
            </w:r>
          </w:hyperlink>
        </w:p>
        <w:p>
          <w:pPr>
            <w:pStyle w:val="Contents6"/>
            <w:tabs>
              <w:tab w:val="clear" w:pos="7609"/>
              <w:tab w:val="right" w:pos="9026" w:leader="dot"/>
            </w:tabs>
            <w:rPr/>
          </w:pPr>
          <w:hyperlink w:anchor="__RefHeading___Toc10444788_73709187">
            <w:r>
              <w:rPr>
                <w:webHidden/>
                <w:rStyle w:val="IndexLink"/>
                <w:rtl w:val="true"/>
              </w:rPr>
              <w:t>استحباب الطهارة في الأذان واعتبارها في الإقامة</w:t>
            </w:r>
            <w:r>
              <w:rPr>
                <w:rStyle w:val="IndexLink"/>
                <w:rtl w:val="true"/>
              </w:rPr>
              <w:tab/>
            </w:r>
            <w:r>
              <w:rPr>
                <w:rStyle w:val="IndexLink"/>
              </w:rPr>
              <w:t>445</w:t>
            </w:r>
          </w:hyperlink>
        </w:p>
        <w:p>
          <w:pPr>
            <w:pStyle w:val="Contents6"/>
            <w:tabs>
              <w:tab w:val="clear" w:pos="7609"/>
              <w:tab w:val="right" w:pos="9026" w:leader="dot"/>
            </w:tabs>
            <w:rPr/>
          </w:pPr>
          <w:hyperlink w:anchor="__RefHeading___Toc10444790_73709187">
            <w:r>
              <w:rPr>
                <w:webHidden/>
                <w:rStyle w:val="IndexLink"/>
                <w:rtl w:val="true"/>
              </w:rPr>
              <w:t>استحباب القيام في الأذان، واعتباره في الإقامة</w:t>
            </w:r>
            <w:r>
              <w:rPr>
                <w:rStyle w:val="IndexLink"/>
                <w:rtl w:val="true"/>
              </w:rPr>
              <w:tab/>
            </w:r>
            <w:r>
              <w:rPr>
                <w:rStyle w:val="IndexLink"/>
              </w:rPr>
              <w:t>446</w:t>
            </w:r>
          </w:hyperlink>
        </w:p>
        <w:p>
          <w:pPr>
            <w:pStyle w:val="Contents6"/>
            <w:tabs>
              <w:tab w:val="clear" w:pos="7609"/>
              <w:tab w:val="right" w:pos="9026" w:leader="dot"/>
            </w:tabs>
            <w:rPr/>
          </w:pPr>
          <w:hyperlink w:anchor="__RefHeading___Toc10444792_73709187">
            <w:r>
              <w:rPr>
                <w:webHidden/>
                <w:rStyle w:val="IndexLink"/>
                <w:rtl w:val="true"/>
              </w:rPr>
              <w:t>قائماً على مرتفع</w:t>
            </w:r>
            <w:r>
              <w:rPr>
                <w:rStyle w:val="IndexLink"/>
                <w:rtl w:val="true"/>
              </w:rPr>
              <w:tab/>
            </w:r>
            <w:r>
              <w:rPr>
                <w:rStyle w:val="IndexLink"/>
              </w:rPr>
              <w:t>449</w:t>
            </w:r>
          </w:hyperlink>
        </w:p>
        <w:p>
          <w:pPr>
            <w:pStyle w:val="Contents6"/>
            <w:tabs>
              <w:tab w:val="clear" w:pos="7609"/>
              <w:tab w:val="right" w:pos="9026" w:leader="dot"/>
            </w:tabs>
            <w:rPr/>
          </w:pPr>
          <w:hyperlink w:anchor="__RefHeading___Toc10444794_73709187">
            <w:r>
              <w:rPr>
                <w:webHidden/>
                <w:rStyle w:val="IndexLink"/>
                <w:rtl w:val="true"/>
              </w:rPr>
              <w:t>بقيّة ما يستحبّ فيهما</w:t>
            </w:r>
            <w:r>
              <w:rPr>
                <w:rStyle w:val="IndexLink"/>
                <w:rtl w:val="true"/>
              </w:rPr>
              <w:tab/>
            </w:r>
            <w:r>
              <w:rPr>
                <w:rStyle w:val="IndexLink"/>
              </w:rPr>
              <w:t>449</w:t>
            </w:r>
          </w:hyperlink>
        </w:p>
        <w:p>
          <w:pPr>
            <w:pStyle w:val="Contents6"/>
            <w:tabs>
              <w:tab w:val="clear" w:pos="7609"/>
              <w:tab w:val="right" w:pos="9026" w:leader="dot"/>
            </w:tabs>
            <w:rPr/>
          </w:pPr>
          <w:hyperlink w:anchor="__RefHeading___Toc10444796_73709187">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10444798_73709187">
            <w:r>
              <w:rPr>
                <w:webHidden/>
                <w:rStyle w:val="IndexLink"/>
                <w:rtl w:val="true"/>
              </w:rPr>
              <w:t>رافعاً صوته</w:t>
            </w:r>
            <w:r>
              <w:rPr>
                <w:rStyle w:val="IndexLink"/>
                <w:rtl w:val="true"/>
              </w:rPr>
              <w:tab/>
            </w:r>
            <w:r>
              <w:rPr>
                <w:rStyle w:val="IndexLink"/>
              </w:rPr>
              <w:t>450</w:t>
            </w:r>
          </w:hyperlink>
        </w:p>
        <w:p>
          <w:pPr>
            <w:pStyle w:val="Contents6"/>
            <w:tabs>
              <w:tab w:val="clear" w:pos="7609"/>
              <w:tab w:val="right" w:pos="9026" w:leader="dot"/>
            </w:tabs>
            <w:rPr/>
          </w:pPr>
          <w:hyperlink w:anchor="__RefHeading___Toc10444800_73709187">
            <w:r>
              <w:rPr>
                <w:webHidden/>
                <w:rStyle w:val="IndexLink"/>
                <w:rtl w:val="true"/>
              </w:rPr>
              <w:t>مرتّلاً للأذان ومحدّراً للإقامة</w:t>
            </w:r>
            <w:r>
              <w:rPr>
                <w:rStyle w:val="IndexLink"/>
                <w:rtl w:val="true"/>
              </w:rPr>
              <w:tab/>
            </w:r>
            <w:r>
              <w:rPr>
                <w:rStyle w:val="IndexLink"/>
              </w:rPr>
              <w:t>450</w:t>
            </w:r>
          </w:hyperlink>
        </w:p>
        <w:p>
          <w:pPr>
            <w:pStyle w:val="Contents6"/>
            <w:tabs>
              <w:tab w:val="clear" w:pos="7609"/>
              <w:tab w:val="right" w:pos="9026" w:leader="dot"/>
            </w:tabs>
            <w:rPr/>
          </w:pPr>
          <w:hyperlink w:anchor="__RefHeading___Toc10444802_73709187">
            <w:r>
              <w:rPr>
                <w:webHidden/>
                <w:rStyle w:val="IndexLink"/>
                <w:rtl w:val="true"/>
              </w:rPr>
              <w:t>فاصِلاً بينهما بِجلْسةٍ أو سَجْدةٍ أو خطوة</w:t>
            </w:r>
            <w:r>
              <w:rPr>
                <w:rStyle w:val="IndexLink"/>
                <w:rtl w:val="true"/>
              </w:rPr>
              <w:tab/>
            </w:r>
            <w:r>
              <w:rPr>
                <w:rStyle w:val="IndexLink"/>
              </w:rPr>
              <w:t>451</w:t>
            </w:r>
          </w:hyperlink>
        </w:p>
        <w:p>
          <w:pPr>
            <w:pStyle w:val="Contents6"/>
            <w:tabs>
              <w:tab w:val="clear" w:pos="7609"/>
              <w:tab w:val="right" w:pos="9026" w:leader="dot"/>
            </w:tabs>
            <w:rPr/>
          </w:pPr>
          <w:hyperlink w:anchor="__RefHeading___Toc10444804_73709187">
            <w:r>
              <w:rPr>
                <w:webHidden/>
                <w:rStyle w:val="IndexLink"/>
                <w:rtl w:val="true"/>
              </w:rPr>
              <w:t>ما يُكره في الأذان ويعتبر في الإقامة</w:t>
            </w:r>
            <w:r>
              <w:rPr>
                <w:rStyle w:val="IndexLink"/>
                <w:rtl w:val="true"/>
              </w:rPr>
              <w:tab/>
            </w:r>
            <w:r>
              <w:rPr>
                <w:rStyle w:val="IndexLink"/>
              </w:rPr>
              <w:t>454</w:t>
            </w:r>
          </w:hyperlink>
        </w:p>
        <w:p>
          <w:pPr>
            <w:pStyle w:val="Contents5"/>
            <w:tabs>
              <w:tab w:val="clear" w:pos="7892"/>
              <w:tab w:val="right" w:pos="9026" w:leader="dot"/>
            </w:tabs>
            <w:rPr/>
          </w:pPr>
          <w:hyperlink w:anchor="__RefHeading___Toc10444806_73709187">
            <w:r>
              <w:rPr>
                <w:webHidden/>
                <w:rStyle w:val="IndexLink"/>
                <w:rtl w:val="true"/>
              </w:rPr>
              <w:t>أحكام الأذان والإقامة</w:t>
            </w:r>
            <w:r>
              <w:rPr>
                <w:rStyle w:val="IndexLink"/>
                <w:rtl w:val="true"/>
              </w:rPr>
              <w:tab/>
            </w:r>
            <w:r>
              <w:rPr>
                <w:rStyle w:val="IndexLink"/>
              </w:rPr>
              <w:t>461</w:t>
            </w:r>
          </w:hyperlink>
        </w:p>
        <w:p>
          <w:pPr>
            <w:pStyle w:val="Contents6"/>
            <w:tabs>
              <w:tab w:val="clear" w:pos="7609"/>
              <w:tab w:val="right" w:pos="9026" w:leader="dot"/>
            </w:tabs>
            <w:rPr/>
          </w:pPr>
          <w:hyperlink w:anchor="__RefHeading___Toc10444808_73709187">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10444810_73709187">
            <w:r>
              <w:rPr>
                <w:webHidden/>
                <w:rStyle w:val="IndexLink"/>
                <w:rtl w:val="true"/>
              </w:rPr>
              <w:t>ترك الأذان والإقامة نسياناً</w:t>
            </w:r>
            <w:r>
              <w:rPr>
                <w:rStyle w:val="IndexLink"/>
                <w:rtl w:val="true"/>
              </w:rPr>
              <w:tab/>
            </w:r>
            <w:r>
              <w:rPr>
                <w:rStyle w:val="IndexLink"/>
              </w:rPr>
              <w:t>461</w:t>
            </w:r>
          </w:hyperlink>
        </w:p>
        <w:p>
          <w:pPr>
            <w:pStyle w:val="Contents6"/>
            <w:tabs>
              <w:tab w:val="clear" w:pos="7609"/>
              <w:tab w:val="right" w:pos="9026" w:leader="dot"/>
            </w:tabs>
            <w:rPr/>
          </w:pPr>
          <w:hyperlink w:anchor="__RefHeading___Toc10444812_73709187">
            <w:r>
              <w:rPr>
                <w:webHidden/>
                <w:rStyle w:val="IndexLink"/>
                <w:rtl w:val="true"/>
              </w:rPr>
              <w:t>استحباب حكاية الأذان عند سماعه</w:t>
            </w:r>
            <w:r>
              <w:rPr>
                <w:rStyle w:val="IndexLink"/>
                <w:rtl w:val="true"/>
              </w:rPr>
              <w:tab/>
            </w:r>
            <w:r>
              <w:rPr>
                <w:rStyle w:val="IndexLink"/>
              </w:rPr>
              <w:t>465</w:t>
            </w:r>
          </w:hyperlink>
        </w:p>
        <w:p>
          <w:pPr>
            <w:pStyle w:val="Contents6"/>
            <w:tabs>
              <w:tab w:val="clear" w:pos="7609"/>
              <w:tab w:val="right" w:pos="9026" w:leader="dot"/>
            </w:tabs>
            <w:rPr/>
          </w:pPr>
          <w:hyperlink w:anchor="__RefHeading___Toc10444814_73709187">
            <w:r>
              <w:rPr>
                <w:webHidden/>
                <w:rStyle w:val="IndexLink"/>
                <w:rtl w:val="true"/>
              </w:rPr>
              <w:t>أخذ الاُجرة على الأذان</w:t>
            </w:r>
            <w:r>
              <w:rPr>
                <w:rStyle w:val="IndexLink"/>
                <w:rtl w:val="true"/>
              </w:rPr>
              <w:tab/>
            </w:r>
            <w:r>
              <w:rPr>
                <w:rStyle w:val="IndexLink"/>
              </w:rPr>
              <w:t>468</w:t>
            </w:r>
          </w:hyperlink>
        </w:p>
        <w:p>
          <w:pPr>
            <w:pStyle w:val="Contents2"/>
            <w:tabs>
              <w:tab w:val="clear" w:pos="8743"/>
              <w:tab w:val="right" w:pos="9026" w:leader="dot"/>
            </w:tabs>
            <w:rPr/>
          </w:pPr>
          <w:hyperlink w:anchor="__RefHeading___Toc10444816_73709187">
            <w:r>
              <w:rPr>
                <w:webHidden/>
                <w:rStyle w:val="IndexLink"/>
                <w:rtl w:val="true"/>
              </w:rPr>
              <w:t>فهرس الموضوعات</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9_135942"/>
      <w:bookmarkStart w:id="1" w:name="pg11799_135942"/>
      <w:bookmarkEnd w:id="1"/>
    </w:p>
    <w:p>
      <w:pPr>
        <w:pStyle w:val="Heading2"/>
        <w:numPr>
          <w:ilvl w:val="1"/>
          <w:numId w:val="1"/>
        </w:numPr>
        <w:rPr/>
      </w:pPr>
      <w:bookmarkStart w:id="2" w:name="pg11799_135942"/>
      <w:bookmarkStart w:id="3" w:name="__RefHeading___Toc1044430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431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9_135948"/>
      <w:bookmarkStart w:id="8" w:name="pg11799_135948"/>
      <w:bookmarkEnd w:id="8"/>
    </w:p>
    <w:p>
      <w:pPr>
        <w:pStyle w:val="BookText"/>
        <w:rPr/>
      </w:pPr>
      <w:bookmarkStart w:id="9" w:name="pg11799_135948"/>
      <w:bookmarkEnd w:id="9"/>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444312_73709187"/>
      <w:bookmarkStart w:id="11" w:name="_Toc3"/>
      <w:bookmarkEnd w:id="10"/>
      <w:r>
        <w:rPr>
          <w:rtl w:val="true"/>
        </w:rPr>
        <w:t>كتاب الصَّلاة</w:t>
      </w:r>
      <w:bookmarkEnd w:id="11"/>
    </w:p>
    <w:p>
      <w:pPr>
        <w:pStyle w:val="Heading3"/>
        <w:numPr>
          <w:ilvl w:val="2"/>
          <w:numId w:val="1"/>
        </w:numPr>
        <w:rPr/>
      </w:pPr>
      <w:bookmarkStart w:id="12" w:name="__RefHeading___Toc10444314_73709187"/>
      <w:bookmarkStart w:id="13" w:name="_Toc4"/>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أفضلُ العبادات وأهمّها، وما ورد من النصوص في فضلها أكثر من أنْ تُحصى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الصحيح،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حديثٍ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وحجّةٌ أفضل من الدُّنيا وما فيها، وصلاةُ فريضةٍ أفضلُ من ألف حَجّة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وبين أن يكفر إلّاأن يترك الصّلاة الفريضة متعمّداً، يتهاون بها، فلا يُصلّيها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4" w:name="pg11799_135949"/>
    </w:p>
    <w:p>
      <w:pPr>
        <w:pStyle w:val="BookText"/>
        <w:rPr/>
      </w:pPr>
      <w:bookmarkEnd w:id="14"/>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في كلّ يومٍ وليلة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444316_73709187"/>
      <w:bookmarkStart w:id="16" w:name="_Toc5"/>
      <w:bookmarkEnd w:id="15"/>
      <w:r>
        <w:rPr>
          <w:rtl w:val="true"/>
        </w:rPr>
        <w:t>الباب الأوّل</w:t>
      </w:r>
      <w:r>
        <w:rPr>
          <w:rtl w:val="true"/>
        </w:rPr>
        <w:t xml:space="preserve">: </w:t>
      </w:r>
      <w:r>
        <w:rPr>
          <w:rtl w:val="true"/>
        </w:rPr>
        <w:t>في المقدّمات</w:t>
      </w:r>
      <w:bookmarkEnd w:id="16"/>
    </w:p>
    <w:p>
      <w:pPr>
        <w:pStyle w:val="Heading4"/>
        <w:numPr>
          <w:ilvl w:val="3"/>
          <w:numId w:val="1"/>
        </w:numPr>
        <w:rPr/>
      </w:pPr>
      <w:bookmarkStart w:id="17" w:name="__RefHeading___Toc10444318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الاُمور التي تشترط الصّلاة بها، أو تكون من مكمّلاتها السابقة عليها، أو يتوقّف تصوّرها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0444320_73709187"/>
      <w:bookmarkStart w:id="20" w:name="_Toc7"/>
      <w:bookmarkEnd w:id="19"/>
      <w:r>
        <w:rPr>
          <w:rtl w:val="true"/>
        </w:rPr>
        <w:t>الفصل الأوّل في أعداد الفرائض</w:t>
      </w:r>
      <w:bookmarkEnd w:id="20"/>
    </w:p>
    <w:p>
      <w:pPr>
        <w:pStyle w:val="Heading5"/>
        <w:numPr>
          <w:ilvl w:val="4"/>
          <w:numId w:val="1"/>
        </w:numPr>
        <w:rPr/>
      </w:pPr>
      <w:bookmarkStart w:id="21" w:name="__RefHeading___Toc10444322_7370918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اليوميّة ومنها الجمعة والعيدان والآيات، والطواف الواجب، والملتزم بنذرٍ أو عهد أو يمين أو إجارة، وصلاة الوالدين على الولد الأكبر، وصلاة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وعدّها بعضهم تِسْعاً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عدّها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ذلك إنّما نشأ من إدخال بعضها في بعضٍ وإخراجه، ولا يهمّنا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عليوجوب كلّ واحدةٍ من الصّلوات المذكورات موكولٌ إلى محلّه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الواجبة في كلّ يومٍ وليلة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إجماعاً، بل هي من ضروريّات الدين، والروايات الدالّة عليها متواترة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الظهر أربعُ ركعاتٍ في الحَضَر، وفي السَّفر ركعتان، والعَصرُ كذلك، والمغربُ ثلاث فيهما، والعشاء كالظهر، والصبح ركعتان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ضروريّاته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أربع ركعاتٍ في الحَضَر، وفي السَّفر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ضرورةً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والمغربُ ثلاثٌ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ضرورةً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من ضروريّاته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 كالظهر والصبح ركعتان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وآكدها بنصّ الكتاب</w:t>
      </w:r>
      <w:r>
        <w:rPr>
          <w:rStyle w:val="FootnoteAnchor"/>
          <w:rtl w:val="true"/>
        </w:rPr>
        <w:footnoteReference w:id="8"/>
      </w:r>
      <w:r>
        <w:rPr>
          <w:rFonts w:ascii="Amiri" w:hAnsi="Amiri" w:eastAsia="Amiri" w:cs="Amiri"/>
          <w:color w:val="111111"/>
          <w:sz w:val="28"/>
          <w:sz w:val="28"/>
          <w:szCs w:val="28"/>
          <w:rtl w:val="true"/>
          <w:lang w:bidi="ar-SA"/>
        </w:rPr>
        <w:t>الوسطى، وهي الظهر كما هو المشهور، بل عن الشيخ الإجماع عليه</w:t>
      </w:r>
      <w:r>
        <w:rPr>
          <w:rStyle w:val="FootnoteAnchor"/>
          <w:rtl w:val="true"/>
        </w:rPr>
        <w:footnoteReference w:id="9"/>
      </w:r>
      <w:r>
        <w:rPr>
          <w:rFonts w:ascii="Amiri" w:hAnsi="Amiri" w:eastAsia="Amiri" w:cs="Amiri"/>
          <w:color w:val="111111"/>
          <w:sz w:val="28"/>
          <w:sz w:val="28"/>
          <w:szCs w:val="28"/>
          <w:rtl w:val="true"/>
          <w:lang w:bidi="ar-SA"/>
        </w:rPr>
        <w:t>، وتشهدُ به 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وفيه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10"/>
      </w:r>
      <w:r>
        <w:rPr>
          <w:rFonts w:ascii="Amiri" w:hAnsi="Amiri" w:eastAsia="Amiri" w:cs="Amiri"/>
          <w:color w:val="111111"/>
          <w:sz w:val="28"/>
          <w:sz w:val="28"/>
          <w:szCs w:val="28"/>
          <w:rtl w:val="true"/>
          <w:lang w:bidi="ar-SA"/>
        </w:rPr>
        <w:t>هي صلاة الظهر</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العصر، وادّعى الإجماع عليه</w:t>
      </w:r>
      <w:r>
        <w:rPr>
          <w:rStyle w:val="FootnoteAnchor"/>
          <w:rtl w:val="true"/>
        </w:rPr>
        <w:footnoteReference w:id="12"/>
      </w:r>
      <w:r>
        <w:rPr>
          <w:rFonts w:ascii="Amiri" w:hAnsi="Amiri" w:eastAsia="Amiri" w:cs="Amiri"/>
          <w:color w:val="111111"/>
          <w:sz w:val="28"/>
          <w:sz w:val="28"/>
          <w:szCs w:val="28"/>
          <w:rtl w:val="true"/>
          <w:lang w:bidi="ar-SA"/>
        </w:rPr>
        <w:t>، وتشهد له مرسلة الصدوق، عن الحسن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وأوصاني أن أحفظها من بين الصّلوات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فممنوعٌ جدّاً، كما لا يخفى‌، والمرسل لا يقاوم ما سبق، وهنا أقوالٌ اُخر كأنّها للعامّة، ومستندها اعتبارات لا تستحقّ التعرّض لها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والنّوافل اليوميّة أربعٌ وثلاثون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ركعاتٍ قبل الظُّهر، وثمانٌ بعدها للعصر، وأربعُ ركعاتٍ بعد المغرب، وركعتان مِنْ جلوسٍ بعد العشاء الآخرة تعدّان بركعة، وثمانُ ركعاتٍ صلاة اللّيل، وركعتا الشَّفع، وركعة الوِتر، وركعتا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آكدها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جماعة، وفي كلام بعض أنّه من المسلّمات، ويشهد له ما ورد</w:t>
      </w:r>
      <w:r>
        <w:rPr>
          <w:rStyle w:val="FootnoteAnchor"/>
          <w:rtl w:val="true"/>
        </w:rPr>
        <w:footnoteReference w:id="15"/>
      </w:r>
      <w:r>
        <w:rPr>
          <w:rFonts w:ascii="Amiri" w:hAnsi="Amiri" w:eastAsia="Amiri" w:cs="Amiri"/>
          <w:color w:val="111111"/>
          <w:sz w:val="28"/>
          <w:sz w:val="28"/>
          <w:szCs w:val="28"/>
          <w:rtl w:val="true"/>
          <w:lang w:bidi="ar-SA"/>
        </w:rPr>
        <w:t>من النصوص في كثرة الحَثّ على فعلها، ومزيد الاهتمام بها، وما ورد في بعضها أنّها واجبة،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وثلاثون رَكعة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نصّاً</w:t>
      </w:r>
      <w:r>
        <w:rPr>
          <w:rStyle w:val="FootnoteAnchor"/>
          <w:rtl w:val="true"/>
        </w:rPr>
        <w:footnoteReference w:id="16"/>
      </w:r>
      <w:r>
        <w:rPr>
          <w:rFonts w:ascii="Amiri" w:hAnsi="Amiri" w:eastAsia="Amiri" w:cs="Amiri"/>
          <w:color w:val="111111"/>
          <w:sz w:val="28"/>
          <w:sz w:val="28"/>
          <w:szCs w:val="28"/>
          <w:rtl w:val="true"/>
          <w:lang w:bidi="ar-SA"/>
        </w:rPr>
        <w:t>وفتوىً‌، بل المشهور، وعن غير واحدٍ دعوى الإجماع عليه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 ركعاتٍ قبل الظهر، وثمانٌ بعدها للعَصر، وأربعُ ركعاتٍ بعد المغرب، وركعتان من جلوسٍ بعد العشاء الآخرة تعدّان بركعة، وثمانُ ركعاتٍ صلاة اللّيل، وركعتا الشّفع، وركعة الوِتر، وركعتا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واستفاضت النصوص بهذا الترتيب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الكليني رحمه الله، والشيخ في الصحيح عن الحارث بن المُغيرة النصري،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ستُّ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إذا زالت الشّمس، وثمانٌ بعد الظهر، وأربعُ ركعاتٍ بعد المغرب، يا حارث لا تَدَعها في سفرٍ ولا حَضَر، وركعتان بعد العشاء كان أبي يُصلّيهما وهو قاعدٌ وأنا اُصلّيهما وأنا قائم،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رسول اللّه صلى الله عليه و آله يُصلّي ثلاث عَشرة ركعة من اللّيل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سليمان،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النافلة ثمان ركعات حين تزول الشّمس قبل الظهر، وستُّ ركعاتٍ بعد الظهر، وركعتان قبل العصر، وأربعُ ركعاتٍ بعد المغرب، و ركعتان بعد العشاء الآخرة، تقرأ فيها مائة آية قائماً أو قاعداً، والقيام أفضل، ولايعدّهما من الخمسين، وثمانُ ركعاتٍ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الوِتر ثلاثُ ركعاتٍ تقرأ فيها جميعاً قُلْ هُوَ اَللّهُ أَحَدٌ ، وتفصّل بينهن بتسليمٍ‌، ثمّ الركعتان اللّتان قبل الفجر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بعضها أنّها ثلاثٌ وثلاثون بإسقاط الوتيرة، كموثّق حنّان،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يُصلّي ثمان ركعات الزّوال، وأربعاً الأُولى‌، وثمانياً بعدها، وأربعاً العصر، وثلاثاً المغرب، وأربعاً بعد المغرب، والعشاء الآخرة أربعاً، وثماني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ويوافقه خبر محمّد بن أبي حمزة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 إسقاط أربع من نافلة العصر، وركعتين من نافلة المغرب مع الوتيرة،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تاجرٌ أختلف وأتّجر، فكيف لي بالزّوال والمحافظة على صلاة الزّوال، وكم نُصلّي‌؟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ثمان ركعاتٍ إذا زالت الشّمس، وركعتين بعد الظهر، وركعتين قبل العصر، فهذه اثنتا عشرة ركعة، وتُصلّي بعد المغرب ركعتين، وبعدما ينتصف اللّيل ثلاث عشرة ركعة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للنصوص المتقدّمة المعمول بها عند الأصحاب، لابدَّ من حمل هذه الأخبار على ما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بالحمل على اختلاف مراتب الفضل، كما يشير إليه خبر أبي بصير،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أن لا يقصر عنه ثمان ركعات عند زوال الشّمس، وبعد الظهر ركعتان، وقبل العصر ركعتان، وبعد المغرب ركعتان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الجعل الأوّلي والثانوي، كما يُشير إليه موثّق سليمان المتقدّم،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مجموع الفرائض والنّوافل إحدى وخمسون، كما يشهد له صحيح فضل أو حسنه،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والنافلة إحدى وخمسون ركعة</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الأخبار أنّ المعروف في الصَّدر الأوّل لدى أصحاب الأئمّة عليهم السلام فيما جرت به السُنّة في عدد الركعات خمسون، قد عرفت أنّه لابدّ من حمله على الجعل الأوّلي والثانوي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3" w:name="pg11799_135954"/>
    </w:p>
    <w:p>
      <w:pPr>
        <w:pStyle w:val="Heading5"/>
        <w:numPr>
          <w:ilvl w:val="4"/>
          <w:numId w:val="1"/>
        </w:numPr>
        <w:rPr/>
      </w:pPr>
      <w:bookmarkStart w:id="24" w:name="__RefHeading___Toc10444324_73709187"/>
      <w:bookmarkStart w:id="25" w:name="_Toc9"/>
      <w:bookmarkEnd w:id="23"/>
      <w:bookmarkEnd w:id="24"/>
      <w:r>
        <w:rPr>
          <w:rtl w:val="true"/>
        </w:rPr>
        <w:t>تنبيهات الفرائض</w:t>
      </w:r>
      <w:bookmarkEnd w:id="25"/>
    </w:p>
    <w:p>
      <w:pPr>
        <w:pStyle w:val="Heading6"/>
        <w:numPr>
          <w:ilvl w:val="5"/>
          <w:numId w:val="1"/>
        </w:numPr>
        <w:rPr/>
      </w:pPr>
      <w:bookmarkStart w:id="26" w:name="__RefHeading___Toc10444326_73709187"/>
      <w:bookmarkStart w:id="27" w:name="_Toc10"/>
      <w:bookmarkEnd w:id="26"/>
      <w:r>
        <w:rPr>
          <w:rtl w:val="true"/>
        </w:rPr>
        <w:t>نافلة العصر ثمان ركعات قبلها</w:t>
      </w:r>
      <w:bookmarkEnd w:id="2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نافلة العصر</w:t>
      </w:r>
      <w:r>
        <w:rPr>
          <w:rStyle w:val="FootnoteAnchor"/>
          <w:rtl w:val="true"/>
        </w:rPr>
        <w:footnoteReference w:id="26"/>
      </w:r>
      <w:r>
        <w:rPr>
          <w:rFonts w:ascii="Amiri" w:hAnsi="Amiri" w:eastAsia="Amiri" w:cs="Amiri"/>
          <w:color w:val="111111"/>
          <w:sz w:val="28"/>
          <w:sz w:val="28"/>
          <w:szCs w:val="28"/>
          <w:rtl w:val="true"/>
          <w:lang w:bidi="ar-SA"/>
        </w:rPr>
        <w:t>، ثمان ركعات قبلها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ركعتين من تلك الثمانية نافلة العصر، والظاهر أنّ مستنده موثّق سليمان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يترتّب على هذا الخلاف ثمرة، إذ على القولين محلّها بعد الظهر قبل العصر، ويمتدّ وقتها إلى أربعة أقدام أو المثلين، فالصفح عن البحث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النزاع في أنّ التكليف بالنوافل تكليف مستقلٌّ‌، أو أنّها شرعت لتكميل الفرائض لا فائدة فيه</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0444328_73709187"/>
      <w:bookmarkStart w:id="29" w:name="_Toc11"/>
      <w:bookmarkEnd w:id="28"/>
      <w:r>
        <w:rPr>
          <w:rtl w:val="true"/>
        </w:rPr>
        <w:t>ظاهرُ جماعةٍ تعيّن الجلوس في الركعتين بعد العشاء</w:t>
      </w:r>
      <w:bookmarkEnd w:id="29"/>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w:t>
      </w:r>
      <w:r>
        <w:rPr>
          <w:rStyle w:val="FootnoteAnchor"/>
          <w:rtl w:val="true"/>
        </w:rPr>
        <w:footnoteReference w:id="29"/>
      </w:r>
      <w:r>
        <w:rPr>
          <w:rFonts w:ascii="Amiri" w:hAnsi="Amiri" w:eastAsia="Amiri" w:cs="Amiri"/>
          <w:color w:val="111111"/>
          <w:sz w:val="28"/>
          <w:sz w:val="28"/>
          <w:szCs w:val="28"/>
          <w:rtl w:val="true"/>
          <w:lang w:bidi="ar-SA"/>
        </w:rPr>
        <w:t>منهم المصنّف رحمه الله تعيّن الجلوس في الركعتين بعد العشاء، ويشهد به ظاهر عدّة من النصوص</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تبعاً لجملةٍ من المحقّقين، كالشهيدين</w:t>
      </w:r>
      <w:r>
        <w:rPr>
          <w:rStyle w:val="FootnoteAnchor"/>
          <w:rtl w:val="true"/>
        </w:rPr>
        <w:footnoteReference w:id="31"/>
      </w:r>
      <w:r>
        <w:rPr>
          <w:rFonts w:ascii="Amiri" w:hAnsi="Amiri" w:eastAsia="Amiri" w:cs="Amiri"/>
          <w:color w:val="111111"/>
          <w:sz w:val="28"/>
          <w:sz w:val="28"/>
          <w:szCs w:val="28"/>
          <w:rtl w:val="true"/>
          <w:lang w:bidi="ar-SA"/>
        </w:rPr>
        <w:t>، والمحقّق الثاني</w:t>
      </w:r>
      <w:r>
        <w:rPr>
          <w:rStyle w:val="FootnoteAnchor"/>
          <w:rtl w:val="true"/>
        </w:rPr>
        <w:footnoteReference w:id="32"/>
      </w:r>
      <w:r>
        <w:rPr>
          <w:rFonts w:ascii="Amiri" w:hAnsi="Amiri" w:eastAsia="Amiri" w:cs="Amiri"/>
          <w:color w:val="111111"/>
          <w:sz w:val="28"/>
          <w:sz w:val="28"/>
          <w:szCs w:val="28"/>
          <w:rtl w:val="true"/>
          <w:lang w:bidi="ar-SA"/>
        </w:rPr>
        <w:t>، والأردبيلي</w:t>
      </w:r>
      <w:r>
        <w:rPr>
          <w:rStyle w:val="FootnoteAnchor"/>
          <w:rtl w:val="true"/>
        </w:rPr>
        <w:footnoteReference w:id="33"/>
      </w:r>
      <w:r>
        <w:rPr>
          <w:rFonts w:ascii="Amiri" w:hAnsi="Amiri" w:eastAsia="Amiri" w:cs="Amiri"/>
          <w:color w:val="111111"/>
          <w:sz w:val="28"/>
          <w:sz w:val="28"/>
          <w:szCs w:val="28"/>
          <w:rtl w:val="true"/>
          <w:lang w:bidi="ar-SA"/>
        </w:rPr>
        <w:t>جواز القيام فيهما، لموثّق سليمان، وصحيح حارث المتقدّمين</w:t>
      </w:r>
      <w:r>
        <w:rPr>
          <w:rStyle w:val="FootnoteAnchor"/>
          <w:rtl w:val="true"/>
        </w:rPr>
        <w:footnoteReference w:id="34"/>
      </w:r>
      <w:r>
        <w:rPr>
          <w:rFonts w:ascii="Amiri" w:hAnsi="Amiri" w:eastAsia="Amiri" w:cs="Amiri"/>
          <w:color w:val="111111"/>
          <w:sz w:val="28"/>
          <w:sz w:val="28"/>
          <w:szCs w:val="28"/>
          <w:rtl w:val="true"/>
          <w:lang w:bidi="ar-SA"/>
        </w:rPr>
        <w:t>، بل ظاهر الموثّق أفضليّة القيام، ولا ينافيهما مواظبة أبي جعفر عليه السلام على الجلوس، لقُرب حمله على العُذر، كما يشير إليه قوله عليه السلام في خبر سُدير</w:t>
      </w:r>
      <w:r>
        <w:rPr>
          <w:rFonts w:eastAsia="Amiri" w:cs="Amiri" w:ascii="Amiri" w:hAnsi="Amiri"/>
          <w:color w:val="111111"/>
          <w:sz w:val="28"/>
          <w:szCs w:val="28"/>
          <w:rtl w:val="true"/>
          <w:lang w:bidi="ar-SA"/>
        </w:rPr>
        <w:t xml:space="preserve">: </w:t>
      </w:r>
      <w:bookmarkStart w:id="30" w:name="pg11799_135955"/>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اُصلّيهما إلّاوأنا قاعد عندما حَمَلتُ هذا اللّحم، وبلغتُ هذا السِّن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 w:name="__RefHeading___Toc10444330_73709187"/>
      <w:bookmarkStart w:id="32" w:name="_Toc12"/>
      <w:bookmarkEnd w:id="31"/>
      <w:r>
        <w:rPr>
          <w:rtl w:val="true"/>
        </w:rPr>
        <w:t>القنوت في الشَّفع في الرّكعة الثانية</w:t>
      </w:r>
      <w:bookmarkEnd w:id="32"/>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استحباب القنوت في الشَّفع في الرّكعة الثانية كسائر الصّلوات، بل عن بعضٍ‌</w:t>
      </w:r>
      <w:r>
        <w:rPr>
          <w:rStyle w:val="FootnoteAnchor"/>
          <w:rtl w:val="true"/>
        </w:rPr>
        <w:footnoteReference w:id="36"/>
      </w:r>
      <w:r>
        <w:rPr>
          <w:rFonts w:ascii="Amiri" w:hAnsi="Amiri" w:eastAsia="Amiri" w:cs="Amiri"/>
          <w:color w:val="111111"/>
          <w:sz w:val="28"/>
          <w:sz w:val="28"/>
          <w:szCs w:val="28"/>
          <w:rtl w:val="true"/>
          <w:lang w:bidi="ar-SA"/>
        </w:rPr>
        <w:t>نفي الخلاف فيه، إلّامن شيخنا البهائي رحمه 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لعموم النصوص الدالّة على مشروعيّته في كلّ صلاة، وخصوص خبر رجاء في حكاية فعل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فيُصلّي ركعتي الشّفع، يقرأ في كلّ ركعةٍ منها الحمد مرّة، وقل هو اللّه أحد ثلاث مرّات، ويقنتُ في الثانية قبل الركوع</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ينافي ذلك صحيح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المغرب في الركعة الثانية، وفي الغَداة والعشاء مثل ذلك، وفي الوِتْر في الركعة الثالثة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أخصّ من العمومات، فيُقدَّم عليها، كما أنّه لأصحيّة سنده يُقدَّم على خبر رجاء، ولكن لإعراض الأصحاب عنه، وتسالمهم على ثبوت القنوت في الشّفع، لابدَّ من طرح الصحيح، أو حمله على ما لا ينافي العمومات</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10444332_73709187"/>
      <w:bookmarkStart w:id="34" w:name="_Toc13"/>
      <w:bookmarkEnd w:id="33"/>
      <w:r>
        <w:rPr>
          <w:rtl w:val="true"/>
        </w:rPr>
        <w:t>لا شبهة في استحباب القنوت في مفردة الوتر قبل الركوع</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استحباب القنوت في مفردة الوتر قبل الركوع، للأخبار</w:t>
      </w:r>
      <w:r>
        <w:rPr>
          <w:rStyle w:val="FootnoteAnchor"/>
          <w:rtl w:val="true"/>
        </w:rPr>
        <w:footnoteReference w:id="40"/>
      </w:r>
      <w:r>
        <w:rPr>
          <w:rFonts w:ascii="Amiri" w:hAnsi="Amiri" w:eastAsia="Amiri" w:cs="Amiri"/>
          <w:color w:val="111111"/>
          <w:sz w:val="28"/>
          <w:sz w:val="28"/>
          <w:szCs w:val="28"/>
          <w:rtl w:val="true"/>
          <w:lang w:bidi="ar-SA"/>
        </w:rPr>
        <w:t>الكثيرة، وأمّا القنوت فيها بعده، فلا مستند له إنْ اُريد به الكيفيّة المعهودة، وإنْ اُريد به الدّعاء، فيدلّ عليه الخبر المرويّ عن الكليني رحمه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35" w:name="pg11799_135956"/>
    </w:p>
    <w:p>
      <w:pPr>
        <w:pStyle w:val="BookText"/>
        <w:rPr/>
      </w:pPr>
      <w:bookmarkEnd w:id="35"/>
      <w:r>
        <w:rPr>
          <w:rFonts w:ascii="Amiri" w:hAnsi="Amiri" w:eastAsia="Amiri" w:cs="Amiri"/>
          <w:color w:val="111111"/>
          <w:sz w:val="28"/>
          <w:sz w:val="28"/>
          <w:szCs w:val="28"/>
          <w:rtl w:val="true"/>
          <w:lang w:bidi="ar-SA"/>
        </w:rPr>
        <w:t>صَلاة الغُفيلة وصلاة الوصيّة</w:t>
      </w:r>
    </w:p>
    <w:p>
      <w:pPr>
        <w:pStyle w:val="Heading6"/>
        <w:numPr>
          <w:ilvl w:val="5"/>
          <w:numId w:val="1"/>
        </w:numPr>
        <w:rPr/>
      </w:pPr>
      <w:bookmarkStart w:id="36" w:name="__RefHeading___Toc10444334_73709187"/>
      <w:bookmarkStart w:id="37" w:name="_Toc14"/>
      <w:bookmarkEnd w:id="36"/>
      <w:r>
        <w:rPr>
          <w:rtl w:val="true"/>
        </w:rPr>
        <w:t>صَلاة الغُفيلة</w:t>
      </w:r>
      <w:bookmarkEnd w:id="37"/>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جملة من النصوص، استحباب نافلتين خاصّتين بين المغرب والعشاء،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الغُفَيلة وصلاة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استحبابها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سالم،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بين العشائين ركعتين؛ يَقرأ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ذَا اَلنُّونِ إِذْ ذَهَبَ مُغاضِباً إلى قوله وَ كَذلِكَ نُنْجِي اَلْمُؤْمِنِينَ‌ ،</w:t>
      </w:r>
      <w:r>
        <w:rPr>
          <w:rStyle w:val="FootnoteAnchor"/>
          <w:rtl w:val="true"/>
        </w:rPr>
        <w:footnoteReference w:id="42"/>
      </w: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 مَفاتِحُ اَلْغَيْبِ‌ </w:t>
      </w:r>
      <w:r>
        <w:rPr>
          <w:rStyle w:val="FootnoteAnchor"/>
          <w:rtl w:val="true"/>
        </w:rPr>
        <w:footnoteReference w:id="43"/>
      </w:r>
      <w:r>
        <w:rPr>
          <w:rFonts w:ascii="Amiri" w:hAnsi="Amiri" w:eastAsia="Amiri" w:cs="Amiri"/>
          <w:color w:val="111111"/>
          <w:sz w:val="28"/>
          <w:sz w:val="28"/>
          <w:szCs w:val="28"/>
          <w:rtl w:val="true"/>
          <w:lang w:bidi="ar-SA"/>
        </w:rPr>
        <w:t>إلى آخر الآية، وإذا فرغ من القراءة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اسألك بمفاتح الغيب التي لا يَعْلَمها إلّاأنت،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والقادرُ على طَلِبتي، تعلمُ حَاجتي، فأسألُكَ بحقِّ مُحمّدٍ وآل محمّد لما قضيتها لي، ويسأل اللّه تعالى حاجته، أعطاه اللّه ما سأل</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 الغفلة، وهما ما بين العشائين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وهب، والسَّكوني، عن جعفرٍ، </w:t>
      </w:r>
    </w:p>
    <w:p>
      <w:pPr>
        <w:pStyle w:val="BookText"/>
        <w:rPr/>
      </w:pPr>
      <w:r>
        <w:rPr>
          <w:rFonts w:ascii="Amiri" w:hAnsi="Amiri" w:eastAsia="Amiri" w:cs="Amiri"/>
          <w:color w:val="111111"/>
          <w:sz w:val="28"/>
          <w:sz w:val="28"/>
          <w:szCs w:val="28"/>
          <w:rtl w:val="true"/>
          <w:lang w:bidi="ar-SA"/>
        </w:rPr>
        <w:t>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ساعةَ الغفلة ولو بركعتين خفيفتين، فإنّهما تورثان دار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ساعة الغفلة‌؟ قال ما بين المغرب والعشاء</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طاووس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خفيفتين‌؟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فيهما الحمد وحدها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ركعتي ساعة الغَفلة غَير صلاة الغُفيلة، وكأنّه لاختلافهما باشتمال الثانية على الآيتين وخُلوّ الأُولى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اعتبار الخفة في ركعتي الغفلة، كما تشهد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الوصيلة، لظهورها في أنّه الفرد الأدنى‌، فيكون الاختلاف بينهما من قبيل الاختلاف بين المطلق والمقيّد، فتكون ركعتا الغفلة بمقتضى إطلاق دليلها عين صلاة الغُفيلة، ومنطبقة عليها قهراً، وتشهد به الزيادة المرويّة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8" w:name="pg11799_135958"/>
    </w:p>
    <w:p>
      <w:pPr>
        <w:pStyle w:val="Heading5"/>
        <w:numPr>
          <w:ilvl w:val="4"/>
          <w:numId w:val="1"/>
        </w:numPr>
        <w:rPr/>
      </w:pPr>
      <w:bookmarkStart w:id="39" w:name="__RefHeading___Toc10444336_73709187"/>
      <w:bookmarkStart w:id="40" w:name="_Toc15"/>
      <w:bookmarkEnd w:id="38"/>
      <w:bookmarkEnd w:id="39"/>
      <w:r>
        <w:rPr>
          <w:rtl w:val="true"/>
        </w:rPr>
        <w:t>صلاة الوصيّة</w:t>
      </w:r>
      <w:bookmarkEnd w:id="40"/>
    </w:p>
    <w:p>
      <w:pPr>
        <w:pStyle w:val="BookText"/>
        <w:rPr/>
      </w:pPr>
      <w:r>
        <w:rPr>
          <w:rFonts w:ascii="Amiri" w:hAnsi="Amiri" w:eastAsia="Amiri" w:cs="Amiri"/>
          <w:color w:val="111111"/>
          <w:sz w:val="28"/>
          <w:sz w:val="28"/>
          <w:szCs w:val="28"/>
          <w:rtl w:val="true"/>
          <w:lang w:bidi="ar-SA"/>
        </w:rPr>
        <w:t>وأمّا صلاة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استحبابها 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 عن آبائه،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بركعتين بين العشائين، يقرأ في الأُولى الحمد، و إِذا زُلْزِلَتِ اَلْأَرْضُ‌ ثلاث عشرة مرّة، وفي الثانية الحمد، و قُلْ هُوَ اَللّهُ أَحَدٌ خمس عشرة مرّة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جماعة</w:t>
      </w:r>
      <w:r>
        <w:rPr>
          <w:rStyle w:val="FootnoteAnchor"/>
          <w:rtl w:val="true"/>
        </w:rPr>
        <w:footnoteReference w:id="50"/>
      </w:r>
      <w:r>
        <w:rPr>
          <w:rFonts w:ascii="Amiri" w:hAnsi="Amiri" w:eastAsia="Amiri" w:cs="Amiri"/>
          <w:color w:val="111111"/>
          <w:sz w:val="28"/>
          <w:sz w:val="28"/>
          <w:szCs w:val="28"/>
          <w:rtl w:val="true"/>
          <w:lang w:bidi="ar-SA"/>
        </w:rPr>
        <w:t>كونهما غير نافلة المغرب مباينتين لها خارجاً، ولازمه استحباب الإتيان بهما وبالنافلة قبل الأُولى أو الثانية، وعن بعضٍ‌</w:t>
      </w:r>
      <w:r>
        <w:rPr>
          <w:rStyle w:val="FootnoteAnchor"/>
          <w:rtl w:val="true"/>
        </w:rPr>
        <w:footnoteReference w:id="51"/>
      </w:r>
      <w:r>
        <w:rPr>
          <w:rFonts w:ascii="Amiri" w:hAnsi="Amiri" w:eastAsia="Amiri" w:cs="Amiri"/>
          <w:color w:val="111111"/>
          <w:sz w:val="28"/>
          <w:sz w:val="28"/>
          <w:szCs w:val="28"/>
          <w:rtl w:val="true"/>
          <w:lang w:bidi="ar-SA"/>
        </w:rPr>
        <w:t>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المشتملة على الكيفيّة المخصوصة في الصلاتين، واردة لتشريع خصوصيّة في نافلة المغرب، ولازم هذه الدعوى عدم جواز فعلهما معاً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القول الثاني ظهور الروايات في تشريع الصّلاة الخاصّة، وهي المقيّدة بالخصوصيّة، لا تشريع الكيفيّة فقط في الصّلاة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أنّ الروايات لا تدلّ على مشروعيّة نافلة مغايرة لنافلة المغرب، بل المستفاد منها استحباب النافلتين بالكيفيّتين المخصوصتين بين العشائين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 نافلة المغرب، فلا يدلّ على اعتبار خلوّها عن الخصوصيّتين، بل هي مطلقة غير مقيّدة بشيء، فعلى هذا لو أتى بهما يسقط الأمر بهما، والأمر بالنافلة، لتحقّق مصداق متعلّقيهما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بإتيانهما يستوفي كلتا المصلحتين، أي المصلحة الموجبة للأمر بنافلة المغرب، والمصلحة الموجبة للأمر بهما، فيسقط كلا الأمرين، نظير مالو أمر المولى عبده بإكرام العالم، ثمّ أمره بإكرام العالم العادل، فإنّه لو أكرم العبدُ العالِم العادل، فقد استوفى كلتا المصلحتين، لاجتماع كلا العنوانين فيه، فيسقط الأمران، فلا وجه بعد الإتيان بهما لإتيان نافلة المغرب حتّى مع قصد أمرهما لا غير، إذ الواجب سقط أمره بإتيانه حتّى مع عدم الالتفات إلى أمره وعدم قصده، ولو كان الواجب تعبّديّاً، إذ سقوط الأمر فيه إنّما يكون بإتيانه متقرّباً إلى اللّه تعالى، ولا يعتبر في سقوطه زائداً على ذلك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أتى بنافلة المغرب ابتداءً‌، فله الإتيان بهما بعدها، إذ مقتضى إطلاق النصوص استحبابهما مطلقاً حتّى بعد الإتيان بنافلة المغرب، ولا وجه لسقوط الأمر بهما بإتيانها، لعدم تحقّق متعلّق الأمر، وعدم استيفاء المصحلتين الموجبتين للأمر بهما، كما أنّه في المثال لو أكرم الفاسق لا يسقط الأمر بإكرام العالم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ما دلّ على عدم جواز التطوّع في وقت الفريضه</w:t>
      </w:r>
      <w:r>
        <w:rPr>
          <w:rStyle w:val="FootnoteAnchor"/>
          <w:rtl w:val="true"/>
        </w:rPr>
        <w:footnoteReference w:id="52"/>
      </w:r>
      <w:r>
        <w:rPr>
          <w:rFonts w:ascii="Amiri" w:hAnsi="Amiri" w:eastAsia="Amiri" w:cs="Amiri"/>
          <w:color w:val="111111"/>
          <w:sz w:val="28"/>
          <w:sz w:val="28"/>
          <w:szCs w:val="28"/>
          <w:rtl w:val="true"/>
          <w:lang w:bidi="ar-SA"/>
        </w:rPr>
        <w:t>، عدم جواز الإتيان بالصلاتين بعد الإتيان بالنافلة الخارجة عن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في محلّه إنْ شاء اللّه تعالى من جواز التطوّع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 ما دلّ على مشروعيّتهما، وبين ما دلّ على عدم جواز التطوّع</w:t>
      </w:r>
      <w:r>
        <w:rPr>
          <w:rStyle w:val="FootnoteAnchor"/>
          <w:rtl w:val="true"/>
        </w:rPr>
        <w:footnoteReference w:id="53"/>
      </w:r>
      <w:r>
        <w:rPr>
          <w:rFonts w:ascii="Amiri" w:hAnsi="Amiri" w:eastAsia="Amiri" w:cs="Amiri"/>
          <w:color w:val="111111"/>
          <w:sz w:val="28"/>
          <w:sz w:val="28"/>
          <w:szCs w:val="28"/>
          <w:rtl w:val="true"/>
          <w:lang w:bidi="ar-SA"/>
        </w:rPr>
        <w:t>، عمومٌ مطلق، ولا شبهة في تقدّم إطلاق دليل المقيّد على إطلاق دليل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فيما ذكرناه حتّى لا تبادر بالإشكال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1" w:name="pg11799_135960"/>
    </w:p>
    <w:p>
      <w:pPr>
        <w:pStyle w:val="BookText"/>
        <w:rPr/>
      </w:pPr>
      <w:bookmarkEnd w:id="41"/>
      <w:r>
        <w:rPr>
          <w:rFonts w:ascii="Amiri" w:hAnsi="Amiri" w:eastAsia="Amiri" w:cs="Amiri"/>
          <w:color w:val="111111"/>
          <w:sz w:val="28"/>
          <w:sz w:val="28"/>
          <w:szCs w:val="28"/>
          <w:rtl w:val="true"/>
          <w:lang w:bidi="ar-SA"/>
        </w:rPr>
        <w:t>ويسقط في السَّفر نوافل النهار، والوتيرة خاصّة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0444338_73709187"/>
      <w:bookmarkStart w:id="43" w:name="_Toc16"/>
      <w:bookmarkEnd w:id="42"/>
      <w:r>
        <w:rPr>
          <w:rtl w:val="true"/>
        </w:rPr>
        <w:t>سقوط نوافل الظهرين في السَّفر</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في السَّفر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نوافل الظُّهر والعَصر إجماعاً، حكاه غير واحدٍ</w:t>
      </w:r>
      <w:r>
        <w:rPr>
          <w:rStyle w:val="FootnoteAnchor"/>
          <w:rtl w:val="true"/>
        </w:rPr>
        <w:footnoteReference w:id="54"/>
      </w:r>
      <w:r>
        <w:rPr>
          <w:rFonts w:ascii="Amiri" w:hAnsi="Amiri" w:eastAsia="Amiri" w:cs="Amiri"/>
          <w:color w:val="111111"/>
          <w:sz w:val="28"/>
          <w:sz w:val="28"/>
          <w:szCs w:val="28"/>
          <w:rtl w:val="true"/>
          <w:lang w:bidi="ar-SA"/>
        </w:rPr>
        <w:t>، وتدلّ عليه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إلّاالمغرب، فإنّ بعدها أربع ركعات، لا تدعهنّ في سفرٍ ولا حَضَر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إلّاالمغرب، فإنّ بعدها أربع ركعات، لا تَدَعهنّ في سفرٍ ولا حَضَر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في السَّفر بلا خلاف، وتدلّ على ذلك الروايتان المتقدّمتان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نافلة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لا تسقط،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من اللّيل ثلاث عشرة ركعة، منه الوِتر وركعتا الفجر في السّفر والحَضَر</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ظهر عدم سقوط النّوافل اللّيليّة غير الوتيرة، ولا 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المشهور</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60"/>
      </w:r>
      <w:r>
        <w:rPr>
          <w:rFonts w:ascii="Amiri" w:hAnsi="Amiri" w:eastAsia="Amiri" w:cs="Amiri"/>
          <w:color w:val="111111"/>
          <w:sz w:val="28"/>
          <w:sz w:val="28"/>
          <w:szCs w:val="28"/>
          <w:rtl w:val="true"/>
          <w:lang w:bidi="ar-SA"/>
        </w:rPr>
        <w:t>، لإطلاق صحيح ابن سنان، وموثّق أبي بصير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عدم شمول الخبرين لها، لإختصاصهما بنوافل الصّلاة، والظاهر من بعض النصوص الدالّة على مشروعيّة الوتيرة أنّها صلاة مستقلّة، ولها نحو ارتباطٍ بنافلة اللّيل، ولا ربط لها بصلاة العشاء، فلا وجه لسقوطها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الروايتين إنّما تدلّان على سقوط النّوافل المشروعة قبل الفريضة وبعدها، سواءٌ أكانت مكمّلة لها أم كانت مستقلّة، ومحلّها قبلها أو بعدها، وبما أنّ الوتيرة ولو كانت نافلة مستقلّة إنّما شُرِّعت بعد صلاة العشاء، فتكون مشمولةً لهما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أعاظم المحقّقين</w:t>
      </w:r>
      <w:r>
        <w:rPr>
          <w:rStyle w:val="FootnoteAnchor"/>
          <w:rtl w:val="true"/>
        </w:rPr>
        <w:footnoteReference w:id="62"/>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الدالّة على سقوط النّوافل في السّفر، وإنْ كانت شاملة للوتيرة، إلّاأنّه تعارضها النصوص الواردة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بالخصوص، كصحيح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يبيتنَّ إلّابوِتر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ظهور تلك الأخبار في إرادة الإطلاق بالنسبة إلى نافلة العشاء، بأقوى من ظهور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إنّما يكون لها نحو حكومةٍ على هذه الأخبار، لأنّ هذه النصوص إنّما تدلّ على مشروعيّتها، وأخبار السقوط إنّما تدلّ على أنّ ماشُرّع يختصّ بالحضر، ولا يكون مشروعاً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الأخبار معارضة مع جميع الأدلّة الدالّة على مشروعيّة النّوافل، وحيثُ لا وجه لتقديمها على بعض تلك الأدلّة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تقديم تلك الأدلّة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تقديم نصوص السقوط على تلك الأدلّة، وإنْ كانت النسبة بينها وبين ما دلّ على مشروعيّة كلّ واحدةٍ من النّوافل عموماً من وجه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إطلاق دليل السقوط، وبين إطلاق ما دلّ على مشروعيّة الوتيرة، بما أنّه بالعموم من وجه، فلا محالة يسقط كلا الإطلاقين</w:t>
      </w:r>
      <w:r>
        <w:rPr>
          <w:rStyle w:val="FootnoteAnchor"/>
          <w:rtl w:val="true"/>
        </w:rPr>
        <w:footnoteReference w:id="64"/>
      </w:r>
      <w:r>
        <w:rPr>
          <w:rFonts w:ascii="Amiri" w:hAnsi="Amiri" w:eastAsia="Amiri" w:cs="Amiri"/>
          <w:color w:val="111111"/>
          <w:sz w:val="28"/>
          <w:sz w:val="28"/>
          <w:szCs w:val="28"/>
          <w:rtl w:val="true"/>
          <w:lang w:bidi="ar-SA"/>
        </w:rPr>
        <w:t>، لما حقّقناه في محلّه، من أنّ التعارض بالعموم من وجه بين الإطلاقين، موجبٌ لسقوطهما، وليس كالتعارض بين العامّين اللّفظيّين، حيثُ أنّ مقتضى القاعدة فيه هو الرجوع إلى مرجّحات باب المعارضة مطلقاً، ولبيان التفرقة بين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التعارض بالعموم من وجه، بين كونهما عامّين وكونهما مطلقين، حيثُ أنّ مقتضى القاعدة في الأوّل الرجوع إلى المرجّحات، وفي الثاني التساقط والرجوع إلى الأصل، أو العموم، أو الإطلاق السابقة، وستأتي الإشارة إليه في مبحثٍ آتٍ إنْ شاء اللّه، ففي المقام يسقط كلا الإطلاقين، والمرجع إلى 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فإنّ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وجماعة آخرين</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فعلهما في السّفر، لخبر الفضل،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صارت العُتَمة مقصورة ليس يُترك ركعتاها، لأنّ الركعتين ليستا من الخمسين، وإنّما هي زيادة في الخمسين تطوّعاً، يتمّ بها بدل كلّ ركعةٍ من الفريضة ركعتين من التطوّع</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 لأنّ في الطريق عبد الواحد بن محمّد بن عبدوس، وعلي ابن محمّد بن قتيبة، ولم تثبت وثاقتهما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من مشايخ الصدوق</w:t>
      </w:r>
      <w:r>
        <w:rPr>
          <w:rStyle w:val="FootnoteAnchor"/>
          <w:rtl w:val="true"/>
        </w:rPr>
        <w:footnoteReference w:id="68"/>
      </w:r>
      <w:r>
        <w:rPr>
          <w:rFonts w:ascii="Amiri" w:hAnsi="Amiri" w:eastAsia="Amiri" w:cs="Amiri"/>
          <w:color w:val="111111"/>
          <w:sz w:val="28"/>
          <w:sz w:val="28"/>
          <w:szCs w:val="28"/>
          <w:rtl w:val="true"/>
          <w:lang w:bidi="ar-SA"/>
        </w:rPr>
        <w:t>الذين أخذ عنهم الحديث، والثاني من مشايخ الكشّي</w:t>
      </w:r>
      <w:r>
        <w:rPr>
          <w:rStyle w:val="FootnoteAnchor"/>
          <w:rtl w:val="true"/>
        </w:rPr>
        <w:footnoteReference w:id="69"/>
      </w:r>
      <w:r>
        <w:rPr>
          <w:rFonts w:ascii="Amiri" w:hAnsi="Amiri" w:eastAsia="Amiri" w:cs="Amiri"/>
          <w:color w:val="111111"/>
          <w:sz w:val="28"/>
          <w:sz w:val="28"/>
          <w:szCs w:val="28"/>
          <w:rtl w:val="true"/>
          <w:lang w:bidi="ar-SA"/>
        </w:rPr>
        <w:t>وعليه اعتمد في رجاله، فالرواية معتبرة، وإعراض المشهور عنها مع وضوح دلالتها لا يقدح، لعمل الشيخ</w:t>
      </w:r>
      <w:r>
        <w:rPr>
          <w:rStyle w:val="FootnoteAnchor"/>
          <w:rtl w:val="true"/>
        </w:rPr>
        <w:footnoteReference w:id="70"/>
      </w:r>
      <w:r>
        <w:rPr>
          <w:rFonts w:ascii="Amiri" w:hAnsi="Amiri" w:eastAsia="Amiri" w:cs="Amiri"/>
          <w:color w:val="111111"/>
          <w:sz w:val="28"/>
          <w:sz w:val="28"/>
          <w:szCs w:val="28"/>
          <w:rtl w:val="true"/>
          <w:lang w:bidi="ar-SA"/>
        </w:rPr>
        <w:t>بها، وتقوية الشهيد إيّاها</w:t>
      </w:r>
      <w:r>
        <w:rPr>
          <w:rStyle w:val="FootnoteAnchor"/>
          <w:rtl w:val="true"/>
        </w:rPr>
        <w:footnoteReference w:id="71"/>
      </w:r>
      <w:r>
        <w:rPr>
          <w:rFonts w:ascii="Amiri" w:hAnsi="Amiri" w:eastAsia="Amiri" w:cs="Amiri"/>
          <w:color w:val="111111"/>
          <w:sz w:val="28"/>
          <w:sz w:val="28"/>
          <w:szCs w:val="28"/>
          <w:rtl w:val="true"/>
          <w:lang w:bidi="ar-SA"/>
        </w:rPr>
        <w:t>، واعتماد جملةٍ من المتأخّرين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إحتمال بنائهم على كون المورد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التعارض بين الرواية وغيرها، وأنّ الترجيح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رجاء ابن أبي الضحّاك، في حكاية فعل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يُصلّي الوتيرة في السّفر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السّفر،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كلام المصنّف رحمه الله وغيره، سقوط النّوافل اليوميّة عن المسافر في الأماكن الأربعة، وهو الأقوى‌، إذ مقتضى إطلاق النصوص تعيّن القصر في السّفر، وسقوط النّوافل اليوميّة فيه، والأخبار الدالّة على جواز الإتمام في الأماكن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تقييد إطلاقها من حيث الحكم الأوّل، وأمّا من حيث الحكم الثاني، فلا دليل على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محبوبيّة اكثار الصّلاة في الأماكن الأربعة، واستحباب التطوّع فيها، لا تدلّ على مشروعيّة نوافل النهار كي تقيّد بها المستفيضة المتقدّمة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والعيدان، والكسوف، والزّلزلة، والآيات، والطّواف، والجنائز، والمنذور،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في أوّل كتاب الصّلاة، أنّ الصّلوات الواجبة سبع، وقد عدّها المصنّف ثمانياً، حيثُ قال بعد ذكر الصّلاة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والعيدان، والكُسُوف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للخسوف،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والزّلزلة، والآيات، والطواف، والجنائز، والمنذور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الاختلاف إنّما نشأ من اختلاف الأنظار في دخول بعضٍ وخروجه، وإدراج بعضها في بعضٍ وإخراجه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فسنذكر تفصيل كلّ واحدة منها في مواضعها إنْ شاء اللّه تعالى‌</w:t>
      </w:r>
      <w:r>
        <w:rPr>
          <w:rFonts w:eastAsia="Amiri" w:cs="Amiri" w:ascii="Amiri" w:hAnsi="Amiri"/>
          <w:color w:val="111111"/>
          <w:sz w:val="28"/>
          <w:szCs w:val="28"/>
          <w:rtl w:val="true"/>
          <w:lang w:bidi="ar-SA"/>
        </w:rPr>
        <w:t>.</w:t>
      </w:r>
      <w:bookmarkStart w:id="44" w:name="pg11799_135966"/>
    </w:p>
    <w:p>
      <w:pPr>
        <w:pStyle w:val="Heading4"/>
        <w:numPr>
          <w:ilvl w:val="3"/>
          <w:numId w:val="1"/>
        </w:numPr>
        <w:rPr/>
      </w:pPr>
      <w:bookmarkStart w:id="45" w:name="__RefHeading___Toc10444340_73709187"/>
      <w:bookmarkStart w:id="46" w:name="_Toc17"/>
      <w:bookmarkEnd w:id="44"/>
      <w:bookmarkEnd w:id="45"/>
      <w:r>
        <w:rPr>
          <w:rtl w:val="true"/>
        </w:rPr>
        <w:t>الفصل الثاني</w:t>
      </w:r>
      <w:r>
        <w:rPr>
          <w:rtl w:val="true"/>
        </w:rPr>
        <w:t xml:space="preserve">: </w:t>
      </w:r>
      <w:r>
        <w:rPr>
          <w:rtl w:val="true"/>
        </w:rPr>
        <w:t>في أوقاتها</w:t>
      </w:r>
      <w:bookmarkEnd w:id="46"/>
    </w:p>
    <w:p>
      <w:pPr>
        <w:pStyle w:val="Heading5"/>
        <w:numPr>
          <w:ilvl w:val="4"/>
          <w:numId w:val="1"/>
        </w:numPr>
        <w:rPr/>
      </w:pPr>
      <w:bookmarkStart w:id="47" w:name="__RefHeading___Toc10444342_73709187"/>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وقت الظهرين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مقاديرها، وأحكامها</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0444344_73709187"/>
      <w:bookmarkStart w:id="50" w:name="_Toc19"/>
      <w:bookmarkEnd w:id="49"/>
      <w:r>
        <w:rPr>
          <w:rtl w:val="true"/>
        </w:rPr>
        <w:t>مقاديرها</w:t>
      </w:r>
      <w:bookmarkEnd w:id="50"/>
    </w:p>
    <w:p>
      <w:pPr>
        <w:pStyle w:val="Heading6"/>
        <w:numPr>
          <w:ilvl w:val="5"/>
          <w:numId w:val="1"/>
        </w:numPr>
        <w:rPr/>
      </w:pPr>
      <w:bookmarkStart w:id="51" w:name="__RefHeading___Toc10444346_73709187"/>
      <w:bookmarkStart w:id="52" w:name="_Toc20"/>
      <w:bookmarkEnd w:id="51"/>
      <w:r>
        <w:rPr>
          <w:rtl w:val="true"/>
        </w:rPr>
        <w:t>وقت الظهرين</w:t>
      </w:r>
      <w:bookmarkEnd w:id="52"/>
    </w:p>
    <w:p>
      <w:pPr>
        <w:pStyle w:val="Heading6"/>
        <w:numPr>
          <w:ilvl w:val="5"/>
          <w:numId w:val="1"/>
        </w:numPr>
        <w:rPr/>
      </w:pPr>
      <w:bookmarkStart w:id="53" w:name="__RefHeading___Toc10444348_73709187"/>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ويمتدّ وقتهما إلى أنْ تغرب الشَّمس، بلا خلافٍ فيه في الجملة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0444350_73709187"/>
      <w:bookmarkStart w:id="56" w:name="_Toc22"/>
      <w:bookmarkEnd w:id="55"/>
      <w:r>
        <w:rPr>
          <w:rtl w:val="true"/>
        </w:rPr>
        <w:t>في المبدإ</w:t>
      </w:r>
      <w:bookmarkEnd w:id="56"/>
    </w:p>
    <w:p>
      <w:pPr>
        <w:pStyle w:val="Heading6"/>
        <w:numPr>
          <w:ilvl w:val="5"/>
          <w:numId w:val="1"/>
        </w:numPr>
        <w:rPr/>
      </w:pPr>
      <w:bookmarkStart w:id="57" w:name="__RefHeading___Toc10444352_73709187"/>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دخول وقت الظهرين بالزّوال، علي سبيل الترتيب أو التشريك على الخلاف الآتي، مضافاً إلى الإجماع، والآية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الزّوال كما عن جماعةٍ من اللّغويين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بعض الأخبار الآتية، والنصوص المستفيضة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زالت الشَّمس دَخَل </w:t>
      </w:r>
    </w:p>
    <w:p>
      <w:pPr>
        <w:pStyle w:val="BookText"/>
        <w:rPr/>
      </w:pPr>
      <w:r>
        <w:rPr>
          <w:rFonts w:ascii="IRNazanin" w:hAnsi="IRNazanin" w:eastAsia="IRNazanin"/>
          <w:color w:val="111111"/>
          <w:sz w:val="28"/>
          <w:sz w:val="28"/>
          <w:szCs w:val="28"/>
          <w:rtl w:val="true"/>
          <w:lang w:bidi="fa-IR"/>
        </w:rPr>
        <w:t>الوقتان الظهر والعصر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وقت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والعصر جميعاً، إلّاأنّ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توهّم أن يُعارض هذه الأخبار، إنّما هي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بظاهرها على أنّ وقت الظهر بعد الزّوال بقدمٍ‌، كصحيح إسماعيل ابن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إلّافي يوم الجمعة، أو في السّفر، فإن وقتها حين تزول الشّمس</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سعيد الأعرج</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وقت الظهر يدخل بعد الزّوال بقدمين، على ما في روايةٍ‌، وبذراع على ما في اُخرى‌، وهما واحدٌ كما صرّح به في بعض النصوص، وهذه الطائفة تدلّ على أنّ وقت العصر بعد الزّوال بذراعين وأربعة أقدام، كصحيح زرارة، عن أبي جعفر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الشّمس، ووقت العصر ذراعٌ من وقت الظهر، فذلك أربعة أقدام من زوال الشّمس</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هاتين الطائفتين لا تصلحان لمعارضة النصوص الكثيرة، الصريحة في دخول الوقت بالزّوال، المعتضدة بقول المسلمين وعملهم</w:t>
      </w:r>
      <w:r>
        <w:rPr>
          <w:rStyle w:val="FootnoteAnchor"/>
          <w:rtl w:val="true"/>
        </w:rPr>
        <w:footnoteReference w:id="81"/>
      </w:r>
      <w:r>
        <w:rPr>
          <w:rFonts w:ascii="Amiri" w:hAnsi="Amiri" w:eastAsia="Amiri" w:cs="Amiri"/>
          <w:color w:val="111111"/>
          <w:sz w:val="28"/>
          <w:sz w:val="28"/>
          <w:szCs w:val="28"/>
          <w:rtl w:val="true"/>
          <w:lang w:bidi="ar-SA"/>
        </w:rPr>
        <w:t>، مع قابليّتهما للحمل على ما لا ينافي تلك النصوص، كما ستمرّ عليك، فلا شبهة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تعيين ما اُريد من هاتين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النظر أنّ المراد من الطائفة الأُولى بيان أولى وقت فعلها مترتّبة على النافلة الّتي يقرب زمان فعلها بعد الوضوء من قدم، فكأنّه عليه السلام نبّه بذلك على أنّ مقدار قدمٍ ممّا ينبغي الاشتغال فيه بالنافلة، فالتحديد به لا يكون إلّا من حيث أنّ هذا المقدار من الوقت هو الذي يسع فعل النافلة، وتشهد به النصوص الدالّة على أنّ العبرة بالفراغ من النافلة، كصحيح الحارث بن المغيرة، وابن حَنظلة، وابن حازم،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 إلّاأنّ بين يديها سبحة، وذلك إليك إنْ شئتَ طوّلت وإنْ شئتَ قصّرت</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ما دلّ على أنّ وقت الظهر من أوّل الزّوال، وما دلّ على أنّ وقتها بعد الزّوال بقَدَمٍ‌، وما دلّ على أنّ العبرة بالفراغ من النافلة؛ أنّ وقت الظهر يدخل بالزّوال، إلّاأنّه لأجل مزاحمتها لفعل النافلة، تأخّر زمان أداء الفريضة عن أوّل الوقت بمقدار زمان فعل النافلة، وحيثُ أنّ فعل النافلة مستحبٌّ‌، فيجوز تقديم الظهر والإتيان بها أوّل الزّوال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منها بيان الوقت الذي يختصّ بالفريضة،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تجوز فيه النافلة، وهو إنّما يكون بعد القَدَمين، وأمّا قبل ذلك، فالوقتُ مشتركٌ بينهما، ويشير إلى ذلك ما في بعض أخبار الباب من أنّ جعل الذّراع إنّما يكون لمكان الفريضة</w:t>
      </w:r>
      <w:r>
        <w:rPr>
          <w:rStyle w:val="FootnoteAnchor"/>
          <w:rtl w:val="true"/>
        </w:rPr>
        <w:footnoteReference w:id="83"/>
      </w:r>
      <w:r>
        <w:rPr>
          <w:rFonts w:ascii="Amiri" w:hAnsi="Amiri" w:eastAsia="Amiri" w:cs="Amiri"/>
          <w:color w:val="111111"/>
          <w:sz w:val="28"/>
          <w:sz w:val="28"/>
          <w:szCs w:val="28"/>
          <w:rtl w:val="true"/>
          <w:lang w:bidi="ar-SA"/>
        </w:rPr>
        <w:t>، ويؤيّده ما في بعضها الآخر من أنّ وقت الظهر في الجمعة وفي السّفر إنّما هو بعد الزّوال بلا فصل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في أخبار الباب، يظهر له أنّ هذا المقدار من الوقت إنّما جُعل للنافلة، لدفع مرجوحيّة التطوّع في وقت الفريضة، لا أنّه لا يجوز إتيان الظهر قبله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 w:name="pg11799_135970"/>
    </w:p>
    <w:p>
      <w:pPr>
        <w:pStyle w:val="BookText"/>
        <w:rPr/>
      </w:pPr>
      <w:bookmarkEnd w:id="59"/>
      <w:r>
        <w:rPr>
          <w:rFonts w:ascii="Amiri" w:hAnsi="Amiri" w:eastAsia="Amiri" w:cs="Amiri"/>
          <w:color w:val="111111"/>
          <w:sz w:val="28"/>
          <w:sz w:val="28"/>
          <w:szCs w:val="28"/>
          <w:rtl w:val="true"/>
          <w:lang w:bidi="ar-SA"/>
        </w:rPr>
        <w:t>حتّى يمضي مقدار أربع ركعات ثُمّ يشترك الوقت بينها وبين العصر</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0444354_73709187"/>
      <w:bookmarkStart w:id="61" w:name="_Toc24"/>
      <w:bookmarkEnd w:id="60"/>
      <w:r>
        <w:rPr>
          <w:rtl w:val="true"/>
        </w:rPr>
        <w:t>اختصاص أوّل الوقت بالظهر</w:t>
      </w:r>
      <w:bookmarkEnd w:id="61"/>
    </w:p>
    <w:p>
      <w:pPr>
        <w:pStyle w:val="BookText"/>
        <w:rPr/>
      </w:pPr>
      <w:r>
        <w:rPr>
          <w:rFonts w:ascii="Amiri" w:hAnsi="Amiri" w:eastAsia="Amiri" w:cs="Amiri"/>
          <w:color w:val="111111"/>
          <w:sz w:val="28"/>
          <w:sz w:val="28"/>
          <w:szCs w:val="28"/>
          <w:rtl w:val="true"/>
          <w:lang w:bidi="ar-SA"/>
        </w:rPr>
        <w:t>ثمّ إنّ المشهور بين الأصحاب أنّ أوّل الوقت يختصُّ بالظهر</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يمضي مقدار أربع ركعاتٍ‌، ثمّ يشتركُ الوقت بينها وبين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أتى بالعصر فيه نسياناً أو غفلةً قبل الظهر، أو أنّه دخل في الظهر قبل الزّوال، بتخيّل دخول الوقت، وصلّى العصر بعدها، ثمّ تبيّن أنّه زالت الشّمس بعد الظهر قبل العصر تبطل، ولا يمكن تصحيحها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الصدوقان، وجماعة غيرهما من الفقهاء</w:t>
      </w:r>
      <w:r>
        <w:rPr>
          <w:rStyle w:val="FootnoteAnchor"/>
          <w:rtl w:val="true"/>
        </w:rPr>
        <w:footnoteReference w:id="87"/>
      </w:r>
      <w:r>
        <w:rPr>
          <w:rFonts w:ascii="Amiri" w:hAnsi="Amiri" w:eastAsia="Amiri" w:cs="Amiri"/>
          <w:color w:val="111111"/>
          <w:sz w:val="28"/>
          <w:sz w:val="28"/>
          <w:szCs w:val="28"/>
          <w:rtl w:val="true"/>
          <w:lang w:bidi="ar-SA"/>
        </w:rPr>
        <w:t xml:space="preserve">، وذهبوا إلى أنّه إذا زالت الشّمس دَخَل وقت الظهر والعصر، إلّاأنّ هذه قبل هذه، فلا محالة العالم الملتفت ليس له تقديم العصر، وأمّا لو قدّمها نسياناً أو غفلةً فتصحّ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القول بذلك بين القدماء</w:t>
      </w:r>
      <w:r>
        <w:rPr>
          <w:rStyle w:val="FootnoteAnchor"/>
          <w:rtl w:val="true"/>
        </w:rPr>
        <w:footnoteReference w:id="88"/>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للمشهور باُمور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إيقاع العصر في أوّل الزّوال ممتنعٌ للعامد والناسي، لعدم الإتيان بالمأمور به على وجهه، وانتفاء ما يدلّ على </w:t>
      </w:r>
    </w:p>
    <w:p>
      <w:pPr>
        <w:pStyle w:val="BookText"/>
        <w:rPr/>
      </w:pPr>
      <w:r>
        <w:rPr>
          <w:rFonts w:ascii="Amiri" w:hAnsi="Amiri" w:eastAsia="Amiri" w:cs="Amiri"/>
          <w:color w:val="111111"/>
          <w:sz w:val="28"/>
          <w:sz w:val="28"/>
          <w:szCs w:val="28"/>
          <w:rtl w:val="true"/>
          <w:lang w:bidi="ar-SA"/>
        </w:rPr>
        <w:t>صحّته مع المخالفة، وإذا امتنع وقوع العصر عند الزّوال، انتفى كون ذلك وقتاً لها، إذ لا معنى لوقت الفريضة إلّاما جاز إيقاعها فيه، ولو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دورٌ واضح، إذ بطلان العصر للنّاسي يتوقّف على القول بالاختصاص، وإلّا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فإثبات الاختصاص به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حكايةً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ملخّصاً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وملخّصه أنّ القول باشتراك الوقت حين الزّوال بين الصلاتين، مستلزمٌ لأحد الباطلين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تكليفُ ما لا يُطاق، أو خرق الإجماع،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يقع حينئذٍ بالعبادتين معاً أو بإحداهما لا بعينها، أو بواحدةٍ معيّنة، والثالثُ خلاف فرض الاشتراك، فيتعيّن أحد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المعيّنة إن كانت هي الظهر يثبت المطلوب، وإنْ كان هي العصر، لزم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الأوّل يلزم تكليفُ ما لا يطاق، وعلى الثاني يلزم خَرق الإجماع، إذ لا خلاف في أنّ الظهر مرادة بعينها حين الزّوال، لا لأنّها أحد الفعلين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بهما معاً لا يكون مُحالاً، لأنّ الوقت يسع الجميع، فاللّازم على المكلّف في الفرض الإتيان بهما جميعاً، مخيّراً في البدئة بأيّتهما شاء، لكن لا يجوز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فيما نحن فيه،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قبل هذه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وحيثُ أنّه مختصٌّ بحال التذكّر، ففي حال النسيان نلتزم بأنّ المأمور به في أوّل الوقت ليس الظهر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للإجماع،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هو بالنسبة إلى الملتفت المتذكّر، وهو غير مستلزمٍ للاختصاص، إذ القائلون بالاشتراك لا ينكرون لزوم الإتيان بالظهر تعييناً في أوّل الزّوال للمتذكّر، ومحلّ الخلاف إنّما هو في صورة النسيان، ولا إجماع على عدم الأمر بهما مخيّراً في البدئة بأيّتهما شاء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الناسي بخصوصه في أوّل الوقت بالعصر غير معقول، إذ الناسي إنْ التفتَ إلى نسيانه إنقلب إلى الذاكر، وإلّا فلا يمكن انبعاثه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بالعصر متوجّهٌ إلى عامّة المكلّفين، إلّاأنّه يشترط ترتّبها على الظهر،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وشرطيّة الترتيب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بحال الذُّكر، وعليه فالناسي وإنْ كان غير ملتفتٍ إلى نسيانه، إلّا أنّه ملتفتٌ إلى أنّ ما يأتي به، إنّما يأتي به بما هو مأمورٌ به، وهذا المقدار كافٍ في صحّة العمل، وإنْ لم يكن الآتي ملتفتاً إلى كيفيّة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سُلّم عدم معقوليّة تكليف الناسي والغافل بإيقاع العصر في أوّل الوقت، لكن يكفي في صحّة العبادة إتيانها بداعي المحبوبيّة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الوارد في جملةٍ من الروايات،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استثناءٌ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الظاهر من الاستثناء كونه متّصلاً لا منقطعاً، فيدلّ على أنّ دخول الوقتين بالزّوال إنّما يكون على سبيل الترتيب، وأنّ ما ذُكر من دخولهما به إنّما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باعتبار المجموع، فبمقدار أداء الظهر يكون الوقت مختصّاً بها، وبعده يدخل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لا يكون متّصلاً، وإلّا كان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وقت هذه قبل وقت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منه مجرّد الترتيب، فتكون هذه الجملة مسوقة لدفع توهّم جواز البدئة بكلٍّ من الصلاتين، بمقتضى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النصوص تدلّ على الاشتراك، لا سيّما مع اشتمال بعضها على ما لا يمكن حمله على ما ذُكر، كمصحّح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الظهر والعصر جميعاً، إلّاأنّ هذه قبل هذه</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هذا الخبر وما ضاهاه كالنصّ في إرادة دخول وقت العصر أيضاً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الاستثناء إنّما يكون مسوقاً لدفع توهّم جواز البدئة بكلٍّ من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داود بن فرقد، عن بعض أصحابنا،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 حتّى يمضي مقدار ما يُصلّي المصلّي أربع ركعات، فإذا مضى مقدار ذلك، فقد دَخَل وقت الظهر والعصر، حتّى يبقى من الشّمس مقدار ما يُصلّي أربع ركعات، فإذا بقي مقدار ذلك، فقد خرج وقت الظهر، وبقي وقت العصر، حتّى تغيب الشّمس</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لظهوره في مدّعى المشهور، قد اشتهر الاستدلال به، وبه يقيّد إطلاق الأخبار المتقدّمة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بأنّ سنده صحيحٌ إلى الحسن بن فضّال،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وبنو فضّال ممّن اُمرنا بأخذ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بأخذ الرواية منهم إنّما يدلّ على أنّ إعوجاج مذهبهم لا يضرّ بوثاقتهم في النقل، وأمّا أنّ من ينقلون عنه الذي هو مجهولٌ‌عندنا فلايدلّ عليتوثيقه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السند مجبورٌ بعمل الأصحاب، واشتهار التمسّك به، لا سيّما بما في ذيله من اختصاص مقدار أربع ركعات قبل انتصاف اللّيل بالعشاء الآخرة، حيثُ أنّ الأصحاب أفتوا على طبقه، ولا مدرك لهم سوى هذا المرسل، فهو من حيث السند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فلا ريب أيضاً في ظهوره في الاختصاص،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الجمع بينه وبين النصوص المتقدّمة، التي عرفت أنّها صريحة في دخول وقت العصر أيضاً بالزّوال، وعدم اختصاص أوّل الوقت بالظهر، وما ذكر من تقييدها بالمرسل غير صحيحٍ‌،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النظر في مقام الجمع، أنّ المرسل وإنْ كان ظاهراً في الاختصاص، إلّاأنّه لأظهريّة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الاشتراك، يُحمل على دخول الوقت الفعلي، بملاحظة اعتبار الترتيب بين الصلاتين، بمعنى أنّ مقدار أربع ركعات من أوّل الزّوال مختصٌّ بالظهر من حيث الخروج عن عهدتها، وأمّا بعده فالوقتُ مشتركٌ‌، ويجوز للمكلّف الخروج عن عهدة الظهر بتأخيرها إلى ذلك الوقت وإتيانها فيه، وله تقديمها عليه، وإيقاع العصر فيه، وهذا المعنى لا ينافي صلاحيّة أوّل الوقت لوقوع العصر فيه في بعض الفروض النادرة، مثل صورة النسيان والغفلة، وبذلك يرتفع التعارض بين الأخبار، ويثبت القول بالاشتراك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عمّا ذكرناه،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جمعاً عرفيّاً، فحيثُ لا يمكن الجمع بنحوٍ </w:t>
      </w:r>
    </w:p>
    <w:p>
      <w:pPr>
        <w:pStyle w:val="BookText"/>
        <w:rPr/>
      </w:pPr>
      <w:r>
        <w:rPr>
          <w:rFonts w:ascii="Amiri" w:hAnsi="Amiri" w:eastAsia="Amiri" w:cs="Amiri"/>
          <w:color w:val="111111"/>
          <w:sz w:val="28"/>
          <w:sz w:val="28"/>
          <w:szCs w:val="28"/>
          <w:rtl w:val="true"/>
          <w:lang w:bidi="ar-SA"/>
        </w:rPr>
        <w:t>آخر، فلابدّ من الرجوع إلى المرجّحات، والترجيح مع تلك النصوص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وقع العصر في ذلك الوقت على وجهٍ كانت شرطيّة الترتيب بين الصلاتين ساقطة، كما في صورة النسيان، تقع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بل قد عرفت أنّ مقتضى الأخبار صلاحيّة أوّل الوقت لوقوع العصر فيه، وأنّ اعتبار الترتيب مانعٌ عن الفعليّة، ففي الفروض التي يسقط الترتيب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 صلاة العصر الواقعة في أوّل الوقت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من حيث المبدأ</w:t>
      </w:r>
      <w:r>
        <w:rPr>
          <w:rFonts w:eastAsia="Amiri" w:cs="Amiri" w:ascii="Amiri" w:hAnsi="Amiri"/>
          <w:color w:val="111111"/>
          <w:sz w:val="28"/>
          <w:szCs w:val="28"/>
          <w:rtl w:val="true"/>
          <w:lang w:bidi="ar-SA"/>
        </w:rPr>
        <w:t>.</w:t>
      </w:r>
      <w:bookmarkStart w:id="62" w:name="pg11799_135976"/>
    </w:p>
    <w:p>
      <w:pPr>
        <w:pStyle w:val="BookText"/>
        <w:rPr/>
      </w:pPr>
      <w:bookmarkEnd w:id="62"/>
      <w:r>
        <w:rPr>
          <w:rFonts w:ascii="Amiri" w:hAnsi="Amiri" w:eastAsia="Amiri" w:cs="Amiri"/>
          <w:color w:val="111111"/>
          <w:sz w:val="28"/>
          <w:sz w:val="28"/>
          <w:szCs w:val="28"/>
          <w:rtl w:val="true"/>
          <w:lang w:bidi="ar-SA"/>
        </w:rPr>
        <w:t>إلى أنْ يبقى لغروبِ الشّمس مقدارُ أربع ركعاتٍ‌، فيختصّ بالعصر</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0444356_73709187"/>
      <w:bookmarkStart w:id="64" w:name="_Toc25"/>
      <w:bookmarkEnd w:id="63"/>
      <w:r>
        <w:rPr>
          <w:rtl w:val="true"/>
        </w:rPr>
        <w:t>آخر وقت الظُّهرين</w:t>
      </w:r>
      <w:bookmarkEnd w:id="64"/>
    </w:p>
    <w:p>
      <w:pPr>
        <w:pStyle w:val="Heading6"/>
        <w:numPr>
          <w:ilvl w:val="5"/>
          <w:numId w:val="1"/>
        </w:numPr>
        <w:rPr/>
      </w:pPr>
      <w:bookmarkStart w:id="65" w:name="__RefHeading___Toc10444358_73709187"/>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فيمتدّ وقتهما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يبقى لغروب الشَّمس مقدارُ أربع ركعاتٍ فيختصّ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التكليف بها يصيرُ فعليّاً ومنجّزاً فيه، ولو لم يأتِ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الإتيان بالظهر فيه في حال الذُّكر، لا أنّ الوقت غير صالحٍ لوقوعها فيه، خلافاً لما عن المشهور من عدم قابليّة الوقت لوقوعها فيه ولو في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موردين</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0444360_73709187"/>
      <w:bookmarkStart w:id="68" w:name="_Toc27"/>
      <w:bookmarkEnd w:id="67"/>
      <w:r>
        <w:rPr>
          <w:rtl w:val="true"/>
        </w:rPr>
        <w:t>امتداد وقت الظهرين إلى الغروب</w:t>
      </w:r>
      <w:bookmarkEnd w:id="68"/>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w:t>
      </w:r>
      <w:r>
        <w:rPr>
          <w:rStyle w:val="FootnoteAnchor"/>
          <w:rtl w:val="true"/>
        </w:rPr>
        <w:footnoteReference w:id="96"/>
      </w:r>
      <w:r>
        <w:rPr>
          <w:rFonts w:ascii="Amiri" w:hAnsi="Amiri" w:eastAsia="Amiri" w:cs="Amiri"/>
          <w:color w:val="111111"/>
          <w:sz w:val="28"/>
          <w:sz w:val="28"/>
          <w:szCs w:val="28"/>
          <w:rtl w:val="true"/>
          <w:lang w:bidi="ar-SA"/>
        </w:rPr>
        <w:t>هو امتداد وقت الظهرين إلى الغروب، الذي هو أوّل وقت العشائين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الظهر للمختار، بصيرورة الظِّل مثل الشاخص، والعصر بصيرورته مثليه، والمضطرّ وذو الأعذار يمتدّ الوقت لهما إلى الغروب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ما عن</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وسلّار، وابن حمزة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الظهر للمختار بالذّراع، وانتهاء وقت العصر بذراعين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وقته بأربعة أسباع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الاختلاف اختلاف ظواهر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مذهب المشهور نصوصٌ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داود</w:t>
      </w:r>
      <w:r>
        <w:rPr>
          <w:rStyle w:val="FootnoteAnchor"/>
          <w:rtl w:val="true"/>
        </w:rPr>
        <w:footnoteReference w:id="104"/>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الصلاتين الظهر والعصر جميعاً، إلّاأنّ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1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افترض أربع صلواتٍ أوّل وقتها من زوال الشّمس إلى انتصاف اللّيل، منها صلاتان أوّل وقتهما من عند زوال الشّمس إلى غروب الشّمس</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خبر زرارة وغيره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وقتان، وأوّل الوقتين أفضلهما، ولا ينبغي تأخير ذلك عمداً، ولكنّه وقت من شُغل أو نسى أو سهى أو نام، وليس لأحدٍ أن يجعل آخر الوقتين وقتاً إلّامن عذر أو علّة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مرسلاً عنه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الصّلاة عن أوّل الوقت لغير عُذرٍ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الخبرين على هذا القول، تتوقّف على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الأوّل، كما هو الظاهر منهما، وأنْ يكون هو للظهر صيرورة ظِلّ كلّ شيء مثله، وللعصر صيرورته مثليه، وهو كذلك كما تدلّ عليه جملة من النصوص، كصحيح أحمد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الظهر والعصر؟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للظهر، وقامة للعصر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غيره، وستعرف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الشاخص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قصور الصحيح دلالةً‌، والمرسل سنداً، إذ قوله عليه السلام في الصحيح</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عدم جواز التأخير، لكن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الوقتين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فإنّ مقتضى ذلك مشاركة الوقت الثاني له في أصل الفضيلة، وكذا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تأخير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عدم حرمة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المتقدّمة الدالّة على مذهب المشهور، صريحة في امتدادً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 للمختار إلى الغروب، ولا يمكن حملها على المضطرّ وذي العذر، إذ المتبادر من تحديد وقت الواجبات، ليس إلّاالوقت الذي يجوز الإتيان فيه إختياراً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المنسبق إلى الذهن منه، كون الوقت وقتاً للعمل من حيث هو، لا بشرط الاضطرار والعُذر، وهذا بخلاف ما استدلّ به لهذا القول، فإنّه يمكن حمله على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وعدم إمكان الجمع بينهما بما ذكرناه، فإنّه لابدَّ من الرجوع إلى المرجّحات، والترجيح مع تلك النصوص لوجوه غير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الجواب عمّا استدلّ به للقول بانتهاء وقت الظهر بأربعة أسباع، وهو خبر إبراهيم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يمضي أربعة أقدام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لابدَّ من حمله على وقت الفضيلة، والاختلاف بين الطائفتين محمولٌ على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للقول بانتهاء وقتها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بعضه دخول الوقت بعده، لا كونه وقتاً،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على الذّراع</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 محمولٌ على ذلك بقرينة ما فيه من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تطوّعٌ في وقت فريضة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9" w:name="pg11799_135980"/>
    </w:p>
    <w:p>
      <w:pPr>
        <w:pStyle w:val="BookText"/>
        <w:rPr/>
      </w:pPr>
      <w:bookmarkEnd w:id="69"/>
      <w:r>
        <w:rPr>
          <w:rFonts w:ascii="Amiri" w:hAnsi="Amiri" w:eastAsia="Amiri" w:cs="Amiri"/>
          <w:color w:val="111111"/>
          <w:sz w:val="28"/>
          <w:sz w:val="28"/>
          <w:szCs w:val="28"/>
          <w:rtl w:val="true"/>
          <w:lang w:bidi="ar-SA"/>
        </w:rPr>
        <w:t>فتحصّل من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الظهرين للمختار يمتدّ إلى الغروب، وأنّ انتهاء الوقت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ببلوغ الظلّ مثل الشاخص، وللعصر بالمثلين</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0444362_73709187"/>
      <w:bookmarkStart w:id="71" w:name="_Toc28"/>
      <w:bookmarkEnd w:id="70"/>
      <w:r>
        <w:rPr>
          <w:rtl w:val="true"/>
        </w:rPr>
        <w:t>اختصاص آخر الوقت بالعَصر</w:t>
      </w:r>
      <w:bookmarkEnd w:id="7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آخر النهار بالعصر بمقدار أدائها، ويدلّ عليه مرسل داود المتقدّم</w:t>
      </w:r>
      <w:r>
        <w:rPr>
          <w:rStyle w:val="FootnoteAnchor"/>
          <w:rtl w:val="true"/>
        </w:rPr>
        <w:footnoteReference w:id="117"/>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والعصر، ثمّ ذكر عند غروب الشّمس‌؟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لا يخاف فوت إحداهما، فليصلِّ الظهر، ثمّ ليصلِّ العصر، وإنْ هو خاف أن يفوته، فليبدأ بالعصر، ولا يؤخّرها فيكون قد فاتتاه جميعاً، ولكن يُصلّي العصر فيما قد بقى من وقتها، ثمّ ليصلِّ الأُولى بعد ذلك على أثرها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غاية ما يدلّ عليه الصحيح، عدم كون آخر الوقت وقتاً للظهر لدى المزاحمة، وفي حال الذُّكر والالتفات، وعدم الإتيان بالعصر، وأمّا عدم صلاحيّته رأساً لفعلها حتّى على تقدير البراءة من العصر، كما لو أتى بها في الوقت المشترك على وجهٍ صحيح، أو تخيّل الإتيان بها، أو نسى عنها فلا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المرسل، وإنْ كان ظاهره الاختصاص بالمعنى المنسوب إلى المشهور، إلّا أنّه لابدّ من حمله على ما ذكرناه، لصحيح عبيد المتقدّم</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زالَت الشّمس فَقَد </w:t>
      </w:r>
    </w:p>
    <w:p>
      <w:pPr>
        <w:pStyle w:val="BookText"/>
        <w:rPr/>
      </w:pPr>
      <w:r>
        <w:rPr>
          <w:rFonts w:ascii="Amiri" w:hAnsi="Amiri" w:eastAsia="Amiri" w:cs="Amiri"/>
          <w:color w:val="111111"/>
          <w:sz w:val="28"/>
          <w:sz w:val="28"/>
          <w:szCs w:val="28"/>
          <w:rtl w:val="true"/>
          <w:lang w:bidi="ar-SA"/>
        </w:rPr>
        <w:t>دَخَل وقت الظهر والعصر جميعاً، إلّاأنّ هذه قبل هذه، ثمّ أنتَ في وقتٍ منهما جميعاً 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بقاء وقت الظهر إلى الغروب، وأنّ نسبة جميع أجزاء الوقت إلى كلّ واحدة من الصلاتين نسبة واحدة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بعض أعاظم المحقّقين</w:t>
      </w:r>
      <w:r>
        <w:rPr>
          <w:rStyle w:val="FootnoteAnchor"/>
          <w:rtl w:val="true"/>
        </w:rPr>
        <w:footnoteReference w:id="120"/>
      </w:r>
      <w:r>
        <w:rPr>
          <w:rFonts w:ascii="Amiri" w:hAnsi="Amiri" w:eastAsia="Amiri" w:cs="Amiri"/>
          <w:color w:val="111111"/>
          <w:sz w:val="28"/>
          <w:sz w:val="28"/>
          <w:szCs w:val="28"/>
          <w:rtl w:val="true"/>
          <w:lang w:bidi="ar-SA"/>
        </w:rPr>
        <w:t>للزوم إتيان العصر، إذا بقي مقدار أدائها قبل مغيب الشّمس، بقوله عليه السلام في الأخبار المتقدّمة</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كما يدلّ بالالتزام العقلي على امتناع تعلّق الأمر بفعل العصر في أوّل الوقت، مع كونه مكلّفاً بإيقاع الظهر قبلها، كذلك يدلّ على امتناع تعلّقه بفعل الظهر في آخر الوقت، مع كونه مكلّفاً بإيقاع العصر بعدها، فلو تعلّق أمرٌ مطلقٌ مثلاً بصلاة الظهر من الزّوال إلى الغروب على سبيل التوسعة، ثمّ وَرَد أمرٌ آخر بإيقاع العصر بعدها، لوجب تقييد كلّ من الأمرين بالآخر، وجعلهما بمنزلة أمرٍ واحد متعلّق بكلا الفعلين على سبيل الترتيب، فلو تركهما حتّى لم يبق من الوقت إلّامقدار أداء أحدهما، فقد فاتت الظهر، إذ لا يعقل بقاء أمرها مع الأمر بإيقاع العصر بعدها قبل أن تغيب الشّمس، فلابدّ من الإتيان بالعصر لبقاء وقتها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تدلّ على اشتراط العصر بوقوع الظهر قبلها، لا اشتراط الظهر بوقوع العصر بعدها، ولذا لو أتى بالظهر خاصّة، فإنّه لا شبهة في سقوط أمرها، فحينئذٍ لو لم يبق من الوقت إلّابمقدار أداء إحدى الصلاتين، فلا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محالة يسقط الأمر بإحداهما، وحيثُ أنّ أمر الظهر مطلق غير مشروط بشيء، والوقت صالحٌ لوقوعها فيه، والعصر مشروطة بوقوع الظهر قبلها، ولا يمكن تحصيل الشرط، فيكون الساقط هو الأمر بالعصر، فالصحيح هو التمسّك بصحيح الحلبي ومرسل ابن فرقد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أنّه على القول بالاختصاص بالمعنى المختار، لو أتى بالعصر في الوقت المشترك، على وجهٍ صحيح، بأن نَسى الأُولى أو صلّاها ثمّ انكشف فسادها، جاز له الإتيان بالظهر فيه وتقع أداءً‌، بل يصحّ الإتيان بالظهر فيه، وتقع أداءً حتّى مع تنجّز التكليف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القول بصحّة الترتّب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عدمه، فلكفاية الإتيان بها بداعي المحبوبيّة، بل بناءً على القول بالاختصاص بمعنى خروج وقت الظهر رأساً، يمكن تصحيح الظهر الواقعة فيه قضاءً‌، إمّا بالترتّب أو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مايدلّ على الاختصاص، يدلّ علي عدم صحّة الشريكة فيه أداءً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يدلّ على كونه وقتاً للعصر كسائر أدلّة التوقيت، ولا نظر له إلى بطلان الشريكة، وعدم صحّتها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العُذر المانع من الصّلاة في أثناء الوقت المشترك بمقدار صلاة واحدة، ثمّ حَدَث ثانياً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الإتيان بالاُولى كما قيل، لأنّ ذلك الوقت أوّل وقتٍ يكون مأموراً بالصّلاة، فيختصّ بالاُولى؟ن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يجبُ الإتيان بالثانية، لأنّه آخر وقتٍ يمكنه إيقاع الصّلاة فيه‌؟</w:t>
      </w:r>
    </w:p>
    <w:p>
      <w:pPr>
        <w:pStyle w:val="BookText"/>
        <w:rPr/>
      </w:pPr>
      <w:r>
        <w:rPr>
          <w:rFonts w:ascii="Amiri" w:hAnsi="Amiri" w:eastAsia="Amiri" w:cs="Amiri"/>
          <w:color w:val="111111"/>
          <w:sz w:val="28"/>
          <w:sz w:val="28"/>
          <w:szCs w:val="28"/>
          <w:rtl w:val="true"/>
          <w:lang w:bidi="ar-SA"/>
        </w:rPr>
        <w:t>أو يكون مخيّراً بينهما؟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الأوّل، لا لما ذُكر، لأنّه يرد عليه أنّ ما دلّ على الاختصاص دلّ على اختصاص أوّل الوقت، الذي جُعل في أصل الشرع وهو الزّوال، لا أوّل الوقت بالنسبة إلى تكليف هذا الشخص، وبهذا يظهر الجواب عمّا استدلّ به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الوقت صالحٌ لوقوع كلّ منهما فيه، ولكن الظهر مطلقة والعصر مشروطة بوقوع الظهر قبلها، فلا محالة ينجّز الأمر بالظهر، ويسقط الأمربالعصر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الترتيب عن مثل الفرض كما ترى‌</w:t>
      </w:r>
      <w:r>
        <w:rPr>
          <w:rFonts w:eastAsia="Amiri" w:cs="Amiri" w:ascii="Amiri" w:hAnsi="Amiri"/>
          <w:color w:val="111111"/>
          <w:sz w:val="28"/>
          <w:szCs w:val="28"/>
          <w:rtl w:val="true"/>
          <w:lang w:bidi="ar-SA"/>
        </w:rPr>
        <w:t>.</w:t>
      </w:r>
      <w:bookmarkStart w:id="72" w:name="pg11799_135984"/>
    </w:p>
    <w:p>
      <w:pPr>
        <w:pStyle w:val="BookText"/>
        <w:rPr/>
      </w:pPr>
      <w:bookmarkEnd w:id="72"/>
      <w:r>
        <w:rPr>
          <w:rFonts w:ascii="Amiri" w:hAnsi="Amiri" w:eastAsia="Amiri" w:cs="Amiri"/>
          <w:color w:val="111111"/>
          <w:sz w:val="28"/>
          <w:sz w:val="28"/>
          <w:szCs w:val="28"/>
          <w:rtl w:val="true"/>
          <w:lang w:bidi="ar-SA"/>
        </w:rPr>
        <w:t>وإذا غَرُبتِ الشّمس، وحَدّه غَيبوبة الحُمرة المشرقيّة، دَخَل وقت المغرب إلى أن يمضي مقدار أدائها، ثمّ يشتركُ الوقت بينها وبين العشاء، إلى أن يبقى لإنتصاف اللّيل مقدارُ أربعٍ‌، فيختصُّ بالعشاء</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0444364_73709187"/>
      <w:bookmarkStart w:id="74" w:name="_Toc29"/>
      <w:bookmarkEnd w:id="73"/>
      <w:r>
        <w:rPr>
          <w:rtl w:val="true"/>
        </w:rPr>
        <w:t>أوّل وقت المغرب والعشاء</w:t>
      </w:r>
      <w:bookmarkEnd w:id="74"/>
    </w:p>
    <w:p>
      <w:pPr>
        <w:pStyle w:val="Heading6"/>
        <w:numPr>
          <w:ilvl w:val="5"/>
          <w:numId w:val="1"/>
        </w:numPr>
        <w:rPr/>
      </w:pPr>
      <w:bookmarkStart w:id="75" w:name="__RefHeading___Toc10444366_73709187"/>
      <w:bookmarkStart w:id="76" w:name="_Toc30"/>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 حَدّه غَيبوبة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واستتار القرص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وقت المغرب، إلى أن يمضي مقدار أدائها، ثمّ يشتركُ الوقت بينها وبين العشاء إلى أن يبقى لإنتصاف اللّيل مقدار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بالعشاء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المضطرّ وذو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فيمتدُّ وقتهما لهما إلى طلوع الفجر</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0444368_73709187"/>
      <w:bookmarkStart w:id="78" w:name="_Toc31"/>
      <w:bookmarkEnd w:id="77"/>
      <w:r>
        <w:rPr>
          <w:rtl w:val="true"/>
        </w:rPr>
        <w:t>أمور</w:t>
      </w:r>
      <w:r>
        <w:rPr>
          <w:rtl w:val="true"/>
        </w:rPr>
        <w:t>:</w:t>
      </w:r>
      <w:bookmarkEnd w:id="78"/>
    </w:p>
    <w:p>
      <w:pPr>
        <w:pStyle w:val="Heading6"/>
        <w:numPr>
          <w:ilvl w:val="5"/>
          <w:numId w:val="1"/>
        </w:numPr>
        <w:rPr/>
      </w:pPr>
      <w:bookmarkStart w:id="79" w:name="__RefHeading___Toc10444370_73709187"/>
      <w:bookmarkStart w:id="80" w:name="_Toc32"/>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اُمور ينبغي التعرّض لها</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0444372_73709187"/>
      <w:bookmarkStart w:id="82" w:name="_Toc33"/>
      <w:bookmarkEnd w:id="81"/>
      <w:r>
        <w:rPr>
          <w:rtl w:val="true"/>
        </w:rPr>
        <w:t>لا ريب في دخول وقتهما بالغروب في الجملة</w:t>
      </w:r>
      <w:bookmarkEnd w:id="8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دخول وقتهما بالغروب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المتواترة، كصحيح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لا كلام فيه، وإنّما الخلاف في تحديد الغروب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w:t>
      </w:r>
      <w:r>
        <w:rPr>
          <w:rStyle w:val="FootnoteAnchor"/>
          <w:rtl w:val="true"/>
        </w:rPr>
        <w:footnoteReference w:id="125"/>
      </w:r>
      <w:r>
        <w:rPr>
          <w:rFonts w:ascii="Amiri" w:hAnsi="Amiri" w:eastAsia="Amiri" w:cs="Amiri"/>
          <w:color w:val="111111"/>
          <w:sz w:val="28"/>
          <w:sz w:val="28"/>
          <w:szCs w:val="28"/>
          <w:rtl w:val="true"/>
          <w:lang w:bidi="ar-SA"/>
        </w:rPr>
        <w:t xml:space="preserve">تحديده بذهاب الحُمرة المشرقيّة عن سمت الرأس، والظاهر </w:t>
      </w:r>
    </w:p>
    <w:p>
      <w:pPr>
        <w:pStyle w:val="BookText"/>
        <w:rPr/>
      </w:pPr>
      <w:r>
        <w:rPr>
          <w:rFonts w:ascii="Amiri" w:hAnsi="Amiri" w:eastAsia="Amiri" w:cs="Amiri"/>
          <w:color w:val="111111"/>
          <w:sz w:val="28"/>
          <w:sz w:val="28"/>
          <w:szCs w:val="28"/>
          <w:rtl w:val="true"/>
          <w:lang w:bidi="ar-SA"/>
        </w:rPr>
        <w:t xml:space="preserve">أنّه ليس مرادهم بذلك كون المراد من غروب الشّمس غروبها عن اُفق المصلّي، ويكون زوال الحُمرة علامةً له، ليكون مرجعاً عند الشكّ‌، بل مرادهم تحديد الغروب بذهاب الحُمرة،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الشّمس تحت الاُفق إلى حَدٍّ يقارن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القدماء، كالصدوق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وابن أبي عقيل</w:t>
      </w:r>
      <w:r>
        <w:rPr>
          <w:rStyle w:val="FootnoteAnchor"/>
          <w:rtl w:val="true"/>
        </w:rPr>
        <w:footnoteReference w:id="129"/>
      </w:r>
      <w:r>
        <w:rPr>
          <w:rFonts w:ascii="IRNazanin" w:hAnsi="IRNazanin" w:eastAsia="IRNazanin"/>
          <w:color w:val="111111"/>
          <w:sz w:val="28"/>
          <w:sz w:val="28"/>
          <w:szCs w:val="28"/>
          <w:rtl w:val="true"/>
          <w:lang w:bidi="fa-IR"/>
        </w:rPr>
        <w:t>، والمرتضى</w:t>
      </w:r>
      <w:r>
        <w:rPr>
          <w:rStyle w:val="FootnoteAnchor"/>
          <w:rtl w:val="true"/>
        </w:rPr>
        <w:footnoteReference w:id="130"/>
      </w:r>
      <w:r>
        <w:rPr>
          <w:rFonts w:ascii="Amiri" w:hAnsi="Amiri" w:eastAsia="Amiri" w:cs="Amiri"/>
          <w:color w:val="111111"/>
          <w:sz w:val="28"/>
          <w:sz w:val="28"/>
          <w:szCs w:val="28"/>
          <w:rtl w:val="true"/>
          <w:lang w:bidi="ar-SA"/>
        </w:rPr>
        <w:t>، وجماعةٍ من المتأخّرين</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بإستتار القرص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القول إلى أكثر الطبقة الثالثة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وجه لطرح الأخبار الظاهرة في هذا القول، أو حملها على التقيّة أو نحوها، بل لابدّ من ملاحظة الروايات والجمع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بُريد بن معاوية،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غابت الحُمرة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وغربها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يدلّ على أنّ غيبوبة الشّمس التي جُعلت موضوعاً للحكم، هي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يلازم زوال الحُمرة من ناحية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فسّر الجانب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المشرق هو خصوص المحلّ الذي تطلع منه الشّمس، وهو الاُفق، لأربع الفلك، ومعلومٌ أنّ زوال الحُمرة عن الاُفق إنّما يكون في أوّل استتار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ستعرف ليست غيبوبة الشّمس بنفسها مجملة، بل هي واضحة مبيّنة، وعبارة عن استتار القرص في الاُفق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علي بن أحمد بن أشيم،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ذهبت الحُمرة من المشرق، وتدري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المشرق مُطلٌّ على المغرب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يمينه فوق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هنا ذهبت الحُمرة من هاهنا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صدره في إرادة الغروب بالمرتبة المقارنة لذهاب الحُمرة، وكذلك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المرسل أظهر من ما قبله في المعنى الذي ذكرناه، لأنّه عليه السلام بيّن فيه ما قلناه بالتعليل، كما يظهر لمَن 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شُريح،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المغرب‌؟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الحُمرة في الاُفق، وذهبت الصُّفرة، وقبل أن تشتبك النجوم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بعدما أحطت خُبراً بما ذكرناه في الخبرين المتقدّمين، تعرف عدم دلالته على هذا القول، بل هو ظاهرٌ في القول الآخر، لملازمة تغيّر الحُمرة في الاُفق مع استتار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عدم دلالة 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أبا الخطّاب أن يُصلّي المغرب حين زالت الحُمرة من مطلع الشّمس، فجعل هو الحُمرة التي من قبل المغرب</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على هذا القول، بل هو أيضاً يدلّ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عدم صحّة الاستدلال لهذا القول، بالنصوص الواردة في الإفاضة من عرفات، المحدودة بغروب الشّمس، كموثّق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الإفاضة من عرفات‌؟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يعني 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بيده إلى المشرق وإلى مطلع الشّمس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لما عرفت من أنّ ذهاب الحُمرة من المشرق، ومن مَطْلَع الشّمس، ملازمٌ لإستتار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عدم دلالة خبر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صحبتُ الرِّضا عليه السلام فرأيته يُصلّي المغرب إذا أقبلت الفحمة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السواد</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دخول الوقت ببدوّ الأنجم،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وقت إفطار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تبدو ثلاثة أنجم</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الأنجم أيضاً ملازمٌ للإستتار، كما يشهد له خبر زرارة الصريح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أيُّ ساعةٍ كان رسول اللّه صلى الله عليه و آله يوتر؟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مغيب الشّمس إلى صلاة المغرب</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انفصال وقت الصّلاة عن مغيب الشّمس بمقدارٍ يسَع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أنّه يمكن أن يكون الفصل لأجل السعي إلى المسجد والأذان والإقامة، فلا يدلّ الخبر على تأخّر وقتها عن 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عبد اللّه بن وضّاح، إلى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القرص، ويُقبل اللّيل، ثمّ يزيد اللّيل ارتفاعاً وتستر عنّا الشّمس، وترتفع فوق الجبل حُمرة، ويؤذّن عندنا المؤذِّن، أفاُصلي وأفطر إنْ كنت صائماً، أو أنتظر حتّى تذهب الحُمرة التي فوق الجبل‌؟</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حتّي تذهب الحُمرة، و تأخذ بالحائطة لدينك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الحُمرة الّتي ترتفع فوق الجبل، في الحُمرة المشرقيّة، إذ يحتمل أن يكون المراد منها الصّفرة الحاصلة في الأماكن العالية عند اشراف الغروب، أو الحُمرة العارضة الموجبة للشكّ في استتار القرص في الاُفق، فيكون الأمر بالاحتياط لأجل كون الشُّبهة موضوعيّة، كما يشهد له التعبير بالاحتياط، إذ لو كانت الشُّبهة حكميّة كان عليه بيان الحكم لا الأمر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عن وجوب التأخير واقعاً تعبّداً،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تأخذ بالحائطة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التقيّة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شاهد عليها، مع أنّ الأمر بالاحتياط أيضاً مخالف للتقيّة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w:t>
      </w:r>
      <w:r>
        <w:rPr>
          <w:rStyle w:val="FootnoteAnchor"/>
          <w:rtl w:val="true"/>
        </w:rPr>
        <w:footnoteReference w:id="142"/>
      </w:r>
      <w:r>
        <w:rPr>
          <w:rFonts w:ascii="Amiri" w:hAnsi="Amiri" w:eastAsia="Amiri" w:cs="Amiri"/>
          <w:color w:val="111111"/>
          <w:sz w:val="28"/>
          <w:sz w:val="28"/>
          <w:szCs w:val="28"/>
          <w:rtl w:val="true"/>
          <w:lang w:bidi="ar-SA"/>
        </w:rPr>
        <w:t>بالمغرب قليلاً، فإنّ الشّمس تغيبُ من عندكم قبل أن تغيب من عندنا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الشّمس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تغيبُ حقيقةً قبل أن تغيب من عندهم، إذ لا يعتبر غيابها عن جميع الآفاق بالضرورة، بل كلّ واحدٍ من أفراد المصلّي يكون تكليفه منوطاً بغيبوبتها في بلده، ففي رواية عبيداللّه بن زرارة، قال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 عنّا، وإذا طلع الفجر عندنا، وليس علينا إلّاذلك، وعلى اُولئك أن يُصلّوا إذا غربت عنهم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محالة يكون المراد منه أنّها تغيب بالنظرة الخاطئة، لوجود سحابٍ أو جبلٍ أو ضبابٍ أو غير ذلك، وعليه فالأمر بالانتظار لا يدلّ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ذكرناه، بل تشهد به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تحديد المسّ بذهاب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ينصحون فلا يقبلون، وإذا سمعوا بشيءٍ أذاعوه،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فتركوها حتّى اشتبكت النجوم، فأنا الآن اُصلّيها إذا سقط القرص</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عليه السلام أمر بالانتظار بعد المغرب، والكلام إنّما هو في أنّ المغرب بماذا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 وهذا الخبر لا يدلّ على أنّه يُعرف بذهاب الحُمرة، بل قوله عليه السلام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الآن اُصلّيها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يعلم بإستتار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عمّن ذكره،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سقوط القرص ووجوب الإفطار من الصيام، أن تقوم بحذاء القبلة، وتنفقّد الحُمرة الّتي ترتفع من المشرق، فإذا جازت قمّة الرأس إلى ناحية المغرب، فقد وجب الإفطار وسقط القرص</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طرح المرسل، أو حمله على ما سنذكره،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جازت قمّة الرأس إلى ناحية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الحُمرة المشرقيّة تزول قبل أن تصل إلى قمّة الرأس، لا أنّها تجوز إلى ناحية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القرص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أمراً مجهولاً مجملاً لا يفهمه العرف، بل هو من الاُمور الواضحة عندهم، وهو استتاره في الاُفق، وغيبته عن العين، وهذا لا يكون ملازماً لزوال الحُمرة المشرقيّة، وعلى هذا فلابدّ من طرحه، وردّ علمه إلى أهله، أو حمله إمّا على بيان العلّامة لغروب الشّمس في موارد احتمال حجبها بجبلٍ ونحوه، أو التجاوز عن المشرق ومطلع الشّمس بمقدار قمة الرأس، وهذا ملازمٌ للاستتار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ما يصلح دليلاً للمشهور، بل بعض ما استدلّ به لما اختاروه يدلّ على القول الآخر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زوال الحُمرة في هذه النصوص، لو كان زوالها من الاُفق، الملازم لاستتار القرص في مقابله، لكان جعل هذه العلّامة لغواً، إذ الاستتار أوضح من مثل هذه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في البلاد التي تكون الجبال في ناحية مغربها، وتكون مانعة عن العلم بإستتار القرص في الاُفق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فالأقوى هو القول الثاني، وتدلّ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 بعد ذلك وقد صلّيت أعدتَ الصّلاة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ودخل وقت الصّلاة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المغرب‌؟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كرسيها؟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تغيب‌؟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فلم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علي بن حكم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توارى القُرص، كان وقت الصّلاة وأفطر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المستفيضة الصريحة في هذا القول، وحيثُ لا معارض لها فعليها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الأكابر من المحقّقين</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الموافقة للعامّة في مثل هذه الموارد، في أنفسها بمنزلة الكلام المحفوف بما يصلح أن يكون قرينةً لإرادة خلاف ظاهره، في عدم استكشاف الحكم الواقعي منها، فينبغي أن يعدّ من سهو القلم، إذ الموافقة للعامّة ليست مميّزة لغير الحجّة عنها، بل تكون مرجّحة لإحدى الحجّتين على الاُخرى‌، بعد فقد جملة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النظر عمّا ذكرناه، وسَلّمنا ظهور الطائفة الأُولى فيما استُدلّ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ترجيحها على الثانية بحكومتها عليها، بدعوى أنّها تفسّر الغروب وسقوط القرص بإستتاره، بنحوٍ لا يبقى له أثرٌ في ناحية المشرق، أو أنّهما من قبيل المطلق والمقيّد، أو المجمل والمبيّن، وبأنّها أشهر فتوىً بين الأصحاب، وبموافقة الثانية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الحكومة إنّما تكون فيما إذا كان أحد الدليلين موجباً للتصرّف في عقد وضع الآخر بإثباتٍ أو نفي، أو التصرّف في عقد حَمله، بإعطائه ما يوجب تضييقه،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فإنّه يدلّ على أنّ الأحكام الشرعيّة غير ضرريّة، فيوجب اختصاص الأحكام في الشريعة بغير موارد الضرر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كون المورد من صُغريات هذا الضابط، لا يحتاج إلى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والأخبار الثانية ليست من قبيل المطلق أو المجمل، لما عرفت من أنّ بعضها نصٌّ في أنّ أوّل الوقت، هو أوّل وجود الغياب، والأولى وإنْ كانت أشهر من حيث الفتوى‌، إلّاأنّ الثانية أصحّ سنداً، وأشهر من حيث الرواية، فلا يصل الدور إلى الترجيح بمخالفة العامّة، فتُقدّم الثانية لأصحّية السند وأشهريّة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الأولى على الاستحباب، لكونه أوفق بالاحتياط، لاحتمال حيلولة الجبل وغيره، كما تُشير إليه ملاحظة التعليلات الواردة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خرجنا في هذه المسألة عمّا يقتضيه وضع الكتاب من الإيجاز، وأطلنا الكلام فيها، لأنّها أصبحت مطمحاً لأنظار الفحول، فأحببتُ أن أنقّح القول فيها بما يسعه المجال</w:t>
      </w:r>
      <w:r>
        <w:rPr>
          <w:rFonts w:eastAsia="Amiri" w:cs="Amiri" w:ascii="Amiri" w:hAnsi="Amiri"/>
          <w:color w:val="111111"/>
          <w:sz w:val="28"/>
          <w:szCs w:val="28"/>
          <w:rtl w:val="true"/>
          <w:lang w:bidi="ar-SA"/>
        </w:rPr>
        <w:t>.</w:t>
      </w:r>
      <w:bookmarkStart w:id="83" w:name="pg11799_135994"/>
    </w:p>
    <w:p>
      <w:pPr>
        <w:pStyle w:val="Heading6"/>
        <w:numPr>
          <w:ilvl w:val="5"/>
          <w:numId w:val="1"/>
        </w:numPr>
        <w:rPr/>
      </w:pPr>
      <w:bookmarkStart w:id="84" w:name="__RefHeading___Toc10444374_73709187"/>
      <w:bookmarkStart w:id="85" w:name="_Toc34"/>
      <w:bookmarkEnd w:id="83"/>
      <w:bookmarkEnd w:id="84"/>
      <w:r>
        <w:rPr>
          <w:rtl w:val="true"/>
        </w:rPr>
        <w:t>آخر وقت العشائين</w:t>
      </w:r>
      <w:bookmarkEnd w:id="8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54"/>
      </w:r>
      <w:r>
        <w:rPr>
          <w:rFonts w:ascii="Amiri" w:hAnsi="Amiri" w:eastAsia="Amiri" w:cs="Amiri"/>
          <w:color w:val="111111"/>
          <w:sz w:val="28"/>
          <w:sz w:val="28"/>
          <w:szCs w:val="28"/>
          <w:rtl w:val="true"/>
          <w:lang w:bidi="ar-SA"/>
        </w:rPr>
        <w:t>أنّ آخر وقتهما نصف اللّيل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الأساطين</w:t>
      </w:r>
      <w:r>
        <w:rPr>
          <w:rStyle w:val="FootnoteAnchor"/>
          <w:rtl w:val="true"/>
        </w:rPr>
        <w:footnoteReference w:id="155"/>
      </w:r>
      <w:r>
        <w:rPr>
          <w:rFonts w:ascii="Amiri" w:hAnsi="Amiri" w:eastAsia="Amiri" w:cs="Amiri"/>
          <w:color w:val="111111"/>
          <w:sz w:val="28"/>
          <w:sz w:val="28"/>
          <w:szCs w:val="28"/>
          <w:rtl w:val="true"/>
          <w:lang w:bidi="ar-SA"/>
        </w:rPr>
        <w:t>ذلك للمختار، وأمّا للمضطرّ وذي العُذر، فطلوع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طلوع الفجر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المغرب بذهاب الشّفق، والعشاء يمتدّ وقتها إلى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لكون آخر وقتهما للمختار نصف اللّيل،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 الواردة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158"/>
      </w:r>
      <w:r>
        <w:rPr>
          <w:rFonts w:ascii="Amiri" w:hAnsi="Amiri" w:eastAsia="Amiri" w:cs="Amiri"/>
          <w:color w:val="111111"/>
          <w:sz w:val="28"/>
          <w:sz w:val="28"/>
          <w:szCs w:val="28"/>
          <w:rtl w:val="true"/>
          <w:lang w:bidi="ar-SA"/>
        </w:rPr>
        <w:t xml:space="preserve">الدالّة على أنّ ما بعد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انتصاف اللّيل كما فُسِّر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الوقت، كرواية 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صلاتان أوّل وقتهما من غروب الشّمس إلى انتصاف اللّيل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داود بن فرقد، عن بعض أصحابنا،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الشّمس، فقد دَخَل وقت المغرب حتّى يمضي مقدار ما يُصلّي المصلّي ثلاث ركعات، فإذا مضى ذلك، فقد دَخَل وقت المغرب والعشاء الآخرة، حتّى يبقى من انتصاف اللّيل مقدار ما يُصلّي المصلّي أربع ركعات، وإذا بقي مقدار ذلك، فقد خَرَج وقت المغرب، وبقي وقت العشاء إلى انتصاف اللّيل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لامتداد وقتهما للمضطرّ وذي العذر إلى طلوع الفجر،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نام رجلٌ أو نَسي أن يُصلّي المغرب والعشاء الآخرة، فإنْ استيقظ قبل الفجر قَدَر ما يصلّيهما كلتيهما فليُصلّهما، وإنْ خشي أن تفوته إحداهما فليبدأ بالعشاء الآخرة، وإنْ استيقظ بعد الفجر، فليصلِّ الصبح، ثمّ المغرب، ثمّ العشاء قبل طلوع الشّمس</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أبي بصير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طَهُرت في آخر اللّيل، فلتصلِّ المغرب والعشاء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داود الدجاجي</w:t>
      </w:r>
      <w:r>
        <w:rPr>
          <w:rStyle w:val="FootnoteAnchor"/>
          <w:rtl w:val="true"/>
        </w:rPr>
        <w:footnoteReference w:id="164"/>
      </w:r>
      <w:r>
        <w:rPr>
          <w:rFonts w:ascii="Amiri" w:hAnsi="Amiri" w:eastAsia="Amiri" w:cs="Amiri"/>
          <w:color w:val="111111"/>
          <w:sz w:val="28"/>
          <w:sz w:val="28"/>
          <w:szCs w:val="28"/>
          <w:rtl w:val="true"/>
          <w:lang w:bidi="ar-SA"/>
        </w:rPr>
        <w:t>، وخبر ابن حنظلة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تدلّ عليه هذه النصوص، إنّما هو وجوبها على الحائض، ولا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تدلّ على وقوعها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بأصالة عدم التخصيص في العمومات، الدالّة على أنّها لو طَهُرت بعد الوقت لا يجب عليها الصّلاة، لإثبات امتداد الوقت لها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فإنّ مورد التمسّك بها، هو ما كان فرديّة شيء للعام معلومة، وشمول الحكم له مجهولاً، مثل المقام ممّا يكون الحكم معلوماً، والفرديّة مشكوكاً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الروايات في النائم والساهي، بأنّها تعارض ما ورد في تفسير الآية الشريفة، وأنّها مخالفة لما دلّ على ذمّ النائم عن الصّلاة، والأمر بالقضاء بعد الانتصاف، وإعراض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بأنّهذه النصوص أخصّ ممّا ورد في تفسير الآية الشريفة، فتقدّم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وذمّ النّائم إنّما يدلّ على معصيته في التأخير، فلا ينافي مع بقاء الوقت، والتعبير بالقضاء أيضاً لا ينافي ذلك، لعدم ظهوره في القضاء المصطلح، وعدم عمل الأصحاب بها يمكن أن يكون لبعض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وإنْ وردت في النّائم والساهي، إلّاأنّ الظاهر هو التعدّي إلى مطلق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التعدّي إلى غير المعذور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بلا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معارضة هذه الأخبار مع النصوص المتقدّمة، ولا ريب في تقدّمها عليها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الجواب عمّا استدلّ به للقول الثالث، وهي رواية عبيد،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الصّلاة من أراد الصّلاة، لا تفوت صلاة النهار حتّى تغيب الشّمس، ولا صلاة اللّيل حتّى يطلع الفجر</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ضعف سندها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للقول بأنّ آخر وقت المغرب سقوط الشّفق، بطائفتين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بظاهرها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إسماعيل بن جابر،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إلى سقوط الشّفق</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وقت المغرب اياب الشّفق، فإذا آبَ الشّفق دَخَل وقت العشاء الآخرة</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لكلّ صلاةٍ وقتين إلّاالمغرب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والفضيل،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صلاةٍ وقتين، غير المغرب، فإنّ وقتها واحد، ووقتها وجوبها</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للحاضر، وأمّا المسافر فيجوز التأخير لها إلى ربع اللّيل، لجملةٍ من النصوص، كصحيح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في السّفر إلى ربع اللّيل</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لأنّ آخر وقت العشاء ثلث اللّيل، بجملةٍ من الأخبار، كخبر معاوية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العشاء الآخرة إلى ثلث اللّيل</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لصراحة الروايات المتقدّمة في جواز التأخير إلى نصف اللّيل، لابدَّ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صرف هذه النصوص 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بحمل تلك النصوص على المضطرّ وذي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في الظهرين، من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 عن هذا الحمل ما تقدّم من النصوص الدالّة</w:t>
      </w:r>
      <w:r>
        <w:rPr>
          <w:rStyle w:val="FootnoteAnchor"/>
          <w:rtl w:val="true"/>
        </w:rPr>
        <w:footnoteReference w:id="173"/>
      </w:r>
      <w:r>
        <w:rPr>
          <w:rFonts w:ascii="Amiri" w:hAnsi="Amiri" w:eastAsia="Amiri" w:cs="Amiri"/>
          <w:color w:val="111111"/>
          <w:sz w:val="28"/>
          <w:sz w:val="28"/>
          <w:szCs w:val="28"/>
          <w:rtl w:val="true"/>
          <w:lang w:bidi="ar-SA"/>
        </w:rPr>
        <w:t>على أنّ وقتهما لها يمتدّ إلى طلوع الفجر، فلا مناص عن الجمع بحمل هذه الروايات على الفضيلة، أو كراهة التأخير عن الشّفق في المغرب، وعن ثُلث اللّيل في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لابدَّ من حمل الاختلاف بين الأخبار في العشاء، على اختلاف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وظهر أيضاً أنّ الأخبار الدالّة على تضيّق وقت المغرب محمولة على الوقت الفُضلى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ظهر أنّ ما دلّ على أنّ وقت المغرب إلى ثُلث اللّيل أو ربعه، محمولٌ على التوسعة في الوقت الأوّل لاُولي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بيان المراد من النصوص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وقتين إلّا المغرب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بعض الأعاظم من المحقّقين</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بالوقتين فيها، الوقتان اللّذان أتى بهما جبرائيل، أو وَضَعهما النبيّ صلى الله عليه و آله لكلّ صلاةٍ بأمره</w:t>
      </w:r>
      <w:r>
        <w:rPr>
          <w:rStyle w:val="FootnoteAnchor"/>
          <w:rtl w:val="true"/>
        </w:rPr>
        <w:footnoteReference w:id="175"/>
      </w:r>
      <w:r>
        <w:rPr>
          <w:rFonts w:ascii="Amiri" w:hAnsi="Amiri" w:eastAsia="Amiri" w:cs="Amiri"/>
          <w:color w:val="111111"/>
          <w:sz w:val="28"/>
          <w:sz w:val="28"/>
          <w:szCs w:val="28"/>
          <w:rtl w:val="true"/>
          <w:lang w:bidi="ar-SA"/>
        </w:rPr>
        <w:t>، فيكون استثناء المغرب حينئذٍ في محلّه، فإنّه عليه السلام لم يأتِ لها إلّابوقتٍ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فعليّة الوقتين لكلّ صلاة إلّاالمغرب، لا أنّها إشارة إلى إتيان جبرائيل بوقتين، وإنْ كان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المزاحم بوقت النافلة، والوقت غير المزاحم، فحينئذٍ يكون الاستثناء في محلّه، إذ ليس قبلها نافلة حتّى يكون أوّل وقتها مزاحماً بوقت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الجمعة أيضاً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وقتها واحد ووقتها وجوبها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أي سقوط الشّمس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86" w:name="pg11799_136000"/>
    </w:p>
    <w:p>
      <w:pPr>
        <w:pStyle w:val="Heading6"/>
        <w:numPr>
          <w:ilvl w:val="5"/>
          <w:numId w:val="1"/>
        </w:numPr>
        <w:rPr/>
      </w:pPr>
      <w:bookmarkStart w:id="87" w:name="__RefHeading___Toc10444376_73709187"/>
      <w:bookmarkStart w:id="88" w:name="_Toc35"/>
      <w:bookmarkEnd w:id="86"/>
      <w:bookmarkEnd w:id="87"/>
      <w:r>
        <w:rPr>
          <w:rtl w:val="true"/>
        </w:rPr>
        <w:t>اختصاص أوّل الوقت بالمغرب وآخره بالعشاء</w:t>
      </w:r>
      <w:bookmarkEnd w:id="88"/>
    </w:p>
    <w:p>
      <w:pPr>
        <w:pStyle w:val="BookText"/>
        <w:rPr/>
      </w:pP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يدورالبحث فيه عن اختصاص أوّل الوقت بالمغرب، وآخره بالعشاء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الوقت إلى ذهاب الحُمرة المغربيّة مختصٌّ بالمغرب،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بكر بن محمّد،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وقت العشاء ذهاب الحُمرة، وآخر وقتها إلى غَسَق اللّيل</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العُتمَة‌؟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 والشّفق الحُمرة</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حملها على الفضيلة، للأخبار الصريحة في جواز تقديمها على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 الله عليه و آله بالناس المغرب والعشاء الآخرة قبل الشّفق، من غير علّةٍ في جماعةٍ‌، وإنّما فعل ذلك ليتّسع الوقت على اُمّته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وأبا عبد اللّه عن الرّجل يُصلّي العشاء الآخرة قبل سقوط الشّفق‌؟ فقالا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يجمع بين المغرب والعشاء في الحضر، قبل أن تغيب الشّفق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اختصاص أوّل الوقت بمقدار أداء المغرب بها، فالكلام فيه بعينه الكلام في اختصاص أوّل وقت الظهرين بالظهر، والأدلّة مشتركة، والمختار واحدٌ،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اختصاص آخر الوقت بمقدار أداء العشاء بها، فيدلّ عليه مرسل داود، وصحيح ابن سنان المتقدّمان</w:t>
      </w:r>
      <w:r>
        <w:rPr>
          <w:rStyle w:val="FootnoteAnchor"/>
          <w:rtl w:val="true"/>
        </w:rPr>
        <w:footnoteReference w:id="185"/>
      </w:r>
      <w:r>
        <w:rPr>
          <w:rFonts w:ascii="Amiri" w:hAnsi="Amiri" w:eastAsia="Amiri" w:cs="Amiri"/>
          <w:color w:val="111111"/>
          <w:sz w:val="28"/>
          <w:sz w:val="28"/>
          <w:szCs w:val="28"/>
          <w:rtl w:val="true"/>
          <w:lang w:bidi="ar-SA"/>
        </w:rPr>
        <w:t>، وظهورهما في الاختصاص، بمعنى خروج وقت المغرب وإنْ كان لا يُنكر، إلّاأنّه لابدّ من حملهما على الاختصاص، بمعنى كونه وقتاً فعليّاً لدى المزاحمة، أي الوقت الذي يكون المكلّف مأموراً بإيقاع العشاء فيه، لا الوقت الشأني، بحيث لا يصلح لوقوع المغرب فيه صحيحة، ولو في بعض الفروض النادرة، لأجل رواية عبيد وغيرها، كما عرفت في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حَدّ وقت الاختصاص، مقدار أداء الصّلاة على حسب ما تقتضيه وظيفة المصلّي، لا خصوص أربع ركعات كما عن جماعةٍ‌</w:t>
      </w:r>
      <w:r>
        <w:rPr>
          <w:rStyle w:val="FootnoteAnchor"/>
          <w:rtl w:val="true"/>
        </w:rPr>
        <w:footnoteReference w:id="186"/>
      </w:r>
      <w:r>
        <w:rPr>
          <w:rFonts w:ascii="Amiri" w:hAnsi="Amiri" w:eastAsia="Amiri" w:cs="Amiri"/>
          <w:color w:val="111111"/>
          <w:sz w:val="28"/>
          <w:sz w:val="28"/>
          <w:szCs w:val="28"/>
          <w:rtl w:val="true"/>
          <w:lang w:bidi="ar-SA"/>
        </w:rPr>
        <w:t>التعبير بمقدار الأداء، وعليه فيختصّ آخر الوقت بالعشاء في السّفر بمقدار ركعتين، فعلى هذا لو كان المصلّي مسافراً ولم يصلِّ‌، حتّى بقي من الوقت مقدار أداء ثلاث ركعات، فالأمر يدور بين اُمور ثلاثة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بالمغرب فتفوت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يصبر حتّى يمضي مقدار ركعةٍ‌، ثمّ يأتي بالعشاء، فتفوت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يأتي أوّلاً بالعشاء، ثمّ يأتي بالمغرب، فتقع ركعةً منها في الوقت والباقي خارجة فتصحّ‌،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يلزم منه فوت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الأخير، لأنّ المستفاد من الأدلّة أنّه لو دار الأمر بين عدم الإتيان بالصّلاة في الوقت، والإتيان بها خارجه جامعة للأجزاء والشرائط، وبين الإتيان بها في الوقت فاقدة لبعض الأجزاء والشرائط، يتعيّن الثاني، إذ الشارع لا يرضى بترك الصّلاة، وهي لا تسقط بحال، فلابدّ في الفرض من الإتيان بهما بتقديم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 ابن سنان المتقدّم</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أنْ تفوته إحداهما فليبدأ بالعشاء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المقام لو شرع في المغرب تفوت العشاء، فلا مناص عن البدأة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جواز إقحام الصّلاة في الصّلاة، كما هو الحقّ‌، وإلّا فلابدّ من الشروع في المغرب، وبعد الإتيان بركعةٍ منها يشرع في العشاء ويتمّها، ثمّ يأتي بما بقي من المغرب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9" w:name="pg11799_136003"/>
    </w:p>
    <w:p>
      <w:pPr>
        <w:pStyle w:val="BookText"/>
        <w:rPr/>
      </w:pPr>
      <w:bookmarkEnd w:id="89"/>
      <w:r>
        <w:rPr>
          <w:rFonts w:ascii="Amiri" w:hAnsi="Amiri" w:eastAsia="Amiri" w:cs="Amiri"/>
          <w:color w:val="111111"/>
          <w:sz w:val="28"/>
          <w:sz w:val="28"/>
          <w:szCs w:val="28"/>
          <w:rtl w:val="true"/>
          <w:lang w:bidi="ar-SA"/>
        </w:rPr>
        <w:t>وإذا طَلَع الفجرُ الثّاني، دَخَل وقتُ الصّبح</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0444378_73709187"/>
      <w:bookmarkStart w:id="91" w:name="_Toc36"/>
      <w:bookmarkEnd w:id="90"/>
      <w:r>
        <w:rPr>
          <w:rtl w:val="true"/>
        </w:rPr>
        <w:t>أوّل وقت الصُّبح</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طَلَع 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بالصُّبح الصادق، الذي يُعرف باعتراض البياض الحادث في الاُفق المتصاعد في السماء، الذي يكون كالقبطيّة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أوّل الوقت طلوع الفجر، فلا خلاف فيه، وتشهد له كثيرٌ من الأخبار، كخبر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هو الفجر الثاني، فتشهد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عليّ بن مهزيار إلى أبي جعفر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قد اختلف موالوك في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يرحمك اللّه هو الخيط الأبيض المعترض، وليس هو الأبيض صعداء، فلا تُصلِّ في سفرٍ ولا حَضَرٍ حتّى تبيّنه، فإنّ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عطيّة،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الصبح هو الذي إذا رأيته كان معترضاً كأنّه بياضُ نهر سوراء</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النصوص، مع خبر زريق،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يُصلّي الغداة بَغَلسٍ عند طلوع الفجر الصادق أوّل ما يبدو، قبل أن يستعرض</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الفجر الصادق أوّل ما يبدو إنّما يكون كالخيط الأبيض في عرض الاُفق، ثمّ بعد ذلك يصبح عريضاً من فوق، وعليه فهذا الخبر لا ينافي النصوص المتقدّمة،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صيرورته منتشراً في جهة المشرق، لا الاعتراض في الاُفق المعتبر في تحقّق الطلوع بمقتضى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البحث في أنّه هل يكفي التبيّن التقديري‌؟</w:t>
      </w:r>
    </w:p>
    <w:p>
      <w:pPr>
        <w:pStyle w:val="BookText"/>
        <w:rPr/>
      </w:pPr>
      <w:r>
        <w:rPr>
          <w:rFonts w:ascii="Amiri" w:hAnsi="Amiri" w:eastAsia="Amiri" w:cs="Amiri"/>
          <w:color w:val="111111"/>
          <w:sz w:val="28"/>
          <w:sz w:val="28"/>
          <w:szCs w:val="28"/>
          <w:rtl w:val="true"/>
          <w:lang w:bidi="ar-SA"/>
        </w:rPr>
        <w:t>أو يعتبر التبيّن الفعلي‌؟</w:t>
      </w:r>
    </w:p>
    <w:p>
      <w:pPr>
        <w:pStyle w:val="BookText"/>
        <w:rPr/>
      </w:pPr>
      <w:r>
        <w:rPr>
          <w:rFonts w:ascii="Amiri" w:hAnsi="Amiri" w:eastAsia="Amiri" w:cs="Amiri"/>
          <w:color w:val="111111"/>
          <w:sz w:val="28"/>
          <w:sz w:val="28"/>
          <w:szCs w:val="28"/>
          <w:rtl w:val="true"/>
          <w:lang w:bidi="ar-SA"/>
        </w:rPr>
        <w:t>أو يفصّل بين أن يكون المانع عن التبيّن هو الغيم ونحوه، فيكفي التقديري، وبين أن يكون ضوء القمر، فلا يكفي‌؟</w:t>
      </w:r>
    </w:p>
    <w:p>
      <w:pPr>
        <w:pStyle w:val="BookText"/>
        <w:rPr/>
      </w:pPr>
      <w:r>
        <w:rPr>
          <w:rFonts w:ascii="Amiri" w:hAnsi="Amiri" w:eastAsia="Amiri" w:cs="Amiri"/>
          <w:color w:val="111111"/>
          <w:sz w:val="28"/>
          <w:sz w:val="28"/>
          <w:szCs w:val="28"/>
          <w:rtl w:val="true"/>
          <w:lang w:bidi="ar-SA"/>
        </w:rPr>
        <w:t>وجوهٌ‌، اختار بعض أكابر المحقّقين</w:t>
      </w:r>
      <w:r>
        <w:rPr>
          <w:rStyle w:val="FootnoteAnchor"/>
          <w:rtl w:val="true"/>
        </w:rPr>
        <w:footnoteReference w:id="192"/>
      </w:r>
      <w:r>
        <w:rPr>
          <w:rFonts w:ascii="Amiri" w:hAnsi="Amiri" w:eastAsia="Amiri" w:cs="Amiri"/>
          <w:color w:val="111111"/>
          <w:sz w:val="28"/>
          <w:sz w:val="28"/>
          <w:szCs w:val="28"/>
          <w:rtl w:val="true"/>
          <w:lang w:bidi="ar-SA"/>
        </w:rPr>
        <w:t>رحمهم الله الوجه الثالث، بدعوى أنّ ضوء القمر مانعٌ عن تحقّق البياض ما لم يقهره ضوء الفجر، والغيم مانعٌ عن الرؤية لا عن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محلّه، كون الاُفق وراء القمر، وأبعد منه، فضوء القمر لا يُعقل أن يكون مانعاً عن التحقّق، بل يكون مانعاً عن الرؤية كالغيم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هو الأوّل، لما أثبتناه في محلّه من أنّ الظاهر من العناوين التي لها طريقية كاليقين والتبيّن ونحوهما، المأخوذة في الموضوع، كونها ملحوظة بعنوان الطريقيّة لا الموضوعيّة، فالعبرة بتحقّق البياض في الاُفق، ولو لم يتبيّن لمانعٍ‌، ولا يعتبر التبيّن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2" w:name="pg11799_136005"/>
    </w:p>
    <w:p>
      <w:pPr>
        <w:pStyle w:val="BookText"/>
        <w:rPr/>
      </w:pPr>
      <w:bookmarkEnd w:id="92"/>
      <w:r>
        <w:rPr>
          <w:rFonts w:ascii="Amiri" w:hAnsi="Amiri" w:eastAsia="Amiri" w:cs="Amiri"/>
          <w:color w:val="111111"/>
          <w:sz w:val="28"/>
          <w:sz w:val="28"/>
          <w:szCs w:val="28"/>
          <w:rtl w:val="true"/>
          <w:lang w:bidi="ar-SA"/>
        </w:rPr>
        <w:t>إلى أنْ تَطلَع الشَّمس</w:t>
      </w:r>
    </w:p>
    <w:p>
      <w:pPr>
        <w:pStyle w:val="Heading6"/>
        <w:numPr>
          <w:ilvl w:val="5"/>
          <w:numId w:val="1"/>
        </w:numPr>
        <w:rPr/>
      </w:pPr>
      <w:bookmarkStart w:id="93" w:name="__RefHeading___Toc10444380_73709187"/>
      <w:bookmarkStart w:id="94" w:name="_Toc37"/>
      <w:bookmarkEnd w:id="93"/>
      <w:r>
        <w:rPr>
          <w:rtl w:val="true"/>
        </w:rPr>
        <w:t>آخر وقت الصّبح</w:t>
      </w:r>
      <w:bookmarkEnd w:id="94"/>
    </w:p>
    <w:p>
      <w:pPr>
        <w:pStyle w:val="BookText"/>
        <w:rPr/>
      </w:pPr>
      <w:r>
        <w:rPr>
          <w:rFonts w:ascii="Amiri" w:hAnsi="Amiri" w:eastAsia="Amiri" w:cs="Amiri"/>
          <w:color w:val="111111"/>
          <w:sz w:val="28"/>
          <w:sz w:val="28"/>
          <w:szCs w:val="28"/>
          <w:rtl w:val="true"/>
          <w:lang w:bidi="ar-SA"/>
        </w:rPr>
        <w:t xml:space="preserve">ويمتدُّ وقت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بين الأصحاب</w:t>
      </w:r>
      <w:r>
        <w:rPr>
          <w:rStyle w:val="FootnoteAnchor"/>
          <w:rtl w:val="true"/>
        </w:rPr>
        <w:footnoteReference w:id="193"/>
      </w:r>
      <w:r>
        <w:rPr>
          <w:rFonts w:ascii="Amiri" w:hAnsi="Amiri" w:eastAsia="Amiri" w:cs="Amiri"/>
          <w:color w:val="111111"/>
          <w:sz w:val="28"/>
          <w:sz w:val="28"/>
          <w:szCs w:val="28"/>
          <w:rtl w:val="true"/>
          <w:lang w:bidi="ar-SA"/>
        </w:rPr>
        <w:t>، بل عن غير واحدٍ دعوى الإجماع عليه</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زرارة المتقدّم وغيره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للمضطرّ، وأمّا المختار فوقته إلى طلوع الحُمرة، واسفرار الصبح، لصحيح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إلى أنْ يتجلّل الصبح السماء، ولا ينبغي تأخير ذلك عمداً، ولكنّه وقتٌ لمن شَغَل أو نسى أو نام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عبد اللّه بن سنان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ظهورهما في انتهاء الوقت مطلقاً بطلوع الحُمرة كما لا يخفى‌، لابدّ من حملهما على وقت الفضيلة، لخبر زرارة وغيره، مثل ما ذكرناه في الظهرين والعشائين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التي هي مستند التفصيل بين المختار والمعذور في أوقات الفرائض، إنّما تكون في مقام بيان تحديد وقت الفضيلة والأجزاء، وأنّ ما فيها من الاختلاف محمولٌ على مراتب الفضل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أوقات الفرائض</w:t>
      </w:r>
      <w:r>
        <w:rPr>
          <w:rFonts w:eastAsia="Amiri" w:cs="Amiri" w:ascii="Amiri" w:hAnsi="Amiri"/>
          <w:color w:val="111111"/>
          <w:sz w:val="28"/>
          <w:szCs w:val="28"/>
          <w:rtl w:val="true"/>
          <w:lang w:bidi="ar-SA"/>
        </w:rPr>
        <w:t>.</w:t>
      </w:r>
      <w:bookmarkStart w:id="95" w:name="pg11799_136006"/>
    </w:p>
    <w:p>
      <w:pPr>
        <w:pStyle w:val="BookText"/>
        <w:rPr/>
      </w:pPr>
      <w:bookmarkEnd w:id="95"/>
      <w:r>
        <w:rPr>
          <w:rFonts w:ascii="Amiri" w:hAnsi="Amiri" w:eastAsia="Amiri" w:cs="Amiri"/>
          <w:color w:val="111111"/>
          <w:sz w:val="28"/>
          <w:sz w:val="28"/>
          <w:szCs w:val="28"/>
          <w:rtl w:val="true"/>
          <w:lang w:bidi="ar-SA"/>
        </w:rPr>
        <w:t>وأمّا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نافلة الظّهر، إذا زالتِ الشَّمسُ إلى أنْ يصير ظِلّ كلّ شيءٍ مثله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444382_73709187"/>
      <w:bookmarkStart w:id="97" w:name="_Toc38"/>
      <w:bookmarkEnd w:id="96"/>
      <w:r>
        <w:rPr>
          <w:rtl w:val="true"/>
        </w:rPr>
        <w:t>وقت نافلة الظهرين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 فوقت نافلة الظهر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يبلغ زيادة الفيء سُبعي الشاخص، كما هو المشهور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من الأساطين،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والمحقّق</w:t>
      </w:r>
      <w:r>
        <w:rPr>
          <w:rStyle w:val="FootnoteAnchor"/>
          <w:rtl w:val="true"/>
        </w:rPr>
        <w:footnoteReference w:id="201"/>
      </w:r>
      <w:r>
        <w:rPr>
          <w:rFonts w:ascii="Amiri" w:hAnsi="Amiri" w:eastAsia="Amiri" w:cs="Amiri"/>
          <w:color w:val="111111"/>
          <w:sz w:val="28"/>
          <w:sz w:val="28"/>
          <w:szCs w:val="28"/>
          <w:rtl w:val="true"/>
          <w:lang w:bidi="ar-SA"/>
        </w:rPr>
        <w:t>، والشهيد الثاني</w:t>
      </w:r>
      <w:r>
        <w:rPr>
          <w:rStyle w:val="FootnoteAnchor"/>
          <w:rtl w:val="true"/>
        </w:rPr>
        <w:footnoteReference w:id="202"/>
      </w:r>
      <w:r>
        <w:rPr>
          <w:rFonts w:ascii="Amiri" w:hAnsi="Amiri" w:eastAsia="Amiri" w:cs="Amiri"/>
          <w:color w:val="111111"/>
          <w:sz w:val="28"/>
          <w:sz w:val="28"/>
          <w:szCs w:val="28"/>
          <w:rtl w:val="true"/>
          <w:lang w:bidi="ar-SA"/>
        </w:rPr>
        <w:t xml:space="preserve">،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يصير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وقتها بامتداد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هو المشهور، لما في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جُعل الذّراع والذّراعان‌؟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إلى أنْ يمضي ذراع، فإذا بَلَغ فيؤكَ ذراعاً بدأتَ بالفريضة وتركتَ النافلة، وإذا بلغ فيئُكَ ذراعين بدأتَ بالفريضة وتركت النافلة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في رواية إسماعيل،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جُعل الذّراع والذّراعان‌؟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لئلّا يؤخذ من وقت هذه ويدخل في وقت هذه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المتقدّم</w:t>
      </w:r>
      <w:r>
        <w:rPr>
          <w:rStyle w:val="FootnoteAnchor"/>
          <w:rtl w:val="true"/>
        </w:rPr>
        <w:footnoteReference w:id="207"/>
      </w:r>
      <w:r>
        <w:rPr>
          <w:rFonts w:ascii="Amiri" w:hAnsi="Amiri" w:eastAsia="Amiri" w:cs="Amiri"/>
          <w:color w:val="111111"/>
          <w:sz w:val="28"/>
          <w:sz w:val="28"/>
          <w:szCs w:val="28"/>
          <w:rtl w:val="true"/>
          <w:lang w:bidi="ar-SA"/>
        </w:rPr>
        <w:t>بدعوى أنّ التقدير أنّ الحائط ذراع، فحينئذٍ ما روي من القامة والقامتين جارٍ هذا المجرى،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القامة ذراع</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تدبّر في النصوص، يظهر له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الإنسان كما هو المتبادر منها،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القامة بالذراع اُريد بها العهد، فلا ينزل عليها إطلاق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لم يرد منها الذّراع قطعاً،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فيؤكَ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استحباب هذه النّوافل قبل الفريضة، بقول مطلق، كقوله عليه السلام عند تعداد النّوافل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 ركعات قبل الظهر، وثمانٍ بعدها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النافلة بمنزلة الهديّة متى أتى بها قُبِلَتْ‌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تكون في مقام بيان محلّ النافلة أو غيره من الخصوصيّات، وليست مسوقةً لبيان امتداد الوقت كي يُتمسّك بإطلاقها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صارتْ كذلك، ولم يُصلّ شيئاً من النافلة، اشتغل بالفريضة، ولو تلبّس بركعةٍ من النافلة زاحم بها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إطلاقها، لابدّ من تقييده بالاخبار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حمل المطلق على المقيّد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أنّ ذلك يتمّ إذا لم يكن دليلُ المقيّد متضمِّناً لحكمٍ إلزامي نفسي أو إرشادي، وإلّا فيحمل المطلق على المقيّد، ودليل المقيّد في المقام بما أنّه متضمّنٌ لبيان الشرطيّة، فلا محالة يُحمل عليه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أُورد على الأُولى أنّها إنّما تدلّ على صحّتها، ولا تدلّ على كونها أداءً‌، بل يظهر من بعضها صحّتها قضاءً‌، كرواية القاسم،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عَشَرة ركعة في أي ساعات النهار شئتَ أن تُصلّيها صلّيتها، إلّاأنّك إذا صلّيتها في مواقيتها أفضل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امتداد وقتها إلى أن يبلغ الفيء سُبعي الشاخص،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كذلك، ولم يُصلّ شيئاً من النافلة، اشتغل بالفريضة، ولو تلبّس بركعةٍ من النافلة زاحم بها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يُصلّي الزّوال ما بين زوال الشّمس إلى أن يمضي قَدَمان، فإنْ كان قد بقيَ من الزّوال ركعة واحدة، أو قبل أنْ يمضي قَدَمان، أتمَّ الصّلاة حتّى يُصلّي تمام الركعات، وإنْ مضي قَدَمان قبل أنْ يُصلّي ركعةً‌، بدأ بالاُولى ولم يُصلِّ الزّوال إلّابعد ذلك، وللرَّجل أنْ يُصلّي من نوافل العصر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ووقت نافلة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 إلى أنْ يصير ظِلّ كلّ شيءٍ مثليه، ولو خرج وقد تلبّس بركعةٍ زاحم بها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الاُولى إلى أن يمضي أربعة أقدام، فإنْ مضتْ أربعة أقدام ولم يُصلّ من النّوافل شيئاً فلم يُصلِّ النّوافل، وإنْ كان قد صَلّى ركعة، فليتمّ النّوافل حتّى يفرغ منها ثمّ يُصلّي العصر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نافلة العصر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يبلغ زيادة الفيء أربعة أقدام، ولا يمتدّ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يصير ظِلّ كلّ شيءٍ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الأساطين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انقدح من موثّق عمّار المتقدّم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تلبّس بركعةٍ زاحم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يشتغل بالفريضة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98" w:name="pg11799_136010"/>
    </w:p>
    <w:p>
      <w:pPr>
        <w:pStyle w:val="BookText"/>
        <w:rPr/>
      </w:pPr>
      <w:bookmarkEnd w:id="98"/>
      <w:r>
        <w:rPr>
          <w:rFonts w:ascii="Amiri" w:hAnsi="Amiri" w:eastAsia="Amiri" w:cs="Amiri"/>
          <w:color w:val="111111"/>
          <w:sz w:val="28"/>
          <w:sz w:val="28"/>
          <w:szCs w:val="28"/>
          <w:rtl w:val="true"/>
          <w:lang w:bidi="ar-SA"/>
        </w:rPr>
        <w:t>ووقتُ نافلة المغرب بعدها إلى أن تذهب الحُمرة المغربيّة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0444384_73709187"/>
      <w:bookmarkStart w:id="100" w:name="_Toc39"/>
      <w:bookmarkEnd w:id="99"/>
      <w:r>
        <w:rPr>
          <w:rtl w:val="true"/>
        </w:rPr>
        <w:t>وقتُ نافلة المغرب</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المشهور</w:t>
      </w:r>
      <w:r>
        <w:rPr>
          <w:rStyle w:val="FootnoteAnchor"/>
          <w:rtl w:val="true"/>
        </w:rPr>
        <w:footnoteReference w:id="214"/>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نافلة المغرب بعدها إلى أنْتذهب الحُمرة المغربيّة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امتداد وقتها بامتداد وقت المغرب، أو الميل إليه، وتبعه بعض المتأخّرين</w:t>
      </w:r>
      <w:r>
        <w:rPr>
          <w:rStyle w:val="FootnoteAnchor"/>
          <w:rtl w:val="true"/>
        </w:rPr>
        <w:footnoteReference w:id="217"/>
      </w:r>
      <w:r>
        <w:rPr>
          <w:rFonts w:ascii="Amiri" w:hAnsi="Amiri" w:eastAsia="Amiri" w:cs="Amiri"/>
          <w:color w:val="111111"/>
          <w:sz w:val="28"/>
          <w:sz w:val="28"/>
          <w:szCs w:val="28"/>
          <w:rtl w:val="true"/>
          <w:lang w:bidi="ar-SA"/>
        </w:rPr>
        <w:t>، وهو متّجهٌ لإطلاق ما دلّ على الأمر بفعلها بعد المغرب، وفي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بعدم تركها في سَفَرٍ ولا حَضَر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المعهود من فعل النبيّ صلى الله عليه و آله، كما تدلّ عليه النصوص</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النهي عن التطوّع في وقت الفريضة</w:t>
      </w:r>
      <w:r>
        <w:rPr>
          <w:rStyle w:val="FootnoteAnchor"/>
          <w:rtl w:val="true"/>
        </w:rPr>
        <w:footnoteReference w:id="221"/>
      </w:r>
      <w:r>
        <w:rPr>
          <w:rFonts w:ascii="Amiri" w:hAnsi="Amiri" w:eastAsia="Amiri" w:cs="Amiri"/>
          <w:color w:val="111111"/>
          <w:sz w:val="28"/>
          <w:sz w:val="28"/>
          <w:szCs w:val="28"/>
          <w:rtl w:val="true"/>
          <w:lang w:bidi="ar-SA"/>
        </w:rPr>
        <w:t>بناءً على أنّ المراد من وقت الفريضة وقت 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ذَهَبت ولَم يكمِلْها اشتغل بالعشاء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الدالّة على أنّ المُفِيض من عرفات إذا صَلّى العشاءبالمُزدلفة، يؤخّر النافلة إلى ما بعد العشاء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المنساق من النصوص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أعمٌّ من التوقيت، مع أنّه لم يثبت أنّ النبيّ صلى الله عليه و آله لم يكن يأتي بها قبل العشاء، لو كان يؤخّر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في محلّه من جواز التطوّع في وقت الفريضة، مع أنّه لا يدلّ على التوقيت،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الأمر بتأخير النافلة، لأجل استحباب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ظاهر الوجه، إذ ليس في النصوص إلّاالأمر بها بعد المغرب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يُكْمِلها اشتَغَل بالعشاء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223"/>
      </w:r>
      <w:r>
        <w:rPr>
          <w:rFonts w:ascii="Amiri" w:hAnsi="Amiri" w:eastAsia="Amiri" w:cs="Amiri"/>
          <w:color w:val="111111"/>
          <w:sz w:val="28"/>
          <w:sz w:val="28"/>
          <w:szCs w:val="28"/>
          <w:rtl w:val="true"/>
          <w:lang w:bidi="ar-SA"/>
        </w:rPr>
        <w:t>منهم المصنّف في جملةٍ من كتبه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النافلة لا تُزاحم غير فريضتها، لأنّه لا تطوّع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سيمرّ عليك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فيها ثمّ زالت الحُمرة يتمّها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لموثّق عمّار المتقدّم في نافلة الظهرين</w:t>
      </w:r>
      <w:r>
        <w:rPr>
          <w:rStyle w:val="FootnoteAnchor"/>
          <w:rtl w:val="true"/>
        </w:rPr>
        <w:footnoteReference w:id="227"/>
      </w:r>
      <w:r>
        <w:rPr>
          <w:rFonts w:ascii="Amiri" w:hAnsi="Amiri" w:eastAsia="Amiri" w:cs="Amiri"/>
          <w:color w:val="111111"/>
          <w:sz w:val="28"/>
          <w:sz w:val="28"/>
          <w:szCs w:val="28"/>
          <w:rtl w:val="true"/>
          <w:lang w:bidi="ar-SA"/>
        </w:rPr>
        <w:t>، بضميمة الغاء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 كلّه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لأنّ نافلة المغرب مجموعها بمنزلة صلاةٍ واحدة، فلو أدرك منها ركعة في الوقت يُتمّها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النهي عن إبطال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الأوّل مختصٌّ بنافلة الظهرين، والتعدّي لا وجه له، والثاني مختصٌّ بالفريضة، لأنّه لا إطلاق لدليله من هذه الجهة، كما أنّ النهي عن إبطال العمل لا يشمل النافلة، وليس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فيما شرع فيه حتّى مع اختلال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بناءً على المنع من التطوّع في وقت الفريضة القول الأوّل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 w:name="pg11799_136013"/>
    </w:p>
    <w:p>
      <w:pPr>
        <w:pStyle w:val="BookText"/>
        <w:rPr/>
      </w:pPr>
      <w:bookmarkEnd w:id="101"/>
      <w:r>
        <w:rPr>
          <w:rFonts w:ascii="Amiri" w:hAnsi="Amiri" w:eastAsia="Amiri" w:cs="Amiri"/>
          <w:color w:val="111111"/>
          <w:sz w:val="28"/>
          <w:sz w:val="28"/>
          <w:szCs w:val="28"/>
          <w:rtl w:val="true"/>
          <w:lang w:bidi="ar-SA"/>
        </w:rPr>
        <w:t>ووقتُ الوُتَيرة بعد العشاء، وتمتدّ بامتداد وقتها،</w:t>
      </w:r>
    </w:p>
    <w:p>
      <w:pPr>
        <w:pStyle w:val="Heading6"/>
        <w:numPr>
          <w:ilvl w:val="5"/>
          <w:numId w:val="1"/>
        </w:numPr>
        <w:rPr/>
      </w:pPr>
      <w:bookmarkStart w:id="102" w:name="__RefHeading___Toc10444386_73709187"/>
      <w:bookmarkStart w:id="103" w:name="_Toc40"/>
      <w:bookmarkEnd w:id="102"/>
      <w:r>
        <w:rPr>
          <w:rtl w:val="true"/>
        </w:rPr>
        <w:t>وقت نافلة الوتيرة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الوُتيرة بعد العشاء، وتمتدّ بامتداد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لإطلاق أدلّتها، السليمة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فعلها في خارج الوقت مشروعٌ‌، فالنزاع في امتداد وقتها إلى طلوع الفجر كي يكون وقتها أطول من وقت الفريضة، لا تترتّب عليه ثمرة</w:t>
      </w:r>
      <w:r>
        <w:rPr>
          <w:rFonts w:eastAsia="Amiri" w:cs="Amiri" w:ascii="Amiri" w:hAnsi="Amiri"/>
          <w:color w:val="111111"/>
          <w:sz w:val="28"/>
          <w:szCs w:val="28"/>
          <w:rtl w:val="true"/>
          <w:lang w:bidi="ar-SA"/>
        </w:rPr>
        <w:t>.</w:t>
      </w:r>
      <w:bookmarkStart w:id="104" w:name="pg11799_136014"/>
    </w:p>
    <w:p>
      <w:pPr>
        <w:pStyle w:val="BookText"/>
        <w:rPr/>
      </w:pPr>
      <w:bookmarkEnd w:id="104"/>
      <w:r>
        <w:rPr>
          <w:rFonts w:ascii="Amiri" w:hAnsi="Amiri" w:eastAsia="Amiri" w:cs="Amiri"/>
          <w:color w:val="111111"/>
          <w:sz w:val="28"/>
          <w:sz w:val="28"/>
          <w:szCs w:val="28"/>
          <w:rtl w:val="true"/>
          <w:lang w:bidi="ar-SA"/>
        </w:rPr>
        <w:t>ووقتُ نافلة اللّيل بعد انتصافه، وكُلّما قَرُبَ من الفَجر كان أفضل،</w:t>
      </w:r>
    </w:p>
    <w:p>
      <w:pPr>
        <w:pStyle w:val="Heading6"/>
        <w:numPr>
          <w:ilvl w:val="5"/>
          <w:numId w:val="1"/>
        </w:numPr>
        <w:rPr/>
      </w:pPr>
      <w:bookmarkStart w:id="105" w:name="__RefHeading___Toc10444388_73709187"/>
      <w:bookmarkStart w:id="106" w:name="_Toc41"/>
      <w:bookmarkEnd w:id="105"/>
      <w:r>
        <w:rPr>
          <w:rtl w:val="true"/>
        </w:rPr>
        <w:t>وقتُ نافلة اللّيل</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نافلة اللّيل بعد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لمرسلة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ما بين نصف اللّيل إلى آخره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وتؤيّده النصوص المتضمّنة لحكاية فعل النبيّ صلى الله عليه و آله، الوارد بعضها في مقام بيان النّوافل على حسب ما جرت به السُنّة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نفي البأس عن الإتيان بها في أوّل اللّيل</w:t>
      </w:r>
      <w:r>
        <w:rPr>
          <w:rStyle w:val="FootnoteAnchor"/>
          <w:rtl w:val="true"/>
        </w:rPr>
        <w:footnoteReference w:id="235"/>
      </w:r>
      <w:r>
        <w:rPr>
          <w:rFonts w:ascii="IRNazanin" w:hAnsi="IRNazanin" w:eastAsia="IRNazanin"/>
          <w:color w:val="111111"/>
          <w:sz w:val="28"/>
          <w:sz w:val="28"/>
          <w:szCs w:val="28"/>
          <w:rtl w:val="true"/>
          <w:lang w:bidi="fa-IR"/>
        </w:rPr>
        <w:t>، محمولٌ على العذر، للإجماع على خلافه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قَرُب من الفجر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للنصوص الدالّة على أنّ وقتها آخر اللّيل، كموثّق سليمان، عن الإمام </w:t>
      </w:r>
    </w:p>
    <w:p>
      <w:pPr>
        <w:pStyle w:val="BookText"/>
        <w:rPr/>
      </w:pPr>
      <w:r>
        <w:rPr>
          <w:rFonts w:ascii="Amiri" w:hAnsi="Amiri" w:eastAsia="Amiri" w:cs="Amiri"/>
          <w:color w:val="111111"/>
          <w:sz w:val="28"/>
          <w:sz w:val="28"/>
          <w:szCs w:val="28"/>
          <w:rtl w:val="true"/>
          <w:lang w:bidi="ar-SA"/>
        </w:rPr>
        <w:t>ولو طَلَع وقد تلبّس بأربعٍ زاحم بها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وثمان ركعاتٍ من آخر اللّيل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غيره المحمول كلّها على الفضل، للنصوص المتقدّمة الدالّة على أنّ أوّل وقتها انتصاف اللّيل، فإنّها بمساعدة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ما في هذه النصوص من الاختلاف، وكون آخر اللّيل مقولاً بالتشكيك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تَلبّس بأربعٍ‌، زاحم بها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لما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مؤمن الطّاق،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صلّيت أربع ركعاتٍ من صلاة اللّيل قبل طلوع الفجر، فأتمّ الصّلاة، طَلَع أو لم يَطلع</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طَلَع الفجر، ولم يتلبّس بشيءٍ منها، أو تلبّس بأقلّ من 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الإتيان بها حينئذٍ قضاءً قبل صلاة الصبح، أو أنّه لابدَّ من تأخيرها عنها؟ فوجهان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الأوّل جملةٌ من النصوص، وعلى الثاني مفهوم خبر مؤمن الطاق، وقول الصادق عليه السلام في خبر المفضّل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أنتَ قمتَ وقد طَلَع الفجر فابدأ بالفريضة ولا تُصلِّ غيرها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النصوص متعارضة، فلابدّ من الرجوع إلى المرجّحات، والترجيح مع الثانية للأشهريّة ومخالفة العامّة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07" w:name="pg11799_136017"/>
    </w:p>
    <w:p>
      <w:pPr>
        <w:pStyle w:val="BookText"/>
        <w:rPr/>
      </w:pPr>
      <w:bookmarkEnd w:id="107"/>
      <w:r>
        <w:rPr>
          <w:rFonts w:ascii="Amiri" w:hAnsi="Amiri" w:eastAsia="Amiri" w:cs="Amiri"/>
          <w:color w:val="111111"/>
          <w:sz w:val="28"/>
          <w:sz w:val="28"/>
          <w:szCs w:val="28"/>
          <w:rtl w:val="true"/>
          <w:lang w:bidi="ar-SA"/>
        </w:rPr>
        <w:t>ووقت ركعتي الفجر بعد الفراغ من صلاة اللّيل</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444390_73709187"/>
      <w:bookmarkStart w:id="109" w:name="_Toc42"/>
      <w:bookmarkEnd w:id="108"/>
      <w:r>
        <w:rPr>
          <w:rtl w:val="true"/>
        </w:rPr>
        <w:t>وقت نافلة الصّبح</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ركعتي الفجر بعد الفراغ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وتدلّ عليه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 الفجر اُصلّيهما قبل الفجر أو بعد الفجر؟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 بهما صلاة اللّيل، وصلّهما قبل الفجر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ركعتي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إنّهما من صلاة اللّيل ثلاث عشرة ركعة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إذا دسّهما في صلاة اللّيل، وأمّا إذا لم يأتِ بصلاة اللّيل، فلا إشكال أيضاً في جواز تقديمهما على الفجر، لدلالة جملةٍ من النصوص عليه، كصحيحة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اللّتان قبل الغداة أين موضعهما؟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في دلالتها على جواز تقديمهما من انتصاف اللّيل إشكالاً، إذ دعوى انصرافها إلى ما يقرب الفجر غير بعيدة، مع أنّه لو سُلّم إطلاقها فتقيّد بخبر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أوّل وقت ركعتي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w:t>
      </w:r>
    </w:p>
    <w:p>
      <w:pPr>
        <w:pStyle w:val="BookText"/>
        <w:rPr/>
      </w:pPr>
      <w:r>
        <w:rPr>
          <w:rFonts w:ascii="Amiri" w:hAnsi="Amiri" w:eastAsia="Amiri" w:cs="Amiri"/>
          <w:color w:val="111111"/>
          <w:sz w:val="28"/>
          <w:sz w:val="28"/>
          <w:szCs w:val="28"/>
          <w:rtl w:val="true"/>
          <w:lang w:bidi="ar-SA"/>
        </w:rPr>
        <w:t>اللّيل الباقي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هو مدرك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المبدأ الفجر الأوّل</w:t>
      </w:r>
      <w:r>
        <w:rPr>
          <w:rStyle w:val="FootnoteAnchor"/>
          <w:rtl w:val="true"/>
        </w:rPr>
        <w:footnoteReference w:id="245"/>
      </w:r>
      <w:r>
        <w:rPr>
          <w:rFonts w:ascii="Amiri" w:hAnsi="Amiri" w:eastAsia="Amiri" w:cs="Amiri"/>
          <w:color w:val="111111"/>
          <w:sz w:val="28"/>
          <w:sz w:val="28"/>
          <w:szCs w:val="28"/>
          <w:rtl w:val="true"/>
          <w:lang w:bidi="ar-SA"/>
        </w:rPr>
        <w:t>، بناءً على أنّ أوّل السُّدس هو الفجر الأوّل، ويؤيّده خبر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ومعه وبعده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الإتيان بها بعد الفجر الثاني، فتدلّ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 الفجر قبل الفجر وبعده وعنده</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أنتَ قمتَ وقد طَلَع الفجر، فابدأ بالفريضة ولا تُصلِّ غيرها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لا ينافي هذه النصوص، إذ الظاهر منه إرادة البدئة بالفريضة، في مقابل نافلة اللّيل، لا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فيه قبل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طَلَع الفجر، فأوتر وصَلِّ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اُريد بالفجر فيها الأوّل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بها حتّى بعد طلوع الحُمرة المشرقيّة، إلّاأنّه لابدّ من تقييده بصحيح عليّبن يقطين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لا يُصلّي الغداة حتّى يسفر وتظهرالحُمرة، ولم يركع ركعتي الفجر، أيركعهما أو يؤخّرهما؟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وتأخيرها إلى طلوعه أفضل، ولو طَلَع الفَجرُ زاحم بها إلى أنْ تَطلع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وتأخيرها إلى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التصريح به</w:t>
      </w:r>
      <w:r>
        <w:rPr>
          <w:rStyle w:val="FootnoteAnchor"/>
          <w:rtl w:val="true"/>
        </w:rPr>
        <w:footnoteReference w:id="250"/>
      </w:r>
      <w:r>
        <w:rPr>
          <w:rFonts w:ascii="Amiri" w:hAnsi="Amiri" w:eastAsia="Amiri" w:cs="Amiri"/>
          <w:color w:val="111111"/>
          <w:sz w:val="28"/>
          <w:sz w:val="28"/>
          <w:szCs w:val="28"/>
          <w:rtl w:val="true"/>
          <w:lang w:bidi="ar-SA"/>
        </w:rPr>
        <w:t>، لما دلّ على أنّ وقتها قبل الفجر، أو السّدس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تقديمها على الفجر الثاني أفضل، لخبر زرارة المتقدّم، الدالّ على أنّ وقتها قبل الفجر، المحمول على الفضل، بقرينة الروايات الصريحة في جواز تأخيرها عن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طَلَع الفجر زاحم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تطلع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أوقات الصّلوات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10" w:name="pg11799_136020"/>
    </w:p>
    <w:p>
      <w:pPr>
        <w:pStyle w:val="Heading5"/>
        <w:numPr>
          <w:ilvl w:val="4"/>
          <w:numId w:val="1"/>
        </w:numPr>
        <w:rPr/>
      </w:pPr>
      <w:bookmarkStart w:id="111" w:name="__RefHeading___Toc10444392_73709187"/>
      <w:bookmarkStart w:id="112" w:name="_Toc43"/>
      <w:bookmarkEnd w:id="110"/>
      <w:bookmarkEnd w:id="111"/>
      <w:r>
        <w:rPr>
          <w:rtl w:val="true"/>
        </w:rPr>
        <w:t>مسائل</w:t>
      </w:r>
      <w:r>
        <w:rPr>
          <w:rtl w:val="true"/>
        </w:rPr>
        <w:t>:</w:t>
      </w:r>
      <w:bookmarkEnd w:id="112"/>
    </w:p>
    <w:p>
      <w:pPr>
        <w:pStyle w:val="Heading6"/>
        <w:numPr>
          <w:ilvl w:val="5"/>
          <w:numId w:val="1"/>
        </w:numPr>
        <w:rPr/>
      </w:pPr>
      <w:bookmarkStart w:id="113" w:name="__RefHeading___Toc10444394_73709187"/>
      <w:bookmarkStart w:id="114" w:name="_Toc44"/>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الفرائض في كلّ وقتٍ أداءً وقضاءً‌، ما لم يتضيّق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 ما لم يَدخُل وقت الفريضة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0444396_73709187"/>
      <w:bookmarkStart w:id="116" w:name="_Toc45"/>
      <w:bookmarkEnd w:id="115"/>
      <w:r>
        <w:rPr>
          <w:rtl w:val="true"/>
        </w:rPr>
        <w:t>تُصلّى الفريضة في كلّ وقت</w:t>
      </w:r>
      <w:bookmarkEnd w:id="116"/>
    </w:p>
    <w:p>
      <w:pPr>
        <w:pStyle w:val="Heading6"/>
        <w:numPr>
          <w:ilvl w:val="5"/>
          <w:numId w:val="1"/>
        </w:numPr>
        <w:rPr/>
      </w:pPr>
      <w:bookmarkStart w:id="117" w:name="__RefHeading___Toc10444398_73709187"/>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وأمّا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المصنّف لجملةٍ منها، وأهمل ذكر اُخرى‌، ونحن نذكر في المقام المسائل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وقت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وقتها المضروبة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قضاء الفرائض الخمس في كلّ وقتٍ‌،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جواز الإتيان بباقي الصّلوات في كلّ وقتٍ‌، فلوجود المقتضي، وعدم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 ما لم يدخل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على المصلّي فائتة، بلا خلافٍ في ذلك،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يقع في مسالتين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التطوّع في وقت الفريضة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إتيان النافلة لمَن عليه فائتة</w:t>
      </w:r>
      <w:r>
        <w:rPr>
          <w:rFonts w:eastAsia="Amiri" w:cs="Amiri" w:ascii="Amiri" w:hAnsi="Amiri"/>
          <w:color w:val="111111"/>
          <w:sz w:val="28"/>
          <w:szCs w:val="28"/>
          <w:rtl w:val="true"/>
          <w:lang w:bidi="ar-SA"/>
        </w:rPr>
        <w:t xml:space="preserve">. </w:t>
      </w:r>
      <w:bookmarkStart w:id="119" w:name="pg11799_136021"/>
    </w:p>
    <w:p>
      <w:pPr>
        <w:pStyle w:val="Heading6"/>
        <w:numPr>
          <w:ilvl w:val="5"/>
          <w:numId w:val="1"/>
        </w:numPr>
        <w:rPr/>
      </w:pPr>
      <w:bookmarkStart w:id="120" w:name="__RefHeading___Toc10444400_73709187"/>
      <w:bookmarkStart w:id="121" w:name="_Toc47"/>
      <w:bookmarkEnd w:id="119"/>
      <w:bookmarkEnd w:id="120"/>
      <w:r>
        <w:rPr>
          <w:rtl w:val="true"/>
        </w:rPr>
        <w:t>التطوّع في وقت الفريضة</w:t>
      </w:r>
      <w:bookmarkEnd w:id="121"/>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كالشيخين</w:t>
      </w:r>
      <w:r>
        <w:rPr>
          <w:rStyle w:val="FootnoteAnchor"/>
          <w:rtl w:val="true"/>
        </w:rPr>
        <w:footnoteReference w:id="253"/>
      </w:r>
      <w:r>
        <w:rPr>
          <w:rFonts w:ascii="IRNazanin" w:hAnsi="IRNazanin" w:eastAsia="IRNazanin"/>
          <w:color w:val="111111"/>
          <w:sz w:val="28"/>
          <w:sz w:val="28"/>
          <w:szCs w:val="28"/>
          <w:rtl w:val="true"/>
          <w:lang w:bidi="fa-IR"/>
        </w:rPr>
        <w:t>وأتباعهما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بالنافلة في وقت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الفجر قبل الفجر أو بعد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إنّهما من صلاة اللّيل، ثلاث عشرة ركعة صلاة اللّيل، أتُريد أن تقايس‌؟ لو كان عليكَ من شهر رمضان أكنتَ تطوّع إذا دخل عليك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بالفريضة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أنّها لم يعمل بظاهرها في موردها، لجواز الإتيان بركعتي الفجر بعد الفجر، بل يستحبّ إعادتهما بعده لمن قدّمهما عليه، كما هو المشهور،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أمر بالبدأة بالفريضة، ولم ينهَ عن النافلة، فكما يمكن أن يكون الأمر بها لعدم جواز النافلة، كذلك يمكن أن يكون لأهميّة الفريضة، وعدم إمكان الأمر بهما في زمانٍ واحد، وعليه فلا تدلّ على عدم صحّة التطوّع حتّى بناءً على صحّة الترتّب، أو كفاية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الاُخرى‌، عنه عليه السلام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النافلة وعَليَّ فريضة، أو في وقت فريضة‌؟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لا يُصلّى نافلةٌ في وقت فريضةٍ‌، أرايتَ لو كان عليك من شهر رمضان أكان لك أن تطوّع حتّى 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قرب احتمال كونها عين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فيها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إرادة الراتبة من النافلة أو العموم، وحمل وقت الفريضة على الوقت المختصّ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الأخذ بعموم وقت الفريضة، وتخصيص النافلة بالمبتدأة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الراتبة من أظهر مصاديق النافلة، وإرادة الوقت المختصّ من الوقت شائعة في كلمات الأئمّة عليهم السلام، فالأوّل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ظهر الجواب عن الاستدلال بصحيحته الثالثة،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عن أبي جعفر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من النافلة شيئاً في وقت الفريضة، فإنّه لاتقضى نافلة في وقت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فريضة، فإذا دخل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ظهر الإشكال في صحيحته الرابعة،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مكتوبةٍ‌، فلا صلاة نافلة حتّى يبدأ بالمكتوبة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لي لا أراك تتطوّع بين الأذان والإقامة، كما يصنع الناس‌؟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أردنا أن نتطوّع، كان تطوّعنا في غير وقت الفريضة، فإذا دخلت الفريضة فلا تطوّع</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فلا تطوّع منّا، وعليه فالخبر ليس ظاهراً في المنع،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الذّراع والذّراعان لئلّا يكون تطوّعٌ في وقت فريضة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لحكمة التشريع، كراهة التطوّع، وأفضليّة الفريضة عن النافلة، فلا تدلّ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هذه الأخبار يظهر عدم دلالة سائر ما استدلّ به للمنع، فلا حاجة إلى ذكرها وبيان ما فيها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ظهور بعض ما مرّ في المنع، لابدّ من صرفه عن ظاهره للأخبار الدالّة على الجواز، كموثّق سماعة الذي رواه المشايخ الثلاثة،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الرجل يأتي المسجد، وقد صَلّى أهله ايبتدأ بالمكتوبة، أو يتطوّع‌؟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حَسَن فلا بأس بالتطوّع قبل الفريضة، وإنْ كان خاف الفوت من أجل ما مضى من الوقت، فليبدأ بالفريضة، وهو حقّ اللّه، ثمّ ليتطوّع ما شاء، والأمر موسّعٌ أن يُصلّي الإنسان في أوّل دخول وقت الفريضة النّوافل، إلّاأن يخاف فوت الفريضة، والفضل إذا صَلّى الإنسان وحده أن يبدأ بالفريضة إذا دخل وقتها، ليكون فضل أوّل الوقت للفريضة، وليس بمحظورٍ عليه أنْ يُصلّي النّوافل من أوّل وقتٍ إلى قريبٍ من آخر الوقت</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صراحته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النهي عن التطوّع إنّما يكون لأجل أهميّة الفريضة، فلذا تُحمل النّواهي المذكورة على أنّها إرشادٌ إلى وجود مطلوب أهمّ في نظر الشارع، وهذا لا يستلزم حزازة في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بالرواتب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أتنفّل أو أبدأ بالفريضة‌؟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الوقت المختصّ بالفريضة، كما لا يخفى وجهه، فتدلّ على جواز النافلة حتّى في الوقت المختصّ‌، 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التطوّع في وقت الفريضة جائزٌ بلا حزازة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2" w:name="pg11799_136025"/>
    </w:p>
    <w:p>
      <w:pPr>
        <w:pStyle w:val="Heading6"/>
        <w:numPr>
          <w:ilvl w:val="5"/>
          <w:numId w:val="1"/>
        </w:numPr>
        <w:rPr/>
      </w:pPr>
      <w:bookmarkStart w:id="123" w:name="__RefHeading___Toc10444402_73709187"/>
      <w:bookmarkStart w:id="124" w:name="_Toc48"/>
      <w:bookmarkEnd w:id="122"/>
      <w:bookmarkEnd w:id="123"/>
      <w:r>
        <w:rPr>
          <w:rtl w:val="true"/>
        </w:rPr>
        <w:t>التطوّعُ لمن عليه فائتة</w:t>
      </w:r>
      <w:bookmarkEnd w:id="124"/>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التطوّع لمن عليه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كالصدوقين</w:t>
      </w:r>
      <w:r>
        <w:rPr>
          <w:rStyle w:val="FootnoteAnchor"/>
          <w:rtl w:val="true"/>
        </w:rPr>
        <w:footnoteReference w:id="271"/>
      </w:r>
      <w:r>
        <w:rPr>
          <w:rFonts w:ascii="Amiri" w:hAnsi="Amiri" w:eastAsia="Amiri" w:cs="Amiri"/>
          <w:color w:val="111111"/>
          <w:sz w:val="28"/>
          <w:sz w:val="28"/>
          <w:szCs w:val="28"/>
          <w:rtl w:val="true"/>
          <w:lang w:bidi="ar-SA"/>
        </w:rPr>
        <w:t>والشهيدين</w:t>
      </w:r>
      <w:r>
        <w:rPr>
          <w:rStyle w:val="FootnoteAnchor"/>
          <w:rtl w:val="true"/>
        </w:rPr>
        <w:footnoteReference w:id="272"/>
      </w:r>
      <w:r>
        <w:rPr>
          <w:rFonts w:ascii="Amiri" w:hAnsi="Amiri" w:eastAsia="Amiri" w:cs="Amiri"/>
          <w:color w:val="111111"/>
          <w:sz w:val="28"/>
          <w:sz w:val="28"/>
          <w:szCs w:val="28"/>
          <w:rtl w:val="true"/>
          <w:lang w:bidi="ar-SA"/>
        </w:rPr>
        <w:t>والأردبيلي</w:t>
      </w:r>
      <w:r>
        <w:rPr>
          <w:rStyle w:val="FootnoteAnchor"/>
          <w:rtl w:val="true"/>
        </w:rPr>
        <w:footnoteReference w:id="273"/>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275"/>
      </w:r>
      <w:r>
        <w:rPr>
          <w:rFonts w:ascii="Amiri" w:hAnsi="Amiri" w:eastAsia="Amiri" w:cs="Amiri"/>
          <w:color w:val="111111"/>
          <w:sz w:val="28"/>
          <w:sz w:val="28"/>
          <w:szCs w:val="28"/>
          <w:rtl w:val="true"/>
          <w:lang w:bidi="ar-SA"/>
        </w:rPr>
        <w:t>المنع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الأشهر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للمنع</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بالنصوص</w:t>
      </w:r>
      <w:r>
        <w:rPr>
          <w:rStyle w:val="FootnoteAnchor"/>
          <w:rtl w:val="true"/>
        </w:rPr>
        <w:footnoteReference w:id="278"/>
      </w:r>
      <w:r>
        <w:rPr>
          <w:rFonts w:ascii="Amiri" w:hAnsi="Amiri" w:eastAsia="Amiri" w:cs="Amiri"/>
          <w:color w:val="111111"/>
          <w:sz w:val="28"/>
          <w:sz w:val="28"/>
          <w:szCs w:val="28"/>
          <w:rtl w:val="true"/>
          <w:lang w:bidi="ar-SA"/>
        </w:rPr>
        <w:t>الدالّة على وجوب ترتيب الحاضرة على الفائتة، ما لم يتضيّق وقتها، بدعوى أنّه إذا وجب ذلك في الفريضة الّتي هي صاحبة الوقت، ففي نافلتها بطريقٍ أولى‌، وأولى منه في غير نافلتها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القضاء مضيّق، فلا يجوز فعل شيء ما دامت الذمّة مشغولة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صَلّى بغير طهورٍ، أو نَسى صلوات لم يُصلّها، أو نام عنها؟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يقضيها إذا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يتطوّع بركعةٍ حتّى يقضي </w:t>
      </w:r>
    </w:p>
    <w:p>
      <w:pPr>
        <w:pStyle w:val="BookText"/>
        <w:rPr/>
      </w:pPr>
      <w:r>
        <w:rPr>
          <w:rFonts w:ascii="Amiri" w:hAnsi="Amiri" w:eastAsia="Amiri" w:cs="Amiri"/>
          <w:color w:val="111111"/>
          <w:sz w:val="28"/>
          <w:sz w:val="28"/>
          <w:szCs w:val="28"/>
          <w:rtl w:val="true"/>
          <w:lang w:bidi="ar-SA"/>
        </w:rPr>
        <w:t>الفريضة كلّها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زرارة الثانية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يعقوب بن شُعيب،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ينام عن الغداة، حتّى تبزغ الشّمس، أيُصلّي حين يستيقظ، أو ينتظر حتّى تنبسط الشّمس‌؟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أيوتر أو يُصلّي ركعتين‌؟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بالفريضة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عن فعل الحاضرة في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لزوم الترتيب بين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تضيّق وقت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اعتبار الترتيب بين صلاتين كالظهر والعصر، لا يدلّ على اعتبار الترتيب بين الظهر وسائر الصّلوات، كما لا يخفى‌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كون المضايقة في نفسها محلّ إشكالٍ‌، أنّ لازم ذلك ليس فساد النافلة، بل تكون النافلة مع القضاء كسائر المتزاحمين الذين يكون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أهمّ‌، فإنّه يصحّ الإتيان بالآخر؛ إمّا بقصد الأمر بناءً على صحّة الترتّب، أو بقصد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زرارة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فتعارضه النصوص</w:t>
      </w:r>
      <w:r>
        <w:rPr>
          <w:rStyle w:val="FootnoteAnchor"/>
          <w:rtl w:val="true"/>
        </w:rPr>
        <w:footnoteReference w:id="282"/>
      </w:r>
      <w:r>
        <w:rPr>
          <w:rFonts w:ascii="Amiri" w:hAnsi="Amiri" w:eastAsia="Amiri" w:cs="Amiri"/>
          <w:color w:val="111111"/>
          <w:sz w:val="28"/>
          <w:sz w:val="28"/>
          <w:szCs w:val="28"/>
          <w:rtl w:val="true"/>
          <w:lang w:bidi="ar-SA"/>
        </w:rPr>
        <w:t>الدالّة على قضاء رسول اللّه صلى الله عليه و آله ركعتي الفجر قبل صلاته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بالراتبة، فلا تعمّ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بينهما بعد مضيّ وقت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صحيح زرارة المرويّ عن ابن طاووس،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ولم يُصلِّ صلاة ليلته تلك‌؟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ويُصلّي صلاة ليلته تلك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النهي فيه لا يكون ظاهراً في المنع، لظهوره في أنّه إنّما يكون لمراعاة حفظ الواجب،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في المسألة السابقة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الإشكال إنّما كان في قوله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نافلة في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الجواب عن كلا السؤالين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التفكيك بين الموردين فيه لا يمكن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ما اُجيب به عنه بأنّ الجواب فيه مختصّ بالسؤال الثاني، وهو التطوّع في وقت الفريضة، وعليه فعدم التعرّض للجواب عن الأوّل مع كونه عليه السلام في مقام البيان، يدلّ على الجواز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الإشكال عليه، بأنّ المراد بوقت الفريضة، هو الوقت الذي تنجّز في حقّه التكليف بفريضة، أداءً كان أم قضاءً‌، فيكون الجواب عامّاً، غير تامّ‌، إذ القضاء لا يكون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ابن 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معارضتها في موردها مع النصوص الدالّة على جواز الإتيان بركعتي الفجر قبل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فيها لم ينهَ عن النافلة، بل أمر بالبدأة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يكون ذلك لأجل أهميّة البدأة بالفريضة، فلا تدلّ على عدم صحّة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 غير ظاهر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على عدم جواز التطوّع لمن عليه 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فالمعتمد هو ما دلّ على شرعيّة النّوافل، وأنّها بمنزلة الهديّة متى أتى بها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مادلّ‌على استحباب الصّلوات الخاصّة من ذوات الأسباب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ورد في الموارد المخصوصة الدالّ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تبعاً لجملةٍ من الأساطين</w:t>
      </w:r>
      <w:r>
        <w:rPr>
          <w:rStyle w:val="FootnoteAnchor"/>
          <w:rtl w:val="true"/>
        </w:rPr>
        <w:footnoteReference w:id="285"/>
      </w:r>
      <w:r>
        <w:rPr>
          <w:rFonts w:ascii="Amiri" w:hAnsi="Amiri" w:eastAsia="Amiri" w:cs="Amiri"/>
          <w:color w:val="111111"/>
          <w:sz w:val="28"/>
          <w:sz w:val="28"/>
          <w:szCs w:val="28"/>
          <w:rtl w:val="true"/>
          <w:lang w:bidi="ar-SA"/>
        </w:rPr>
        <w:t>، جواز التطوّع لمن عليه فائتة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25" w:name="pg11799_136029"/>
    </w:p>
    <w:p>
      <w:pPr>
        <w:pStyle w:val="BookText"/>
        <w:rPr/>
      </w:pPr>
      <w:bookmarkEnd w:id="12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ابتداء النّوافل عند طلوع الشّمس وغروبها،</w:t>
      </w:r>
    </w:p>
    <w:p>
      <w:pPr>
        <w:pStyle w:val="Heading6"/>
        <w:numPr>
          <w:ilvl w:val="5"/>
          <w:numId w:val="1"/>
        </w:numPr>
        <w:rPr/>
      </w:pPr>
      <w:bookmarkStart w:id="126" w:name="__RefHeading___Toc10444404_73709187"/>
      <w:bookmarkStart w:id="127" w:name="_Toc49"/>
      <w:bookmarkEnd w:id="126"/>
      <w:r>
        <w:rPr>
          <w:rtl w:val="true"/>
        </w:rPr>
        <w:t>كراهة النّوافل في خمسة أوقات</w:t>
      </w:r>
      <w:bookmarkEnd w:id="1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ابتداء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المبتدأة في خمسة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يذهب شعاعها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للكراهة فيهما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الفجر حين تطلع الشّمس، فإنّ رسول اللّه صلى الله عليه و آله قال إنّ الشّمس تطلع بين قرني الشيطان، وتغرب بين قرني الشيطان، وقال لا صلاة بعد العصر حتّى تُصلّي المغرب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تكره الصّلاة عند طلوع الشّمس وعند غروبها الّتي فيها الخشوع والركوع والسجود، لأنّها تغرب بين قرني الشيطان، وتطلع بين قرني الشيطان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العصر حتّى تُصلّي المغرب، ولا صلاة بعد الفجر حتّى تطلع الشّمس</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حديث المناهي</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الصّلاة عند طلوع الشّمس وعند غروبها وعند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بينها وبين ما دلَّ على الجواز، كقوله عليه السلام في مكاتبة محمّد بن فرج، إلى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مسائل،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بعد العصر ما شئتَ من النّوافل، وصَلِّ بعد الغداة من النّوافل ما شئتَ‌</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بحمل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وأدلّة التسامح إنّما تدلّ على استحباب ما بلغ عليه الثواب، ولا تثبت بها الكراهة، فلا وجه للرجوع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حمل تلك الروايات بأجمعها على التقيّة،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كرويّة الأرض، ولا شبهة في أنّها تقتضي أن يكون كلّ آنٍ مطلعاً للشمس ومغرباً لها، فلابدّ وأن تكون الشّمس بين قرني الشيطان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الحُجّة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 الصّلاة عند طلوع الشّمس وعند غروبها، فلأنْ كان كما يقول الناس إنّ الشّمس تطلع بين قرني الشيطان، وتغرُب بين قرني الشيطان، فما أرغمَ أنفَ الشيطان بشيءٍ أفضل من الصّلاة، فصَلّها وأرغم أنف الشيطان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قيامها نصف النهار، إلى أن تزول، إلّافي يوم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قيامها نصف النهار إلى أن تزول، إلّافي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للكراهة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سليمان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يُصلّي إذا طلعت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انتصف النهار قارنها، فلا ينبغي لأحدٍ أن يُصلّي في ذلك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المناهي المتقدّم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الموثّق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الصّلاة فيه الفريضة، وقد تقدّم التصريح بذلك في جملةٍ من الروايات، وعرفت مقتضى الجمع بينها، وبين ما دلّ على جواز إتيان الفريضة من 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نصف النهار إنّما يكون بزوال الشّمس بتمامها، ولا شكّ في الأمر بالنافلة في هذا الوقت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السّفر عديلاً للجمعة في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الصّبح والعصر، عدا ذي 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كخبري معاوية، والحلبي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معارضة بما هو أقوى منها سنداً، وأكثر عدداً، الدالّ على عدم الكراهة، وفي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إيقاع الصّلاة في الوقتين من شعار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كراهة للصَّلاة بجميع أقسامها في هذه الأوقات، وأنّ الأصحاب القائلين بالكراهة فيها في الجملة قد اختلفوا في تشخيص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خصّها بالمبتدأة،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ذي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المختار عدم الكراهة مطلقاً، فلا وجه لإطالة الكلام في هذه الجهة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8" w:name="pg11799_136033"/>
    </w:p>
    <w:p>
      <w:pPr>
        <w:pStyle w:val="Heading6"/>
        <w:numPr>
          <w:ilvl w:val="5"/>
          <w:numId w:val="1"/>
        </w:numPr>
        <w:rPr/>
      </w:pPr>
      <w:bookmarkStart w:id="129" w:name="__RefHeading___Toc10444406_73709187"/>
      <w:bookmarkStart w:id="130" w:name="_Toc50"/>
      <w:bookmarkEnd w:id="128"/>
      <w:bookmarkEnd w:id="129"/>
      <w:r>
        <w:rPr>
          <w:rtl w:val="true"/>
        </w:rPr>
        <w:t>تقديم كلّ صلاةٍ في أوّل وقتها أفضل</w:t>
      </w:r>
      <w:bookmarkEnd w:id="13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كلّ صلاةٍ في أوّل وقتها أفضل، إلّافي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تأخير الصّلاة عن وقتها ولا تقديمها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كلّ صلاةٍ في أوّل وقتها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كالمغرب والعشاء الآخرة، لمن أفاض من عرفات، فإنّ تأخيرها إلى المزدلفة أولى‌، ولو صار إلى ثلثه، كما يدلّ عليه صحيح ابن مسلم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والعشاء الآخرة مطلقاً، فإنّ الأولى أن يؤخّر حتّى يسقط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والمتنفّل فإنّ الأفضل له تأخير الظهرين والإتيان بهما بعد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والمستحاضة المعتبر في صحّة صلاتها الغُسل، فإنّها تؤخِّر الظهر والمغرب إلى آخر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وألحقوا بهذه المواضع مواضع كثيرة لايهمّنا التعرّض لها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تأخير الصّلاة عن وقتها، ولا تقديمها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شرطيّة الوقت</w:t>
      </w:r>
      <w:r>
        <w:rPr>
          <w:rFonts w:eastAsia="Amiri" w:cs="Amiri" w:ascii="Amiri" w:hAnsi="Amiri"/>
          <w:color w:val="111111"/>
          <w:sz w:val="28"/>
          <w:szCs w:val="28"/>
          <w:rtl w:val="true"/>
          <w:lang w:bidi="ar-SA"/>
        </w:rPr>
        <w:t>.</w:t>
      </w:r>
      <w:bookmarkStart w:id="131" w:name="pg11799_136034"/>
    </w:p>
    <w:p>
      <w:pPr>
        <w:pStyle w:val="Heading6"/>
        <w:numPr>
          <w:ilvl w:val="5"/>
          <w:numId w:val="1"/>
        </w:numPr>
        <w:rPr/>
      </w:pPr>
      <w:bookmarkStart w:id="132" w:name="__RefHeading___Toc10444408_73709187"/>
      <w:bookmarkStart w:id="133" w:name="_Toc51"/>
      <w:bookmarkEnd w:id="131"/>
      <w:bookmarkEnd w:id="132"/>
      <w:r>
        <w:rPr>
          <w:rtl w:val="true"/>
        </w:rPr>
        <w:t>قاعدة مَنْ أدركَ‌</w:t>
      </w:r>
      <w:bookmarkEnd w:id="13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ركعةً من الوقت بمقدار أداء ركعةٍ من الفريضة، لزمه أدائها، ويكون بذلك مؤدّياً بلا خلافٍ في الأوّل،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أنّه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العصر، قبل أنْ تغرب الشّمس، فقد أدرك العصر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الأصحاب، ما رواه الشيخ عن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صَلّى ركعةً من الغداة، ثمّ طلعت الشّمس، فليتمّ الصّلاة، وقد جازت صلاته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أخصيّة الخبرين الأخيرين من المدّعي، والنبويّان وإنْ عَمّ أوّلهما لكلّ صلاةٍ‌، إلّاأنّه من حيث كونه عاميّاً لا يُعتمد عليه، فالحكم محلّ إشكال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المناقشة في مثل هذا الخبر المشهور، المعمول به لدى الأصحاب، </w:t>
      </w:r>
    </w:p>
    <w:p>
      <w:pPr>
        <w:pStyle w:val="BookText"/>
        <w:rPr/>
      </w:pPr>
      <w:r>
        <w:rPr>
          <w:rFonts w:ascii="Amiri" w:hAnsi="Amiri" w:eastAsia="Amiri" w:cs="Amiri"/>
          <w:color w:val="111111"/>
          <w:sz w:val="28"/>
          <w:sz w:val="28"/>
          <w:szCs w:val="28"/>
          <w:rtl w:val="true"/>
          <w:lang w:bidi="ar-SA"/>
        </w:rPr>
        <w:t>المعتضد بالأخبار الخاصّة، ليس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فالمستند من حيث السند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المدلول، فملخَّص القول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لدلالته على الحكم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في النصوص المذكورة معلّقٌ على مضيّ الركعة، فيختصّ بمن دخل في الصّلاة معتقداً إدراك التمام أو غافلاً عنه، ثمّ انقضى الوقت بعد إدراك الركعة، ولا يشمل مَن علم مِن أوّل الأمر عدم سِعة الوقت إلّالا دراك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يمكن أن يكون المراد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إدراك ركعةً من الصّلاة مع الإمام بمنزلة إدراك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فيه ما يدلّ على أنّ التنزيل المذكور بملاحظة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المعلّق عليه الحكم، لو كان المُصلّي كما هو كذلك في الرواية الأخيرة، كان لهذا الإيراد مجالٌ‌، ولكنّه في سائر الروايات هو المُدْرِك ركعةً‌، وهذا العنوان يصدقُ حتّى مع عدم الإتيان بشيءٍ من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النبويّ وغيره، أنّ الحكم معلّقٌ على إدراك ركعة من طبيعي الصّلاة المأمور بها، لعدم تقييد الحكم بشيء، فلا وجه لاحتمال اختصاصها بإدراك ركعة مع الإمام، فالتمسّك بالنبويّ لوجوب المبادرة إلى الصّلاة لو اتّسع الوقت لركعةٍ منها، ممّا لا ينبغي الإشكال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المأتي بها في الصورة المفروضة تكون 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السيّد رحمه الله</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بعضٍ‌</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هو الأوّل، لشهادة النبويّ وغيره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السيّد رحمه الله</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الجزء يوجب خروج المجموع، وبأنّ الركعة المُدْرِكة وقعت في وقت الركعة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يعتنى بهذه الوجوه الإعتباريّة في مقابل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القول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التمسّك بهذه النصوص لوجوب المبادرة إلى صلاة لا يزاحمها واجبٌ مضيّق، كصلاة الغداة والعصر والعشاء، وأمّا لو زاحمها ذلك، كما في الظهرين إذا أدرك خمس ركعات قبل الغروب، فمحلّ إشكال، إذ مجرّد جعل وقتٍ بمنزلة وقت الظهر مثلاً، لا يقتضي وجوب الإتيان بها قبل العصر، وإيقاع ثلاث ركعات منها في الوقت المختصّ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لزوم الفريضتين في الصورة المفروضة، لما عرفت من أنّ دليل الإختصاص لا يدلّ على بطلان الشريكة الواقعة في الوقت المختصّ‌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أنّ الترتيب معتبرٌ بين الظهرين عند التمكّن من الإتيان بالظهر في وقتها، والمُدْرِك لخمس ركعاتٍ لأجل هذه النصوص متمكّنٌ من الإتيان بها في وقتها، فيجبُ عليه ذلك، فلا يكون تأخير الثانية حينئذٍ عمديّاً اختياريّاً حتّى 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بل يكون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يكون الإتيان بالظهر من قبيل الشروط المعتبرة في صحّة العصر، فلا محالة تزاحمها عند إدراك ركعة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يندفع ما قيل من إنّه لو شملت النصوص للظهر، يتمّ القول بلزوم الفريضتين، إلّاأنّ الكلام في شمولها لها،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الاختصاص، بضميمة ما دلّ على عدم جواز تأخير الصّلاة عن وقتها، ولو بإتيان جزءٍ منها في خارج الوقت، يمنعان عن شمول الأخبار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الركعة الإختياريّة بحسب حال المُدْرِك، مع قطع النظر عن ضيق الوقت، فإذا كانت وظيفته الصّلاة مع الطهارة المائيّة، ولم يُدْرِك ركعةً مع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مُدرِكاً لها مع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المبادرة إليها، لأنّ شمول النصوص للركعة مع التيمّم في الفرض، لا يكون إلّاعلى وجهٍ دائر، إذ شمولها لكلّ موردٍ متوقّفٌ على صدق المُدْرِك للركعة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صدقه متوقّفٌ على مشروعيّة التيمّم، وهي متوقّفة على فقدان الماء، وحيثُ أنّه واجدٌ له وجداناً، فصدقه متوقّفٌ على ثبوت الأمر بالصّلاة، كي يقال إنّه غير متمكّن منها مع الوضوء، فهو فاقدٌ للماء تعبّداً، فينتقل التكليف إلى التيمّم، وثبوت الأمر بالصّلاة متوقّفٌ على شمول الأخبار، وإلّا فمقتضى القاعدة عدم الأمر بها في الفرض، لعدم التمكّن من إيقاعها في الوقت، والأمر بالقضاء يتوقّف على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النصوص للصورة المفروضة، متوقّفٌ على ثبوت الأمر بالتيمّم، وهو متوقّفٌ على ثبوت الأمر بالصّلاة المتوقّف على شمول الأخبار، وهذا دورٌ واضح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الأمر بالصّلاة بقاعدة اُخرى‌، وهي عدم سقوط الصّلاة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شمول هذه القاعدة أيضاً متوقّفٌ على شمول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وإلّا فقد عرفت أنّ مقتضى القاعدة عدم وجوبها في الفرض،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المكلّف متمكِّناً من إيقاع الصّلاة بتمامها في الوقت، وأخّر عالماً عامداً ملتفتاً، حتّى بقي مقدار أداء الركعة، فإنّه يعدّ عاصياً، ولا تصحّ صلاته، لأنّ الظاهر من النصوص أنّ الموضوع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المُدْرِك للركعة غير المدرك لجميع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بكون ذلك طبعيّاً لا بالإختيار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المكلّف من أداء أربع ركعات في الوقت مع الطهارة الترابيّة، أو ركعةً واحدة مع الطهارة المائيّة، فالظاهر هو التخيير بينهما، خلافاً لأكثر المحقّقين، وذلك لما سيأتي في مبحث القبلة</w:t>
      </w:r>
      <w:r>
        <w:rPr>
          <w:rStyle w:val="FootnoteAnchor"/>
          <w:rtl w:val="true"/>
        </w:rPr>
        <w:footnoteReference w:id="307"/>
      </w:r>
      <w:r>
        <w:rPr>
          <w:rFonts w:ascii="Amiri" w:hAnsi="Amiri" w:eastAsia="Amiri" w:cs="Amiri"/>
          <w:color w:val="111111"/>
          <w:sz w:val="28"/>
          <w:sz w:val="28"/>
          <w:szCs w:val="28"/>
          <w:rtl w:val="true"/>
          <w:lang w:bidi="ar-SA"/>
        </w:rPr>
        <w:t>من أنّ التنافي بين الأوامر الضمنيّة لا يكون من باب التزاحم، بل إنّما يرجع إلى التعارض، ويتبيّن إنْ شاء اللّه تعالى في محلّه أنّ مركز التنافي إنّما هو إطلاق دليل كلٍّ من الجزئين أو الشرطين، ويظهر لك في محلّه من أنّه لو كان لكلٍّ من الدليلين إطلاقٌ‌، فمقتضى القاعدة</w:t>
      </w:r>
      <w:r>
        <w:rPr>
          <w:rStyle w:val="FootnoteAnchor"/>
          <w:rtl w:val="true"/>
        </w:rPr>
        <w:footnoteReference w:id="308"/>
      </w:r>
      <w:r>
        <w:rPr>
          <w:rFonts w:ascii="IRNazanin" w:hAnsi="IRNazanin" w:eastAsia="IRNazanin"/>
          <w:color w:val="111111"/>
          <w:sz w:val="28"/>
          <w:sz w:val="28"/>
          <w:szCs w:val="28"/>
          <w:rtl w:val="true"/>
          <w:lang w:bidi="fa-IR"/>
        </w:rPr>
        <w:t>تساقطهما، والرجوع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ففيما نحن فيه، بعد العلم بسقوط الأمر المتعلّق بالصّلاة مع الطهارة المائيّة في الوقت، وحدوث أمرٍ بالخالي عن أحدهما، يقع التعارض بين إطلاق دليل اعتبار الطهارة، وإطلاق دليل لزوم إيقاع تمام الصّلاة في الوقت، فيتساقطان والمرجع إلى الأصل، وهو ها هنا التخيير، كما لا يخفى‌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لذلك زيادة توضيح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تتحقّق الركعة إلّابرفع الرأس من السّجدة الثانية، كما نُسب إلى المشهور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البغداديّة</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تحقّقها بالركوع، واحتمله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تحقّقها بالدخول في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المراد منها في النصوص</w:t>
      </w:r>
      <w:r>
        <w:rPr>
          <w:rStyle w:val="FootnoteAnchor"/>
          <w:rtl w:val="true"/>
        </w:rPr>
        <w:footnoteReference w:id="313"/>
      </w:r>
      <w:r>
        <w:rPr>
          <w:rFonts w:ascii="Amiri" w:hAnsi="Amiri" w:eastAsia="Amiri" w:cs="Amiri"/>
          <w:color w:val="111111"/>
          <w:sz w:val="28"/>
          <w:sz w:val="28"/>
          <w:szCs w:val="28"/>
          <w:rtl w:val="true"/>
          <w:lang w:bidi="ar-SA"/>
        </w:rPr>
        <w:t>الدالّة على أنّ الصّلاة التي فرضها اللّه في أصل الشرع عشر ركعات، ليس فيهنّ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الآيات على خصوص الركوع، لا يوجب صرف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إكمال الركعة إنّما يكون بالدخول في السّجدة الثانية، لأنّ ترك الذكر نسياناً 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السّجدة الواجبة في حال الالتفات هي المشتملة على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أبيتَ عمّا ذكرناه، فلا أقلّ من إجمال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أنّ الحكم الثابت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على خلاف القاعدة، فلابدّ من الاقتصار على المتيقّن، وهو إدراك الركعة برفع الرأس من السّجدة الثانية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34" w:name="pg11799_136040"/>
    </w:p>
    <w:p>
      <w:pPr>
        <w:pStyle w:val="Heading6"/>
        <w:numPr>
          <w:ilvl w:val="5"/>
          <w:numId w:val="1"/>
        </w:numPr>
        <w:rPr/>
      </w:pPr>
      <w:bookmarkStart w:id="135" w:name="__RefHeading___Toc10444410_73709187"/>
      <w:bookmarkStart w:id="136" w:name="_Toc52"/>
      <w:bookmarkEnd w:id="134"/>
      <w:bookmarkEnd w:id="135"/>
      <w:r>
        <w:rPr>
          <w:rtl w:val="true"/>
        </w:rPr>
        <w:t>حكم الصَّبي المتطوّع</w:t>
      </w:r>
      <w:bookmarkEnd w:id="13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المتطوّع بوظيفة الوقت، بناءً على شرعيّة صلاته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Style w:val="FootnoteAnchor"/>
          <w:rtl w:val="true"/>
        </w:rPr>
        <w:footnoteReference w:id="314"/>
      </w:r>
      <w:r>
        <w:rPr>
          <w:rFonts w:ascii="Amiri" w:hAnsi="Amiri" w:eastAsia="Amiri" w:cs="Amiri"/>
          <w:color w:val="111111"/>
          <w:sz w:val="28"/>
          <w:sz w:val="28"/>
          <w:szCs w:val="28"/>
          <w:rtl w:val="true"/>
          <w:lang w:bidi="ar-SA"/>
        </w:rPr>
        <w:t xml:space="preserve">المتضمّنة لأمر الأولياء بأمر الصبيان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العلم بعدم ترتّب الغَرض على الأمر، وحصول المصلحة، ولو لم ياتِ الصَّبي بها، بل إنّما يكون الأمر لأجل المصلحة الكامنة في صلاتهم، فلا محالة يكون الأمر بالأمر بالصّلاة، أمراً بها، لما حقّقناه في محلّه</w:t>
      </w:r>
      <w:r>
        <w:rPr>
          <w:rStyle w:val="FootnoteAnchor"/>
          <w:rtl w:val="true"/>
        </w:rPr>
        <w:footnoteReference w:id="315"/>
      </w:r>
      <w:r>
        <w:rPr>
          <w:rFonts w:ascii="Amiri" w:hAnsi="Amiri" w:eastAsia="Amiri" w:cs="Amiri"/>
          <w:color w:val="111111"/>
          <w:sz w:val="28"/>
          <w:sz w:val="28"/>
          <w:szCs w:val="28"/>
          <w:rtl w:val="true"/>
          <w:lang w:bidi="ar-SA"/>
        </w:rPr>
        <w:t xml:space="preserve">من أنّ الأمر بالأمر بشيءٍ في أمثال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المصلحة في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بلغ في أثناء الصّلاة بما لا يبطل الطهارة، أو بَلَغ بعد الصّلاة والوقتُ باقٍ‌، فإنّه لا يجب عليه الإستئناف والإعادة، لأنّه بعدما وقعت صحيحةً‌، لا مقتضي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الإعادة والإستئناف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من أنّه بعد البلوغ مخاطبٌ بالصّلاة، والوقت باقٍ‌، فيجبُ عليه الإتيان بها، وما فعله أوّلاً لم يكن واجباً، فلا يحصل به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من أنّه في الفرض قد توارد على الصَّبي أمران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وجوبي والآخر ندبي، ومن المعلوم عدم إجزاء الأوّل عن الثاني، بل لو كان </w:t>
      </w:r>
    </w:p>
    <w:p>
      <w:pPr>
        <w:pStyle w:val="BookText"/>
        <w:rPr/>
      </w:pPr>
      <w:r>
        <w:rPr>
          <w:rFonts w:ascii="Amiri" w:hAnsi="Amiri" w:eastAsia="Amiri" w:cs="Amiri"/>
          <w:color w:val="111111"/>
          <w:sz w:val="28"/>
          <w:sz w:val="28"/>
          <w:szCs w:val="28"/>
          <w:rtl w:val="true"/>
          <w:lang w:bidi="ar-SA"/>
        </w:rPr>
        <w:t>حتماً كان كذلك لأصالة تعدّد المسبّب بتعدّد السبب، خصوصاً في مثل المقام الذي منشأ التعدّد فيه اختلاف موضوعين، كلُّ منهما تعلّق به أمرٌ وهو الصَّبي والبالغ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عبادات الصَّبي تمرينيّة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ما أُمر به الصبيان، هو الصّلاة المعهودة التي أوجبها اللّه على البالغين، لا شيءٌ مغاير لها، وعليه فالصبي مكلّفٌ بالطبيعة الواحدة، بلغ أم لم يبلغ، غاية الأمر ما لم يبلغ يكون مرخّصاً في تركها، وإذا بلغ لا يكون مرخّصاً في الترك، فإذا أتى الصَّبي بتلك الطبيعة صحيحة، سقط عنه التكليف، وإنْ بلغ بعد ذلك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الثاني، إذ وحدة المأمور به، تمنعُ من تعلّق أمرٍ آخر في الأثناء أو بعد الفراغ بالفعل الواقع صحيحاً؛ ولعلّ هذا هو مراد بعض المحقّقين رحمه الله</w:t>
      </w:r>
      <w:r>
        <w:rPr>
          <w:rStyle w:val="FootnoteAnchor"/>
          <w:rtl w:val="true"/>
        </w:rPr>
        <w:footnoteReference w:id="320"/>
      </w:r>
      <w:r>
        <w:rPr>
          <w:rFonts w:ascii="Amiri" w:hAnsi="Amiri" w:eastAsia="Amiri" w:cs="Amiri"/>
          <w:color w:val="111111"/>
          <w:sz w:val="28"/>
          <w:sz w:val="28"/>
          <w:szCs w:val="28"/>
          <w:rtl w:val="true"/>
          <w:lang w:bidi="ar-SA"/>
        </w:rPr>
        <w:t>حيث ذكر في مقام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الأمر المتوجّه إلى البالغين منصرفٌ عمّن صلّى صلاةً صحيحة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شرعيّة عبادات الصَّبي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 w:name="pg11799_136042"/>
    </w:p>
    <w:p>
      <w:pPr>
        <w:pStyle w:val="Heading6"/>
        <w:numPr>
          <w:ilvl w:val="5"/>
          <w:numId w:val="1"/>
        </w:numPr>
        <w:rPr/>
      </w:pPr>
      <w:bookmarkStart w:id="138" w:name="__RefHeading___Toc10444412_73709187"/>
      <w:bookmarkStart w:id="139" w:name="_Toc53"/>
      <w:bookmarkEnd w:id="137"/>
      <w:bookmarkEnd w:id="138"/>
      <w:r>
        <w:rPr>
          <w:rtl w:val="true"/>
        </w:rPr>
        <w:t>في أمارات الوقت</w:t>
      </w:r>
      <w:bookmarkEnd w:id="139"/>
    </w:p>
    <w:p>
      <w:pPr>
        <w:pStyle w:val="Heading6"/>
        <w:numPr>
          <w:ilvl w:val="5"/>
          <w:numId w:val="1"/>
        </w:numPr>
        <w:rPr/>
      </w:pPr>
      <w:bookmarkStart w:id="140" w:name="__RefHeading___Toc10444414_73709187"/>
      <w:bookmarkStart w:id="141" w:name="_Toc54"/>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للمكلّف طريقٌ إلى العلم، فإنّه لا يجوز له التعويل على الظنّ‌،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عدم حجّيّته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لاستصحاب عدم دخول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للروايات الخاصّة الدالّة عليه، كخبر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يسمع الأذان فيُصلّي الفجر، ولا يدري أطلع الفجر أم لا، غير أنّه يظنّ لمكان الأذان أنّه طلع‌؟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يعلم أنّه طلع</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الجواز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مختاره</w:t>
      </w:r>
      <w:r>
        <w:rPr>
          <w:rStyle w:val="FootnoteAnchor"/>
          <w:rtl w:val="true"/>
        </w:rPr>
        <w:footnoteReference w:id="323"/>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جواز التعويل على أذان الثقة، وإنْ لم يفد الاطمئنان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رياح،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ترى أنّك في وقتٍ‌، ولم يدخل الوقت، ودخل الوقت وأنتَ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تظنّ‌</w:t>
      </w:r>
      <w:r>
        <w:rPr>
          <w:rFonts w:eastAsia="Amiri" w:cs="Amiri" w:ascii="Amiri" w:hAnsi="Amiri"/>
          <w:color w:val="111111"/>
          <w:sz w:val="28"/>
          <w:szCs w:val="28"/>
          <w:rtl w:val="true"/>
          <w:lang w:bidi="ar-SA"/>
        </w:rPr>
        <w:t xml:space="preserve">. </w:t>
      </w:r>
      <w:bookmarkStart w:id="142" w:name="pg11799_136043"/>
    </w:p>
    <w:p>
      <w:pPr>
        <w:pStyle w:val="BookText"/>
        <w:rPr/>
      </w:pPr>
      <w:bookmarkEnd w:id="1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حجيّة الظنّ الخاصّ‌، لا تستلزم حجيّة مطلق الظنّ‌، ولذا لم يتوهّم أحدٌ حجيّة الظنّ مطلقاً في الأحكام، لما دلّ على حجيّة الظنّ الحاصل من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الظاهر 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أقلّ من الإجمال، فلا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مسوقٌ لبيان حكمٍ آخر، وهو الإجزاء إذا وقع جزءٌ من الصّلاة في الوقت، وليس في مقام بيان جواز الشروع فيها تعويلاً على الظنّ‌، حتّى يتمسّك بإطلاقه لحجيّة الظنّ مطلقاً، ولو مع التمكّن من العلم، فعدم حجيّة مطلق الظنّ لا ينبغي الإشكال فيه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10444416_73709187"/>
      <w:bookmarkStart w:id="144" w:name="_Toc55"/>
      <w:bookmarkEnd w:id="143"/>
      <w:r>
        <w:rPr>
          <w:rtl w:val="true"/>
        </w:rPr>
        <w:t>الظنون الخاصّة</w:t>
      </w:r>
      <w:bookmarkEnd w:id="144"/>
    </w:p>
    <w:p>
      <w:pPr>
        <w:pStyle w:val="BookText"/>
        <w:rPr/>
      </w:pPr>
      <w:r>
        <w:rPr>
          <w:rFonts w:ascii="Amiri" w:hAnsi="Amiri" w:eastAsia="Amiri" w:cs="Amiri"/>
          <w:color w:val="111111"/>
          <w:sz w:val="28"/>
          <w:sz w:val="28"/>
          <w:szCs w:val="28"/>
          <w:rtl w:val="true"/>
          <w:lang w:bidi="ar-SA"/>
        </w:rPr>
        <w:t>إنّما الكلام فيما دلّ دليلٌ على الإكتفاء به من الظنون الخاصّة، وهو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الأكثر</w:t>
      </w:r>
      <w:r>
        <w:rPr>
          <w:rStyle w:val="FootnoteAnchor"/>
          <w:rtl w:val="true"/>
        </w:rPr>
        <w:footnoteReference w:id="326"/>
      </w:r>
      <w:r>
        <w:rPr>
          <w:rFonts w:ascii="Amiri" w:hAnsi="Amiri" w:eastAsia="Amiri" w:cs="Amiri"/>
          <w:color w:val="111111"/>
          <w:sz w:val="28"/>
          <w:sz w:val="28"/>
          <w:szCs w:val="28"/>
          <w:rtl w:val="true"/>
          <w:lang w:bidi="ar-SA"/>
        </w:rPr>
        <w:t>جواز التعويل عليها في دخول الوقت، ويدلّ عليه ما دلّ على عموم حجيّتها في الموضوعات الخارجيّة، وهو موثّق مسعدة بن صدقة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حلالٌ حتّى تعلم أنّه حرامٌ بعينه فتَدَعه مِنْ قِبل نفسك، وذلك مثل الثّوب يكون عليك ولعلّه سرقة، أو العبد يكون عندك ولعلّه حُرٌّ قد باعَ نفسه، أو قُهر فبيع، أو خُدِع فبيع، أو أمرأةٌ تحتك وهي اُختكَ أو رضيعتكَ‌، والأشياء كلّها على </w:t>
      </w:r>
    </w:p>
    <w:p>
      <w:pPr>
        <w:pStyle w:val="BookText"/>
        <w:rPr/>
      </w:pPr>
      <w:r>
        <w:rPr>
          <w:rFonts w:ascii="Amiri" w:hAnsi="Amiri" w:eastAsia="Amiri" w:cs="Amiri"/>
          <w:color w:val="111111"/>
          <w:sz w:val="28"/>
          <w:sz w:val="28"/>
          <w:szCs w:val="28"/>
          <w:rtl w:val="true"/>
          <w:lang w:bidi="ar-SA"/>
        </w:rPr>
        <w:t>هذا حتّى يستبين لك غير هذا، أو تقوم به البيّنة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لم تكن البيّنة حجّة، لم يكن وجهٌ لتقديمها على اليد والاستصحاب المقتضيين للحليّة في الأمثلة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التتبّع في الموارد التي حكم الشارع باعتبارها فيها، يوجبُ الاطمئنان بأنّها طريقٌ شرعي لإحراز الموضوعات الخارجيّة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329"/>
      </w:r>
      <w:r>
        <w:rPr>
          <w:rFonts w:ascii="Amiri" w:hAnsi="Amiri" w:eastAsia="Amiri" w:cs="Amiri"/>
          <w:color w:val="111111"/>
          <w:sz w:val="28"/>
          <w:sz w:val="28"/>
          <w:szCs w:val="28"/>
          <w:rtl w:val="true"/>
          <w:lang w:bidi="ar-SA"/>
        </w:rPr>
        <w:t>وغيره، وقد أثبتنا في محلّه</w:t>
      </w:r>
      <w:r>
        <w:rPr>
          <w:rStyle w:val="FootnoteAnchor"/>
          <w:rtl w:val="true"/>
        </w:rPr>
        <w:footnoteReference w:id="330"/>
      </w:r>
      <w:r>
        <w:rPr>
          <w:rFonts w:ascii="Amiri" w:hAnsi="Amiri" w:eastAsia="Amiri" w:cs="Amiri"/>
          <w:color w:val="111111"/>
          <w:sz w:val="28"/>
          <w:sz w:val="28"/>
          <w:szCs w:val="28"/>
          <w:rtl w:val="true"/>
          <w:lang w:bidi="ar-SA"/>
        </w:rPr>
        <w:t>حجّيّته مطلقاً، حتّى في الموضوعات، ويؤيّده ما دلّ على اعتبار أذان الثقة العارف بالوقت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أذانه إخبارٌ عن دخول الوقت بالملازمة، فيدلّ على حجّيّته ما دلّ على حجيّة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كصحيح ذَريح المحاربي،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خبر علي بن جعفر عليه السلام المتقدّم</w:t>
      </w:r>
      <w:r>
        <w:rPr>
          <w:rStyle w:val="FootnoteAnchor"/>
          <w:rtl w:val="true"/>
        </w:rPr>
        <w:footnoteReference w:id="333"/>
      </w:r>
      <w:r>
        <w:rPr>
          <w:rFonts w:ascii="Amiri" w:hAnsi="Amiri" w:eastAsia="Amiri" w:cs="Amiri"/>
          <w:color w:val="111111"/>
          <w:sz w:val="28"/>
          <w:sz w:val="28"/>
          <w:szCs w:val="28"/>
          <w:rtl w:val="true"/>
          <w:lang w:bidi="ar-SA"/>
        </w:rPr>
        <w:t>، لأنّه مطلقٌ تقيّد بهذه النصوص الدالّة على حجيّة أذان الثقة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عمل الأصحاب بهذه النصوص، يحتمل أن يكون لبنائهم على معارضتها بخبر علي بن جعفر، المعتضد بما دلّ على اعتبار العلم، فلا يكون إعراضاً موجباً لوهنها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تستظهر حجيّة الأذان مطلقاً من عدّة من النصوص</w:t>
      </w:r>
      <w:r>
        <w:rPr>
          <w:rStyle w:val="FootnoteAnchor"/>
          <w:rtl w:val="true"/>
        </w:rPr>
        <w:footnoteReference w:id="334"/>
      </w:r>
      <w:r>
        <w:rPr>
          <w:rFonts w:ascii="Amiri" w:hAnsi="Amiri" w:eastAsia="Amiri" w:cs="Amiri"/>
          <w:color w:val="111111"/>
          <w:sz w:val="28"/>
          <w:sz w:val="28"/>
          <w:szCs w:val="28"/>
          <w:rtl w:val="true"/>
          <w:lang w:bidi="ar-SA"/>
        </w:rPr>
        <w:t>، ولكن لو تمّ وثبت إطلاقها لتعيّن صرفه لى ما ذكرناه، جمعاً بينها وبين خبر علي بن جعفر، وصحيح ذَريح المتقدّم، الدالّ بمقتضى التعليل على عدم حجيّة أذان غير الثقة، مع أنّ للمنع عنه مجالاً واسعاً، كما يظهر لمن تدبّر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ذكرناه من حجيّة البيّنة وخبر الثقة وأذانه، إنّما تكون فيما كان الإخبار عن حسٍّ أو كان مستنداً إلى مقدّمات حسيّة، وأمّا إذا كان عن اجتهادٍ وحدسٍ فلا يُعتمد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البيّنة وخبر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الاُصول</w:t>
      </w:r>
      <w:r>
        <w:rPr>
          <w:rStyle w:val="FootnoteAnchor"/>
          <w:rtl w:val="true"/>
        </w:rPr>
        <w:footnoteReference w:id="335"/>
      </w:r>
      <w:r>
        <w:rPr>
          <w:rFonts w:ascii="Amiri" w:hAnsi="Amiri" w:eastAsia="Amiri" w:cs="Amiri"/>
          <w:color w:val="111111"/>
          <w:sz w:val="28"/>
          <w:sz w:val="28"/>
          <w:szCs w:val="28"/>
          <w:rtl w:val="true"/>
          <w:lang w:bidi="ar-SA"/>
        </w:rPr>
        <w:t>من أنّ ما يدلّ على حجيّتهما، إنّما يدلّ عليها فيما إذا كان احتمال الاشتباه مورداً للأصل العقلائي، وإلّا فلاحجيّة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أذان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الدالّة على اعتباره وإن كانت مطلقة، إلّاأنّ الظاهر كونها إشارة إلى أنّ أذانه بمنزلة إخباره، ويكون طريقاً عقلائيّاً ممضياً لدى الشارع، وأنّ اعتباره شرعاً إنّما يكون بهذه الملاحظة لا من باب التعبّد، كما يظهر لمن تأمّل في صحيح ذريح المتقدّم، فيختصّ اعتباره بما إذا لم يكن عن اجتهاد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تمكّن من تحصيل العلم</w:t>
      </w:r>
      <w:r>
        <w:rPr>
          <w:rFonts w:eastAsia="Amiri" w:cs="Amiri" w:ascii="Amiri" w:hAnsi="Amiri"/>
          <w:color w:val="111111"/>
          <w:sz w:val="28"/>
          <w:szCs w:val="28"/>
          <w:rtl w:val="true"/>
          <w:lang w:bidi="ar-SA"/>
        </w:rPr>
        <w:t xml:space="preserve">.). </w:t>
      </w:r>
      <w:bookmarkStart w:id="145" w:name="pg11799_136046"/>
    </w:p>
    <w:p>
      <w:pPr>
        <w:pStyle w:val="Heading6"/>
        <w:numPr>
          <w:ilvl w:val="5"/>
          <w:numId w:val="1"/>
        </w:numPr>
        <w:rPr/>
      </w:pPr>
      <w:bookmarkStart w:id="146" w:name="__RefHeading___Toc10444418_73709187"/>
      <w:bookmarkStart w:id="147" w:name="_Toc56"/>
      <w:bookmarkEnd w:id="145"/>
      <w:bookmarkEnd w:id="146"/>
      <w:r>
        <w:rPr>
          <w:rtl w:val="true"/>
        </w:rPr>
        <w:t>الظنّ بالوقت</w:t>
      </w:r>
      <w:bookmarkEnd w:id="147"/>
    </w:p>
    <w:p>
      <w:pPr>
        <w:pStyle w:val="BookText"/>
        <w:rPr/>
      </w:pPr>
      <w:r>
        <w:rPr>
          <w:rFonts w:ascii="Amiri" w:hAnsi="Amiri" w:eastAsia="Amiri" w:cs="Amiri"/>
          <w:color w:val="111111"/>
          <w:sz w:val="28"/>
          <w:sz w:val="28"/>
          <w:szCs w:val="28"/>
          <w:rtl w:val="true"/>
          <w:lang w:bidi="ar-SA"/>
        </w:rPr>
        <w:t>وإنْ لم يتمكّن منه لمانعٍ في السماء، مِنْ غيمٍ أو غبارٍ، أو لمانعٍ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اطمأنّ بدخول الوقت صلّى‌، بلا خلافٍ‌، لأنّ الاطمئنان حجّة عقلائيّة، لم يردع الشارع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يحصل له الظنّ به، وجب تأخيرالصّلاة للاستصحاب وقاعدة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أصالة البراءة عن حدوث التكليف بعد إتيان الصّلاة في حال الشكّ‌، بل واستصحاب عدم الحدوث، عدم وجوب الإتيان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إنّما يكون في سقوط التكليف الحادث في أوّل الوقت يقيناً، لا في حدوث التكليف، كي يكون مورد البراءة والاستصحاب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له الظنّ‌، صَلّى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وإليه 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لما ذهب إليه المشهور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وبتعذّر اليقين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وبنصوص الديكة، كصحيح الفرّاء،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اشتبه الوقتُ علينا في يوم غيمٍ؟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الطيور التي تكون عندكم بالعراق يُقال له الديكة‌؟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أصواتها وتجاوبت، فقد زالت الشّمس،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باللّيل والنهار، إذا لم يُر الشّمس، ولا القمر، ولا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وتعمّد القبلة جُهدَك</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 وقد صلّيت أعدتَ الصّلاة، ومضى صومك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بُعد الخطأ مع العلم، فيدلّ على أنّ الشروع في الصّلاة مع الظنّ يكون جائزاً، ولذا علّق وجوب الإعادة على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آخر له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لرجلٍ ظنَّ أنّ الشّمس قد غابت فأفطر، ثمّ أبصر الشّمس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ثمّ ظنَّ أنّ الشّمس قد غابت، وفي السماء غيم، فأفطر ثمّ إنّ السحاب انجلى، فإذا الشّمس لم تغب‌؟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ولا يقضيه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خبر الشحّام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صلّيتُ الظهر في يوم غيم، فانجلت فوجدتني صلّيتُ حين زال 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ولا تعد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إسماعيل بن جابر، عن أبي عبد اللّه عليه السلام، عن آبائه عن عليّ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إذا حَجَب عن عباده عين الشّمس التي جعلها دليلاً على أوقات الصّلاة، فموسّع عليهم تأخير الصّلاة، ليتبيّن لهم الوقت</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على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حرج في المقام، لإمكان الانتظار إلى أنْ يعلم الوقت، ومجرّد تعذّر اليقين لا يوجب الانتقال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الديكة لو عُمِل بها لإختصّت بموردها كسائر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سماعة ظاهرٌ، ولا أقلّ من الاحتمال في أنّه مسوقٌ لبيان كفاية الاجتهاد بالنسبة إلى القبلة عند عدم التمكّن من العلم بها، ويشهد له السؤال، لأنّ عدم رؤية القمر والنجوم أجنبيٌ عن عدم وجود الأمارة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واردٌ لبيان حكمٍ آخر، فلا إطلاق له من هذه الجهة ليتمسّك به، مضافاً إلى أنّ دعوى بُعد الخطأ مع العلم ممنوعة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وصحيحه الثاني أيضاً لا إطلاق له يشمل كلّ ظنٍّ‌، لاحتمال أن يكون المراد منه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ظنّاً خاصّاً ثبت حجّيّته عنده، ولو سُلّم ثبوت الإطلاق له، فهو بإطلاقه يدلّ على حجيّة الظنّ حتّى مع التمكّن من تحصيل العلم، وهذا ممّا لا يمكن الالتزام به، فلابدّ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بحمله على صورة عدم التمكّن من تحصيل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بحمل الظنّ على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مرجّح للأوّل بعد استعمال الظنّ في الاطمئنان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الإشكال في خبر الكناني، ورواية الشحّام، مضافاً إلى ضعف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العود في موثّق ابن بكير، يدلّ على عدم جواز التعويل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نفي الإعادة، فيمكن أن يكون لأجل وقوع جزءٍ منها في الوقت،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إسماعيل لا يدلّ على جواز التقديم، وإنّما يكون مسوقاً للحثّ على التأخير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الظنّ مع إمكان الصبر حتّى يستيقن بدخول الوقت، وقد عرفت أنّ مقتضى القاعدة والنصوص عدم جواز التعويل عليه</w:t>
      </w:r>
      <w:r>
        <w:rPr>
          <w:rFonts w:eastAsia="Amiri" w:cs="Amiri" w:ascii="Amiri" w:hAnsi="Amiri"/>
          <w:color w:val="111111"/>
          <w:sz w:val="28"/>
          <w:szCs w:val="28"/>
          <w:rtl w:val="true"/>
          <w:lang w:bidi="ar-SA"/>
        </w:rPr>
        <w:t>.</w:t>
      </w:r>
      <w:bookmarkStart w:id="148" w:name="pg11799_136050"/>
    </w:p>
    <w:p>
      <w:pPr>
        <w:pStyle w:val="Heading6"/>
        <w:numPr>
          <w:ilvl w:val="5"/>
          <w:numId w:val="1"/>
        </w:numPr>
        <w:rPr/>
      </w:pPr>
      <w:bookmarkStart w:id="149" w:name="__RefHeading___Toc10444420_73709187"/>
      <w:bookmarkStart w:id="150" w:name="_Toc57"/>
      <w:bookmarkEnd w:id="148"/>
      <w:bookmarkEnd w:id="149"/>
      <w:r>
        <w:rPr>
          <w:rtl w:val="true"/>
        </w:rPr>
        <w:t>لو شكّ بعد الصّلاة في وقوعها في الوقت</w:t>
      </w:r>
      <w:bookmarkEnd w:id="15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الصّلاة بالأمارة المعتبرة الدالّة على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ينكشف له وقوعها بتمامها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ينكشف له وقوعها بتمامها أو بعضها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ينكشف له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تبيّن وقوعها قبل الوقت، بطلت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ممّا يقتضيه دليل اعتبار الوقت،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انكشفَ وقوعها بتمامها أو بعضها في الوقت،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انكشاف وقوع جميعها في الوقت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انكشف وقوع بعضها فيه، فلصحيح ابن أبي عُمير، عن إسماعيل بن رياح المتقدّم</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ترى أنّكَ في وقتٍ‌، ولم يدخل الوقت، فدخل الوقت وأنتَ في الصّلاة، فقد أجزأتْ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بجهالة إسماعيل في غير محلّها، لعمل الأصحاب به، كون الراوي عنه ابن أبي عُمير الذي 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ينكشف له شيءٌ من ذلك، ففيه صور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دخوله في الصّلاة اعتماداً على ما كان يراه حجّة، ثمّ‌ </w:t>
      </w:r>
    </w:p>
    <w:p>
      <w:pPr>
        <w:pStyle w:val="BookText"/>
        <w:rPr/>
      </w:pPr>
      <w:r>
        <w:rPr>
          <w:rFonts w:ascii="Amiri" w:hAnsi="Amiri" w:eastAsia="Amiri" w:cs="Amiri"/>
          <w:color w:val="111111"/>
          <w:sz w:val="28"/>
          <w:sz w:val="28"/>
          <w:szCs w:val="28"/>
          <w:rtl w:val="true"/>
          <w:lang w:bidi="ar-SA"/>
        </w:rPr>
        <w:t>انكشف عدم حجّيّته، ولا شبهة في البطلان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دخوله فيها اعتماداً على الحجّة الشرعيّة، 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الحجّة المجوّزة للدخول قد تكون باقية، واُخرى تكون 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باقية، فلا ريب في الصحّة، إذ الحجّة على الحدوث حجّة على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زائلة، فالحكم فيه هو الحكم في الصورة الثالثة، وهي أن يكون دخوله فيها عن علم وجداني، ثمّ يزول علمه، ويتبدّل إلى الشكّ‌، فإنْ صار كذلك وهو في الصّلاة، بطلت صلاته، لإستصحاب عدم دخول الوقت، المقتضي لعدم جواز المضيّ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ينفع لإثبات الصحّة قاعدة التجاوز، على فرض جريانها في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تبدّل العلم إلى الشكّ بعد الفراغ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منشأ الشكّ‌، الشكّ في زمان الوقوع، تجري قاعدة الفراغ ويُحكم بصحّتها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الشكّ في تقدّم دخول الوقت عليه، مع معلوميّة زمان الوقوع، فلا تجري القاعدة، لما بيّنا في محلّه من عدم جريانها فيما كانت صورة العمل محفوظة، ويكون الشكّ في المصادفة الواقعيّة وعدمها، فلا محالة يحكم عليها بالبطلان</w:t>
      </w:r>
      <w:r>
        <w:rPr>
          <w:rFonts w:eastAsia="Amiri" w:cs="Amiri" w:ascii="Amiri" w:hAnsi="Amiri"/>
          <w:color w:val="111111"/>
          <w:sz w:val="28"/>
          <w:szCs w:val="28"/>
          <w:rtl w:val="true"/>
          <w:lang w:bidi="ar-SA"/>
        </w:rPr>
        <w:t>.</w:t>
      </w:r>
      <w:bookmarkStart w:id="151" w:name="pg11799_136052"/>
    </w:p>
    <w:p>
      <w:pPr>
        <w:pStyle w:val="BookText"/>
        <w:rPr/>
      </w:pPr>
      <w:bookmarkEnd w:id="151"/>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 وهي الكعبة،</w:t>
      </w:r>
    </w:p>
    <w:p>
      <w:pPr>
        <w:pStyle w:val="Heading4"/>
        <w:numPr>
          <w:ilvl w:val="3"/>
          <w:numId w:val="1"/>
        </w:numPr>
        <w:rPr/>
      </w:pPr>
      <w:bookmarkStart w:id="152" w:name="__RefHeading___Toc10444422_73709187"/>
      <w:bookmarkStart w:id="153" w:name="_Toc58"/>
      <w:bookmarkEnd w:id="152"/>
      <w:r>
        <w:rPr>
          <w:rtl w:val="true"/>
        </w:rPr>
        <w:t>الفصل الثالث في القبلة</w:t>
      </w:r>
      <w:bookmarkEnd w:id="153"/>
    </w:p>
    <w:p>
      <w:pPr>
        <w:pStyle w:val="Heading5"/>
        <w:numPr>
          <w:ilvl w:val="4"/>
          <w:numId w:val="1"/>
        </w:numPr>
        <w:rPr/>
      </w:pPr>
      <w:bookmarkStart w:id="154" w:name="__RefHeading___Toc10444424_73709187"/>
      <w:bookmarkStart w:id="155" w:name="_Toc59"/>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والبحث فيها يقع في مواضع</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0444426_73709187"/>
      <w:bookmarkStart w:id="157" w:name="_Toc60"/>
      <w:bookmarkEnd w:id="156"/>
      <w:r>
        <w:rPr>
          <w:rtl w:val="true"/>
        </w:rPr>
        <w:t>في بيان ماهيّة القبلة</w:t>
      </w:r>
      <w:bookmarkEnd w:id="157"/>
    </w:p>
    <w:p>
      <w:pPr>
        <w:pStyle w:val="Heading6"/>
        <w:numPr>
          <w:ilvl w:val="5"/>
          <w:numId w:val="1"/>
        </w:numPr>
        <w:rPr/>
      </w:pPr>
      <w:bookmarkStart w:id="158" w:name="__RefHeading___Toc10444428_73709187"/>
      <w:bookmarkStart w:id="159" w:name="_Toc6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ماهيّة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المعظّمة من تخوم الأرض إلى عنان السماء، بلاخلافٍ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من المسلمين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أبي قُبيس العصر، فهل يجزي ذلك والكعبة تحتي‌؟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ومرسلة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وقع الخلاف بين الأصحاب بالنسبة إلى الذي هو خارج المسجد، وبعيداً عنها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جماعةٍ من القدماء والمتأخّرين</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عين الكعبة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القُدرة، وجِهتها مع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آخرين كالسيّد</w:t>
      </w:r>
      <w:r>
        <w:rPr>
          <w:rStyle w:val="FootnoteAnchor"/>
          <w:rtl w:val="true"/>
        </w:rPr>
        <w:footnoteReference w:id="354"/>
      </w:r>
      <w:r>
        <w:rPr>
          <w:rFonts w:ascii="Amiri" w:hAnsi="Amiri" w:eastAsia="Amiri" w:cs="Amiri"/>
          <w:color w:val="111111"/>
          <w:sz w:val="28"/>
          <w:sz w:val="28"/>
          <w:szCs w:val="28"/>
          <w:rtl w:val="true"/>
          <w:lang w:bidi="ar-SA"/>
        </w:rPr>
        <w:t>، وأبي الصّلاح</w:t>
      </w:r>
      <w:r>
        <w:rPr>
          <w:rStyle w:val="FootnoteAnchor"/>
          <w:rtl w:val="true"/>
        </w:rPr>
        <w:footnoteReference w:id="355"/>
      </w:r>
      <w:r>
        <w:rPr>
          <w:rFonts w:ascii="Amiri" w:hAnsi="Amiri" w:eastAsia="Amiri" w:cs="Amiri"/>
          <w:color w:val="111111"/>
          <w:sz w:val="28"/>
          <w:sz w:val="28"/>
          <w:szCs w:val="28"/>
          <w:rtl w:val="true"/>
          <w:lang w:bidi="ar-SA"/>
        </w:rPr>
        <w:t>، وابن الجُنيد</w:t>
      </w:r>
      <w:r>
        <w:rPr>
          <w:rStyle w:val="FootnoteAnchor"/>
          <w:rtl w:val="true"/>
        </w:rPr>
        <w:footnoteReference w:id="356"/>
      </w:r>
      <w:r>
        <w:rPr>
          <w:rFonts w:ascii="Amiri" w:hAnsi="Amiri" w:eastAsia="Amiri" w:cs="Amiri"/>
          <w:color w:val="111111"/>
          <w:sz w:val="28"/>
          <w:sz w:val="28"/>
          <w:szCs w:val="28"/>
          <w:rtl w:val="true"/>
          <w:lang w:bidi="ar-SA"/>
        </w:rPr>
        <w:t>، وابن إدريس</w:t>
      </w:r>
      <w:r>
        <w:rPr>
          <w:rStyle w:val="FootnoteAnchor"/>
          <w:rtl w:val="true"/>
        </w:rPr>
        <w:footnoteReference w:id="357"/>
      </w:r>
      <w:r>
        <w:rPr>
          <w:rFonts w:ascii="Amiri" w:hAnsi="Amiri" w:eastAsia="Amiri" w:cs="Amiri"/>
          <w:color w:val="111111"/>
          <w:sz w:val="28"/>
          <w:sz w:val="28"/>
          <w:szCs w:val="28"/>
          <w:rtl w:val="true"/>
          <w:lang w:bidi="ar-SA"/>
        </w:rPr>
        <w:t>، والمحقّق</w:t>
      </w:r>
      <w:r>
        <w:rPr>
          <w:rStyle w:val="FootnoteAnchor"/>
          <w:rtl w:val="true"/>
        </w:rPr>
        <w:footnoteReference w:id="358"/>
      </w:r>
      <w:r>
        <w:rPr>
          <w:rFonts w:ascii="Amiri" w:hAnsi="Amiri" w:eastAsia="Amiri" w:cs="Amiri"/>
          <w:color w:val="111111"/>
          <w:sz w:val="28"/>
          <w:sz w:val="28"/>
          <w:szCs w:val="28"/>
          <w:rtl w:val="true"/>
          <w:lang w:bidi="ar-SA"/>
        </w:rPr>
        <w:t>، والمصنّف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عين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 وجهتها مع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مرادهم من الجهة، ما سنذكره، فيرجع هذا القول إلى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359"/>
      </w:r>
      <w:r>
        <w:rPr>
          <w:rFonts w:ascii="Amiri" w:hAnsi="Amiri" w:eastAsia="Amiri" w:cs="Amiri"/>
          <w:color w:val="111111"/>
          <w:sz w:val="28"/>
          <w:sz w:val="28"/>
          <w:szCs w:val="28"/>
          <w:rtl w:val="true"/>
          <w:lang w:bidi="ar-SA"/>
        </w:rPr>
        <w:t>وجماعةٌ من القدماء والمتأخّرين</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قبلةٌ لمَن في المسجد، والمسجد قبلةٌ لمن في الحرم، وهو قبلةٌ لمن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الأوّل، وتشهد له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رسول اللّه صلى الله عليه و آله استقبل بيت المقدس تسعة عشر شهراً، ثمّ صُرِف إلى الكعبة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النبيّ صلى الله عليه و آله قَبّل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سنان،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حرمات ثلاثاً،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هو حكمة ونور، وبيته الذي جعله قياماً للنّاس، لا يُقبل من أحدٍ توجّهاً إلى غيره، وعترة نبيّكم</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تعارضها الأخبار الدالّة على أنّ البعيد يتوجّه نحوها</w:t>
      </w:r>
      <w:r>
        <w:rPr>
          <w:rStyle w:val="FootnoteAnchor"/>
          <w:rtl w:val="true"/>
        </w:rPr>
        <w:footnoteReference w:id="364"/>
      </w:r>
      <w:r>
        <w:rPr>
          <w:rFonts w:ascii="Amiri" w:hAnsi="Amiri" w:eastAsia="Amiri" w:cs="Amiri"/>
          <w:color w:val="111111"/>
          <w:sz w:val="28"/>
          <w:sz w:val="28"/>
          <w:szCs w:val="28"/>
          <w:rtl w:val="true"/>
          <w:lang w:bidi="ar-SA"/>
        </w:rPr>
        <w:t xml:space="preserve">، بدعوى أنّ الظاهر منها إرادة الجهة، فإنّ الظاهر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النصوص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اتّساع المحاذاة مع البُعد، كما سنبيّنه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Style w:val="FootnoteAnchor"/>
          <w:rtl w:val="true"/>
        </w:rPr>
        <w:footnoteReference w:id="365"/>
      </w:r>
      <w:r>
        <w:rPr>
          <w:rFonts w:ascii="Amiri" w:hAnsi="Amiri" w:eastAsia="Amiri" w:cs="Amiri"/>
          <w:color w:val="111111"/>
          <w:sz w:val="28"/>
          <w:sz w:val="28"/>
          <w:szCs w:val="28"/>
          <w:rtl w:val="true"/>
          <w:lang w:bidi="ar-SA"/>
        </w:rPr>
        <w:t>لا تنافي المختار، كما أنّ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والمغرب قبلة كلّه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وقريبٌ منه ما في صحيح معاوية</w:t>
      </w:r>
      <w:r>
        <w:rPr>
          <w:rStyle w:val="FootnoteAnchor"/>
          <w:rtl w:val="true"/>
        </w:rPr>
        <w:footnoteReference w:id="367"/>
      </w:r>
      <w:r>
        <w:rPr>
          <w:rFonts w:ascii="Amiri" w:hAnsi="Amiri" w:eastAsia="Amiri" w:cs="Amiri"/>
          <w:color w:val="111111"/>
          <w:sz w:val="28"/>
          <w:sz w:val="28"/>
          <w:szCs w:val="28"/>
          <w:rtl w:val="true"/>
          <w:lang w:bidi="ar-SA"/>
        </w:rPr>
        <w:t>، لا ينافي النصوص الدالّة على المختار، فإنّه لعدم القائل باتّساع الجهة بهذا المقدار، لا محيص عن حمله على أنّه قبلةٌ لمَن أخطأ في تشخيص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الحمل، ما دلَّ على أنّ المصلّي إنْ التفت في أثناء الصّلاة أنّه منحرفٌ عن القبلة يميناً أو يساراً وجب استقبالها، وإنْ التفت إليه بعد الصّلاة صحّت، معلّلاً بأنّ ما بين المشرق والمغرب قبلة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الفقيه،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60" w:name="pg11799_136055"/>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جَعل الكعبة قبلةً لأهل المسجد، وجعل المسجد قبلةً لأهل الحَرَم، وجعل الحَرَم قبلةً لأهل الدُّنيا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بشر بن جعفر الجُعفي</w:t>
      </w:r>
      <w:r>
        <w:rPr>
          <w:rStyle w:val="FootnoteAnchor"/>
          <w:rtl w:val="true"/>
        </w:rPr>
        <w:footnoteReference w:id="370"/>
      </w:r>
      <w:r>
        <w:rPr>
          <w:rFonts w:ascii="Amiri" w:hAnsi="Amiri" w:eastAsia="Amiri" w:cs="Amiri"/>
          <w:color w:val="111111"/>
          <w:sz w:val="28"/>
          <w:sz w:val="28"/>
          <w:szCs w:val="28"/>
          <w:rtl w:val="true"/>
          <w:lang w:bidi="ar-SA"/>
        </w:rPr>
        <w:t>، ومرسل عبد اللّه بن محمّد الحجّال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سندها، وعدم القائل بمضمونها، لأنّ مقتضاها كفاية توجّه من خرج عن المسجد إليه، مع العلم بعدم التوجّه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النصوص المتقدّمة التي هي أكثر عدداً وأصحّ سنداً من هذه الأخبار، ولذلك تُحمل على إرادة بيان اتّساع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كون الكعبة قبلة مطلقاً</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0444430_73709187"/>
      <w:bookmarkStart w:id="162" w:name="_Toc62"/>
      <w:bookmarkEnd w:id="161"/>
      <w:r>
        <w:rPr>
          <w:rtl w:val="true"/>
        </w:rPr>
        <w:t>مواجهة البعيد نفس الكعبة</w:t>
      </w:r>
      <w:bookmarkEnd w:id="162"/>
    </w:p>
    <w:p>
      <w:pPr>
        <w:pStyle w:val="BookText"/>
        <w:rPr/>
      </w:pPr>
      <w:r>
        <w:rPr>
          <w:rFonts w:ascii="Amiri" w:hAnsi="Amiri" w:eastAsia="Amiri" w:cs="Amiri"/>
          <w:color w:val="111111"/>
          <w:sz w:val="28"/>
          <w:sz w:val="28"/>
          <w:szCs w:val="28"/>
          <w:rtl w:val="true"/>
          <w:lang w:bidi="ar-SA"/>
        </w:rPr>
        <w:t>وقد أُورد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العلم ببطلان صلاة المأموم، إذا كان الفصل بينه وبين إمام الجماعة أزيد من مقدار الكعبة، لعلمه حينئذٍ بعدم توجّه نفسه أو إمامه إلى الكعبة، وعلى هذا فلابدّ من الالتزام باتّساع القبلة للبعيد، إذ لا ريب في صحّة صلاة الماموم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الجواب عن ذلك، ما أسّسه المحقّق النائيني رحمه الله</w:t>
      </w:r>
      <w:r>
        <w:rPr>
          <w:rStyle w:val="FootnoteAnchor"/>
          <w:rtl w:val="true"/>
        </w:rPr>
        <w:footnoteReference w:id="372"/>
      </w:r>
      <w:r>
        <w:rPr>
          <w:rFonts w:ascii="IRNazanin" w:hAnsi="IRNazanin" w:eastAsia="IRNazanin"/>
          <w:color w:val="111111"/>
          <w:sz w:val="28"/>
          <w:sz w:val="28"/>
          <w:szCs w:val="28"/>
          <w:rtl w:val="true"/>
          <w:lang w:bidi="fa-IR"/>
        </w:rPr>
        <w:t>، ومن بعده أوضحه الاُستاذ</w:t>
      </w:r>
      <w:r>
        <w:rPr>
          <w:rStyle w:val="FootnoteAnchor"/>
          <w:rtl w:val="true"/>
        </w:rPr>
        <w:footnoteReference w:id="373"/>
      </w:r>
      <w:r>
        <w:rPr>
          <w:rFonts w:ascii="Amiri" w:hAnsi="Amiri" w:eastAsia="Amiri" w:cs="Amiri"/>
          <w:color w:val="111111"/>
          <w:sz w:val="28"/>
          <w:sz w:val="28"/>
          <w:szCs w:val="28"/>
          <w:rtl w:val="true"/>
          <w:lang w:bidi="ar-SA"/>
        </w:rPr>
        <w:t>بأحسن بيان، وشيّد أركانه بقوله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استطالة الصف في البعيد، لا تستلزم خروج بعضهم عن استقبال نفس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إنّما يكون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جماعةً واحدة حول الكعبة مستديرة، وتكبر تلك الدائرة شيئاً فشيئاً إلى أن تصل إلى دائرة كبيرة منصّفة لكرة الأرض، على أن يكون أحد قطبيها نفس الكعبة، وقطبها الآخر النقطة المقابلة لها من الجهة الاُخرى، فكلّ قوسٍ من هذه الدائرة وإنْ كان مستقيماً في نفسه، إلّاأنّ كلّ جزءٍ منه مواجه لنفس الكعبة، فلو فرض جماعة واحدة تكون استطالة صفوفهم بمقدار سعة الأرض، كان كلّ واحدٍ من أهل تلك الصفوف مستقبلاً حقيقةً‌، وهكذا الكلام في الجماعة الواقعة على الدوائر المتوسّطة بين تلك الدائرة وقطبيها، فإنّ كبر الدائرة يوجبُ قلّة تقوّس كلّ قوسٍ مفروض فيها، بحيثُ لا ينافي كونه خطّاً مستقيماً في حسّ البصر، فالجماعة الذين يكونون بعيدين عن الكعبة بألف فرسخٍ مثلاً، إذا توجّهوا إلى الكعبة في خطٍّ مستقيم محسوسٍ لا يُعلم عدم مواجهة أحدٍ منهم لعين الكعبة، لاحتمال انحراف الخطّ ولو بمقدار شعرة، فيكون الخطّ حينئذٍ خطّاً منحنياً لا خطّاً مستقيماً هندسيّاً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كلّ دائرةٍ صغيرة تُفرض في وسط الدائرة الكبيرة، بحيث تكون مركزاً لها، تكون مواجهة للدائرة الكبيرة بأجمعها، ونصفٌ منها يكون مواجهاً لنصفها، وربعها لربعها، وهكذا، وعليه فرأس الإنسان الذي هو شبيهٌ بالكرة يكون مواجهاً لدائرة الاُفق بتمامها، والجبهة التي هي سُبع الرأس تقريباً مواجهة لسُبع دائرة الاُفق، ولسُبع جميع الدوائر المفروضة بين المُصلّى ودائرة الاُفق تحقيقاً، فجميع ما يُفرض من الموجودات الواقعة في هذه الأقواس، مواجهة لجبهة المصلّى، فإذا فرض أنّ الكعبة واقعة في هذا السُبع، فكلّ من الإمام والماموم </w:t>
      </w:r>
    </w:p>
    <w:p>
      <w:pPr>
        <w:pStyle w:val="BookText"/>
        <w:rPr/>
      </w:pPr>
      <w:r>
        <w:rPr>
          <w:rFonts w:ascii="Amiri" w:hAnsi="Amiri" w:eastAsia="Amiri" w:cs="Amiri"/>
          <w:color w:val="111111"/>
          <w:sz w:val="28"/>
          <w:sz w:val="28"/>
          <w:szCs w:val="28"/>
          <w:rtl w:val="true"/>
          <w:lang w:bidi="ar-SA"/>
        </w:rPr>
        <w:t>مواجه 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المزبور إنّما نشأ من فرض الخطوط متوازية، مع أنّ ذلك غير معتبر في المواجهة قطعاً، أفلا ترى إلى كُرة الشّمس أنّها بجميع أجزائها مواجهة لك، مع أنّها أكبر من كرة الأرض بآلاف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المزبور على تقدير وروده، إنّما يرد على تقدير كون الواجب على المكلّف، هو الاستقبال الحقيقي، وأمّا إذا كان الواجبُ هو الاستقبال العرفي، أعني به كون المكلّف بحيث لو اُزيلت الموانع من أمامه لرأى نفس الكعبة، فلا إشكال أصلاً، ضرورة أنّ استطالة الصفّ الواحد لا تكون مانعة من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دفع إشكال آخر، ربما يورد في المقام،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كرويّة الأرض مانعة عن استقبال نفس الكعبة، ولو كان المراد بها هو الفضاء، من تخوم الأرض إلى عنان السماء، فإنّ من بَعُدَ عن الكعبة بمقدار ألفٍ وخمسمائة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بمقدار رُبع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 الخارج من جبهته موازٍ للفضاء المقابل للكعبة لا محالة، ولا يتّصل أحدُ الخطّين بالآخر أبداً، فلا يُعقل استقبال نفس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اتّساع الجهة حقيقةً أو عرفاً، كما يكون في عرض القبلة، كذلك يكون في عمقها، فإنّ الخطّ الخارج من جبهة المصلّي إنّما يخرج مخروطيّاً، فالمصلّي على رُبع الكرة مواجهٌ لنفس الكعبة تحقيقاً أو عرفاً، بمعنى أنّه لو ارتفعت كرويّة الأرض، وانعدم الجزء الواقع بين المصلّى والكعبة، لرأى المُصلّي نفس الكعبة لا محالة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إنّه قويٌ متين، بل جوهرٌ ثمين، فتدبّر جيّداً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المصلّي خارج الكعبة</w:t>
      </w:r>
      <w:r>
        <w:rPr>
          <w:rFonts w:eastAsia="Amiri" w:cs="Amiri" w:ascii="Amiri" w:hAnsi="Amiri"/>
          <w:color w:val="111111"/>
          <w:sz w:val="28"/>
          <w:szCs w:val="28"/>
          <w:rtl w:val="true"/>
          <w:lang w:bidi="ar-SA"/>
        </w:rPr>
        <w:t>.</w:t>
      </w:r>
      <w:bookmarkStart w:id="163" w:name="pg11799_136058"/>
    </w:p>
    <w:p>
      <w:pPr>
        <w:pStyle w:val="BookText"/>
        <w:rPr/>
      </w:pPr>
      <w:bookmarkEnd w:id="163"/>
      <w:r>
        <w:rPr>
          <w:rFonts w:ascii="Amiri" w:hAnsi="Amiri" w:eastAsia="Amiri" w:cs="Amiri"/>
          <w:color w:val="111111"/>
          <w:sz w:val="28"/>
          <w:sz w:val="28"/>
          <w:szCs w:val="28"/>
          <w:rtl w:val="true"/>
          <w:lang w:bidi="ar-SA"/>
        </w:rPr>
        <w:t>والمُصلّي في الكعبة يستقبل أيّ جُدرانها شاء،</w:t>
      </w:r>
    </w:p>
    <w:p>
      <w:pPr>
        <w:pStyle w:val="Heading6"/>
        <w:numPr>
          <w:ilvl w:val="5"/>
          <w:numId w:val="1"/>
        </w:numPr>
        <w:rPr/>
      </w:pPr>
      <w:bookmarkStart w:id="164" w:name="__RefHeading___Toc10444432_73709187"/>
      <w:bookmarkStart w:id="165" w:name="_Toc63"/>
      <w:bookmarkEnd w:id="164"/>
      <w:r>
        <w:rPr>
          <w:rtl w:val="true"/>
        </w:rPr>
        <w:t>حكم المُصلّي في الكعبة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عليه التوجّه إلي جهةٍ خاصّة، بلا خلاف، لعدم الدليل على التعيين،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أيّ جُدرانها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صلاته على كراهةٍ في الفريضة، كما هو المشهور، لأنّه مقتضى الجمع بين صحيح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المكتوبة في جوف الكعبة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ابن مسلم</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المكتوبة وأنا في الكعبة، أفاُصلّي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بإجماع الفرقة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القبلة هي الكعبة لمن شاهدها فتكون قبلةٌ جملتها، والمصلّي في جوفها غير مستقبل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الأمر بالاستقبال، الظاهر في إرادته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وبالصحيحين المتقدّمين، بعد حمل الموثّق على صورة الاضطرار، لإختصاص الصحيحين بالمختار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دعوى الإجماع موهونة مع ظهور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والكعبة بجملتها لا تكون قبلة، بل يكون كلّ جزءٍ من أجزائها قبلة، إذ هي اسمٌ للفضاء من تخوم الأرض إلى عنان السماء، ولا يمكن محاذاة المُصلّي ببدنه لجملتها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الأمر بالاستقبال لو سُلّم ظهوره في إرادته من الخارج، لابدَّ من رفع اليد عنه، لما دلّ على جواز الصّلاة في الكعبة</w:t>
      </w:r>
      <w:r>
        <w:rPr>
          <w:rStyle w:val="FootnoteAnchor"/>
          <w:rtl w:val="true"/>
        </w:rPr>
        <w:footnoteReference w:id="380"/>
      </w:r>
      <w:r>
        <w:rPr>
          <w:rFonts w:ascii="Amiri" w:hAnsi="Amiri" w:eastAsia="Amiri" w:cs="Amiri"/>
          <w:color w:val="111111"/>
          <w:sz w:val="28"/>
          <w:sz w:val="28"/>
          <w:szCs w:val="28"/>
          <w:rtl w:val="true"/>
          <w:lang w:bidi="ar-SA"/>
        </w:rPr>
        <w:t>، وقد عرفت أنّه لابدَّ من حمل الصحيحين على الكراهة، لموثّق يونس الصريح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على اختصاص الصحيحين بالمختار، لا يوجبُ أخصّيّتهما من الموثّق، كي يقيّد بهما إطلاقه، ويحمل على صورة الاضطرار، مضافاً إلى أنّ ظاهر السؤال فيه هو السؤال عن اختيار إيقاع الصّلاة فيها، في مقابل الصّلاة في خارجها، فلا يصحّ حمل إطلاق الجواب على الضرورة، مع أنّه حملٌ له على الفرد النادر في نفسه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أنّ دعوى معارضة الصحيحين مع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وتقديمهما عليه لأقوائيّة السند فاسدة، إذ مع إمكان الجمع بينهما، لا وجه لطرح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وتاييد المنع لا لضرورةٍ بخبر ابن مروان،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حضرته الصّلاة وهو في الكعبة، لا يمكنه الخروج منها؛ استلقى على قفاه ويُصلّي إيماء</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لإعراض الأصحاب عنه، بل الإجماع بقسميه على استقبال أي جدرانها شاء حيث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أنّ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جوانبها إذا اضطرّ إلى ذلك</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 مضافاً إلى ضعف سنده، مع احتمال إرادة الصّلاة إلى أيّ جانبٍ من جوانبها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جواز الفريضة في الكعبة على كراهية، وأمّا النافلة فيها فحيثُ أنّ دليل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بالفريضة، فتجوز بلا كراهة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6" w:name="pg11799_136061"/>
    </w:p>
    <w:p>
      <w:pPr>
        <w:pStyle w:val="BookText"/>
        <w:rPr/>
      </w:pPr>
      <w:bookmarkEnd w:id="166"/>
      <w:r>
        <w:rPr>
          <w:rFonts w:ascii="Amiri" w:hAnsi="Amiri" w:eastAsia="Amiri" w:cs="Amiri"/>
          <w:color w:val="111111"/>
          <w:sz w:val="28"/>
          <w:sz w:val="28"/>
          <w:szCs w:val="28"/>
          <w:rtl w:val="true"/>
          <w:lang w:bidi="ar-SA"/>
        </w:rPr>
        <w:t>وعلى سَطحها يبرزُ بين يديه بعضها</w:t>
      </w:r>
    </w:p>
    <w:p>
      <w:pPr>
        <w:pStyle w:val="Heading6"/>
        <w:numPr>
          <w:ilvl w:val="5"/>
          <w:numId w:val="1"/>
        </w:numPr>
        <w:rPr/>
      </w:pPr>
      <w:bookmarkStart w:id="167" w:name="__RefHeading___Toc10444434_73709187"/>
      <w:bookmarkStart w:id="168" w:name="_Toc64"/>
      <w:bookmarkEnd w:id="167"/>
      <w:r>
        <w:rPr>
          <w:rtl w:val="true"/>
        </w:rPr>
        <w:t>الصّلاة على سطح الكعبة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سطحها يبرزُ بين يديه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383"/>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والقاضي</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يستلقي على ظهره ويُصلّي إلى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الشيخ رحمه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السّلام،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الذي تُدركه الصّلاة وهو فوق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لم يكن له قبلة، ولكن يستلقي على قفاه، ويفتح عينيه إلى السّماء، ويعقد بقلبه القبلة الّتي في السّماء؛ البيت المعمور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فلوهنه بظهور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سنده، مضافاً إلى إعراض المشهور عنه، فلا يصحّ الاعتماد عليه في رفع اليد عن أدلّة وجوب الركوع والسجود والقيام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ما هو المشهور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تجوز الصّلاة على سطح الكعبة إختياراً أم لا تجوز؟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استدلّ للثاني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الواجب في الصّلاة هو التوجّه إلى الكعبة، وجعلها بتمامها قباله، ولا يصدق ذلك على المصلّي على سطحها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الصّلاة على ظهرالكعبة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المسألة السابقة، من عدم كون الكعبة بتمامها قبلة، لعدم إمكان محاذاتها كذلك، بل كلّ جزءٍ من أجزائها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سنده، وإعراض الأصحاب عنه،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الصّلاة على ظهر الكعبة اختياراً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9" w:name="pg11799_136063"/>
    </w:p>
    <w:p>
      <w:pPr>
        <w:pStyle w:val="BookText"/>
        <w:rPr/>
      </w:pPr>
      <w:bookmarkEnd w:id="169"/>
      <w:r>
        <w:rPr>
          <w:rFonts w:ascii="Amiri" w:hAnsi="Amiri" w:eastAsia="Amiri" w:cs="Amiri"/>
          <w:color w:val="111111"/>
          <w:sz w:val="28"/>
          <w:sz w:val="28"/>
          <w:szCs w:val="28"/>
          <w:rtl w:val="true"/>
          <w:lang w:bidi="ar-SA"/>
        </w:rPr>
        <w:t>وكلّ قومٍ يتوجّهون إلى ركنهم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فالعراقي لأهل العراق، واليماني لأهل اليمن، والمغربي لأهل المغرب، والشّامي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العراق</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0444436_73709187"/>
      <w:bookmarkStart w:id="171" w:name="_Toc65"/>
      <w:bookmarkEnd w:id="170"/>
      <w:r>
        <w:rPr>
          <w:rtl w:val="true"/>
        </w:rPr>
        <w:t>كيفيّة اتجاه المصلّي</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قومٍ يتوجّهون إلى ركنهم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المحاذاة بينهم وبين الكعبة إلّابذلك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الرّكن الذي يكون متّصلاً بحِجْر إسماعيل، وهو في حِذاء الرّكن الذي فيه الحَجَر، هو الذي يتوجّه إليه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واليمانيّ لأهل اليمن، والمغربيّ لأهل المغرب، والشّامي لأهل الشّام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0444438_73709187"/>
      <w:bookmarkStart w:id="173" w:name="_Toc66"/>
      <w:bookmarkEnd w:id="172"/>
      <w:r>
        <w:rPr>
          <w:rtl w:val="true"/>
        </w:rPr>
        <w:t>أمارات القبلة</w:t>
      </w:r>
      <w:bookmarkEnd w:id="173"/>
    </w:p>
    <w:p>
      <w:pPr>
        <w:pStyle w:val="Heading6"/>
        <w:numPr>
          <w:ilvl w:val="5"/>
          <w:numId w:val="1"/>
        </w:numPr>
        <w:rPr/>
      </w:pPr>
      <w:bookmarkStart w:id="174" w:name="__RefHeading___Toc10444440_73709187"/>
      <w:bookmarkStart w:id="175" w:name="_Toc67"/>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بالتوجّه إلى الكعبة، أو ما يكون بحكم العلم كالبيّنة، بل قد عرفت في بحث المواقيت أنّ الأقوى حجيّة خبر الثقة أيضاً إنْ كان الإخبار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الأمارات المحصّلة للعلم، هي العلائم التي ذكرها الأصحاب لتشخيص قبلة البلاد، المستنبطة من قواعد الهيئة وغيرها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عليماذكره المصنّف رحمه الله وغيره من الأصحاب</w:t>
      </w:r>
      <w:r>
        <w:rPr>
          <w:rStyle w:val="FootnoteAnchor"/>
          <w:rtl w:val="true"/>
        </w:rPr>
        <w:footnoteReference w:id="389"/>
      </w:r>
      <w:r>
        <w:rPr>
          <w:rFonts w:ascii="Amiri" w:hAnsi="Amiri" w:eastAsia="Amiri" w:cs="Amiri"/>
          <w:color w:val="111111"/>
          <w:sz w:val="28"/>
          <w:sz w:val="28"/>
          <w:szCs w:val="28"/>
          <w:rtl w:val="true"/>
          <w:lang w:bidi="ar-SA"/>
        </w:rPr>
        <w:t>،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الفَجر محاذياً لمنكبه الأيسر، والشَّفق لمنكبه الأيمن، وعين الشّمس عند الزّوال على طرف الحاجب الأيمن ممّا يلي الأنف، والجَدْي خلف المِنكب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محاذياً لمنكبه الأيسر، 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المغرب محاذياً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لمنكبه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والميل عن دائرة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طرف الحاجب الأيمن، ممّا يلي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 خلف المنكب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غير واحدٍعلى من ذكر هذه العلائم لأهل العراق، بعدم المناسبة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لازم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المصلّي إلى نقطة الجنوب من غير فرقٍ بين المشرق والمغرب الاعتداليين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الإنحراف عن نقطة الجنوب إلى طرف المشرق بمقدارٍ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عنها إلى طرف المغرب بمقدارٍ معتدٍّ به، فإنّ التوجّه إلى نقطة الجنوب يوجبُ وقوع الجَدْي محاذياً لما بين الكتفين، فجعله خَلْف المنكب الأيمن يلازم الانحراف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التوجّه إلى الكعبة إنّما يتحقّق بكون الكعبة واقعة في سُبع الدائرة الاُفقيّة، المحاذية للجبهة، تعرف عدم ورود هذا الاعتراض، إذ الانحراف عن نقطة الجنوب إلى الطرفين يسيراً لا يوجبُ الخروج عن محاذاة جبهة المصلّي، كما يظهر لمن تدبّر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كان مدرك العلّامة الثالثة كالأولين قواعد الهيئة، فلا كلام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هو الأخبار، كما ذكره غير واحدٍ، فلا يخلو عن الإشكال، إذ </w:t>
      </w:r>
    </w:p>
    <w:p>
      <w:pPr>
        <w:pStyle w:val="BookText"/>
        <w:rPr/>
      </w:pPr>
      <w:r>
        <w:rPr>
          <w:rFonts w:ascii="Amiri" w:hAnsi="Amiri" w:eastAsia="Amiri" w:cs="Amiri"/>
          <w:color w:val="111111"/>
          <w:sz w:val="28"/>
          <w:sz w:val="28"/>
          <w:szCs w:val="28"/>
          <w:rtl w:val="true"/>
          <w:lang w:bidi="ar-SA"/>
        </w:rPr>
        <w:t>الأخبار الواردة في الجَدْي كموثّقة محمّد بن مسلم،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وصَلِّ‌</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السّفر، ولا أهتدي إلى القبلة باللّيل‌؟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الكوكب الذي يُقال له الجَدْي‌؟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على يمينك، وإذا كنتَ في طريق الحجّ فاجعله بين كتفيك</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الأخذ بإطلاقها، لورودها في قضيّة شخصيّة، وكون محمّد بن مسلم كوفيّاً لا يكفي في القرينة على إرادة الكوفة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الخبرين، ومن خبر إسماعيل بن أبي زياد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يَهْتَدُونَ‌ </w:t>
      </w:r>
      <w:r>
        <w:rPr>
          <w:rStyle w:val="FootnoteAnchor"/>
          <w:rtl w:val="true"/>
        </w:rPr>
        <w:footnoteReference w:id="392"/>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 لأنّه نجم لا يزول، وعليه بناءً القبلة، وبه يهتدي أهل البرّ والبحر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يعتمد على الجَدْي وسائر الكواكب في معرفة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تشخيص قبلة البلاد من الرجوع إلى قواعد الهيئة الموجبة للعلم بجهتها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6" w:name="pg11799_136066"/>
    </w:p>
    <w:p>
      <w:pPr>
        <w:pStyle w:val="Heading6"/>
        <w:numPr>
          <w:ilvl w:val="5"/>
          <w:numId w:val="1"/>
        </w:numPr>
        <w:rPr/>
      </w:pPr>
      <w:bookmarkStart w:id="177" w:name="__RefHeading___Toc10444442_73709187"/>
      <w:bookmarkStart w:id="178" w:name="_Toc68"/>
      <w:bookmarkEnd w:id="176"/>
      <w:bookmarkEnd w:id="177"/>
      <w:r>
        <w:rPr>
          <w:rtl w:val="true"/>
        </w:rPr>
        <w:t>الظنّ بالقبلة حُجّة</w:t>
      </w:r>
      <w:bookmarkEnd w:id="178"/>
    </w:p>
    <w:p>
      <w:pPr>
        <w:pStyle w:val="BookText"/>
        <w:rPr/>
      </w:pPr>
      <w:r>
        <w:rPr>
          <w:rFonts w:ascii="Amiri" w:hAnsi="Amiri" w:eastAsia="Amiri" w:cs="Amiri"/>
          <w:color w:val="111111"/>
          <w:sz w:val="28"/>
          <w:sz w:val="28"/>
          <w:szCs w:val="28"/>
          <w:rtl w:val="true"/>
          <w:lang w:bidi="ar-SA"/>
        </w:rPr>
        <w:t>وإنْ لم يتمكّن المُصلّي من تشخيص القبلة بشيءٍ ممّا يوجب القطع، عوّل على العلامات المفيدة للظنّ‌،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وصريح ابن حمزة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يجب الصّلاة إلى أربع جوانب مع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على المختار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التحرّي أبداً إذا لم يعلم أينَ وجه القبلة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باللّيل والنهار، إذا لم يرَ الشّمس والقمر ولا النجوم‌؟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وتعمّد القبلة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بمرسلة خراش،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المخالفين علينا يقولون إذا أطبقت السّماء علينا، أو أظلمت فلم نعرف السّماء، كنّا وأنتم سواء في الاجتهاد؟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إذا كان ذلك فليصلِّ لأربع وجوه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لإرسالها، وإعراض المشهور عنها، ومعارضتها بما هو أقوى سنداً منها،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الصحيح والموثّق، عدم جواز الاكتفاء بالظنّ الضعيف، مع التمكّن من تحصيل الظنّ القويّ‌، كما لا يخفى وجهه، كما لا يجوز ترك التحرّي والصّلاة إلى أربع جوانب، لعدم إحراز التوجّه إلى الكعبة بذلك، لا وجداناً ولا تعبّداً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ترك التحرّي، والصّلاة إلى سبع جهاتٍ متساوية، لجواز الإحتياط مع التمكّن من الامتثال التفصيلي، على ما حقّقناه في محلّه</w:t>
      </w:r>
      <w:r>
        <w:rPr>
          <w:rFonts w:eastAsia="Amiri" w:cs="Amiri" w:ascii="Amiri" w:hAnsi="Amiri"/>
          <w:color w:val="111111"/>
          <w:sz w:val="28"/>
          <w:szCs w:val="28"/>
          <w:rtl w:val="true"/>
          <w:lang w:bidi="ar-SA"/>
        </w:rPr>
        <w:t>.</w:t>
      </w:r>
      <w:bookmarkStart w:id="179" w:name="pg11799_136068"/>
    </w:p>
    <w:p>
      <w:pPr>
        <w:pStyle w:val="BookText"/>
        <w:rPr/>
      </w:pPr>
      <w:bookmarkEnd w:id="179"/>
      <w:r>
        <w:rPr>
          <w:rFonts w:ascii="Amiri" w:hAnsi="Amiri" w:eastAsia="Amiri" w:cs="Amiri"/>
          <w:color w:val="111111"/>
          <w:sz w:val="28"/>
          <w:sz w:val="28"/>
          <w:szCs w:val="28"/>
          <w:rtl w:val="true"/>
          <w:lang w:bidi="ar-SA"/>
        </w:rPr>
        <w:t>ومع فقدْ الأمارات يُصلّي إلى أربع جهات مع الاختيار،</w:t>
      </w:r>
    </w:p>
    <w:p>
      <w:pPr>
        <w:pStyle w:val="Heading6"/>
        <w:numPr>
          <w:ilvl w:val="5"/>
          <w:numId w:val="1"/>
        </w:numPr>
        <w:rPr/>
      </w:pPr>
      <w:bookmarkStart w:id="180" w:name="__RefHeading___Toc10444444_73709187"/>
      <w:bookmarkStart w:id="181" w:name="_Toc69"/>
      <w:bookmarkEnd w:id="180"/>
      <w:r>
        <w:rPr>
          <w:rtl w:val="true"/>
        </w:rPr>
        <w:t>في الجهل بالقبلة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فَقدْ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للعلم أو الظنّ‌، 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إلى أربع جهات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 إلى العُمّاني</w:t>
      </w:r>
      <w:r>
        <w:rPr>
          <w:rStyle w:val="FootnoteAnchor"/>
          <w:rtl w:val="true"/>
        </w:rPr>
        <w:footnoteReference w:id="401"/>
      </w:r>
      <w:r>
        <w:rPr>
          <w:rFonts w:ascii="IRNazanin" w:hAnsi="IRNazanin" w:eastAsia="IRNazanin"/>
          <w:color w:val="111111"/>
          <w:sz w:val="28"/>
          <w:sz w:val="28"/>
          <w:szCs w:val="28"/>
          <w:rtl w:val="true"/>
          <w:lang w:bidi="fa-IR"/>
        </w:rPr>
        <w:t>والصدوق ووالده</w:t>
      </w:r>
      <w:r>
        <w:rPr>
          <w:rStyle w:val="FootnoteAnchor"/>
          <w:rtl w:val="true"/>
        </w:rPr>
        <w:footnoteReference w:id="402"/>
      </w:r>
      <w:r>
        <w:rPr>
          <w:rFonts w:ascii="Amiri" w:hAnsi="Amiri" w:eastAsia="Amiri" w:cs="Amiri"/>
          <w:color w:val="111111"/>
          <w:sz w:val="28"/>
          <w:sz w:val="28"/>
          <w:szCs w:val="28"/>
          <w:rtl w:val="true"/>
          <w:lang w:bidi="ar-SA"/>
        </w:rPr>
        <w:t>، وجماعةٌ من المتأخّرين كالمحقّق الأردبيلي</w:t>
      </w:r>
      <w:r>
        <w:rPr>
          <w:rStyle w:val="FootnoteAnchor"/>
          <w:rtl w:val="true"/>
        </w:rPr>
        <w:footnoteReference w:id="403"/>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بالصّلاة لجهةٍ واحدة، ومالَ إليه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عنه، وهو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بمرسلة خُراش المتقدّمة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ومرسلة الفقيه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فيمن لا يهتدي إلى القبلة في مفازة أنّه يُصلّي إلى أربع جوانب</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المتحيّر يُصلّي إلى أربع جوانب</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رضا الهمداني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منجبرٌ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بظاهرها تدلّ على عدم حجيّة الظنّ‌، لورودها في مورد إمكان الاجتهاد، وتحصيل الظنّ‌، وقد عرفت أنّ المشهور بين الأصحاب، عدم لزوم التكرار فيه، فهي مضافاً إلى ضعف سندها، معرَضٌ عنها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أعاظم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العمل بها في موردها، غَير قادحٍ في الاستشهاد بها، لوجوب الصّلاة إلى أربع جهات في الجملة عند اشتباه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جوابه عليه السلام عامّاً شاملاً لصورة الظنّ وعدمه، كان لما ذكر وجه، وأمّا حيث أنّه مختصّ بمورد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إمكان الاجتهاد وتحصيل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فنحتاج في اثبات الحكم لصورة التحيّر إلى ضمّ قاعدة الأولويّة وتنقيح المناط، أو عدم الفصل، ومعلومٌ أنّ التعدّي فرع الحجيّة في المورد، وحيثُ أنّ المرسلة في موردها لم يعمل بها، فلا وجه لدعوى الاعتماد عليها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الاجتهاد فيها، الاجتهاد في الفتوى لا القبلة، فينبغي أن يُعدّ من سهو القلم، كما يظهر لمن تدبّر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يثبت أن تكونا غير رواية خراش، مع عدم ثبوت اعتماد القائلين بوجوب التكرار عليهما، لينجبر به ضعف سنديهما على فرض كونهما غيرها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المتحيّر أبداً إذا لم يعلم أينَ وجه القبلة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ابن أبي عُمير، عن بعض أصحابنا،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قبلة المتحيّر؟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ثمّ ينظر بعدما فرغ، فيرى أنّه قد انحرف عن القبلة يميناً وشمالاً؟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وما بين المشرق والمغرب قبلة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413"/>
      </w:r>
      <w:r>
        <w:rPr>
          <w:rFonts w:ascii="Amiri" w:hAnsi="Amiri" w:eastAsia="Amiri" w:cs="Amiri"/>
          <w:color w:val="111111"/>
          <w:sz w:val="28"/>
          <w:sz w:val="28"/>
          <w:szCs w:val="28"/>
          <w:rtl w:val="true"/>
          <w:lang w:bidi="ar-SA"/>
        </w:rPr>
        <w:t>في قبلة المتحيّر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صحيح زرارة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فبجهالة طريق الصدوق إلى زرارة ومحمّد مجتمعين، وبعدم ذكره إلّافي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دأب الشيخ جارٍ على ذكر النصوص المتعارضة، فيستكشف من ذلك أنّ الخبر محرّف، وأنّ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المجلسي الجزم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فبالإرسال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فباحتمال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محلّ الاستشهاد من عبارة الصدوق لا من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معارض بجملةٍ من النصوص</w:t>
      </w:r>
      <w:r>
        <w:rPr>
          <w:rStyle w:val="FootnoteAnchor"/>
          <w:rtl w:val="true"/>
        </w:rPr>
        <w:footnoteReference w:id="414"/>
      </w:r>
      <w:r>
        <w:rPr>
          <w:rFonts w:ascii="Amiri" w:hAnsi="Amiri" w:eastAsia="Amiri" w:cs="Amiri"/>
          <w:color w:val="111111"/>
          <w:sz w:val="28"/>
          <w:sz w:val="28"/>
          <w:szCs w:val="28"/>
          <w:rtl w:val="true"/>
          <w:lang w:bidi="ar-SA"/>
        </w:rPr>
        <w:t>الدالّة على نزول الآية الشريفة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الجميع بأنّها مُعرَضٌ عنها لدى المشهور، فتسقطعن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تماميّة شيء من هذه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صحّة طريق الصدوق إلى كلٍّ منهما مع عدم تعرّضه لطريقه إليهما مجتمعين، المقتضي كون طريقه إليهما هو طريقه إلى كلٍّ منهما، موجبةٌ لصحّة طريقه إليهما، وعدم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وهناً فيه، إذ ليس كل خبر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وأن يكون مذكوراً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تسليم أنّ دأب الشيخ جرى على ذكر الأخبار المتعارضة في جميع الموارد، لا يوجب وهناً فيه، لاحتمال الغفلة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احتمال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مرسل ابن أبي عُمير حجّة، لأنّه لا يُرسل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ورودها في النافلة لا ينافي ورودها في المتحيّر أيضاً، وما يظهر من بعض تلك النصوص من الاختصاص بالنافلة يُرفع اليد عنه بواسطة هذا الخبر، ولا يحتمل إدراج الصدوق كلام نفسه في الرواية من دون أن ينبّه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عمل جماعة من القدماء كالعُمّاني بها يمنع عن تحقّق الإعراض، مضافاً إلى احتمال أن يكون إفتائهم بالصّلاة إلى أربع جهات؛ة</w:t>
      </w:r>
      <w:r>
        <w:rPr>
          <w:rFonts w:eastAsia="Amiri" w:cs="Amiri" w:ascii="Amiri" w:hAnsi="Amiri"/>
          <w:color w:val="111111"/>
          <w:sz w:val="28"/>
          <w:szCs w:val="28"/>
          <w:rtl w:val="true"/>
          <w:lang w:bidi="ar-SA"/>
        </w:rPr>
        <w:t xml:space="preserve">. </w:t>
      </w:r>
      <w:bookmarkStart w:id="182" w:name="pg11799_136072"/>
    </w:p>
    <w:p>
      <w:pPr>
        <w:pStyle w:val="BookText"/>
        <w:rPr/>
      </w:pPr>
      <w:bookmarkEnd w:id="182"/>
      <w:r>
        <w:rPr>
          <w:rFonts w:ascii="Amiri" w:hAnsi="Amiri" w:eastAsia="Amiri" w:cs="Amiri"/>
          <w:color w:val="111111"/>
          <w:sz w:val="28"/>
          <w:sz w:val="28"/>
          <w:szCs w:val="28"/>
          <w:rtl w:val="true"/>
          <w:lang w:bidi="ar-SA"/>
        </w:rPr>
        <w:t>لأجل الجمع بين النصوص، وكون مرسلة خراش</w:t>
      </w:r>
      <w:r>
        <w:rPr>
          <w:rStyle w:val="FootnoteAnchor"/>
          <w:rtl w:val="true"/>
        </w:rPr>
        <w:footnoteReference w:id="415"/>
      </w:r>
      <w:r>
        <w:rPr>
          <w:rFonts w:ascii="Amiri" w:hAnsi="Amiri" w:eastAsia="Amiri" w:cs="Amiri"/>
          <w:color w:val="111111"/>
          <w:sz w:val="28"/>
          <w:sz w:val="28"/>
          <w:szCs w:val="28"/>
          <w:rtl w:val="true"/>
          <w:lang w:bidi="ar-SA"/>
        </w:rPr>
        <w:t>أوفق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أنّه على فرض حجيّة مرسلة خراش، لا تصلح هي لأنّ تعارض مع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بالمتمكّن من الصّلاة إلى أربع جوانب، فتكون مخصّصة للنصوص، وموجبة لحملها على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تلك النصوص على صورة الاضطرار، حملٌ لها على الفرد النادر المستهجن، لا سيّما في مثل هذه الروايات التي يكون الإطلاق فيها قويّاً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0444446_73709187"/>
      <w:bookmarkStart w:id="184" w:name="_Toc70"/>
      <w:bookmarkEnd w:id="183"/>
      <w:r>
        <w:rPr>
          <w:rtl w:val="true"/>
        </w:rPr>
        <w:t>فروع بحث القبلة</w:t>
      </w:r>
      <w:bookmarkEnd w:id="18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القبلة في جهتين، بأنْ علم أنّها لا تخرج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يكتفي بالصّلاة إلى أيّ جهةٍ شاء؟</w:t>
      </w:r>
    </w:p>
    <w:p>
      <w:pPr>
        <w:pStyle w:val="BookText"/>
        <w:rPr/>
      </w:pPr>
      <w:r>
        <w:rPr>
          <w:rFonts w:ascii="Amiri" w:hAnsi="Amiri" w:eastAsia="Amiri" w:cs="Amiri"/>
          <w:color w:val="111111"/>
          <w:sz w:val="28"/>
          <w:sz w:val="28"/>
          <w:szCs w:val="28"/>
          <w:rtl w:val="true"/>
          <w:lang w:bidi="ar-SA"/>
        </w:rPr>
        <w:t>أو يجب عليه تكرار الصّلاة حتّى يستيقن بوقوعها إلى القبلة‌؟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إذ النصوص الدالّة على كفاية صلاة واحدة حيثُ يشاء، مختصّة بالمتحيّر على الإطلاق، الذي يحتمل كون القبلة في كلّ واحدٍ من الأطراف والجهات، والتعدّي عن موردها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تردّدت بين نقطتين معيّنتين، يكرّر الصّلاة مرّتين، ولو كانت مردّدة بين تمام نقاط الجهتين، فلابدّ من تكرار الصّلاة أزيد من مرّتين، كي يتيقّن بالصّلاة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والإكتفاء بصلاتين، لا يبعدُ أن يُستفاد من مرسلة خراش،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المُصلّي من تحصيل العلم بالقبلة في أوّل الوقت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علم بعدم إمكانه إلى آخر الوقت، جاز له البدار إلى الصّلاة بالإتيان بها </w:t>
      </w:r>
    </w:p>
    <w:p>
      <w:pPr>
        <w:pStyle w:val="BookText"/>
        <w:rPr/>
      </w:pPr>
      <w:r>
        <w:rPr>
          <w:rFonts w:ascii="Amiri" w:hAnsi="Amiri" w:eastAsia="Amiri" w:cs="Amiri"/>
          <w:color w:val="111111"/>
          <w:sz w:val="28"/>
          <w:sz w:val="28"/>
          <w:szCs w:val="28"/>
          <w:rtl w:val="true"/>
          <w:lang w:bidi="ar-SA"/>
        </w:rPr>
        <w:t>إلى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بالتمكّن منه في آخر الوقت، لا يجوز له ذلك، لتمكّنه من الامتثال القطعي، فلا يجوز له الاكتفاء بالامتثال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المتحيّر عليه في أوّل الوقت فتشمله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التردّد في أوّل الوقت، كالتردّد في مكانٍ خاص غير مشمولٍ للنصوص، لعدم كونه بالخصوص ظرفاً للواجب، والموضوع بحسب ظاهر النصوص هو المتحيّر في مجموع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تمكّنه منه، فهل يجوز له البدار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بناءً على ما هو الحقّ من جريان الاستصحاب في الأمر الاستقبالي، وترتّب الأثر عليه بالفعل، فإنّه عليه يُستصحب بقاء المانع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اشتراط الصّلاة بالقبلة ساقطاً، بناءً على المختار من الاكتفاء بالصّلاة إلى جهةٍ واحدة، أو أنّه إنّما يكون من باب الاكتفاء بالامتثال الاحتمالي‌؟</w:t>
      </w:r>
    </w:p>
    <w:p>
      <w:pPr>
        <w:pStyle w:val="BookText"/>
        <w:rPr/>
      </w:pPr>
      <w:r>
        <w:rPr>
          <w:rFonts w:ascii="Amiri" w:hAnsi="Amiri" w:eastAsia="Amiri" w:cs="Amiri"/>
          <w:color w:val="111111"/>
          <w:sz w:val="28"/>
          <w:sz w:val="28"/>
          <w:szCs w:val="28"/>
          <w:rtl w:val="true"/>
          <w:lang w:bidi="ar-SA"/>
        </w:rPr>
        <w:t>وجهان، أقواهما الثاني، لعدم ما يوجب تخصيص عموم دليل شرطيّة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التوجّه إلى الكعبة يقيناً غير واجب، واحتمالاً حاصلٌ‌، فيلغى اعتبار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شرطيّة القبلة لغواً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بناءً عليها لا يجوز للمصلّي أن يُصلّي صلاة واحدة إلى جميع الجهات، بأنْ يوقع كلّ ركعةٍ منها إلى جهة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سقوط الشرطيّة، فيجوز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ففائدة الاشتراط لزوم إيقاع الصّلاة إلي جهةٍ واحدة تحصيلاً للموافقة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ذكرناه أنّه لابدَّ من إيقاع الثانية في المترتّبتين كالظهرين إلى الجهة الّتي وقعت الأُولى إليها، وإلّا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كونها إلى القبلة، أو لعدم ترتّبها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سقوط الشرطيّة، فيجوز الإتيان بها، ولو بإيقاعها إلى الجهة المقابلة لتلك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التكرار إلى أربع جوانب، لو لم يكن له من الوقت ما يسع مقدار ثمان صلوات، بل كان مقدار خمس مثلاً، وكان عليه صلاتان كالظهرين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إتمام جهات الأُولى‌، وإتيان الثانية إلى جهةٍ واحدة‌؟</w:t>
      </w:r>
    </w:p>
    <w:p>
      <w:pPr>
        <w:pStyle w:val="BookText"/>
        <w:rPr/>
      </w:pPr>
      <w:r>
        <w:rPr>
          <w:rFonts w:ascii="Amiri" w:hAnsi="Amiri" w:eastAsia="Amiri" w:cs="Amiri"/>
          <w:color w:val="111111"/>
          <w:sz w:val="28"/>
          <w:sz w:val="28"/>
          <w:szCs w:val="28"/>
          <w:rtl w:val="true"/>
          <w:lang w:bidi="ar-SA"/>
        </w:rPr>
        <w:t>أو يجبُ إيراد النقص على الأُولى وإتمام جهات الثانية‌؟</w:t>
      </w:r>
    </w:p>
    <w:p>
      <w:pPr>
        <w:pStyle w:val="BookText"/>
        <w:rPr/>
      </w:pPr>
      <w:r>
        <w:rPr>
          <w:rFonts w:ascii="Amiri" w:hAnsi="Amiri" w:eastAsia="Amiri" w:cs="Amiri"/>
          <w:color w:val="111111"/>
          <w:sz w:val="28"/>
          <w:sz w:val="28"/>
          <w:szCs w:val="28"/>
          <w:rtl w:val="true"/>
          <w:lang w:bidi="ar-SA"/>
        </w:rPr>
        <w:t>وجهان، أقواهما الثاني، لصحيح الحلبي،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رجلٍ نَسي الأُولى والعصر، ثمّ ذكر عند غروب الشّمس‌؟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لا يخاف فوت إحداهما، فليصلِّ الظهر ثمّ يُصلّي العصر، وإنْ هو خاف أن تفوته، فليبدأ بالعصر ولا يؤخّرها فتفوته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مع عدم الإتيان بالعصر إلى بعض الجهات، يتحقّق خوف الفوت، فلا يصحّ الإتيان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 ما ذكر في بعض الكلمات</w:t>
      </w:r>
      <w:r>
        <w:rPr>
          <w:rStyle w:val="FootnoteAnchor"/>
          <w:rtl w:val="true"/>
        </w:rPr>
        <w:footnoteReference w:id="418"/>
      </w:r>
      <w:r>
        <w:rPr>
          <w:rFonts w:ascii="Amiri" w:hAnsi="Amiri" w:eastAsia="Amiri" w:cs="Amiri"/>
          <w:color w:val="111111"/>
          <w:sz w:val="28"/>
          <w:sz w:val="28"/>
          <w:szCs w:val="28"/>
          <w:rtl w:val="true"/>
          <w:lang w:bidi="ar-SA"/>
        </w:rPr>
        <w:t>من الإستدلال لكلّ واحدٍ من القولين بالوجوه الاعتباريّة، يشبه الاجتهاد في مقابل النّص</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اختصاص لزوم التكرار إلى أربع جوانب، بناءً على القول به بصورة التمكّن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الضّرورة إلى أيّ جهةٍ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جهةٍ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يتمكّن من الجوانب إنْ كان مضطرّاً إلى ترك الصّلاة إلى بعضٍ غير معيّن، لما حقّقناه في الاُصول</w:t>
      </w:r>
      <w:r>
        <w:rPr>
          <w:rStyle w:val="FootnoteAnchor"/>
          <w:rtl w:val="true"/>
        </w:rPr>
        <w:footnoteReference w:id="419"/>
      </w:r>
      <w:r>
        <w:rPr>
          <w:rFonts w:ascii="Amiri" w:hAnsi="Amiri" w:eastAsia="Amiri" w:cs="Amiri"/>
          <w:color w:val="111111"/>
          <w:sz w:val="28"/>
          <w:sz w:val="28"/>
          <w:szCs w:val="28"/>
          <w:rtl w:val="true"/>
          <w:lang w:bidi="ar-SA"/>
        </w:rPr>
        <w:t xml:space="preserve">من أنّ الاضطرار إلى ترك بعضٍ غير معيّن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بوجوب إحدى الصلاتين الظهر أو الجمعة، واضطرّ إلى ترك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التكليف المعلوم، لعدم تعلّق الاضطرار بترك الواجب، وعليه فليس للشارع الترخيص في تركهما معاً لكونه ترخيصاً في المخالفة القطعيّة، فلا محالة يكون المرخّص فيه، هو ترك إحدى الصلاتين الّذي به يرفع الاضطرار، وأمّا الاُخرى فيجبُ الإتيان بها، وبمقتضى العلم الإجمالي، من غير فرقٍ في ذلك بين كون التكليف المعلوم ضمنيّاً كما في ما نحن فيه، أو نفسيّاً كما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مضطرّاً إلى ترك الصّلاة إلى 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بعد حدوث التكليف بالصّلاة مستقبلاً، وتنجّزه بالعلم، وجب الاحتياط بالصّلاة إلى الجوانب الممكنة، إذ الإضطرار الحادث بعد العلم بالتكليف، لا يوجبُ رفع أثر العلم بالنسبة إلى ما لا يكون مضطرّاً إليه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الاضطرار قبل حدوث التكليف، أو قبل العلم به، جاز الاكتفاء بصلاةٍ واحدة إلى أيّ جهةٍ شاء، إذ العلم الحادث بعد الاضطرار، لا تتعارض الاُصول في أطرافه، فلا يكون منجّزاً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وتمام الكلام في ذلك موكولٌ إلى محلّه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وبما ذكرناه 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والمصنّف من الاكتفاء بصلاةٍ واحدة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اعتمادهم في ذلك على النصوص</w:t>
      </w:r>
      <w:r>
        <w:rPr>
          <w:rStyle w:val="FootnoteAnchor"/>
          <w:rtl w:val="true"/>
        </w:rPr>
        <w:footnoteReference w:id="425"/>
      </w:r>
      <w:r>
        <w:rPr>
          <w:rFonts w:ascii="Amiri" w:hAnsi="Amiri" w:eastAsia="Amiri" w:cs="Amiri"/>
          <w:color w:val="111111"/>
          <w:sz w:val="28"/>
          <w:sz w:val="28"/>
          <w:szCs w:val="28"/>
          <w:rtl w:val="true"/>
          <w:lang w:bidi="ar-SA"/>
        </w:rPr>
        <w:t>الدالّة على الاكتفاء بواحدة مطلقاً، مقتصراً في الخروج عنها على صورة التمكّن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عدم إمكان حمل النصوص عليصورة الاضطرار،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يتمكّن إلّامن الصّلاة إلى جهةٍ واحدة، صلّاها إلى أيّ جهةٍ شاء، لأنّ الصّلاة لا تَدَع بحال، ولا يجوز له إيقاع الصّلاة إلى جميع الجهات، بأن يوقع كلّ ركعةٍ منها إلى جهة، كما عرفت آنفاً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85" w:name="pg11799_136077"/>
    </w:p>
    <w:p>
      <w:pPr>
        <w:pStyle w:val="BookText"/>
        <w:rPr/>
      </w:pPr>
      <w:bookmarkEnd w:id="185"/>
      <w:r>
        <w:rPr>
          <w:rFonts w:ascii="Amiri" w:hAnsi="Amiri" w:eastAsia="Amiri" w:cs="Amiri"/>
          <w:color w:val="111111"/>
          <w:sz w:val="28"/>
          <w:sz w:val="28"/>
          <w:szCs w:val="28"/>
          <w:rtl w:val="true"/>
          <w:lang w:bidi="ar-SA"/>
        </w:rPr>
        <w:t>ولو ترك الاستقبال عمداً أعاد، ولو كان ظانّاً أو ناسياً، وكان بين المشرق والمغرب، فلا إعادة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0444448_73709187"/>
      <w:bookmarkStart w:id="187" w:name="_Toc71"/>
      <w:bookmarkEnd w:id="186"/>
      <w:r>
        <w:rPr>
          <w:rtl w:val="true"/>
        </w:rPr>
        <w:t>في أحكام الخلل</w:t>
      </w:r>
      <w:bookmarkEnd w:id="187"/>
    </w:p>
    <w:p>
      <w:pPr>
        <w:pStyle w:val="Heading6"/>
        <w:numPr>
          <w:ilvl w:val="5"/>
          <w:numId w:val="1"/>
        </w:numPr>
        <w:rPr/>
      </w:pPr>
      <w:bookmarkStart w:id="188" w:name="__RefHeading___Toc10444450_73709187"/>
      <w:bookmarkStart w:id="189" w:name="_Toc72"/>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أحكام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0444452_73709187"/>
      <w:bookmarkStart w:id="191" w:name="_Toc73"/>
      <w:bookmarkEnd w:id="190"/>
      <w:r>
        <w:rPr>
          <w:rtl w:val="true"/>
        </w:rPr>
        <w:t>مسائل</w:t>
      </w:r>
      <w:r>
        <w:rPr>
          <w:rtl w:val="true"/>
        </w:rPr>
        <w:t>:</w:t>
      </w:r>
      <w:bookmarkEnd w:id="191"/>
    </w:p>
    <w:p>
      <w:pPr>
        <w:pStyle w:val="Heading6"/>
        <w:numPr>
          <w:ilvl w:val="5"/>
          <w:numId w:val="1"/>
        </w:numPr>
        <w:rPr/>
      </w:pPr>
      <w:bookmarkStart w:id="192" w:name="__RefHeading___Toc10444454_73709187"/>
      <w:bookmarkStart w:id="193" w:name="_Toc74"/>
      <w:bookmarkEnd w:id="192"/>
      <w:r>
        <w:rPr>
          <w:rtl w:val="true"/>
        </w:rPr>
        <w:t>لو ترك الاستقبال عمداً أعاد</w:t>
      </w:r>
      <w:bookmarkEnd w:id="19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الاستقبال عمداً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وخارجه إجماعاً، من غير فرقٍ بين أن يكون منحرفاً عنها إلى ما بين اليمين واليسار، وبين أن يكون إلى الإستدبار، لانتفاء المشروط بانتفاء شرطه، وعدم كون المأتي به منطبقاً على المأمور به، فيجب الإتيان به ثانياً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0444456_73709187"/>
      <w:bookmarkStart w:id="195" w:name="_Toc75"/>
      <w:bookmarkEnd w:id="194"/>
      <w:r>
        <w:rPr>
          <w:rtl w:val="true"/>
        </w:rPr>
        <w:t>ولو كان ظانّاً أو ناسياً، وكان بين المشرق والمغرب، فلا إعادة</w:t>
      </w:r>
      <w:bookmarkEnd w:id="195"/>
    </w:p>
    <w:p>
      <w:pPr>
        <w:pStyle w:val="Heading6"/>
        <w:numPr>
          <w:ilvl w:val="5"/>
          <w:numId w:val="1"/>
        </w:numPr>
        <w:rPr/>
      </w:pPr>
      <w:bookmarkStart w:id="196" w:name="__RefHeading___Toc10444458_73709187"/>
      <w:bookmarkStart w:id="197" w:name="_Toc76"/>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القبلة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غافلاً، أو صلّى إليها لضيق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منحرفاً عنها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المشرق والمغرب، فلا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ومضت صلاته،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وجوب الإعادة في الوقت إذا صلّى إلى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التفصيل بين كونه متحرِّياً فلا إعادة عليه مطلقاً، وبين كونه مُصلّياً من غير تحرٍّ، فيُعيد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ثمّ ينظر بعدما فرغ، فيرى أنّه قد انحرف عن القبلة يميناً أو شمالاً؟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وما بين المشرق والمغرب قبلة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علوان، عن جعفر بن محمّد، عن أبيه، عن عليّ عليه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غير القبلة، وهو يرى أنّه على القبلة، ثمّ عرف بعد ذلك، فلا إعادة عليه إذا كان فيما بين المشرق والمغرب</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ويعضدهما صحيح زرارة،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والمغرب قبلة كلّه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الإعادة في الوقت، بإطلاق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البصري الآتي،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وأنتَ على غير القبلة، واستبان لك أنّك صلّيت وأنتَ على غيرالقبلة، وأنتَ في وقتٍ فأعِد، وإنْ فاتك الوقت، فلا تعِد</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 هذه النصوص وما قبلها، وإنْ كانت عموماً من وجه، إلّاأنّه لأجل تعاض وجوه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يمكن حمل هذه النصوص على غير ما بين المشرق والمغرب، كذلك يمكن حمل تلك على عدم الإعادة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 الإطلاقان، والمرجع إلى عموم ما دلّ على اعتبار القبلة، وأنّه يجب الإعادة بترك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مقدّمة على هذه، لحكومة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الأخبار، ويدلّ على اختصاص موضوعها بما إذا صَلّى منحرفاً إليهما، أو إلى الاستدبار، مع أنّ بعض تلك النصوص كرواية القاسم ابن الوليد،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تبيّن له وهو في الصّلاة أنّه على غير القبلة‌؟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يستقبلها إذا ثبت ذلك، وإنْ كان قد فرغ منها فلا يُعيدها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عن الحمل على خارج الوقت، فتأمّل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الجمع الثاني موجبٌ لعدم كون مابين المشرق والمغرب ذا خصوصيّة يمتاز بها عن غيره، وهذا منافٍ لصراحة تلك النصوص، بخلاف الجمع الأوّل فإنّه لا يترتّب عليه محذور، فهو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الإعادة لو صَلّى من غير أن يتحرّى‌، كما هو المنسوب إلى الأصحاب في بعض الكلمات</w:t>
      </w:r>
      <w:r>
        <w:rPr>
          <w:rStyle w:val="FootnoteAnchor"/>
          <w:rtl w:val="true"/>
        </w:rPr>
        <w:footnoteReference w:id="439"/>
      </w:r>
      <w:r>
        <w:rPr>
          <w:rFonts w:ascii="Amiri" w:hAnsi="Amiri" w:eastAsia="Amiri" w:cs="Amiri"/>
          <w:color w:val="111111"/>
          <w:sz w:val="28"/>
          <w:sz w:val="28"/>
          <w:szCs w:val="28"/>
          <w:rtl w:val="true"/>
          <w:lang w:bidi="ar-SA"/>
        </w:rPr>
        <w:t>، فلأنّه مقتضى إطلاق ما دلّ على اعتبار القبلة، و النصوص الدالّة على صحّة الصّلاة الواقعة إلى ما بين المشرق والمغرب منصرفة إلى صورة التحرّي كما لا يخفى‌، ويدلّ عليه مفهوم خبر الحسين المتقدّم</w:t>
      </w:r>
      <w:r>
        <w:rPr>
          <w:rStyle w:val="FootnoteAnchor"/>
          <w:rtl w:val="true"/>
        </w:rPr>
        <w:footnoteReference w:id="440"/>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الأعمى يؤمّ القوم، وهو على غير القبلة‌؟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ولا يعيدون، لأنّهم قد تحرّوا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بطلان صلاة الإمام بخصوصه، لعدم كونه متحرِّياً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يُستكشف أنّ مفروض السؤال، وقوع الصّلاة إلى ما بين المشرق والمغرب، وإلّا بطلت صلاة المأمومين المتحرّين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منحرفاً إلى ما بين المشرق والمغرب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8" w:name="pg11799_136081"/>
    </w:p>
    <w:p>
      <w:pPr>
        <w:pStyle w:val="BookText"/>
        <w:rPr/>
      </w:pPr>
      <w:bookmarkEnd w:id="198"/>
      <w:r>
        <w:rPr>
          <w:rFonts w:ascii="Amiri" w:hAnsi="Amiri" w:eastAsia="Amiri" w:cs="Amiri"/>
          <w:color w:val="111111"/>
          <w:sz w:val="28"/>
          <w:sz w:val="28"/>
          <w:szCs w:val="28"/>
          <w:rtl w:val="true"/>
          <w:lang w:bidi="ar-SA"/>
        </w:rPr>
        <w:t>ولو كان إليهما أعاد في الوقت، ولو كان مستدبر القبلة أعاد مطلقاً</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0444460_73709187"/>
      <w:bookmarkStart w:id="200" w:name="_Toc77"/>
      <w:bookmarkEnd w:id="199"/>
      <w:r>
        <w:rPr>
          <w:rtl w:val="true"/>
        </w:rPr>
        <w:t>الانحراف إلى الاستدبار</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الإستدبار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خارجه،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442"/>
      </w:r>
      <w:r>
        <w:rPr>
          <w:rFonts w:ascii="Amiri" w:hAnsi="Amiri" w:eastAsia="Amiri" w:cs="Amiri"/>
          <w:color w:val="111111"/>
          <w:sz w:val="28"/>
          <w:sz w:val="28"/>
          <w:szCs w:val="28"/>
          <w:rtl w:val="true"/>
          <w:lang w:bidi="ar-SA"/>
        </w:rPr>
        <w:t>، وابن زُهرة</w:t>
      </w:r>
      <w:r>
        <w:rPr>
          <w:rStyle w:val="FootnoteAnchor"/>
          <w:rtl w:val="true"/>
        </w:rPr>
        <w:footnoteReference w:id="443"/>
      </w:r>
      <w:r>
        <w:rPr>
          <w:rFonts w:ascii="Amiri" w:hAnsi="Amiri" w:eastAsia="Amiri" w:cs="Amiri"/>
          <w:color w:val="111111"/>
          <w:sz w:val="28"/>
          <w:sz w:val="28"/>
          <w:szCs w:val="28"/>
          <w:rtl w:val="true"/>
          <w:lang w:bidi="ar-SA"/>
        </w:rPr>
        <w:t>، وسلّار</w:t>
      </w:r>
      <w:r>
        <w:rPr>
          <w:rStyle w:val="FootnoteAnchor"/>
          <w:rtl w:val="true"/>
        </w:rPr>
        <w:footnoteReference w:id="444"/>
      </w:r>
      <w:r>
        <w:rPr>
          <w:rFonts w:ascii="Amiri" w:hAnsi="Amiri" w:eastAsia="Amiri" w:cs="Amiri"/>
          <w:color w:val="111111"/>
          <w:sz w:val="28"/>
          <w:sz w:val="28"/>
          <w:szCs w:val="28"/>
          <w:rtl w:val="true"/>
          <w:lang w:bidi="ar-SA"/>
        </w:rPr>
        <w:t>، والصدوق في جملةٍ من كتبه</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مستدبر القبلة أعاد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الإعادة في الوقت، فمّما لا إشكال فيه ولا خلاف، لأنّه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دليل اعتبار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w:t>
      </w:r>
      <w:r>
        <w:rPr>
          <w:rStyle w:val="FootnoteAnchor"/>
          <w:rtl w:val="true"/>
        </w:rPr>
        <w:footnoteReference w:id="446"/>
      </w:r>
      <w:r>
        <w:rPr>
          <w:rFonts w:ascii="Amiri" w:hAnsi="Amiri" w:eastAsia="Amiri" w:cs="Amiri"/>
          <w:color w:val="111111"/>
          <w:sz w:val="28"/>
          <w:sz w:val="28"/>
          <w:szCs w:val="28"/>
          <w:rtl w:val="true"/>
          <w:lang w:bidi="ar-SA"/>
        </w:rPr>
        <w:t>، وصحيح يعقوب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يوم سحابٍ‌، على غير القبلة، ثمّ طلعت الشّمس، وهو في وقتٍ‌، أيُعيد الصّلاة إذا كان قد صَلّى على غير القبلة، وإنْ كان قد تحرّى القبلة بجهده، أتجزيه صلاته‌؟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ما كان في وقتٍ‌، فإذا ذهب الوقت فلا إعادة عليه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لزوم الإعادة في خارج الوقت، فيما إذا كان الإنحراف إلى اليمين واليسار، فهو المشهور، ويشهد له صحيحا عبد الرحمن ويعقوب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الإعادة في خارج الوقت في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وقع فيه الخلاف، والأقوى هو العدم أيضاً، ويدلّ عليه إطلاق ما دلّ على نفي الإعادة في خارج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للزومها</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معمّر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صَلّى على غير القبلة، ثمّ تبيّن له القبلة، وقد دخل وقت صلاةٍ اُخرى؟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قبل أن يُصلّي التي قد دخل وقتها، إلّاأن يخاف فوت التي قد دخل وقتها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وجوب القضاء مطلقاً، خرج عنه بالإجماع ونحوه ما إذا كان الانحراف إلى خصوص المشرق، أو المغرب، أو كان إلى ما بينهما، فيختصّ بصورة الاستدبار، فيكون أخصّ من ما دلّ على عدم وجوب القضاء مطلقاً، فيُقدَّم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وذيل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متوجّهاً إلى دُبُر القبلة، فليقطع الصّلاة، ثمّ يحوّل وجهه إلى القبلة، ثمّ يفتتح الصّلاة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عدم الفصل بين الأثناء وما بعد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وبمرسلة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روايةٌ بأنّه إذا صَلّى إلى استدبار القبلة، ثمّ علم بعد خروج الوقت، وجب إعادة الصّلاة</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عن غيره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مضافاً إلى ضعف سنده، يكون معارضاً مع ما دلّ على عدم وجوب القضاء مطلقاً</w:t>
      </w:r>
      <w:r>
        <w:rPr>
          <w:rStyle w:val="FootnoteAnchor"/>
          <w:rtl w:val="true"/>
        </w:rPr>
        <w:footnoteReference w:id="453"/>
      </w:r>
      <w:r>
        <w:rPr>
          <w:rFonts w:ascii="Amiri" w:hAnsi="Amiri" w:eastAsia="Amiri" w:cs="Amiri"/>
          <w:color w:val="111111"/>
          <w:sz w:val="28"/>
          <w:sz w:val="28"/>
          <w:szCs w:val="28"/>
          <w:rtl w:val="true"/>
          <w:lang w:bidi="ar-SA"/>
        </w:rPr>
        <w:t>، إذ ورود تخصيصٌ على أحد العامين بدليلٍ منفصل، لا يجعله بحكم الخاصّ المطلق، كما حقّقناه في محلّه، 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طرحه، أو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قُرب احتمال إرادة وقت الفضيلة من وقت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تصريح السائل بخروج وقت الأولى، وعدم وجوب ترتّب الحاضرة على الفائتة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هو التبيّن في الوقت، ولا أقلّ من إمكان أن يُحمل عليه بقرينة ما دلّ على عدم وجوب القضاء، فهو المتعيّن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بقرينة المقابلة، ما يعمّ المشرق والمغرب، فلو كان له إطلاقٌ يشمل ما بعد الوقت، كان معارضاً مع تلك النصوص المتقدّمة المفصّلة بين التبيّن في الوقت وخارجه، المحمولة على غير ما بين المشرق والمغرب، وحيثُ أنّ تقديم الموثّق مستلزمٌ لطرح تلك النصوص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التصرّف فيه بالحمل على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نقلٌ لرواية مجهولة العين، ويحتمل قويّاً أن يكون المراد منها رواية معمر، ولعلّه الظاهر من استدلاله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كونها رواية اُخرى‌، ولكن حيث لم يثبت استناد الأصحاب إليها،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متحرِّياً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جاهلاً، أو ناسياً، أو غافلاً، فالظاهر وجوب الإعادة مطلقاً، لصحيح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على نفي القضاء، منصرفة إلى المجتهد الُمخطي في اجتهاده، ويؤيّده قوله عليه السلام في صحيح 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مضى الوقت فحسبه اجتهاده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فيما إذا تبيّن الخَلَل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تبيّن وهو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الإنحراف إلى اليمين أو اليسار، أو إلى الاستدبار أعاد، وإلّا فلا، وتدلّ عليه النصوص المتقدّمة</w:t>
      </w:r>
      <w:r>
        <w:rPr>
          <w:rStyle w:val="FootnoteAnchor"/>
          <w:rtl w:val="true"/>
        </w:rPr>
        <w:footnoteReference w:id="456"/>
      </w:r>
      <w:r>
        <w:rPr>
          <w:rFonts w:ascii="Amiri" w:hAnsi="Amiri" w:eastAsia="Amiri" w:cs="Amiri"/>
          <w:color w:val="111111"/>
          <w:sz w:val="28"/>
          <w:sz w:val="28"/>
          <w:szCs w:val="28"/>
          <w:rtl w:val="true"/>
          <w:lang w:bidi="ar-SA"/>
        </w:rPr>
        <w:t>بالأولويّة، وموثّقة عمّار المتقدّمة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1" w:name="pg11799_136085"/>
    </w:p>
    <w:p>
      <w:pPr>
        <w:pStyle w:val="Heading6"/>
        <w:numPr>
          <w:ilvl w:val="5"/>
          <w:numId w:val="1"/>
        </w:numPr>
        <w:rPr/>
      </w:pPr>
      <w:bookmarkStart w:id="202" w:name="__RefHeading___Toc10444462_73709187"/>
      <w:bookmarkStart w:id="203" w:name="_Toc78"/>
      <w:bookmarkEnd w:id="201"/>
      <w:bookmarkEnd w:id="202"/>
      <w:r>
        <w:rPr>
          <w:rtl w:val="true"/>
        </w:rPr>
        <w:t>زوال الظنّ بالقبلة بعد الصّلاة</w:t>
      </w:r>
      <w:bookmarkEnd w:id="20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بعد الاجتهاد أنّ القبلة في جهةٍ فصلّى إليها، ثمّ زال ظنّه، فهل تجبُ الإعادة أم لا؟</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إمّا أن يتبدّل إلى الظنّ بجهةٍ اُخرى‌، أو يزول ويتردّد فيها، ولا يتمكّن من تحصيل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وجوبها، إذا كان مقتضى الثاني وقوع الصّلاة إلى الإستدبار، أو إلى المشرق أو المغرب، وعدمه إذا كان مقتضاه وقوعها بين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زواله وتبدّله في الوقت، وإلّا فلا يجب مطلقاً، فهاهنا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التبدّل في الوقت، وكان مقتضى الثاني وقوعها ما بين المشرق والمغرب، فلا تجب الإعادة، لما دلّ من النصوص المتقدّمة</w:t>
      </w:r>
      <w:r>
        <w:rPr>
          <w:rStyle w:val="FootnoteAnchor"/>
          <w:rtl w:val="true"/>
        </w:rPr>
        <w:footnoteReference w:id="458"/>
      </w:r>
      <w:r>
        <w:rPr>
          <w:rFonts w:ascii="Amiri" w:hAnsi="Amiri" w:eastAsia="Amiri" w:cs="Amiri"/>
          <w:color w:val="111111"/>
          <w:sz w:val="28"/>
          <w:sz w:val="28"/>
          <w:szCs w:val="28"/>
          <w:rtl w:val="true"/>
          <w:lang w:bidi="ar-SA"/>
        </w:rPr>
        <w:t>على صحّة الصّلاة الواقعة فيما بينهما لو تبيّن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التبدّل في الوقت، وكان مقتضى الثاني وقوعها إلى المشرق أو المغرب، أو إلى الاستدبار، فيُعيد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دليل الاجتهاد والتحرّي، الإجتزاء بما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دلّ على إجزاء التحرّي إنّما يدلّ عليه إذا كان الاجتهاد والظنّ باقياً إلى آخر الوقت، لا إذا كان الظنّ في خصوص زمانٍ لا تكليف فيه بالخصوص، كما لا يخفى‌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الفراغ عدم وجوب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تجري فيما تكون صورة العمل محفوظة، ويكون الشكّ في المصادفة الاتّفاقيّة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التبدّل في خارج الوقت، فلا يُعيد مطلقاً، لما دلّ على إجزاء التحرّي والاجتهاد، مضافاً إلى ما عرفت في المسألة الثانية من أنّه مع العلم بوقوعها إليهما، أو إلى الاستدبار، لا يجبُ الإعادة في خارج الوقت، فمع الظنّ به أولى بعدم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المختار من كفاية الصّلاة إلى جهةٍ واحدة للمتحيّر، لا يجب الإعادة لتحقّقها،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وجوب الصّلاة إلى أربع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في خارج الوقت، فلا يجبُ أيضاً،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الوقت، فيجب تكرار الصّلاة إلى الجوانب الثلاثة الباقية، لقاعدة الاشتغال، وأدلّة الاجتهاد لا تقتضي الاكتفاء 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تبدّل إلى الشكّ في وسط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التحرّي تَحرّى‌، وإنْ توقّف على قطع الصّلاة، لما سيأتي في محلّه من أنّ حرمته إنّما تكون فيما جاز للمكلّف الاقتصار عليها في مقام الامتثال، فإنْ كان اجتهاده مطابقاً لإجتهاده الأوّل، استمرّ في صلاته، وإنْ كان مخالفاً بطلت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كان الانحراف بالغاً حَدّ المشرق والمغرب فواضح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بالغاً هذا الحَدّ، فلعدم تحقّق الاستقبال من زمان زوال الظنّ إلى زمان حصول الثاني، من دون أن يدلّ دليلٌ على سقوط شرطيّته، إذ ما دلّ على السقوط إنّما يدلّ عليه بمقدار زمان الانحراف لا أزيد، فتدبّر</w:t>
      </w:r>
      <w:r>
        <w:rPr>
          <w:rFonts w:eastAsia="Amiri" w:cs="Amiri" w:ascii="Amiri" w:hAnsi="Amiri"/>
          <w:color w:val="111111"/>
          <w:sz w:val="28"/>
          <w:szCs w:val="28"/>
          <w:rtl w:val="true"/>
          <w:lang w:bidi="ar-SA"/>
        </w:rPr>
        <w:t>.</w:t>
      </w:r>
      <w:bookmarkStart w:id="204" w:name="pg11799_136087"/>
    </w:p>
    <w:p>
      <w:pPr>
        <w:pStyle w:val="Heading5"/>
        <w:numPr>
          <w:ilvl w:val="4"/>
          <w:numId w:val="1"/>
        </w:numPr>
        <w:rPr/>
      </w:pPr>
      <w:bookmarkStart w:id="205" w:name="__RefHeading___Toc10444464_73709187"/>
      <w:bookmarkStart w:id="206" w:name="_Toc79"/>
      <w:bookmarkEnd w:id="204"/>
      <w:bookmarkEnd w:id="205"/>
      <w:r>
        <w:rPr>
          <w:rtl w:val="true"/>
        </w:rPr>
        <w:t>فيما يُستقبل له</w:t>
      </w:r>
      <w:bookmarkEnd w:id="206"/>
    </w:p>
    <w:p>
      <w:pPr>
        <w:pStyle w:val="Heading6"/>
        <w:numPr>
          <w:ilvl w:val="5"/>
          <w:numId w:val="1"/>
        </w:numPr>
        <w:rPr/>
      </w:pPr>
      <w:bookmarkStart w:id="207" w:name="__RefHeading___Toc10444466_73709187"/>
      <w:bookmarkStart w:id="208" w:name="_Toc80"/>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يجب الاستقبال له؛ فقد قام الإجماع على وجوبه في الصّلوات اليوميّة، وفي سائر الصّلوات الواجبة كالآيات، بل لعلّه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Style w:val="FootnoteAnchor"/>
          <w:rtl w:val="true"/>
        </w:rPr>
        <w:footnoteReference w:id="459"/>
      </w:r>
      <w:r>
        <w:rPr>
          <w:rFonts w:ascii="Amiri" w:hAnsi="Amiri" w:eastAsia="Amiri" w:cs="Amiri"/>
          <w:color w:val="111111"/>
          <w:sz w:val="28"/>
          <w:sz w:val="28"/>
          <w:szCs w:val="28"/>
          <w:rtl w:val="true"/>
          <w:lang w:bidi="ar-SA"/>
        </w:rPr>
        <w:t>، 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إلّاإلى القبلة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وغيره من النصوص الكثيرة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10444468_73709187"/>
      <w:bookmarkStart w:id="210" w:name="_Toc81"/>
      <w:bookmarkEnd w:id="209"/>
      <w:r>
        <w:rPr>
          <w:rtl w:val="true"/>
        </w:rPr>
        <w:t>شرطيّة الاستقبال لصَّلاة النافلة</w:t>
      </w:r>
      <w:bookmarkEnd w:id="210"/>
    </w:p>
    <w:p>
      <w:pPr>
        <w:pStyle w:val="BookText"/>
        <w:rPr/>
      </w:pPr>
      <w:r>
        <w:rPr>
          <w:rFonts w:ascii="Amiri" w:hAnsi="Amiri" w:eastAsia="Amiri" w:cs="Amiri"/>
          <w:color w:val="111111"/>
          <w:sz w:val="28"/>
          <w:sz w:val="28"/>
          <w:szCs w:val="28"/>
          <w:rtl w:val="true"/>
          <w:lang w:bidi="ar-SA"/>
        </w:rPr>
        <w:t>ويشترط الاستقبال في صلاة النافلة في حال الاستقرار أيضاً، كما نُسب إلى المشهور</w:t>
      </w:r>
      <w:r>
        <w:rPr>
          <w:rStyle w:val="FootnoteAnchor"/>
          <w:rtl w:val="true"/>
        </w:rPr>
        <w:footnoteReference w:id="462"/>
      </w:r>
      <w:r>
        <w:rPr>
          <w:rFonts w:ascii="Amiri" w:hAnsi="Amiri" w:eastAsia="Amiri" w:cs="Amiri"/>
          <w:color w:val="111111"/>
          <w:sz w:val="28"/>
          <w:sz w:val="28"/>
          <w:szCs w:val="28"/>
          <w:rtl w:val="true"/>
          <w:lang w:bidi="ar-SA"/>
        </w:rPr>
        <w:t>، ويدلّ عليه صحيح زرارة المتقدّم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بالفريضة، بقرينة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والمغرب قبلة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في غير الوقت‌؟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وجوب الإعادة مختصٌّ بالفريضة، كما أنّ صاحبة الوقت هي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وجوب الإعادة،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بطلان الصّلاة لا مولويّة فيه، وسؤال الراوي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عامٌ عن وقوع الصّلاة في غير الوقت، وضمّه إلى السؤال عن الصّلاة إلى غير القبلة، لا يصلح لأنْ يقيّد العموم، ويخصّصه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النافلة اختياراً بلا استقبال في الجملة، كما ستعرف، وإيقاع الصّلاة مستقرّاً أو غير مستقرّ من احوال أفراد العام، لا من أفراده، فخروج بعض الأفراد في الجملة، كاشفٌ عن عدم اندراج هذا الفرد في موضوع حكم العام، أو كون الموضوع مقيّداً بغير هذه الحالة، فيُستكشف من جواز قراءة النافلة بغير القبلة ماشياً، 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الصّلاة الواجبة، أو الصّلاة المقيّدة بحال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تقييدها بحال الاستقرار أولى من تقييدها بالفريضة، بل الثاني هو الأولى إنْ لم نقل بأنّه المتعيّن بمقتضى القرائن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بما أنّه من الأفعال لا من الجواهر، ومن المعلوم أنّ كلّ فعلٍ صادر في كلّ حالٍ وزمان مغايرٌ لما صدر في حال آخر وزمان غيره، فصلاة النافلة حال السير فردٌ من العام مغايرٌ لصلاة النافلة في حال الإستقرار، ومقتضى العموم اعتبار القبلة في كلٍّ منهما، لكنّه خرجت النافلة في حال السير بخصوصها، فيبقى الثاني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بصحيحة اُخرى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تدلّ على اعتبار القبلة في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عليها بعض الأعاظم</w:t>
      </w:r>
      <w:r>
        <w:rPr>
          <w:rStyle w:val="FootnoteAnchor"/>
          <w:rtl w:val="true"/>
        </w:rPr>
        <w:footnoteReference w:id="466"/>
      </w:r>
      <w:r>
        <w:rPr>
          <w:rFonts w:ascii="Amiri" w:hAnsi="Amiri" w:eastAsia="Amiri" w:cs="Amiri"/>
          <w:color w:val="111111"/>
          <w:sz w:val="28"/>
          <w:sz w:val="28"/>
          <w:szCs w:val="28"/>
          <w:rtl w:val="true"/>
          <w:lang w:bidi="ar-SA"/>
        </w:rPr>
        <w:t>من المحقّقين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ظهورها في الفريضة، التي من شأنها وجوب الإعادة عند الإخلال بشيءٍ من أجزائها وشرائطها، كما يؤيّد ذلك عَدّ الوقت من الخَمس، أنّ إطلاقها واردٌ مورد حكمٍ آخر، فلا يستفاد منها أنّ مطلق الصّلاة تُعاد لكلٍّ من هذه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 لا تدلّ على وجوب الإعادة، بل على بطلان الصّلاة لكون الأمر بالإعادة إرشاديّاً لا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ثبوت الوقت للنوافل لا وجه لأنْ يقال إنّ ذكر الوقت دليلُ اختصاصها بالفريضة، مع أنّ قرينيّته للاختصاص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الإيراد الثاني في محلّه، إذ هي واردة في مقام السقوط، ولا تكون واردة في مقام تشريع الاعتبار، كي يتمسّك بإطلاقها، فالعمدة فيه الصحيح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على القول بعدم الوجوب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يلتفت في صلاته، هل يقطع ذلك صلاته‌؟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والتفت إلى خلفه، فقد قطع صلاته، فيُعيد ما صَلّى، ولا يعتدّ به، وإنْ كانت نافلةً لم يقطع ذلك صلاته، ولكن لا يعود</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صحيح زرارة، عن الإمام الباقر عليه السلام أنّه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بوجهك، ولا تقلّب بوجهك عن القبلة، فتفسد صلاتك، فإنّ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عزّ و جلّ يقول لنبيّه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اختصاص الحكم بالفريضة لإختصاص دليله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وخبره الآخر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في السفينة والمحمل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فأتوجّه نحوها في كلّ تكبيرة‌؟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النافلة فلا، إنّما تُكبِّر على غير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قبلة للمتنفِّل</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التفتت في صلاة مكتوبة من غير فراغٍ‌، فأعِد الصّلاة إذا كان الإلتفات فاحشاً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إنّما يدلّ على اختصاص الآية الشريفة بالفريضة، وحيث أنّ دليل اعتبار القبلة لا ينحصر بها، وقد عرفت إطلاق غيرها، فلا وجه لإختصاص الحكم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يستفاد من صحيح الحلبي، عدم مبطليّة الالتفات الفاحش للنافلة، وهذا أعمٌّ من عدم اعتبار القبلة فيها، كما لا يخفى‌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1" w:name="pg11799_136091"/>
    </w:p>
    <w:p>
      <w:pPr>
        <w:pStyle w:val="Heading6"/>
        <w:numPr>
          <w:ilvl w:val="5"/>
          <w:numId w:val="1"/>
        </w:numPr>
        <w:rPr/>
      </w:pPr>
      <w:bookmarkStart w:id="212" w:name="__RefHeading___Toc10444470_73709187"/>
      <w:bookmarkStart w:id="213" w:name="_Toc82"/>
      <w:bookmarkEnd w:id="211"/>
      <w:bookmarkEnd w:id="212"/>
      <w:r>
        <w:rPr>
          <w:rtl w:val="true"/>
        </w:rPr>
        <w:t>لا يعتبر الإستقبال في حال المشي في النّافلة</w:t>
      </w:r>
      <w:bookmarkEnd w:id="213"/>
    </w:p>
    <w:p>
      <w:pPr>
        <w:pStyle w:val="BookText"/>
        <w:rPr/>
      </w:pPr>
      <w:r>
        <w:rPr>
          <w:rFonts w:ascii="Amiri" w:hAnsi="Amiri" w:eastAsia="Amiri" w:cs="Amiri"/>
          <w:color w:val="111111"/>
          <w:sz w:val="28"/>
          <w:sz w:val="28"/>
          <w:szCs w:val="28"/>
          <w:rtl w:val="true"/>
          <w:lang w:bidi="ar-SA"/>
        </w:rPr>
        <w:t>ولا يشترط الاستقبال في النافلة في حال المشي والركوب، بلا خلافٍ فيه في السّفر، وتدلّ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الكرخي،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أقدرُ أن أتوجّه نحو القبلة في المحمل‌؟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الضيّق، أما لَكُم في رسول اللّه اُسوة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سال أبا عبد اللّه عليه السلام عن صلاة النافلة على البعير والدابّة‌؟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إذا أردتُ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تكبّر حيثما كنتَ متوجِّهاً، وكذلك فعل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صلاة اللّيل في السّفر، وهو يمشي، ولا بأس إنْ فاتته صلاة اللّيل أنْ يُقضيها بالنهار وهو يمشي، يتوجّه إلى القبلة، ثمّ يمشي ويقرأ، فإذا أراد أن يركع حَوّل وجهه إلى القبلة وركع وسجد ثمّ مشى‌</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476"/>
      </w:r>
      <w:r>
        <w:rPr>
          <w:rFonts w:ascii="Amiri" w:hAnsi="Amiri" w:eastAsia="Amiri" w:cs="Amiri"/>
          <w:color w:val="111111"/>
          <w:sz w:val="28"/>
          <w:sz w:val="28"/>
          <w:szCs w:val="28"/>
          <w:rtl w:val="true"/>
          <w:lang w:bidi="ar-SA"/>
        </w:rPr>
        <w:t>وغيره</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مختصٌّ بالسفر، وأمّا في الحضر فيعتبر </w:t>
      </w:r>
    </w:p>
    <w:p>
      <w:pPr>
        <w:pStyle w:val="BookText"/>
        <w:rPr/>
      </w:pPr>
      <w:r>
        <w:rPr>
          <w:rFonts w:ascii="IRNazanin" w:hAnsi="IRNazanin" w:eastAsia="IRNazanin"/>
          <w:color w:val="111111"/>
          <w:sz w:val="28"/>
          <w:sz w:val="28"/>
          <w:szCs w:val="28"/>
          <w:rtl w:val="true"/>
          <w:lang w:bidi="fa-IR"/>
        </w:rPr>
        <w:t>الإستقبال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وهو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بعض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الرحمن 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النّوافل في الأمصار، وهو عليدابّته حيثُ ما وجّهت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معاوية المتقدّم، وبالخبرين اللّذين رواهما الطبرسي والشيخ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479"/>
      </w:r>
      <w:r>
        <w:rPr>
          <w:rFonts w:ascii="Amiri" w:hAnsi="Amiri" w:eastAsia="Amiri" w:cs="Amiri"/>
          <w:color w:val="111111"/>
          <w:sz w:val="28"/>
          <w:sz w:val="28"/>
          <w:szCs w:val="28"/>
          <w:rtl w:val="true"/>
          <w:lang w:bidi="ar-SA"/>
        </w:rPr>
        <w:t>أنّها مختصّة بالنوافل في السّفر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الحسن لا مفهوم له، كي يدلّ على اعتبار الاستقبال في غير مورده، فيعارض مع صحيح ابن الحجّاج، والأخيران لضعف سنديهما لا يصلحان لتقييد الإطلاقات والمعارضة مع الصحيح، مع أنّ غاية ما يدلّان عليه اختصاص الآية بها، لا الحكم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النصوص، وخصوص صحيح الحلبي، عدم اعتبار الإستقبال في التكبيرة، فما في بعض الأخبار من الأمر به فيها، محمولٌ على الاستحباب، كما أنّ الأمر بتحويل الوجه إلى القبلة في الركوع و السجود في صحيح معاوية، محمولٌ عليه، لما دلّ من الصحاح على عدم اعتباره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4" w:name="pg11799_136093"/>
    </w:p>
    <w:p>
      <w:pPr>
        <w:pStyle w:val="BookText"/>
        <w:rPr/>
      </w:pPr>
      <w:bookmarkEnd w:id="214"/>
      <w:r>
        <w:rPr>
          <w:rFonts w:ascii="Amiri" w:hAnsi="Amiri" w:eastAsia="Amiri" w:cs="Amiri"/>
          <w:color w:val="111111"/>
          <w:sz w:val="28"/>
          <w:sz w:val="28"/>
          <w:szCs w:val="28"/>
          <w:rtl w:val="true"/>
          <w:lang w:bidi="ar-SA"/>
        </w:rPr>
        <w:t>ولا يُصلّي على الرّاحلة اختياراً إلّانافلة</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0444472_73709187"/>
      <w:bookmarkStart w:id="216" w:name="_Toc83"/>
      <w:bookmarkEnd w:id="215"/>
      <w:r>
        <w:rPr>
          <w:rtl w:val="true"/>
        </w:rPr>
        <w:t>الصّلاة على الراحلة</w:t>
      </w:r>
      <w:bookmarkEnd w:id="216"/>
    </w:p>
    <w:p>
      <w:pPr>
        <w:pStyle w:val="Heading6"/>
        <w:numPr>
          <w:ilvl w:val="5"/>
          <w:numId w:val="1"/>
        </w:numPr>
        <w:rPr/>
      </w:pPr>
      <w:bookmarkStart w:id="217" w:name="__RefHeading___Toc10444474_73709187"/>
      <w:bookmarkStart w:id="218" w:name="_Toc84"/>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الرّاحلة اختياراً إلّانافلةً‌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219" w:name="__RefHeading___Toc10444476_73709187"/>
      <w:bookmarkStart w:id="220" w:name="_Toc85"/>
      <w:bookmarkEnd w:id="219"/>
      <w:r>
        <w:rPr>
          <w:rtl w:val="true"/>
        </w:rPr>
        <w:t>فهاهنا فروع</w:t>
      </w:r>
      <w:r>
        <w:rPr>
          <w:rtl w:val="true"/>
        </w:rPr>
        <w:t>:</w:t>
      </w:r>
      <w:bookmarkEnd w:id="220"/>
    </w:p>
    <w:p>
      <w:pPr>
        <w:pStyle w:val="Heading6"/>
        <w:numPr>
          <w:ilvl w:val="5"/>
          <w:numId w:val="1"/>
        </w:numPr>
        <w:rPr/>
      </w:pPr>
      <w:bookmarkStart w:id="221" w:name="__RefHeading___Toc10444478_73709187"/>
      <w:bookmarkStart w:id="222" w:name="_Toc86"/>
      <w:bookmarkEnd w:id="221"/>
      <w:r>
        <w:rPr>
          <w:rtl w:val="true"/>
        </w:rPr>
        <w:t>في الفريضة على الراحلة في حال الاختيار</w:t>
      </w:r>
      <w:bookmarkEnd w:id="22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على الراحلة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فيها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لو كان ذلك مفوّتاً لشيءٍ ممّا يعتبر فيها كالاستقبال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فتجوزُ في الثاني، كما هو المنسوب إلى المشهور</w:t>
      </w:r>
      <w:r>
        <w:rPr>
          <w:rStyle w:val="FootnoteAnchor"/>
          <w:rtl w:val="true"/>
        </w:rPr>
        <w:footnoteReference w:id="481"/>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الجواز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مقتضى إطلاق أدلّة تلك الاُمور، مضافاً إلى النصوص الخاصّة، كموثّق عبد 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الرّجل شيئاً من المفروض راكباً؟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ضرورة</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هذه النصوص، عدم الفرق بين الصحيح والمريض، وما في بعضها من استثناءالمريض، محمولٌ على العاجز والمضطرّ لمناسبة الحكم والموضوع، ويؤيّده تقييد الجواز في الموثّق بحال الضروره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 المراد من الفريضة فيها، الصّلاة التي فَرَضها اللّه بعنوانها، </w:t>
      </w:r>
    </w:p>
    <w:p>
      <w:pPr>
        <w:pStyle w:val="BookText"/>
        <w:rPr/>
      </w:pPr>
      <w:r>
        <w:rPr>
          <w:rFonts w:ascii="Amiri" w:hAnsi="Amiri" w:eastAsia="Amiri" w:cs="Amiri"/>
          <w:color w:val="111111"/>
          <w:sz w:val="28"/>
          <w:sz w:val="28"/>
          <w:szCs w:val="28"/>
          <w:rtl w:val="true"/>
          <w:lang w:bidi="ar-SA"/>
        </w:rPr>
        <w:t xml:space="preserve">فلا تشمل النافلة المنذورة،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للّه عليه أن يُصلّي كذا وكذا، هل يُجزيه أنْ يُصلّي ذلك على دابّته وهو مسافر؟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السؤال في كونه عن حال الاختيار، يأبى عن حمل الجواب على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والخدشة في سنده بأنّ محمّد بن أحمد العلوي، الذي هو في طريقه، لم يثبت وثاقته،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مردودة، لأنّ العلّامة</w:t>
      </w:r>
      <w:r>
        <w:rPr>
          <w:rStyle w:val="FootnoteAnchor"/>
          <w:rtl w:val="true"/>
        </w:rPr>
        <w:footnoteReference w:id="486"/>
      </w:r>
      <w:r>
        <w:rPr>
          <w:rFonts w:ascii="IRNazanin" w:hAnsi="IRNazanin" w:eastAsia="IRNazanin"/>
          <w:color w:val="111111"/>
          <w:sz w:val="28"/>
          <w:sz w:val="28"/>
          <w:szCs w:val="28"/>
          <w:rtl w:val="true"/>
          <w:lang w:bidi="fa-IR"/>
        </w:rPr>
        <w:t>صحّح الخبر، ووصفه الصدوق</w:t>
      </w:r>
      <w:r>
        <w:rPr>
          <w:rStyle w:val="FootnoteAnchor"/>
          <w:rtl w:val="true"/>
        </w:rPr>
        <w:footnoteReference w:id="487"/>
      </w:r>
      <w:r>
        <w:rPr>
          <w:rFonts w:ascii="Amiri" w:hAnsi="Amiri" w:eastAsia="Amiri" w:cs="Amiri"/>
          <w:color w:val="111111"/>
          <w:sz w:val="28"/>
          <w:sz w:val="28"/>
          <w:szCs w:val="28"/>
          <w:rtl w:val="true"/>
          <w:lang w:bidi="ar-SA"/>
        </w:rPr>
        <w:t xml:space="preserve">بالصدق، واستظهر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كونه من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كون الخبر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 للفريضة وصفُ النفل، كالمعادة والمأتي بها احتياطاً، فلا تجوز على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الإعادة إلّابإتيان الشيء ثانياً بنحوٍ كان مطلوباًأوّلاً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الاحتياط لا يتحقّق إلّابإتيان ما يكون مسقطاً للأمر على تقدير بقائه، فلابدّ أن يراعى فيه جميع ما يعتبر في المأمور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الجواز في الثاني، فلعدم الدليل على المنع، واستدلّ له بإطلاق ما دلّ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3" w:name="pg11799_136095"/>
    </w:p>
    <w:p>
      <w:pPr>
        <w:pStyle w:val="BookText"/>
        <w:rPr/>
      </w:pPr>
      <w:bookmarkEnd w:id="223"/>
      <w:r>
        <w:rPr>
          <w:rFonts w:ascii="Amiri" w:hAnsi="Amiri" w:eastAsia="Amiri" w:cs="Amiri"/>
          <w:color w:val="111111"/>
          <w:sz w:val="28"/>
          <w:sz w:val="28"/>
          <w:szCs w:val="28"/>
          <w:rtl w:val="true"/>
          <w:lang w:bidi="ar-SA"/>
        </w:rPr>
        <w:t>المنع من الصّلاة على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شيءٍ في المركّب ظاهرٌ في مانعيّته بنفسه، إذا لم يكن وجوده ملازماً غالباً لفقدان شيء ممّا يعتبر فيه، وإلّا فلا ظهور له في ذلك، فيكون المرجع أصالة عدم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بما أنّ الصّلاة على الراحلة ملازمة غالباً لفقدان شيءٍ ممّا يعتبرفيها، كالاستقبال والركوع والسجود والطمأنينة وغيرها، فلا ظهور للنهي عنها في المانعيّة مطلقاً، بل لا يبعد دعوى ظهوره في أنّه بلحاظ فقدان تلك الاُمور، كما يشهد له التعرّض لجملةٍ من الأحكام في النصوص، كالإيماء للركوع والسجود ونحوه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0444480_73709187"/>
      <w:bookmarkStart w:id="225" w:name="_Toc87"/>
      <w:bookmarkEnd w:id="224"/>
      <w:r>
        <w:rPr>
          <w:rtl w:val="true"/>
        </w:rPr>
        <w:t>تجوز الفريضة على الراحلة في حال الضرورة</w:t>
      </w:r>
      <w:bookmarkEnd w:id="22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الفريضة على الراحلة في حال الضرورة، بلا خلافٍ يعتدّ به، إذ الصّلاة لا تَدَعُ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أيضاً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الفريضة في المحمل في يوم وَحَلٍ ومطر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ابن سنان المتقدّم</w:t>
      </w:r>
      <w:r>
        <w:rPr>
          <w:rStyle w:val="FootnoteAnchor"/>
          <w:rtl w:val="true"/>
        </w:rPr>
        <w:footnoteReference w:id="490"/>
      </w:r>
      <w:r>
        <w:rPr>
          <w:rFonts w:ascii="Amiri" w:hAnsi="Amiri" w:eastAsia="Amiri" w:cs="Amiri"/>
          <w:color w:val="111111"/>
          <w:sz w:val="28"/>
          <w:sz w:val="28"/>
          <w:szCs w:val="28"/>
          <w:rtl w:val="true"/>
          <w:lang w:bidi="ar-SA"/>
        </w:rPr>
        <w:t>، ونحوهما غيرهما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منصور بن حازم، الدالّ على عدم جوازها على الراحلة، ولو مع المرض الشديد</w:t>
      </w:r>
      <w:r>
        <w:rPr>
          <w:rStyle w:val="FootnoteAnchor"/>
          <w:rtl w:val="true"/>
        </w:rPr>
        <w:footnoteReference w:id="492"/>
      </w:r>
      <w:r>
        <w:rPr>
          <w:rFonts w:ascii="Amiri" w:hAnsi="Amiri" w:eastAsia="Amiri" w:cs="Amiri"/>
          <w:color w:val="111111"/>
          <w:sz w:val="28"/>
          <w:sz w:val="28"/>
          <w:szCs w:val="28"/>
          <w:rtl w:val="true"/>
          <w:lang w:bidi="ar-SA"/>
        </w:rPr>
        <w:t>، فلضعف سنده، وإعراض الأصحاب عنه، لا يَصلُح للمعارضة مع هذه النصوص</w:t>
      </w:r>
      <w:r>
        <w:rPr>
          <w:rFonts w:eastAsia="Amiri" w:cs="Amiri" w:ascii="Amiri" w:hAnsi="Amiri"/>
          <w:color w:val="111111"/>
          <w:sz w:val="28"/>
          <w:szCs w:val="28"/>
          <w:rtl w:val="true"/>
          <w:lang w:bidi="ar-SA"/>
        </w:rPr>
        <w:t xml:space="preserve">. </w:t>
      </w:r>
      <w:bookmarkStart w:id="226" w:name="pg11799_136096"/>
    </w:p>
    <w:p>
      <w:pPr>
        <w:pStyle w:val="Heading6"/>
        <w:numPr>
          <w:ilvl w:val="5"/>
          <w:numId w:val="1"/>
        </w:numPr>
        <w:rPr/>
      </w:pPr>
      <w:bookmarkStart w:id="227" w:name="__RefHeading___Toc10444482_73709187"/>
      <w:bookmarkStart w:id="228" w:name="_Toc88"/>
      <w:bookmarkEnd w:id="226"/>
      <w:bookmarkEnd w:id="227"/>
      <w:r>
        <w:rPr>
          <w:rtl w:val="true"/>
        </w:rPr>
        <w:t>الاضطرار إلى ترك بعض الأجزاء والشرائط</w:t>
      </w:r>
      <w:bookmarkEnd w:id="22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المضطرّ إلى الصّلاة على الراحلة يجبُ عليه الإستقبال إنْ أمكن لدليل اعتباره، وإنْ لم يتمكّن من الاستقبال في جميع الصّلاة، بأنْ تمكّن منه في ركعةٍ منها مثلاً، استقبل بما أمكنه من صلاته، لأنّ سقوط اعتباره في بعض الأجزاء لا يوجب سقوطه في الجميع،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يتعيّن عليه الاستقبال في الركعة الأُولى؟</w:t>
      </w:r>
    </w:p>
    <w:p>
      <w:pPr>
        <w:pStyle w:val="BookText"/>
        <w:rPr/>
      </w:pPr>
      <w:r>
        <w:rPr>
          <w:rFonts w:ascii="Amiri" w:hAnsi="Amiri" w:eastAsia="Amiri" w:cs="Amiri"/>
          <w:color w:val="111111"/>
          <w:sz w:val="28"/>
          <w:sz w:val="28"/>
          <w:szCs w:val="28"/>
          <w:rtl w:val="true"/>
          <w:lang w:bidi="ar-SA"/>
        </w:rPr>
        <w:t>أو يتخيّر بينه وبين الاستقبال في ركعةٍ من سائر الركعات‌؟</w:t>
      </w:r>
    </w:p>
    <w:p>
      <w:pPr>
        <w:pStyle w:val="BookText"/>
        <w:rPr/>
      </w:pPr>
      <w:r>
        <w:rPr>
          <w:rFonts w:ascii="Amiri" w:hAnsi="Amiri" w:eastAsia="Amiri" w:cs="Amiri"/>
          <w:color w:val="111111"/>
          <w:sz w:val="28"/>
          <w:sz w:val="28"/>
          <w:szCs w:val="28"/>
          <w:rtl w:val="true"/>
          <w:lang w:bidi="ar-SA"/>
        </w:rPr>
        <w:t xml:space="preserve">وجهان، اختار الأوّل جماعةٌ من المحقّقين، لبنائهم على إرجاع التنافي بين الحكمين الضمنيين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القيام في الركعة الأُولى من الصّلاة، ووجوب التشهّد في الركعة الثانيه، لو دار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التزاحم، ويترتّب عليه الترجيح بالأهميّة، وبسبق الوجود، وغيرهما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هو الثاني، إذ بعد التأمّل الدقيق، يظهر عدم تماميّة المبنى، وكون موارد التنافي بين الحكمين الضمنيّين من موارد التعارض، وذلك لأنّ المراد من الأمر الضمني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الأمر الذي يَنشأ بداعي الإعلام بالجُزئيّة أو الشرطيّة، فهو ليس بأمرٍ حقيقة ولا داعياً، كي يُبحث عن وقوع التنافي بين داعويّته وداعويّة غيره، ولذا نرى إنّهم يتمسّكون بإطلاق هذه الأوامر لغير القادر على إتيان متعلّقاتها، والسِّر فيه ماذكرناه من أنّه إرشادٌ إلى دخل متعلّقه في المأمور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المراد منه الحِصّة من الأمر النفسي المتعلّق بالمركّب، فهو وإنْ كان أمراً حقيقةً‌، أو داعياً إلى متعلّقه، إلّاأنّه لا يُعقل مزاحمته مع الأمر الضمني الآخر، </w:t>
      </w:r>
    </w:p>
    <w:p>
      <w:pPr>
        <w:pStyle w:val="BookText"/>
        <w:rPr/>
      </w:pPr>
      <w:r>
        <w:rPr>
          <w:rFonts w:ascii="Amiri" w:hAnsi="Amiri" w:eastAsia="Amiri" w:cs="Amiri"/>
          <w:color w:val="111111"/>
          <w:sz w:val="28"/>
          <w:sz w:val="28"/>
          <w:szCs w:val="28"/>
          <w:rtl w:val="true"/>
          <w:lang w:bidi="ar-SA"/>
        </w:rPr>
        <w:t>إذ معنى كونه ضمنيّاً تقيّد متعلّقه بوجود بقيّة الأجزاء والشرائط في ظرفها المقرّر لها، فكلّ أمرٍ ضمني كما يقتضي إتيان متعلّقه، كذلك يقضي إتيان متعلّق الأمر الآخر، فكيف يُعقل أن يكون مزاحماً معه، مع أنّ ملاك التزاحم التنافي في مقام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إنّما يكون فيما كان المكلّف قادراً على امتثال كلٍّ من الحكمين في نفسه، وليس كذلك في الأوامر الضمنيّة، لفرض تقييد متعلّقه بوجود متعلّق الآخر، فعدّ إمكان امتثالهما معاً، يوجبُ عدم إمكان امتثال كلّ واحدٍ منهما، فلا محالة يسقطان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المتعلّق بالمركّب بما أنّه أمرٌ واحد، يكون كلّ جزءٍ منه المتعلّق لذلك الأمر مقيّداً بوجود بقيّة الأجزاء في ظرفها المقرّر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فلازم عدم القدرة على إتيان بعض الأجزاء، سقوط ذلك الأمر، إذ لا يُعقل أن يكون التكليف الواحد مزاحماً لنفسه، ولكن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يجب الإتيان بما أمكن منها، يدلّ على حدوث أمرٍ آخر متعلّق بالمركّب من أحد الجزئين الّذين لا يمكن الجمع بينهما، وهذا الأمر في الفرض يدور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متعلّقاً بالواجد للقيام في الركعة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متعلّقاً بالواجد للتشهّد 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المأخوذ في المتعلّق أحدهما تخييراً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يقع التنافي بين إطلاق دليل وجوب القيام في الأُولى‌، الدالّ على دخله في الصّلاة بجمع مراتبها، وبين إطلاق ما دلّ على وجوب التشهّد في الثانية، الدالّ على دخله فيها كذلك، وحيثُ نعلم إجمالاً عدم ثبوت أحدهما، فلا محالة يقع التعارض بين الدليلين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التمانع بين الإطلاقين حينئذٍ يكون في مقام الجعل والإنشاء، فالإطلاقان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فيماذكرناه فإنّها لطيفةٌدقيقة، تفطّنتُ لها، وكتبتها إلى الاُستاذ فاستحسنها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ليست نتيجة هذا التعارض تقييد كلٍّ من الإطلاقين بعدم الإتيان بمتعلّق الآخر، إذ لازمه جزئيّة كلٍّ منهما عند تركهما، ولازم ذلك إمّا سقوط الأمر بالمركّب، أو تعلّق الأمر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ليست نتيجته جزئيّة أحدهما تعييناً، بدعوى أنّ العجز عن الجمع بينهما يوجبُ سقوط التعيين في أحدهما، وأمّا سقوطه في الآخر فمشكوكٌ فيه، يستصحب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مردّدٌ بينهما، فيجبُ الاحتياط بتكرار الصّلاة، والشكّ في المقام بما أنّه ناشٍ من الشكّ في كيفيّة الجعل، فأصالة عدم جعل الجزئيّة التعيينيّة في هذا الحال، تكون حاكمة على الاستصحاب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الدليلان مطلقين، فبما أنّ تعارضهما إنّما يكون بالعموم من وجه، فلا محالة يسقط كلا الإطلاقين، إذ الإطلاق إنّما يكون متوقّفاً على جريان مقدّمات الحكمة، وحيثُ أنّ جريانها فيهما لا يمكن، وفي أحدهما ترجيحٌ بلا مرجّح، فلا تجري في شيءٍ منهما، وبهذا يظهر</w:t>
      </w:r>
      <w:r>
        <w:rPr>
          <w:rStyle w:val="FootnoteAnchor"/>
          <w:rtl w:val="true"/>
        </w:rPr>
        <w:footnoteReference w:id="493"/>
      </w:r>
      <w:r>
        <w:rPr>
          <w:rFonts w:ascii="Amiri" w:hAnsi="Amiri" w:eastAsia="Amiri" w:cs="Amiri"/>
          <w:color w:val="111111"/>
          <w:sz w:val="28"/>
          <w:sz w:val="28"/>
          <w:szCs w:val="28"/>
          <w:rtl w:val="true"/>
          <w:lang w:bidi="ar-SA"/>
        </w:rPr>
        <w:t>وجه عدم الرجوع إلى مرجّحات باب التعارض، وبعد سقوطهما لا بدَّ من الانتهاء إلى الأصل العملي، وليس هو إلّاأصالة البراءة عن وجوب إتيان كلٍّ منهما بالخصوص، بناءً على ما هو الحقّ من جريانها في موارد دوران الأمر بين التعيين والتخيير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ذكرناه أنّه لو كان لأحد الدليلين عمومٌ لفظي دون الآخر،</w:t>
      </w:r>
      <w:r>
        <w:rPr>
          <w:rFonts w:eastAsia="Amiri" w:cs="Amiri" w:ascii="Amiri" w:hAnsi="Amiri"/>
          <w:color w:val="111111"/>
          <w:sz w:val="28"/>
          <w:szCs w:val="28"/>
          <w:rtl w:val="true"/>
          <w:lang w:bidi="ar-SA"/>
        </w:rPr>
        <w:t xml:space="preserve">-. </w:t>
      </w:r>
      <w:bookmarkStart w:id="229" w:name="pg11799_136099"/>
    </w:p>
    <w:p>
      <w:pPr>
        <w:pStyle w:val="BookText"/>
        <w:rPr/>
      </w:pPr>
      <w:bookmarkEnd w:id="229"/>
      <w:r>
        <w:rPr>
          <w:rFonts w:ascii="Amiri" w:hAnsi="Amiri" w:eastAsia="Amiri" w:cs="Amiri"/>
          <w:color w:val="111111"/>
          <w:sz w:val="28"/>
          <w:sz w:val="28"/>
          <w:szCs w:val="28"/>
          <w:rtl w:val="true"/>
          <w:lang w:bidi="ar-SA"/>
        </w:rPr>
        <w:t>يكون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العموم لكلٍّ من الدليلين، وجبَ الرّجوع إلى مرجّحات باب التعارض على ما حقّقناه في محلّه من شمول الأخبار العلاجيّة لما كان بين الدليلين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تمكّن من الاستقبال بمقدارٍ يُعتدُّ به، وإلّا استقبل القبلة بتكبيرة الإحرام دون غيرها من الأجزاء، لما في صحيح زرارة الوارد في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يدور إلى القبلة، ولكن أينما دارت به دابّته، غير أنّه يستقبل القبلة بأوّل تكبيرة حين يتوجّه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جميع ما ذكرناه في الصّلاة على الرّاحلة جاريةٌ في الصّلاة ماشياً فلا نُعيد</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0444484_73709187"/>
      <w:bookmarkStart w:id="231" w:name="_Toc89"/>
      <w:bookmarkEnd w:id="230"/>
      <w:r>
        <w:rPr>
          <w:rtl w:val="true"/>
        </w:rPr>
        <w:t>يجوز إيقاع النافلة على الرّاحلة</w:t>
      </w:r>
      <w:bookmarkEnd w:id="2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 النافلة على الرّاحلة، للنصوص الكثيرة المتقدّمة جملةٌ منها</w:t>
      </w:r>
      <w:r>
        <w:rPr>
          <w:rFonts w:eastAsia="Amiri" w:cs="Amiri" w:ascii="Amiri" w:hAnsi="Amiri"/>
          <w:color w:val="111111"/>
          <w:sz w:val="28"/>
          <w:szCs w:val="28"/>
          <w:rtl w:val="true"/>
          <w:lang w:bidi="ar-SA"/>
        </w:rPr>
        <w:t>.</w:t>
      </w:r>
      <w:bookmarkStart w:id="232" w:name="pg11799_136100"/>
    </w:p>
    <w:p>
      <w:pPr>
        <w:pStyle w:val="BookText"/>
        <w:rPr/>
      </w:pPr>
      <w:bookmarkEnd w:id="232"/>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اللّباس، يجب ستر العورة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0444486_73709187"/>
      <w:bookmarkStart w:id="234" w:name="_Toc90"/>
      <w:bookmarkEnd w:id="233"/>
      <w:r>
        <w:rPr>
          <w:rtl w:val="true"/>
        </w:rPr>
        <w:t>الفصل الرابع</w:t>
      </w:r>
      <w:r>
        <w:rPr>
          <w:rtl w:val="true"/>
        </w:rPr>
        <w:t xml:space="preserve">: </w:t>
      </w:r>
      <w:r>
        <w:rPr>
          <w:rtl w:val="true"/>
        </w:rPr>
        <w:t>في اللّباس ووجوبِ سَتر العورة</w:t>
      </w:r>
      <w:bookmarkEnd w:id="234"/>
    </w:p>
    <w:p>
      <w:pPr>
        <w:pStyle w:val="Heading5"/>
        <w:numPr>
          <w:ilvl w:val="4"/>
          <w:numId w:val="1"/>
        </w:numPr>
        <w:rPr/>
      </w:pPr>
      <w:bookmarkStart w:id="235" w:name="__RefHeading___Toc10444488_73709187"/>
      <w:bookmarkStart w:id="236" w:name="_Toc91"/>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مطلقاً، سواءٌ أكان هناك ناظرٌ أم لا إجماعاً،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إجماعاً بقسميه منّا ومن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تصريحاً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قطع عليه أو غرق متاعه، فبقي عرياناً، وحضرت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عورته أتمّ صلاته بالرّكوع والسّجود، وإنْ لم يُصب شيئاً يستر به عورته أومأ وهو قائم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 سفينة عرياناً، وسُلب ثيابه، ولم يجد شيئاً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إيماء</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نصوص العاري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يُصلّي </w:t>
      </w:r>
      <w:bookmarkStart w:id="237" w:name="pg11799_136101"/>
    </w:p>
    <w:p>
      <w:pPr>
        <w:pStyle w:val="BookText"/>
        <w:rPr/>
      </w:pPr>
      <w:bookmarkEnd w:id="237"/>
      <w:r>
        <w:rPr>
          <w:rFonts w:ascii="Amiri" w:hAnsi="Amiri" w:eastAsia="Amiri" w:cs="Amiri"/>
          <w:color w:val="111111"/>
          <w:sz w:val="28"/>
          <w:sz w:val="28"/>
          <w:szCs w:val="28"/>
          <w:rtl w:val="true"/>
          <w:lang w:bidi="ar-SA"/>
        </w:rPr>
        <w:t>في قميصٍ 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كثيفاً فلا بأس</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بما أنّ هذه النصوص واردة في مقام بيان حكمٍ آخر، فإثبات عموم الحكم لصورة عدم وجود الناظر بها، لا يخلو من إشكال، والعمدة فيه هو الإجماع</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0444490_73709187"/>
      <w:bookmarkStart w:id="239" w:name="_Toc92"/>
      <w:bookmarkEnd w:id="238"/>
      <w:r>
        <w:rPr>
          <w:rtl w:val="true"/>
        </w:rPr>
        <w:t>فروع</w:t>
      </w:r>
      <w:r>
        <w:rPr>
          <w:rtl w:val="true"/>
        </w:rPr>
        <w:t>:</w:t>
      </w:r>
      <w:bookmarkEnd w:id="239"/>
    </w:p>
    <w:p>
      <w:pPr>
        <w:pStyle w:val="Heading6"/>
        <w:numPr>
          <w:ilvl w:val="5"/>
          <w:numId w:val="1"/>
        </w:numPr>
        <w:rPr/>
      </w:pPr>
      <w:bookmarkStart w:id="240" w:name="__RefHeading___Toc10444492_73709187"/>
      <w:bookmarkStart w:id="241" w:name="_Toc93"/>
      <w:bookmarkEnd w:id="240"/>
      <w:r>
        <w:rPr>
          <w:rtl w:val="true"/>
        </w:rPr>
        <w:t>اعتبار السَّتر في جميع الأكوان الصّلاتيّة</w:t>
      </w:r>
      <w:bookmarkEnd w:id="24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المُجمعين اعتبار السَّتر في جميع الأكوان الصّلاتيّة، حتّى المتخلّلة منها، فلو صَلّى وعورته مستورة في جميع الأفعال الصلاتيّة، لكنّها كانت فيما بين الأفعال من الأكوان مكشوفة بَطَلَت صلاته، ومعه لا وجه لدعوى الصحّة لأصالة البراءة عن شرطيّة التستّر في الآنات المتخلّلة كما لا يخفى‌</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0444494_73709187"/>
      <w:bookmarkStart w:id="243" w:name="_Toc94"/>
      <w:bookmarkEnd w:id="242"/>
      <w:r>
        <w:rPr>
          <w:rtl w:val="true"/>
        </w:rPr>
        <w:t>هل التستّر شَرطٌ ذُكْرِيّ‌</w:t>
      </w:r>
      <w:bookmarkEnd w:id="24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التستّر شرطٌ ذُكْرِي، فتختصُّ شرطيّته بصورة العمد والالتفات، كما صرّح به جماعةٌ منهم المحقّق</w:t>
      </w:r>
      <w:r>
        <w:rPr>
          <w:rStyle w:val="FootnoteAnchor"/>
          <w:rtl w:val="true"/>
        </w:rPr>
        <w:footnoteReference w:id="500"/>
      </w:r>
      <w:r>
        <w:rPr>
          <w:rFonts w:ascii="IRNazanin" w:hAnsi="IRNazanin" w:eastAsia="IRNazanin"/>
          <w:color w:val="111111"/>
          <w:sz w:val="28"/>
          <w:sz w:val="28"/>
          <w:szCs w:val="28"/>
          <w:rtl w:val="true"/>
          <w:lang w:bidi="fa-IR"/>
        </w:rPr>
        <w:t>والمصنّف رحمه الله</w:t>
      </w:r>
      <w:r>
        <w:rPr>
          <w:rStyle w:val="FootnoteAnchor"/>
          <w:rtl w:val="true"/>
        </w:rPr>
        <w:footnoteReference w:id="5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شرطٌ مطلقاً، فلو صَلّى ناسياً أو معتقداً سترها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يفصّل بين ما لو تذكّر في الأثناء، أو لم يتذكّر إلّابعد الفراغ، أو بعد حصول السّتر، فيعيد في الأوّل دون الثاني‌؟ وجوهٌ وأقوال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أقواها الأوّل، إذ ما دلّ على اعتبار السّتر، بما أنّه الإجماع والنصوص التي لا إطلاق لها، فلا شيء يُتمسّك بإطلاقه لإثبات الشرطيّة، حتّى في حال النسيان </w:t>
      </w:r>
    </w:p>
    <w:p>
      <w:pPr>
        <w:pStyle w:val="BookText"/>
        <w:rPr/>
      </w:pPr>
      <w:r>
        <w:rPr>
          <w:rFonts w:ascii="Amiri" w:hAnsi="Amiri" w:eastAsia="Amiri" w:cs="Amiri"/>
          <w:color w:val="111111"/>
          <w:sz w:val="28"/>
          <w:sz w:val="28"/>
          <w:szCs w:val="28"/>
          <w:rtl w:val="true"/>
          <w:lang w:bidi="ar-SA"/>
        </w:rPr>
        <w:t>والغفلة، فالمرجع إلى أصالة البراءة عن شرطيّة التستّر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الإطلاق لمعاقد الإجماعات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استكشفنا أنّهم تلقّوا اللّفظ المذكور من الإمام عليه السلام، كان للتمسّك به مجالٌ واسع، ولكن بما أنّه نحتمل أخذهم معنىً عبّروا عنه به، فلا وجه للمعاملة معه معاملة اللّفظ الصادر عن المعصوم،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الإطلاق لدليل اعتبار السّتر، لوجب رفع اليد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وفرجه خارجٌ لا يعلم به، هل عليه إعادةٌ وما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وقد تمّت صلاته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هما يختصّان بما لو لم يتذكّر إلّابعد الفراغ، أو بعد حصول السَّتر، فلو تذكّر في الأثناء قبل السَّتر، بطلت صلاته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سقوط شرطيّة التستّر بالنسبة إلى الأجزاء السابقة التي أخلّ بالستر فيها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ما بقي، فلا دليل على سقوطها، فيجبُ عليه تحصيل السّتر حتّى بالنسبة إلى حين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بالنسبة إلى خصوص ذلك الحين لعدم القدرة على السّتر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القدرة موجب للزوم الإستيناف، لا سقوط الشرطيّة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هو الحكم بالصحّة، فيما لو تذكّر بعد الفراغ من مجموع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44" w:name="pg11799_136103"/>
    </w:p>
    <w:p>
      <w:pPr>
        <w:pStyle w:val="Heading6"/>
        <w:numPr>
          <w:ilvl w:val="5"/>
          <w:numId w:val="1"/>
        </w:numPr>
        <w:rPr/>
      </w:pPr>
      <w:bookmarkStart w:id="245" w:name="__RefHeading___Toc10444496_73709187"/>
      <w:bookmarkStart w:id="246" w:name="_Toc95"/>
      <w:bookmarkEnd w:id="244"/>
      <w:bookmarkEnd w:id="245"/>
      <w:r>
        <w:rPr>
          <w:rtl w:val="true"/>
        </w:rPr>
        <w:t>لا يجب سَتر الحجم</w:t>
      </w:r>
      <w:bookmarkEnd w:id="24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سَتر لون البَشَرة، وأمّا الحجم فلا يعتبر حجبه وستره كما عن الفاضلين</w:t>
      </w:r>
      <w:r>
        <w:rPr>
          <w:rStyle w:val="FootnoteAnchor"/>
          <w:rtl w:val="true"/>
        </w:rPr>
        <w:footnoteReference w:id="504"/>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وغيرهم، لأنّ السّتر يحصل بذلك عرفاً، واعتبار استتار الحجم زائداً عليه مندفعٌ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بمقتضى النصّ والفتوى هو السّتر مطلقاً، لا السّتر في الجملة، وعند ظهور الحجم لا يقول العرف إنّه ستر عورته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تدلّ عليه الأدلّة، إنّما هو وجوب ستر العورة من حيث هي، لا من حيث أنّها ذا هيئةٍ خاصّة، ولا ريب في أنّ السّتر بهذا المعنى، يصدق على حصول السّتر المانع عن الاطّلاع على لون البشرة، ولذا ترى بأنّ من لَبِس قميصاً كثيفاً، ووقف في الشمس، وبدا للناظرين حجم عورته، لا يعدّ ذلك منافياً للستر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الشيء بنظر العرف، عبارةٌ عن ستره بعنوانه الخاص، بحيث لا يتميّز ذلك الشيء عمّا يُشابهه في الحجم، ولا يُعلم أنّ المرئيّ لحمٌ أو خَشَبٌ مثلاً، وأمّا ستر حجمه فلا يكون دخيلاً في 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دلَّ على وجوب السّتر، لو فرض كونه مطلقاً ومسوقاً لبيان هذا الحكم، لا يستفاد منه أزيد من لزوم استتار اللّون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عدم الإطلاق له، كما عرفت، والقدر المتيقّن لزوم ستر اللّون، فلزوم ستر الحجم يُدفع بالأصل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لتبادره من السَّتر 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ولمرفوعة أحمد بن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وصف</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بواوين كي يكون معناه حكاية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ضعف سندها، لم يثبت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7" w:name="pg11799_136105"/>
    </w:p>
    <w:p>
      <w:pPr>
        <w:pStyle w:val="Heading6"/>
        <w:numPr>
          <w:ilvl w:val="5"/>
          <w:numId w:val="1"/>
        </w:numPr>
        <w:rPr/>
      </w:pPr>
      <w:bookmarkStart w:id="248" w:name="__RefHeading___Toc10444498_73709187"/>
      <w:bookmarkStart w:id="249" w:name="_Toc96"/>
      <w:bookmarkEnd w:id="247"/>
      <w:bookmarkEnd w:id="248"/>
      <w:r>
        <w:rPr>
          <w:rtl w:val="true"/>
        </w:rPr>
        <w:t>ما به يتحقّق السّتر</w:t>
      </w:r>
      <w:bookmarkEnd w:id="24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يتحقّق به السّتر بين مصاديقه، بل يحصل بكلّ ما يمنع عن النظر، وهو المحكيّ عن الشيخ</w:t>
      </w:r>
      <w:r>
        <w:rPr>
          <w:rStyle w:val="FootnoteAnchor"/>
          <w:rtl w:val="true"/>
        </w:rPr>
        <w:footnoteReference w:id="508"/>
      </w:r>
      <w:r>
        <w:rPr>
          <w:rFonts w:ascii="Amiri" w:hAnsi="Amiri" w:eastAsia="Amiri" w:cs="Amiri"/>
          <w:color w:val="111111"/>
          <w:sz w:val="28"/>
          <w:sz w:val="28"/>
          <w:szCs w:val="28"/>
          <w:rtl w:val="true"/>
          <w:lang w:bidi="ar-SA"/>
        </w:rPr>
        <w:t>والفاضلين</w:t>
      </w:r>
      <w:r>
        <w:rPr>
          <w:rStyle w:val="FootnoteAnchor"/>
          <w:rtl w:val="true"/>
        </w:rPr>
        <w:footnoteReference w:id="509"/>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وغيرهم</w:t>
      </w:r>
      <w:r>
        <w:rPr>
          <w:rStyle w:val="FootnoteAnchor"/>
          <w:rtl w:val="true"/>
        </w:rPr>
        <w:footnoteReference w:id="511"/>
      </w:r>
      <w:r>
        <w:rPr>
          <w:rFonts w:ascii="Amiri" w:hAnsi="Amiri" w:eastAsia="Amiri" w:cs="Amiri"/>
          <w:color w:val="111111"/>
          <w:sz w:val="28"/>
          <w:sz w:val="28"/>
          <w:szCs w:val="28"/>
          <w:rtl w:val="true"/>
          <w:lang w:bidi="ar-SA"/>
        </w:rPr>
        <w:t>، لأنّ الثابت بالأدلّة اعتبار السَّتر في الصَّلاة، ولا ريب في تحقّق ذلك بكلّ ما يمنع عن النظر، وأمّا اعتبار كونه بشيءٍ خاص، أو بكيفيّة مخصوصة، فلم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فيه موردٌ لأصالة البراءة، لكونه شكّاً في الشرطيّة، الذي يكون المرجع فيه الأصل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أنّ المتبادر من الأمر بالسَّتر في الصَّلاة، إرادة الفرد الشائع المتعارف، وهو السّتر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بأنّ‌المتبادر منه إرادة ماهيّة السّتر من حيث هي، بلاخصوصيّة للساتر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عرفت من أنّه لا إطلاق لأدلّة السَّتر، كي يُدّعى انصرافه إلى الفرد المتعارف و تبادره منه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المقام من قبيل الشكّ في التعيين والتخيير، ويكون المرجع </w:t>
      </w:r>
    </w:p>
    <w:p>
      <w:pPr>
        <w:pStyle w:val="BookText"/>
        <w:rPr/>
      </w:pPr>
      <w:r>
        <w:rPr>
          <w:rFonts w:ascii="Amiri" w:hAnsi="Amiri" w:eastAsia="Amiri" w:cs="Amiri"/>
          <w:color w:val="111111"/>
          <w:sz w:val="28"/>
          <w:sz w:val="28"/>
          <w:szCs w:val="28"/>
          <w:rtl w:val="true"/>
          <w:lang w:bidi="ar-SA"/>
        </w:rPr>
        <w:t>فيه 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منه كما عرفت، مضافاً إلى أنّ المختار كون المرجع فيه أيضاً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جماعةٍ عدم جواز التستّر بالحشيش والطين، إلّاعند الضرورة، واستدلّ 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أنّ أدنى ما تُصلّي المرأة فيه، درعٌ ومَلْحَفة</w:t>
      </w:r>
      <w:r>
        <w:rPr>
          <w:rStyle w:val="FootnoteAnchor"/>
          <w:rtl w:val="true"/>
        </w:rPr>
        <w:footnoteReference w:id="514"/>
      </w:r>
      <w:r>
        <w:rPr>
          <w:rFonts w:ascii="Amiri" w:hAnsi="Amiri" w:eastAsia="Amiri" w:cs="Amiri"/>
          <w:color w:val="111111"/>
          <w:sz w:val="28"/>
          <w:sz w:val="28"/>
          <w:szCs w:val="28"/>
          <w:rtl w:val="true"/>
          <w:lang w:bidi="ar-SA"/>
        </w:rPr>
        <w:t>، فإنّها ظاهرة في اعتبار تستّرها بالثوب، مع التمكّن، فيتمّ في غيرها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عليّ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قُطع عليه أو غَرق متاعه، فبقى عرياناً، وحضرت الصَّلاة، كيف يُصلّي‌؟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به عورته أتمّ صلاته بركوع وسجود، وإنْ لم يُصِب شيئاً يستر به عورته أومأ وهو قائم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فقد الثّوب مذكورٌ في السؤال، والإمام عليه السلام لم يقيّد جواز التستّر بالحشيش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الدرع والملحفة، فلأنّ الظاهر كون العنوانين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المذكورين فيها مثالاً لمطلق السّاتر، ولذا لم يَفهم الأصحاب منها اشتراط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ظهر أنّ النصوص المشتملة على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لا تدلّ 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المحقّقين</w:t>
      </w:r>
      <w:r>
        <w:rPr>
          <w:rStyle w:val="FootnoteAnchor"/>
          <w:rtl w:val="true"/>
        </w:rPr>
        <w:footnoteReference w:id="517"/>
      </w:r>
      <w:r>
        <w:rPr>
          <w:rFonts w:ascii="Amiri" w:hAnsi="Amiri" w:eastAsia="Amiri" w:cs="Amiri"/>
          <w:color w:val="111111"/>
          <w:sz w:val="28"/>
          <w:sz w:val="28"/>
          <w:szCs w:val="28"/>
          <w:rtl w:val="true"/>
          <w:lang w:bidi="ar-SA"/>
        </w:rPr>
        <w:t>تفصيلٌ في المقام، وهو كفاية التستّر بالحشيش ونحوه، وعدم كفاية الطَلْي بالطين وأشباهه، لعدم الخروج بذلك عن اسم العاري، والمستفاد من النصوص اعتبار عدم كون المُصلّي عارياً في صحّة الصَّلاة، مضافاً إلى أنّ الطَلْي بالطين ونحوه لو كان من مصاديق السَّتر المعتبر في الصَّلاة، لزم تنزيل الأخبار الكثيرة الواردة في كيفيّة صلاة العاري على الفرد النادر، لتمكّنه غالباً من تحصيل ما يَطْلي على عورته من طينٍ ولو بمزج فضالة طهوره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اعتبار عدم كون المُصلّي عارياً، إلّاأنّ العاري هو من كانت عورته مكشوفة، فمقتضى الأخبار اعتبار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هذا العنوان على من أخفى عورته بالطين، محلّ نظر بل منع، ولذا ترى التزام الفقهاء، حتّى هو قدس سره، بالاكتفاء بذلك في السّتر الذي قصد به حفظ الفرج عن النظر، مع أنّه لا فرق في ماهيّة السّتر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الفرق يكون من ناحية أنّ وجوب السّتر عن الناظر المحترم مشروطٌ بعدم الأمن منه، ووجوبه في الصَّلاة مطلق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لزوم تنزيل الأخبار المستفيضة على الفرض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بالقُطن أو الكتّان أو ما أنبتته الأرض من أنواع الحشيش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بالخزّ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ذلك، إذ فرقٌ بين حمل المطلق الذي له أفرادٌ كثيرة على الفرد النادر، وبين كون الرواية متكفّلة لبيان حكم الفرد النادر، وما فيه المحذور هو الأوّل دون الثاني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الستر الصَّلاتي كالسَّتر الواجب في نفسه يحصل بكلّ ما يمنع عن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بالقطن أو الكتّان أو ما أنبتته الأرض من أنواع الحشيش أو بالخزّ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بالطين ونحوه</w:t>
      </w:r>
      <w:r>
        <w:rPr>
          <w:rFonts w:eastAsia="Amiri" w:cs="Amiri" w:ascii="Amiri" w:hAnsi="Amiri"/>
          <w:color w:val="111111"/>
          <w:sz w:val="28"/>
          <w:szCs w:val="28"/>
          <w:rtl w:val="true"/>
          <w:lang w:bidi="ar-SA"/>
        </w:rPr>
        <w:t>.</w:t>
      </w:r>
      <w:bookmarkStart w:id="250" w:name="pg11799_136109"/>
    </w:p>
    <w:p>
      <w:pPr>
        <w:pStyle w:val="Heading5"/>
        <w:numPr>
          <w:ilvl w:val="4"/>
          <w:numId w:val="1"/>
        </w:numPr>
        <w:rPr/>
      </w:pPr>
      <w:bookmarkStart w:id="251" w:name="__RefHeading___Toc10444500_73709187"/>
      <w:bookmarkStart w:id="252" w:name="_Toc97"/>
      <w:bookmarkEnd w:id="250"/>
      <w:bookmarkEnd w:id="251"/>
      <w:r>
        <w:rPr>
          <w:rtl w:val="true"/>
        </w:rPr>
        <w:t>الصَّلاة في الخَزّ</w:t>
      </w:r>
      <w:bookmarkEnd w:id="252"/>
    </w:p>
    <w:p>
      <w:pPr>
        <w:pStyle w:val="Heading6"/>
        <w:numPr>
          <w:ilvl w:val="5"/>
          <w:numId w:val="1"/>
        </w:numPr>
        <w:rPr/>
      </w:pPr>
      <w:bookmarkStart w:id="253" w:name="__RefHeading___Toc10444502_73709187"/>
      <w:bookmarkStart w:id="254" w:name="_Toc9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لا خلاف ولا إشكال في جواز الصَّلاة في وَبَر الخَزّ الخالص، من وَبَر الأرانب والثعالب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جلده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ابن إدريس</w:t>
      </w:r>
      <w:r>
        <w:rPr>
          <w:rStyle w:val="FootnoteAnchor"/>
          <w:rtl w:val="true"/>
        </w:rPr>
        <w:footnoteReference w:id="519"/>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بالتكلّم في موارد</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0444504_73709187"/>
      <w:bookmarkStart w:id="256" w:name="_Toc99"/>
      <w:bookmarkEnd w:id="255"/>
      <w:r>
        <w:rPr>
          <w:rtl w:val="true"/>
        </w:rPr>
        <w:t>البحث عن موضوع الخزّ</w:t>
      </w:r>
      <w:bookmarkEnd w:id="256"/>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موضوع الخزّ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وقع الخلاف فيه، ومنشأه اختلاف اللّغويّين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فسّره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من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ثيابٌ تُنسج من صوف وأبريسم، لاحظ كلام ابن الأثير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وفسّره جمع آخرون</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حيوانٌ بحري يُخرج ويُصاد من الماء، وإذا فقد </w:t>
      </w:r>
    </w:p>
    <w:p>
      <w:pPr>
        <w:pStyle w:val="BookText"/>
        <w:rPr/>
      </w:pPr>
      <w:r>
        <w:rPr>
          <w:rFonts w:ascii="Amiri" w:hAnsi="Amiri" w:eastAsia="Amiri" w:cs="Amiri"/>
          <w:color w:val="111111"/>
          <w:sz w:val="28"/>
          <w:sz w:val="28"/>
          <w:szCs w:val="28"/>
          <w:rtl w:val="true"/>
          <w:lang w:bidi="ar-SA"/>
        </w:rPr>
        <w:t>الماء مات، وفي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بذلك، لاحظ خبر ابن أبي يعفورالآتي</w:t>
      </w:r>
      <w:r>
        <w:rPr>
          <w:rStyle w:val="FootnoteAnchor"/>
          <w:rtl w:val="true"/>
        </w:rPr>
        <w:footnoteReference w:id="525"/>
      </w:r>
      <w:r>
        <w:rPr>
          <w:rFonts w:ascii="Amiri" w:hAnsi="Amiri" w:eastAsia="Amiri" w:cs="Amiri"/>
          <w:color w:val="111111"/>
          <w:sz w:val="28"/>
          <w:sz w:val="28"/>
          <w:szCs w:val="28"/>
          <w:rtl w:val="true"/>
          <w:lang w:bidi="ar-SA"/>
        </w:rPr>
        <w:t>، وفي بعض الأخبار التعبير عنه بكلب الماء،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أكل لحم الخَزّ؟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إنْ كان له نابٌ فلا تقربه وإلّا فاقربه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عنه بسَمَك الماء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فُسّر بالذَّكَر من الأرانب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الخَزَز، دون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كلمات اللّغويين تراها متفقة على ذلك، وليس هو اسماً للثوب المعمول من وَبَرها ممزوجاً بالأبريسم، أو غير ممزوجٍ‌، لمخالفته للنصوص، لاحظ صحيح عبد الرحمن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رجلٌ وأنا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إنّها في بلادي، وإنّما هي كلابٌ تخرج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الصَّلاة في الخَزّ؟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ميّت، وهو علاجي وأنا أعرفه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علاجي، وليس أجدُ أعرف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أبو عبد اللّه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 دابّةٌ تخرج من الماء، أو تُصاد من الماء فتُخرج، فإذا فَقَدت الماء ماتت‌؟</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 إنّه دابّةٌ تمشي على أربع، وليس هو في حَدّ الحيتان، فتكون زكاته خروجه من الماء؟</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هكذا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أحلّه، وجعل زكاته موته، كما أحلَّ الحيتان وجَعَل زكاتها موتها الحديث</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ينبغي التوقّف في أنّه اسمٌ لحيوانٍ خاص من الحيوانات البحريّة، ولا منافاة بين ما يظهر منه أنّه كلب الماء وبين ما يظهر منه أنّه غنم البحر، أو وَبَر السّمك، إذ الظاهر أنّ مرجع الكلّ إلى شيءٍ واحد، غاية الأمر ثبوت الاختلاف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الخَزّ المتعارف في هذا الزمان، فهو غير ذلك الخَزّ، من جهة أنّ وَبَره قليلٌ لا يمكن أن يُنسج منه الثّوب، ولشهادة التجّار على ما حكاه العلّامة المجلسي رحمه الله بأنّها دابّة تعيش في البرّ ولا تموت بالخروج من الماء</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كونه صنفاً من الخَزّ، وأنّه كان له صنفان في ذلك الزمان أيضاً، لا يفيد في ترتّب حكم الخَزّ، لأنّه متوقّفٌ على ثبوت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7" w:name="pg11799_136112"/>
    </w:p>
    <w:p>
      <w:pPr>
        <w:pStyle w:val="BookText"/>
        <w:rPr/>
      </w:pPr>
      <w:bookmarkEnd w:id="257"/>
      <w:r>
        <w:rPr>
          <w:rFonts w:ascii="Amiri" w:hAnsi="Amiri" w:eastAsia="Amiri" w:cs="Amiri"/>
          <w:color w:val="111111"/>
          <w:sz w:val="28"/>
          <w:sz w:val="28"/>
          <w:szCs w:val="28"/>
          <w:rtl w:val="true"/>
          <w:lang w:bidi="ar-SA"/>
        </w:rPr>
        <w:t>ولا يصحّ التمسّك بأصالة عدم النقل، لإثبات كونه من مصاديق الخَزّ في ذلك الزمان، لأنّه إنّما يتمسّك بها فيما إذا أُحرز المعنى اللّغوي، ولم يُعلم المستعمل فيه، لا في مثل المقام ممّا يُشكّ في كون ما يُستعمل فيه في هذا الزمان من مصاديق المعنى الموضوع له، والمستعمل فيه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التجّار الذي استند إليه المحقّق الهمداني رحمه الله</w:t>
      </w:r>
      <w:r>
        <w:rPr>
          <w:rStyle w:val="FootnoteAnchor"/>
          <w:rtl w:val="true"/>
        </w:rPr>
        <w:footnoteReference w:id="531"/>
      </w:r>
      <w:r>
        <w:rPr>
          <w:rFonts w:ascii="Amiri" w:hAnsi="Amiri" w:eastAsia="Amiri" w:cs="Amiri"/>
          <w:color w:val="111111"/>
          <w:sz w:val="28"/>
          <w:sz w:val="28"/>
          <w:szCs w:val="28"/>
          <w:rtl w:val="true"/>
          <w:lang w:bidi="ar-SA"/>
        </w:rPr>
        <w:t>، برغم قيام السيرة على التعويل على قول الثقات من أرباب الصنائع وحجيّتها، إلّاأنّ المحكيّ عنهم أنّه غير الخَزّ الموجود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استعمال الخَزّ في ذلك الزمان، فيما يستعمل فيه في هذا الزمان بالاستصحاب القهقري، غير صحيح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بجواز الصَّلاة فيه، استناداً إلى النصوص في غير محلّه</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0444506_73709187"/>
      <w:bookmarkStart w:id="259" w:name="_Toc100"/>
      <w:bookmarkEnd w:id="258"/>
      <w:r>
        <w:rPr>
          <w:rtl w:val="true"/>
        </w:rPr>
        <w:t>حُكم الخَزّ الموجود في زمان الشارع</w:t>
      </w:r>
      <w:bookmarkEnd w:id="25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الخَزّ الموجود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كلام نصّاً وفتويً في جوازالصَّلاة في وَبَره، وقد استفاضت النصوص به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جلده، فالمشهور فيه أيضاً الجواز، واستدلّ له</w:t>
      </w:r>
      <w:r>
        <w:rPr>
          <w:rStyle w:val="FootnoteAnchor"/>
          <w:rtl w:val="true"/>
        </w:rPr>
        <w:footnoteReference w:id="533"/>
      </w:r>
      <w:r>
        <w:rPr>
          <w:rFonts w:ascii="Amiri" w:hAnsi="Amiri" w:eastAsia="Amiri" w:cs="Amiri"/>
          <w:color w:val="111111"/>
          <w:sz w:val="28"/>
          <w:sz w:val="28"/>
          <w:szCs w:val="28"/>
          <w:rtl w:val="true"/>
          <w:lang w:bidi="ar-SA"/>
        </w:rPr>
        <w:t>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صحيح</w:t>
      </w:r>
      <w:r>
        <w:rPr>
          <w:rStyle w:val="FootnoteAnchor"/>
          <w:rtl w:val="true"/>
        </w:rPr>
        <w:footnoteReference w:id="534"/>
      </w:r>
      <w:r>
        <w:rPr>
          <w:rFonts w:ascii="Amiri" w:hAnsi="Amiri" w:eastAsia="Amiri" w:cs="Amiri"/>
          <w:color w:val="111111"/>
          <w:sz w:val="28"/>
          <w:sz w:val="28"/>
          <w:szCs w:val="28"/>
          <w:rtl w:val="true"/>
          <w:lang w:bidi="ar-SA"/>
        </w:rPr>
        <w:t>سعد بن سعيد، عن الإمام الرضا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الخَزّ؟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عبد الرحمن بن الحجّاج المتقدّم</w:t>
      </w:r>
      <w:r>
        <w:rPr>
          <w:rStyle w:val="FootnoteAnchor"/>
          <w:rtl w:val="true"/>
        </w:rPr>
        <w:footnoteReference w:id="535"/>
      </w:r>
      <w:r>
        <w:rPr>
          <w:rFonts w:ascii="Amiri" w:hAnsi="Amiri" w:eastAsia="Amiri" w:cs="Amiri"/>
          <w:color w:val="111111"/>
          <w:sz w:val="28"/>
          <w:sz w:val="28"/>
          <w:szCs w:val="28"/>
          <w:rtl w:val="true"/>
          <w:lang w:bidi="ar-SA"/>
        </w:rPr>
        <w:t>وغيرهما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إنّما تدلّ على جواز لبس الجلود، وليست في مقام بيان الصَّلاة فيها، كي يستدلّ بها لجوازها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السؤال احتمال المنع من جهة كون الخَزّ لباس المترفين والمتنعّمين، ورُوي عن النبيّ صلى الله عليه و آله النهي عن الركوب والجلوس عليه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ضعيفُ السند كخبر ابن أبي يعفور المتقدّم</w:t>
      </w:r>
      <w:r>
        <w:rPr>
          <w:rStyle w:val="FootnoteAnchor"/>
          <w:rtl w:val="true"/>
        </w:rPr>
        <w:footnoteReference w:id="538"/>
      </w:r>
      <w:r>
        <w:rPr>
          <w:rFonts w:ascii="Amiri" w:hAnsi="Amiri" w:eastAsia="Amiri" w:cs="Amiri"/>
          <w:color w:val="111111"/>
          <w:sz w:val="28"/>
          <w:sz w:val="28"/>
          <w:szCs w:val="28"/>
          <w:rtl w:val="true"/>
          <w:lang w:bidi="ar-SA"/>
        </w:rPr>
        <w:t>، الذي في سلسلة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المهمل، والديلمي الضعيف أو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Style w:val="FootnoteAnchor"/>
          <w:rtl w:val="true"/>
        </w:rPr>
        <w:footnoteReference w:id="539"/>
      </w:r>
      <w:r>
        <w:rPr>
          <w:rFonts w:ascii="Amiri" w:hAnsi="Amiri" w:eastAsia="Amiri" w:cs="Amiri"/>
          <w:color w:val="111111"/>
          <w:sz w:val="28"/>
          <w:sz w:val="28"/>
          <w:szCs w:val="28"/>
          <w:rtl w:val="true"/>
          <w:lang w:bidi="ar-SA"/>
        </w:rPr>
        <w:t xml:space="preserve">متضمّنٌ لحكاية فعل المعصوم عليه السلام، وهو من جهة عدم معلوميّته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ما يلبسونه من وَبَر الخَزّ دون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موثّق</w:t>
      </w:r>
      <w:r>
        <w:rPr>
          <w:rStyle w:val="FootnoteAnchor"/>
          <w:rtl w:val="true"/>
        </w:rPr>
        <w:footnoteReference w:id="540"/>
      </w:r>
      <w:r>
        <w:rPr>
          <w:rFonts w:ascii="Amiri" w:hAnsi="Amiri" w:eastAsia="Amiri" w:cs="Amiri"/>
          <w:color w:val="111111"/>
          <w:sz w:val="28"/>
          <w:sz w:val="28"/>
          <w:szCs w:val="28"/>
          <w:rtl w:val="true"/>
          <w:lang w:bidi="ar-SA"/>
        </w:rPr>
        <w:t>معمّر بن خلّاد،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الخَزّ؟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عليه، ومقتضى إطلاقه جواز الصَّلاة في جلده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المنع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ما لا يؤكل لحمه ولا يُشرب لَبنه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60" w:name="pg11799_136114"/>
    </w:p>
    <w:p>
      <w:pPr>
        <w:pStyle w:val="BookText"/>
        <w:rPr/>
      </w:pPr>
      <w:bookmarkEnd w:id="260"/>
      <w:r>
        <w:rPr>
          <w:rFonts w:ascii="Amiri" w:hAnsi="Amiri" w:eastAsia="Amiri" w:cs="Amiri"/>
          <w:color w:val="111111"/>
          <w:sz w:val="28"/>
          <w:sz w:val="28"/>
          <w:szCs w:val="28"/>
          <w:rtl w:val="true"/>
          <w:lang w:bidi="ar-SA"/>
        </w:rPr>
        <w:t>فهذه جملة كافية من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يُصلّي في الخَزّ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ولمكاتبة الحميري إلى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صاحب العَسكر عليه السلام أنّه سُئل عن الصَّلاة في الخَزّ الذي تعيش بوبر الأرانب‌؟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فأيّ الأمرين نعمل به‌؟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من هذه الأوبار والجلود، فأمّاالأوبار وحدهافحلال</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يُصلّى في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الراوي استنبطه من قوله صلى الله عليه و آله، كما هو واضح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المغشوش، ومحلّ الكلام الخَزّ الخالص، فلا تصل النوبة إلى لحاظ المعارضة</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0444508_73709187"/>
      <w:bookmarkStart w:id="262" w:name="_Toc101"/>
      <w:bookmarkEnd w:id="261"/>
      <w:r>
        <w:rPr>
          <w:rtl w:val="true"/>
        </w:rPr>
        <w:t>حُكم الخَزّ الموجود في عصرنا</w:t>
      </w:r>
      <w:bookmarkEnd w:id="262"/>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الخَزّ الموجود في هذا الزمان، فإنْ ثبت أنّه غير مأكول اللّحم، لا يجوز الصَّلاة في شيء من أجزائه للعمومات، وطريق إثبات أنّه من ما لا يؤكل لحمه، ليس هو النصوص الخاصّة، لأنّ موضوعها الخَزّ، وقد عرفت التغاير بين الخَزّ المتعارف في هذا الزمان، والخَزّ المتعارف في ذلك الزمان، بل إنْ كان من السِّباع وكان له نابٌ‌، حَرُم أكله لما دلَّ على حُرمة السِّباع وما له نابٌ‌، وإلّا فمقتضى أصالة الحِلّ جواز أكله، ويترتّب عليها جواز الصَّلاة في أجزائه، لما ستعرف من أنّه إذا جرت أصالة الحِلّ فيما يُشكّ في كونه محرّم الأكل بالشّبهة الحكميّة، يثبت بها جواز الصَّلاة فيما يُتّخذ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فيما حكمنا فيه بالجواز، لابدّ من رعاية سائر القيود، منها أنّه لو أراد الصَّلاة في جلده، لابدَّ من تذكيته، لئلّا يُصلّي في جلد الميتة، وهو واضح</w:t>
      </w:r>
      <w:r>
        <w:rPr>
          <w:rFonts w:eastAsia="Amiri" w:cs="Amiri" w:ascii="Amiri" w:hAnsi="Amiri"/>
          <w:color w:val="111111"/>
          <w:sz w:val="28"/>
          <w:szCs w:val="28"/>
          <w:rtl w:val="true"/>
          <w:lang w:bidi="ar-SA"/>
        </w:rPr>
        <w:t xml:space="preserve">. </w:t>
      </w:r>
      <w:bookmarkStart w:id="263" w:name="pg11799_136115"/>
    </w:p>
    <w:p>
      <w:pPr>
        <w:pStyle w:val="Heading6"/>
        <w:numPr>
          <w:ilvl w:val="5"/>
          <w:numId w:val="1"/>
        </w:numPr>
        <w:rPr/>
      </w:pPr>
      <w:bookmarkStart w:id="264" w:name="__RefHeading___Toc10444510_73709187"/>
      <w:bookmarkStart w:id="265" w:name="_Toc102"/>
      <w:bookmarkEnd w:id="263"/>
      <w:bookmarkEnd w:id="264"/>
      <w:r>
        <w:rPr>
          <w:rtl w:val="true"/>
        </w:rPr>
        <w:t>حكم الصَّلاة في وَبَر الخَزّ المغشوش</w:t>
      </w:r>
      <w:bookmarkEnd w:id="265"/>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الصَّلاة في وَبَر الخَزّ المغشوش بوَبَر الأرانب والثعالب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كخبر داود الصَّرمي، عن بِشر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الخَزّيُغش بوَبَرالأرانب‌؟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كمرفوع أحمد بن محمّد،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الخَزّ الخالص أنّه لا بأس به، فأمّا الذي يختلط فيه وَبَر الأرانب، أو غير ذلك ممّا يشبه هذا، 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يقتضي البناء على الجواز على كراهة، ولكن لإعراض الأصحاب عن نصوص الجواز، لابدَّ من البناء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بالخالص هو ما لم يختلطه وَبَر الأرانب، ولو كان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صدق الخالص عرفاً، غير المنافي مع خلط المقدار اليسير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التسامح العرفي قد يكون في مفهوم اللّفظ، وفي مثل ذلك حجيّته تكون ثابتة، فإنّ الخطابات الشرعيّة واردة على طبق المتفاهم عند العرف، وقد يكون في المصداق، كما في أسامي الأوزان،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للوزن المعيّن، والمفهوم منه عند العرف ذلك القدر المخصوص، إلّاأنّهم يتسامحون فيما كان أقلّ منه أو أزيد بيسيرٍ، فيطلقون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هذا المقدار من التفاوت عندهم كالعدم، وفي هذا المورد لايكون تسامحهم معتبراً، ولا يعتنى به، والمقام من قبيل الثاني، فإنّ للخالص مفهوماً مبيّناً معلوماً</w:t>
      </w:r>
      <w:r>
        <w:rPr>
          <w:rFonts w:eastAsia="Amiri" w:cs="Amiri" w:ascii="Amiri" w:hAnsi="Amiri"/>
          <w:color w:val="111111"/>
          <w:sz w:val="28"/>
          <w:szCs w:val="28"/>
          <w:rtl w:val="true"/>
          <w:lang w:bidi="ar-SA"/>
        </w:rPr>
        <w:t>.</w:t>
      </w:r>
      <w:bookmarkStart w:id="266" w:name="pg11799_136116"/>
    </w:p>
    <w:p>
      <w:pPr>
        <w:pStyle w:val="BookText"/>
        <w:rPr/>
      </w:pPr>
      <w:bookmarkEnd w:id="266"/>
      <w:r>
        <w:rPr>
          <w:rFonts w:ascii="Amiri" w:hAnsi="Amiri" w:eastAsia="Amiri" w:cs="Amiri"/>
          <w:color w:val="111111"/>
          <w:sz w:val="28"/>
          <w:sz w:val="28"/>
          <w:szCs w:val="28"/>
          <w:rtl w:val="true"/>
          <w:lang w:bidi="ar-SA"/>
        </w:rPr>
        <w:t>أو بالصُّوف والشّعر، والوَبَر والجلد ممّا يؤكل لحمه مع التذكية،</w:t>
      </w:r>
    </w:p>
    <w:p>
      <w:pPr>
        <w:pStyle w:val="Heading5"/>
        <w:numPr>
          <w:ilvl w:val="4"/>
          <w:numId w:val="1"/>
        </w:numPr>
        <w:rPr/>
      </w:pPr>
      <w:bookmarkStart w:id="267" w:name="__RefHeading___Toc10444512_73709187"/>
      <w:bookmarkStart w:id="268" w:name="_Toc103"/>
      <w:bookmarkEnd w:id="267"/>
      <w:r>
        <w:rPr>
          <w:rtl w:val="true"/>
        </w:rPr>
        <w:t>الصَّلاة في الصّوف والشعر</w:t>
      </w:r>
      <w:bookmarkEnd w:id="268"/>
    </w:p>
    <w:p>
      <w:pPr>
        <w:pStyle w:val="BookText"/>
        <w:rPr/>
      </w:pPr>
      <w:r>
        <w:rPr>
          <w:rFonts w:ascii="Amiri" w:hAnsi="Amiri" w:eastAsia="Amiri" w:cs="Amiri"/>
          <w:color w:val="111111"/>
          <w:sz w:val="28"/>
          <w:sz w:val="28"/>
          <w:szCs w:val="28"/>
          <w:rtl w:val="true"/>
          <w:lang w:bidi="ar-SA"/>
        </w:rPr>
        <w:t xml:space="preserve">ثم إنّ السّتر كما يجوز بما تقدّم، كذلك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بالصُّوف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والريش، ممّا يؤكل لحمه مطلقاً، من غير فرقٍ بين أن يُجزّ من حَيّ أو مُذكّى أو ميّت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 بل المحكيّ منه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لزرارة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واللّباء والبيضة والشعر والصّوف والقرن والنّاب، وكلّ شيءٍ ينفصل من الشاة والدابّة، فهو ذكي، وإنْ أخذته منه بعد أن يموت فاغسله وصَلِّ فيه</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أجزاء الحيوان الذي يؤكل لحمه إنْ كانت ممّا لا تحلّه الحياة، ممّا لا ريب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يجوز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 والجلد ممّا يؤكل لحمه مع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من البديهيّات</w:t>
      </w:r>
      <w:r>
        <w:rPr>
          <w:rFonts w:eastAsia="Amiri" w:cs="Amiri" w:ascii="Amiri" w:hAnsi="Amiri"/>
          <w:color w:val="111111"/>
          <w:sz w:val="28"/>
          <w:szCs w:val="28"/>
          <w:rtl w:val="true"/>
          <w:lang w:bidi="ar-SA"/>
        </w:rPr>
        <w:t>.</w:t>
      </w:r>
      <w:bookmarkStart w:id="269" w:name="pg11799_136117"/>
    </w:p>
    <w:p>
      <w:pPr>
        <w:pStyle w:val="BookText"/>
        <w:rPr/>
      </w:pPr>
      <w:bookmarkEnd w:id="269"/>
      <w:r>
        <w:rPr>
          <w:rFonts w:ascii="Amiri" w:hAnsi="Amiri" w:eastAsia="Amiri" w:cs="Amiri"/>
          <w:color w:val="111111"/>
          <w:sz w:val="28"/>
          <w:sz w:val="28"/>
          <w:szCs w:val="28"/>
          <w:rtl w:val="true"/>
          <w:lang w:bidi="ar-SA"/>
        </w:rPr>
        <w:t>ولا يجوز الصَّلاة في جلد الميتة وإنْ دبغ</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0444514_73709187"/>
      <w:bookmarkStart w:id="271" w:name="_Toc104"/>
      <w:bookmarkEnd w:id="270"/>
      <w:r>
        <w:rPr>
          <w:rtl w:val="true"/>
        </w:rPr>
        <w:t>الصَّلاة في جلد الميتة</w:t>
      </w:r>
      <w:bookmarkEnd w:id="271"/>
    </w:p>
    <w:p>
      <w:pPr>
        <w:pStyle w:val="Heading6"/>
        <w:numPr>
          <w:ilvl w:val="5"/>
          <w:numId w:val="1"/>
        </w:numPr>
        <w:rPr/>
      </w:pPr>
      <w:bookmarkStart w:id="272" w:name="__RefHeading___Toc10444516_73709187"/>
      <w:bookmarkStart w:id="273" w:name="_Toc105"/>
      <w:bookmarkEnd w:id="272"/>
      <w:r>
        <w:rPr>
          <w:rtl w:val="true"/>
        </w:rPr>
        <w:t>اشارة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الصَّلاة في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 ممّا تحلّه الحياة، لو جُعل لباساً أو جزءاً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أو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جلد الميتة أيُلبس في الصَّلاة إذا دبغ‌؟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دبغ سبعين مرّة</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444518_73709187"/>
      <w:bookmarkStart w:id="275" w:name="_Toc106"/>
      <w:bookmarkEnd w:id="274"/>
      <w:r>
        <w:rPr>
          <w:rtl w:val="true"/>
        </w:rPr>
        <w:t>تنبيهات</w:t>
      </w:r>
      <w:r>
        <w:rPr>
          <w:rtl w:val="true"/>
        </w:rPr>
        <w:t>:</w:t>
      </w:r>
      <w:bookmarkEnd w:id="275"/>
    </w:p>
    <w:p>
      <w:pPr>
        <w:pStyle w:val="Heading6"/>
        <w:numPr>
          <w:ilvl w:val="5"/>
          <w:numId w:val="1"/>
        </w:numPr>
        <w:rPr/>
      </w:pPr>
      <w:bookmarkStart w:id="276" w:name="__RefHeading___Toc10444520_73709187"/>
      <w:bookmarkStart w:id="277" w:name="_Toc107"/>
      <w:bookmarkEnd w:id="276"/>
      <w:r>
        <w:rPr>
          <w:rtl w:val="true"/>
        </w:rPr>
        <w:t>عدم الفرق بين كون جلد الميتة ممّا تتمّ الصَّلاة فيه، وما لا تتمّ‌</w:t>
      </w:r>
      <w:bookmarkEnd w:id="27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المتن وغيره، عدم الفرق بين كون جلد الميتة ممّا تتمّ الصَّلاة فيه، وما لا تتمّ‌، ويشهد به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شيءٍ منه ولا في شِسْع</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حمل هذه النصوص الواردة في ما لا تتمّ الصَّلاة فيه على الكراهة، جمعاً بينها وبين موثّق إسماعيل بن الفضل،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لباس الجلود والخفاف والنّعال، والصَّلاة فيها، إذا لم </w:t>
      </w:r>
      <w:bookmarkStart w:id="278" w:name="pg11799_136118"/>
    </w:p>
    <w:p>
      <w:pPr>
        <w:pStyle w:val="BookText"/>
        <w:rPr/>
      </w:pPr>
      <w:bookmarkEnd w:id="278"/>
      <w:r>
        <w:rPr>
          <w:rFonts w:ascii="Amiri" w:hAnsi="Amiri" w:eastAsia="Amiri" w:cs="Amiri"/>
          <w:color w:val="111111"/>
          <w:sz w:val="28"/>
          <w:sz w:val="28"/>
          <w:szCs w:val="28"/>
          <w:rtl w:val="true"/>
          <w:lang w:bidi="ar-SA"/>
        </w:rPr>
        <w:t>يكن من أرض المصلّين‌؟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النعل والخفاف فلا بأس بهما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الحلبي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الأبريسم والقلنسوة والخُفّ والزُّنار، يكون في السّراويل ويُصلّي فيه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الاعتماد على الخبرين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دلالته على الجواز في المقام إنّما تكون بالعموم، فترفع اليد عنه بصريح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لإعراض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يُوجد قائلٌ بالفرق بين ما تتمّ الصَّلاة فيه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عن الحجيّة، فلا يصلح لصرف ظهور ما دلَّ على المنع</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0444522_73709187"/>
      <w:bookmarkStart w:id="280" w:name="_Toc108"/>
      <w:bookmarkEnd w:id="279"/>
      <w:r>
        <w:rPr>
          <w:rtl w:val="true"/>
        </w:rPr>
        <w:t>عدم اختصاص المنع بميتة ذي النفس</w:t>
      </w:r>
      <w:bookmarkEnd w:id="280"/>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كلمات الأصحاب في فتاويهم، ومعاقد إجماعاتهم المحكيّة، وتصريح بعضهم، كالبهائي</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المنع بميتة ذي النفس، ويدلّ عليه إطلاق النصوص</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هذا الإطلاق، لأنّها في مقام بيان حكمٍ آخر، إذ أكثرها واردة في مقام الحكم الظاهري في الشبهة الموضوعيّة، وأمّا صحيح ابن مسلم فورد للسؤال عن حال الدبغ، وهكذا صحيح ابن أبي عمير واردٌ في مقام تعميم الحكم </w:t>
      </w:r>
      <w:bookmarkStart w:id="281" w:name="pg11799_136119"/>
    </w:p>
    <w:p>
      <w:pPr>
        <w:pStyle w:val="BookText"/>
        <w:rPr/>
      </w:pPr>
      <w:bookmarkEnd w:id="281"/>
      <w:r>
        <w:rPr>
          <w:rFonts w:ascii="Amiri" w:hAnsi="Amiri" w:eastAsia="Amiri" w:cs="Amiri"/>
          <w:color w:val="111111"/>
          <w:sz w:val="28"/>
          <w:sz w:val="28"/>
          <w:szCs w:val="28"/>
          <w:rtl w:val="true"/>
          <w:lang w:bidi="ar-SA"/>
        </w:rPr>
        <w:t>لأجزاء الميتة، ولم نعثر على رواية اُخرى ممّا هي مظنة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الإطلاق في صحيح ابن أبي عمير المتقدّم واضحٌ‌، ووروده في مقام تعميم الحكم لأجزاء الميتة، لا ينافي ذلك، لو لم يؤيّده كما لا يخفى، وعدم تعارف استعمال جلد غير ذي النفس، لا يوجب الانصراف، لما ذكرناه في محلّه من أنّ ندرة وجود فردٍ لا توجبه، كما أنّ معهوديّة نجاسة الميتة، ووضوح المناسبة بين النجاسة والمنع من الصَّلاة لا توجبان ظهور النصوص في اعتبار التذكية من حيث النجاسة، بل هي ظاهرة في اعتبارها من حيث هي، ولذا ترى أنّ القائلين بطهارة الجلد بالدبغ التزموا باعتبارها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السيرة القطعيّة في القُمّل والبرغوث والبَقّ‌، فعلى فرض التعدّي عن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أنّ استصحاب غير المذكّى أو جزءٌ منه لا يوجب البطلان، إنْ لم يكن ملبوساً، وستعرف أنّا نلتزم به حتّى في ذي النفس</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0444524_73709187"/>
      <w:bookmarkStart w:id="283" w:name="_Toc109"/>
      <w:bookmarkEnd w:id="282"/>
      <w:r>
        <w:rPr>
          <w:rtl w:val="true"/>
        </w:rPr>
        <w:t>الظاهر عدم شمول المنع للمحمول</w:t>
      </w:r>
      <w:bookmarkEnd w:id="2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شمول المنع للمحمول، فإنّ نصوص المنع من جهة اشتمالها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المنع عن خصوص الملبوس، إلّاأنّ تعميم الحكم إلى ما لا تتمّ فيه الصَّلاة كالشِسْع يدلّ على إرادة الأعمّ من ذلك، ولكن ذلك لا يوجبُ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مع بُعد إمكان حمله على الظرفيّة، من جهة اشتمال الشيء على جزءٍ من أجزاء المُصلّي، فالنصوص لا تشمل المحمول، مثل ما لو كان </w:t>
      </w:r>
      <w:bookmarkStart w:id="284" w:name="pg11799_136120"/>
    </w:p>
    <w:p>
      <w:pPr>
        <w:pStyle w:val="BookText"/>
        <w:rPr/>
      </w:pPr>
      <w:bookmarkEnd w:id="284"/>
      <w:r>
        <w:rPr>
          <w:rFonts w:ascii="Amiri" w:hAnsi="Amiri" w:eastAsia="Amiri" w:cs="Amiri"/>
          <w:color w:val="111111"/>
          <w:sz w:val="28"/>
          <w:sz w:val="28"/>
          <w:szCs w:val="28"/>
          <w:rtl w:val="true"/>
          <w:lang w:bidi="ar-SA"/>
        </w:rPr>
        <w:t>جزءٌ من الميتة في جيبه أو نحو ذلك ممّا لا يكون مشتملاً على بعض المُصلّى، فيرجع فيه إلى الأصل، وهو يقتضي الجواز</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0444526_73709187"/>
      <w:bookmarkStart w:id="286" w:name="_Toc110"/>
      <w:bookmarkEnd w:id="285"/>
      <w:r>
        <w:rPr>
          <w:rtl w:val="true"/>
        </w:rPr>
        <w:t>الشكّ في التذكية</w:t>
      </w:r>
      <w:bookmarkEnd w:id="286"/>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لباس أنّه من مُذكّى أو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الأصل عدم التذكية لكونها أمراً وجوديّاً؟</w:t>
      </w:r>
    </w:p>
    <w:p>
      <w:pPr>
        <w:pStyle w:val="BookText"/>
        <w:rPr/>
      </w:pPr>
      <w:r>
        <w:rPr>
          <w:rFonts w:ascii="Amiri" w:hAnsi="Amiri" w:eastAsia="Amiri" w:cs="Amiri"/>
          <w:color w:val="111111"/>
          <w:sz w:val="28"/>
          <w:sz w:val="28"/>
          <w:szCs w:val="28"/>
          <w:rtl w:val="true"/>
          <w:lang w:bidi="ar-SA"/>
        </w:rPr>
        <w:t>أو أنّ الأصل عدم كونه ميتة، لأنّ الموت أمرٌ وجودي‌؟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التذكية لأجل احتمال عروض المانع، بعد العلم بقابليّته لها، ولا شُبهة في هذه الصورة في أنّ المرجع أصالة عدم عروض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تردّد الحيوان المذبوح، بين ما يقبل التذكية كالشاة، وما لا يقبل كالكلب، أو من جهة تردّد الجلد بين أنْ يكون من الحيوان المذبوح في الخارج، المعلوم كونه كلباً، أو من الآخر الواقع عليه الذّبح، الجامع للشرائط، المعلوم كونه غَنَماً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بناءً على وجود دليلٍ عام يدلّ على قابليّة كلّ حيوان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استصحاب العدم الأزلي حتّى في العناوين الذاتيّة، يحكم </w:t>
      </w:r>
    </w:p>
    <w:p>
      <w:pPr>
        <w:pStyle w:val="BookText"/>
        <w:rPr/>
      </w:pPr>
      <w:r>
        <w:rPr>
          <w:rFonts w:ascii="Amiri" w:hAnsi="Amiri" w:eastAsia="Amiri" w:cs="Amiri"/>
          <w:color w:val="111111"/>
          <w:sz w:val="28"/>
          <w:sz w:val="28"/>
          <w:szCs w:val="28"/>
          <w:rtl w:val="true"/>
          <w:lang w:bidi="ar-SA"/>
        </w:rPr>
        <w:t>بحلية الصَّلاة، لأنّه يجري حينئذٍ استصحاب عدم تحقّق العنوان الذي أُخذ في المخصّص فيتمسّك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ذلك في القسم الثاني، لعدم كون الحيوان في الخارج مشكوك في كلبيّته، كي يجري الأصل فيه، ويُحكم بعدم كونه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يكون هذا جلده بهذا العنوان، يُشكّ في أنّه كلب أو غنم، ومقتضى الأصل عدم كونه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تسليم كلا الأمرين أو أحدهما، فحيثُ أنّ التذكية أمرٌ وجودي مسبّبٌ عن الذبح الشرعي، فيستصحب عدمها، ويُحكم بعدم 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من جهة احتمال عدم وقوع التذكية عليه، أو قطعنا بكون الحيوان المعيّن الواقع عليه الذبح مُذكّى، والآخر المعيّن ميتة، وشُكّ في أنّ الجلد من أيّهما أُخذ، والمرجع فيهما أصالة عدم التذكية، ويترتّب عليها عدم حليّة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حكم الشكّ في الحليّة، إذا كانت الشبهة 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إن كان الشكّ في الحليّة، للجهل بقابليّة الحيوان للتذكية، حُكم بها لعموم ما دلَّ على قابليّة كلّ حيوان لها إلّاما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من جهة احتمال مانعيّة الموجود عن القبول للتذكية، كما لو شكّ في أنّ شُرب لبن الخنزيرة مرّة واحدة مانعٌ عن قبوله للتذكية، فالمرجع إلى استصحاب بقاء القابليّة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من جهة الشكّ في أنّ الذبح بغير الحديد مثلاً يوجبُ التذكية أم </w:t>
      </w:r>
    </w:p>
    <w:p>
      <w:pPr>
        <w:pStyle w:val="BookText"/>
        <w:rPr/>
      </w:pPr>
      <w:r>
        <w:rPr>
          <w:rFonts w:ascii="Amiri" w:hAnsi="Amiri" w:eastAsia="Amiri" w:cs="Amiri"/>
          <w:color w:val="111111"/>
          <w:sz w:val="28"/>
          <w:sz w:val="28"/>
          <w:szCs w:val="28"/>
          <w:rtl w:val="true"/>
          <w:lang w:bidi="ar-SA"/>
        </w:rPr>
        <w:t>لا، فالمرجع استصحاب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فيها إنّها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فبعضها يظهر منه المنع، كموثّق ابن بكير، عن أبي عبد اللّه عليه السلام الوارد في عدم جواز الصَّلاة في غير المأكول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 ذكّي وقد ذكّاه الذبح</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يظهر منه الجواز، كموثّق سماعة عن تقليد السّيف في الصَّلاة فيه الفِراء والكيمخت‌؟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يُعلم أنّه ميتة</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يدلّ على الجواز فيما إذا اشترى من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وفيما صُنع في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المسلمين، فلا بأس</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الخِفاف التي تُباع في السوق‌؟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أنّه ميتة بعينه</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العرفي حمل الأُولى بقرينة الطائفة الثالثة على ما إذا لم تكن أمارة على التذكية، والثانية على ما إذا كانت أمارة عليها من سوق المسلمين ونحوه أو أصلٍ يحرزها</w:t>
      </w:r>
      <w:r>
        <w:rPr>
          <w:rFonts w:eastAsia="Amiri" w:cs="Amiri" w:ascii="Amiri" w:hAnsi="Amiri"/>
          <w:color w:val="111111"/>
          <w:sz w:val="28"/>
          <w:szCs w:val="28"/>
          <w:rtl w:val="true"/>
          <w:lang w:bidi="ar-SA"/>
        </w:rPr>
        <w:t>.</w:t>
      </w:r>
      <w:bookmarkStart w:id="287" w:name="pg11799_136124"/>
    </w:p>
    <w:p>
      <w:pPr>
        <w:pStyle w:val="BookText"/>
        <w:rPr/>
      </w:pPr>
      <w:bookmarkEnd w:id="287"/>
      <w:r>
        <w:rPr>
          <w:rFonts w:ascii="Amiri" w:hAnsi="Amiri" w:eastAsia="Amiri" w:cs="Amiri"/>
          <w:color w:val="111111"/>
          <w:sz w:val="28"/>
          <w:sz w:val="28"/>
          <w:szCs w:val="28"/>
          <w:rtl w:val="true"/>
          <w:lang w:bidi="ar-SA"/>
        </w:rPr>
        <w:t>ولا جلد ما لا يؤكل لحمه وإن ذكّى ودبغ ولا في صوفه وشعره ووَبَره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0444528_73709187"/>
      <w:bookmarkStart w:id="289" w:name="_Toc111"/>
      <w:bookmarkEnd w:id="288"/>
      <w:r>
        <w:rPr>
          <w:rtl w:val="true"/>
        </w:rPr>
        <w:t>الصَّلاة فيما لا يؤكل لحمه</w:t>
      </w:r>
      <w:bookmarkEnd w:id="289"/>
    </w:p>
    <w:p>
      <w:pPr>
        <w:pStyle w:val="Heading6"/>
        <w:numPr>
          <w:ilvl w:val="5"/>
          <w:numId w:val="1"/>
        </w:numPr>
        <w:rPr/>
      </w:pPr>
      <w:bookmarkStart w:id="290" w:name="__RefHeading___Toc10444530_73709187"/>
      <w:bookmarkStart w:id="291" w:name="_Toc112"/>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ما لا يؤكل لحمه وإنْ ذُكّى ودُبِغ، ولا في صوفه وشعره ووَبَره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وريشه، ولا في شيءٍ من فضلاته، إجماعاً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زرارة أبا عبد اللّه عليه السلام عن الصَّلاة في الثعالب والفَنَك والسّنجاب وغيره من الوَبَر؟ فأخرج كتاباً زعم أنّه إملاء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وروثه وألبانه، وكلّ شيءٍ منه فاسدة، لا تُقبل تلك الصَّلاة حتّى يصلّى في غيره ممّا أحلَّ اللّه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فاحفظ ذلك يا زرارة، فإنْ كان ممّا يؤكل لحمه، فالصَّلاة في وَبَره وبوله وشعره وروثه وألبانه، وكلَّ شيءٍ منه جائزٌ إذا علمت أنّه ذَكّي قد ذكّاه الذبح، وإنْ كان غَير ذلك ممّا قد نهيت عن أكله وحَرُم عليك أكله، فالصّلاة في كلّ شيءٍ منه فاسدة، ذكّاه الذبح أو لم يذكّه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10444532_73709187"/>
      <w:bookmarkStart w:id="293" w:name="_Toc113"/>
      <w:bookmarkEnd w:id="292"/>
      <w:r>
        <w:rPr>
          <w:rtl w:val="true"/>
        </w:rPr>
        <w:t>أقول</w:t>
      </w:r>
      <w:r>
        <w:rPr>
          <w:rtl w:val="true"/>
        </w:rPr>
        <w:t xml:space="preserve">: </w:t>
      </w:r>
      <w:r>
        <w:rPr>
          <w:rtl w:val="true"/>
        </w:rPr>
        <w:t>وتنقيح القول فيه يتحقّق بالتكلّم في اُمور</w:t>
      </w:r>
      <w:r>
        <w:rPr>
          <w:rtl w:val="true"/>
        </w:rPr>
        <w:t>:</w:t>
      </w:r>
      <w:bookmarkEnd w:id="2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4" w:name="__RefHeading___Toc10444534_73709187"/>
      <w:bookmarkStart w:id="295" w:name="_Toc114"/>
      <w:bookmarkEnd w:id="294"/>
      <w:r>
        <w:rPr>
          <w:rtl w:val="true"/>
        </w:rPr>
        <w:t>اشارة</w:t>
      </w:r>
      <w:bookmarkStart w:id="296" w:name="pg11799_136125"/>
      <w:bookmarkEnd w:id="295"/>
    </w:p>
    <w:p>
      <w:pPr>
        <w:pStyle w:val="Heading6"/>
        <w:numPr>
          <w:ilvl w:val="5"/>
          <w:numId w:val="1"/>
        </w:numPr>
        <w:rPr/>
      </w:pPr>
      <w:bookmarkStart w:id="297" w:name="__RefHeading___Toc10444536_73709187"/>
      <w:bookmarkStart w:id="298" w:name="_Toc115"/>
      <w:bookmarkEnd w:id="296"/>
      <w:bookmarkEnd w:id="297"/>
      <w:r>
        <w:rPr>
          <w:rtl w:val="true"/>
        </w:rPr>
        <w:t>عدم اختصاص هذا الحكم بالسِّباع</w:t>
      </w:r>
      <w:bookmarkEnd w:id="29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اختصاص هذا الحكم بالسِّباع، واستدلّ له بما يكون مختصّاً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جلود السِّباع‌؟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w:t>
      </w:r>
      <w:r>
        <w:rPr>
          <w:rStyle w:val="FootnoteAnchor"/>
          <w:rtl w:val="true"/>
        </w:rPr>
        <w:footnoteReference w:id="56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قاسم الخيّاط، عن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الوَرَق والشَّجر فلا بأس بأن يُصلّى فيه، وما أكلَ الميتة فلا تُصلِّ فيه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آكل اللّحم هو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لباس الفراء والصَّلاة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إلّافيما كان منه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الذكيّ ما ذُكّي بالحديد؟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يؤكل لحمه من غير الغنم‌؟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تأكل اللّحم، وليس ممّا نهى عنه رسول اللّه صلى الله عليه و آله، إذ نهى عن كلّ ذي نابٍ ومِخْلَبٍ‌</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تعليل الجواز في السّنجاب بأنّه لا يأكل اللّحم، يدلّ على أنّ كلّ ما لا يأكل </w:t>
      </w:r>
    </w:p>
    <w:p>
      <w:pPr>
        <w:pStyle w:val="BookText"/>
        <w:rPr/>
      </w:pPr>
      <w:r>
        <w:rPr>
          <w:rFonts w:ascii="Amiri" w:hAnsi="Amiri" w:eastAsia="Amiri" w:cs="Amiri"/>
          <w:color w:val="111111"/>
          <w:sz w:val="28"/>
          <w:sz w:val="28"/>
          <w:szCs w:val="28"/>
          <w:rtl w:val="true"/>
          <w:lang w:bidi="ar-SA"/>
        </w:rPr>
        <w:t>اللّحم يجوز الصَّلاة فيه،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مقاتل بن مقاتل،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السّمور والسّنجاب والثعلب‌؟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ذلك كلّه ما خلا السّنجاب، فإنّه دابّةٌ لا تأكل اللّحم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يتنافى مع إطلاق ما دلَّ على مانعيّة غير المأكول، وإنْ لم يكن من السِّباع، فلا وجه لتقييده به، لأنّه فرع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 وبين موثّق ابن بكير عمومٌ من وجه، ويقدّم الموثّق لأنّ دلالته تكون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لأنّ في طريقه عبد اللّه بن إسحاق العلوي وهو مهملٌ‌، ومحمّد بن سليمان الديلمي وهو مجهولٌ 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يُروى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إهمال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السؤال عن المأكول حيث أجابه عليه السلام بعدم البأس بالسّنجاب، وعلّل حليّة أكل لحمه بأنّه ليس من السِّباع المتوهّم كونه منه، فيكون الخبر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أنّه بإطلاقه يدلّ على جواز الصَّلاة في غير السِّباع، فيقيّد بما يدلّ على عدم الجواز في المسوخ</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يظهر ما في الرابع، مضافاً إلى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الاختصاص بالسِّباع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9" w:name="pg11799_136127"/>
    </w:p>
    <w:p>
      <w:pPr>
        <w:pStyle w:val="Heading6"/>
        <w:numPr>
          <w:ilvl w:val="5"/>
          <w:numId w:val="1"/>
        </w:numPr>
        <w:rPr/>
      </w:pPr>
      <w:bookmarkStart w:id="300" w:name="__RefHeading___Toc10444538_73709187"/>
      <w:bookmarkStart w:id="301" w:name="_Toc116"/>
      <w:bookmarkEnd w:id="299"/>
      <w:bookmarkEnd w:id="300"/>
      <w:r>
        <w:rPr>
          <w:rtl w:val="true"/>
        </w:rPr>
        <w:t>عدم اختصاص الحكم بالملابس</w:t>
      </w:r>
      <w:bookmarkEnd w:id="30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بالمنع لا يختصّ بالملابس، بل يشمل المحمول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جماعةٍمنهم الشهيدان</w:t>
      </w:r>
      <w:r>
        <w:rPr>
          <w:rStyle w:val="FootnoteAnchor"/>
          <w:rtl w:val="true"/>
        </w:rPr>
        <w:footnoteReference w:id="567"/>
      </w:r>
      <w:r>
        <w:rPr>
          <w:rFonts w:ascii="Amiri" w:hAnsi="Amiri" w:eastAsia="Amiri" w:cs="Amiri"/>
          <w:color w:val="111111"/>
          <w:sz w:val="28"/>
          <w:sz w:val="28"/>
          <w:szCs w:val="28"/>
          <w:rtl w:val="true"/>
          <w:lang w:bidi="ar-SA"/>
        </w:rPr>
        <w:t xml:space="preserve">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المتقدّم</w:t>
      </w:r>
      <w:r>
        <w:rPr>
          <w:rStyle w:val="FootnoteAnchor"/>
          <w:rtl w:val="true"/>
        </w:rPr>
        <w:footnoteReference w:id="570"/>
      </w:r>
      <w:r>
        <w:rPr>
          <w:rFonts w:ascii="Amiri" w:hAnsi="Amiri" w:eastAsia="Amiri" w:cs="Amiri"/>
          <w:color w:val="111111"/>
          <w:sz w:val="28"/>
          <w:sz w:val="28"/>
          <w:szCs w:val="28"/>
          <w:rtl w:val="true"/>
          <w:lang w:bidi="ar-SA"/>
        </w:rPr>
        <w:t xml:space="preserve">، إذ بعد ما لا يمكن إرادة الظرفيّة الحقيقيّة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الفقرات المتضمّنة للروث والبول وكلّ شيءٍ منه، الذي يكون المراد به العظم واللّحم، وإنْ أمكن في غيرها، لابدّ من التأويل وارتكاب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بالالتزام بإرادة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وهو المصاحبة المجرّدة، وهو المنقول عن الوحيد البهبهاني</w:t>
      </w:r>
      <w:r>
        <w:rPr>
          <w:rStyle w:val="FootnoteAnchor"/>
          <w:rtl w:val="true"/>
        </w:rPr>
        <w:footnoteReference w:id="571"/>
      </w:r>
      <w:r>
        <w:rPr>
          <w:rFonts w:ascii="Amiri" w:hAnsi="Amiri" w:eastAsia="Amiri" w:cs="Amiri"/>
          <w:color w:val="111111"/>
          <w:sz w:val="28"/>
          <w:sz w:val="28"/>
          <w:szCs w:val="28"/>
          <w:rtl w:val="true"/>
          <w:lang w:bidi="ar-SA"/>
        </w:rPr>
        <w:t>، ولازمه عدم جواز الصَّلاة مع الشعرات المُلقاة على الثّوب أو البدن، والمحمول مع الواسطة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بالالتزام بالإضمار في هذه الفقرات، بإرادة الثّوب المتلطّخ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فيجوز في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بالالتزام بالاتّساع في الظرفيّة، وللظرفيّة الاتّساعيّة مراتب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الظرفيّة أعمّ من الأصليّة والتبعيّة، نظير تبعيّة توابع الدار لها في </w:t>
      </w:r>
    </w:p>
    <w:p>
      <w:pPr>
        <w:pStyle w:val="BookText"/>
        <w:rPr/>
      </w:pPr>
      <w:r>
        <w:rPr>
          <w:rFonts w:ascii="Amiri" w:hAnsi="Amiri" w:eastAsia="Amiri" w:cs="Amiri"/>
          <w:color w:val="111111"/>
          <w:sz w:val="28"/>
          <w:sz w:val="28"/>
          <w:szCs w:val="28"/>
          <w:rtl w:val="true"/>
          <w:lang w:bidi="ar-SA"/>
        </w:rPr>
        <w:t>البيع، فالشعرة المُلقاة على الثّوب ظرفٌ لوقوع الصَّلاة فيها، تبعاً لوقوعها في اللّباس، فتستند الظرفيّة إليها حقيقةً بتلك الإضافة الاتّساعيّة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الظرفيّة بمعنى تشمل مطلق الملابسة، وتسند الظرفيّة بأدنى ملابسة، ولو بأنْ كان معه، فتعمّ الشعرة المُلقاة على البدن، والمحمول منها إذا كان بلا واسطة، ولا تشمل المحمول مع الواسطة، كما إذا وضعت في محفظةٍ ووضعها في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الظرفيّة أعمّ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لضعف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الإضمار بعيدٌ لا يصار إليه إلّامع القرينة القطعيّة، مع أنّه في ذيل الموثّق بعد ذكر عدّة أشياء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العظم واللّحم، ولا يلائم ذلك مع تقدير الثّوب المتلطّخ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معنى عرفيّاً وإنْ كان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الأوّل، ويؤيّده مكاتبة الهمداني الدالّة على عدم جواز الصَّلاة في الثّوب الملقى عليه الوَبَر والشّعر من غير المأكول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محمّد بن عبد الجبّار،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عليها وَبَرُ ما لا يُؤكل لحمه، أو تكّة حريرٍ، أو تكةٍ من وَبَر الأرانب‌؟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الحرير المحض، وإنْ كان الوَبَر ذكياً حَلّت الصَّلاة فيه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 استدلّ به للجواز في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ما يقابل النجس، إذ يصبح الجواب حينئذٍ غير مربوطاً بالسؤال، مضافاً إلى جواز الصَّلاة في المحمول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يقابل الميتة، فإنّ الصَّلاة في أجزائها التي لا تحلّها الحياة، جائزة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به ما ذكره عليه السلام في خبر علي بن حمزة المتقدّم</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الذّكي ما ذكي بالحديد؟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هذا التعبير، كون الخبر مكاتبة، وصادراً في زمانٍ شاعت فيه التقيّة من أتباع أحمد بن حنبل، القائلين باعتبار التذكية في جواز الصَّلاة في الوَبَر أيضاً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2" w:name="pg11799_136130"/>
    </w:p>
    <w:p>
      <w:pPr>
        <w:pStyle w:val="Heading6"/>
        <w:numPr>
          <w:ilvl w:val="5"/>
          <w:numId w:val="1"/>
        </w:numPr>
        <w:rPr/>
      </w:pPr>
      <w:bookmarkStart w:id="303" w:name="__RefHeading___Toc10444540_73709187"/>
      <w:bookmarkStart w:id="304" w:name="_Toc117"/>
      <w:bookmarkEnd w:id="302"/>
      <w:bookmarkEnd w:id="303"/>
      <w:r>
        <w:rPr>
          <w:rtl w:val="true"/>
        </w:rPr>
        <w:t>حكم الصَّلاة فيما لا تتمّ فيه من غير المأكول</w:t>
      </w:r>
      <w:bookmarkEnd w:id="30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الفرق في المنع عن الصَّلاة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ما يُصلّى فيه ممّا تتمّ فيه الصَّلاة وحده، وبين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فيما لا تتمّ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الموثّق</w:t>
      </w:r>
      <w:r>
        <w:rPr>
          <w:rStyle w:val="FootnoteAnchor"/>
          <w:rtl w:val="true"/>
        </w:rPr>
        <w:footnoteReference w:id="580"/>
      </w:r>
      <w:r>
        <w:rPr>
          <w:rFonts w:ascii="Amiri" w:hAnsi="Amiri" w:eastAsia="Amiri" w:cs="Amiri"/>
          <w:color w:val="111111"/>
          <w:sz w:val="28"/>
          <w:sz w:val="28"/>
          <w:szCs w:val="28"/>
          <w:rtl w:val="true"/>
          <w:lang w:bidi="ar-SA"/>
        </w:rPr>
        <w:t>وغيره من النصوص</w:t>
      </w:r>
      <w:r>
        <w:rPr>
          <w:rStyle w:val="FootnoteAnchor"/>
          <w:rtl w:val="true"/>
        </w:rPr>
        <w:footnoteReference w:id="581"/>
      </w:r>
      <w:r>
        <w:rPr>
          <w:rFonts w:ascii="Amiri" w:hAnsi="Amiri" w:eastAsia="Amiri" w:cs="Amiri"/>
          <w:color w:val="111111"/>
          <w:sz w:val="28"/>
          <w:sz w:val="28"/>
          <w:szCs w:val="28"/>
          <w:rtl w:val="true"/>
          <w:lang w:bidi="ar-SA"/>
        </w:rPr>
        <w:t>، بل الموثّق من جهة تضمّنه للبول والروث، كالصريح في المنع بالنسبة إلى ما لا تتمّ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إبراهيم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جوارب وتِكَك تُعمَل من وَبَر الأرانب، فهل تجوز الصَّلاة في وَبَر الأرانب من غير ضرورةٍ ولا تقيّة‌؟</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خبر أحمد بن إسحاق</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فإنّهما من جهة أنّ السائل فيهما كان من المسلّمات عنده، أنّ المنع يختصّ بما تتمّ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فرضه عمل الجوارب والتكك من وَبَرالأرانب، سأل عن الصَّلاة في وَبَر الأرانب، والإمام عليه السلام قرّره على ذلك، وصرّح بعد الجواز يكونان كالصريحين في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وإن كانا مطلقين، إلّاأنّ موردهما حيث يكون ممّا لا تتمّ الصَّلاة فيه، يكونان كالصريحين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للإختصاص</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الأبريسم والقلنسوة والخُفّ والزُّنار، يكون في السّراويل، ويُصلّى فيه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بينه وبين إطلاق دليل المنع، وإنْ كانت عموماً من وجه، لكن بما أنّه ناظر إلى أدلّة المنع، فيكون حاكماً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عبد الجبّار المتقدّم</w:t>
      </w:r>
      <w:r>
        <w:rPr>
          <w:rStyle w:val="FootnoteAnchor"/>
          <w:rtl w:val="true"/>
        </w:rPr>
        <w:footnoteReference w:id="586"/>
      </w:r>
      <w:r>
        <w:rPr>
          <w:rFonts w:ascii="Amiri" w:hAnsi="Amiri" w:eastAsia="Amiri" w:cs="Amiri"/>
          <w:color w:val="111111"/>
          <w:sz w:val="28"/>
          <w:sz w:val="28"/>
          <w:szCs w:val="28"/>
          <w:rtl w:val="true"/>
          <w:lang w:bidi="ar-SA"/>
        </w:rPr>
        <w:t>آنفاً، حيث حكم عليه السلام فيه بجواز الصَّلاة في التكة الّتي تكون من وَبَر الأرانب، وهي إنّما تكون ممّا لا تتمّ الصَّلاة فيه، وبضميمة عدم الفرق بين وَبَر الأرانب وغيره يتمّ المطلوب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ابن بكير كالصريح في المنع بالنسبة إلى ما لا تتمّ الصَّلاة فيه، وهو أخصّ مطلقاً من الصحيح، وكذلك خبر ابن مهزيار فيقدّمان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التنبيه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في خبر علي بن حمزة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مطلقه، لا خصوص وَبَر الأرانب، إذ ليس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اللّحم وغيره، فيدلّ بالمفهوم على عدم جواز الصَّلاة إذا كان من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الخبر لو تمّت دلالته يكون معارضاً مع ما دلَّ على المنع في وَبَر الأرانب، وسبيله حينئذٍ سبيل غيره ممّا دلَّ على الجواز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للجميع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05" w:name="pg11799_136133"/>
    </w:p>
    <w:p>
      <w:pPr>
        <w:pStyle w:val="Heading6"/>
        <w:numPr>
          <w:ilvl w:val="5"/>
          <w:numId w:val="1"/>
        </w:numPr>
        <w:rPr/>
      </w:pPr>
      <w:bookmarkStart w:id="306" w:name="__RefHeading___Toc10444542_73709187"/>
      <w:bookmarkStart w:id="307" w:name="_Toc118"/>
      <w:bookmarkEnd w:id="305"/>
      <w:bookmarkEnd w:id="306"/>
      <w:r>
        <w:rPr>
          <w:rtl w:val="true"/>
        </w:rPr>
        <w:t>حكم الصَّلاة في أجزاء الإنسان</w:t>
      </w:r>
      <w:bookmarkEnd w:id="307"/>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خارجٌ عن موضوع الحكم، ليجوز الصَّلاة في فضلاته الطاهرة، حتّى لو نُسِج ثوبٌ من شعر الإنسان جاز الصَّلاة فيه، كما لعلّه المشهور؟</w:t>
      </w:r>
    </w:p>
    <w:p>
      <w:pPr>
        <w:pStyle w:val="BookText"/>
        <w:rPr/>
      </w:pPr>
      <w:r>
        <w:rPr>
          <w:rFonts w:ascii="Amiri" w:hAnsi="Amiri" w:eastAsia="Amiri" w:cs="Amiri"/>
          <w:color w:val="111111"/>
          <w:sz w:val="28"/>
          <w:sz w:val="28"/>
          <w:szCs w:val="28"/>
          <w:rtl w:val="true"/>
          <w:lang w:bidi="ar-SA"/>
        </w:rPr>
        <w:t>أم داخلٌ فيه، ولم يخرج شيءٌ من أجزائه عن حكمه‌؟</w:t>
      </w:r>
    </w:p>
    <w:p>
      <w:pPr>
        <w:pStyle w:val="BookText"/>
        <w:rPr/>
      </w:pPr>
      <w:r>
        <w:rPr>
          <w:rFonts w:ascii="Amiri" w:hAnsi="Amiri" w:eastAsia="Amiri" w:cs="Amiri"/>
          <w:color w:val="111111"/>
          <w:sz w:val="28"/>
          <w:sz w:val="28"/>
          <w:szCs w:val="28"/>
          <w:rtl w:val="true"/>
          <w:lang w:bidi="ar-SA"/>
        </w:rPr>
        <w:t>أم داخلٌ فيه ولكن خَرَج عنه المحمول، ويكون اللّباس باقياً؟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بالانصراف، فإنّ المأخوذ في الموضوع هو الحيوان، وهو منصرفٌ عن الإنسان، ولا يشمله بحسب المتفاهم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وصل الشّعر بالشَّعر، المستلزم للصّلاة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أخذ السِّن من الميّت، وجعله مكان السِّن الأصلي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تجوز الصَّلاة في ثوبٍ يكون فيه شعرٌ من شعرالإنسان، وأظفاره، من قبل أن ينفضه من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في البزاق</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تُحمل المرأة صبيّها </w:t>
      </w:r>
    </w:p>
    <w:p>
      <w:pPr>
        <w:pStyle w:val="BookText"/>
        <w:rPr/>
      </w:pPr>
      <w:r>
        <w:rPr>
          <w:rFonts w:ascii="Amiri" w:hAnsi="Amiri" w:eastAsia="Amiri" w:cs="Amiri"/>
          <w:color w:val="111111"/>
          <w:sz w:val="28"/>
          <w:sz w:val="28"/>
          <w:szCs w:val="28"/>
          <w:rtl w:val="true"/>
          <w:lang w:bidi="ar-SA"/>
        </w:rPr>
        <w:t>وهي تُصلّي أو ترضعه، وهي تتشهّد</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المناقشة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المأخوذ في الموضوع ما لا يؤكل، لا حيوان لا يؤكل، وانصراف ما عنه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مقام بيان الجواز من حيث الوصل نفسه، ولا نظر له إلى الصَّلاة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السّن من الباطن، والجواز فيه لا يلازم الجواز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المحمول، فحينئذٍ لو عمل من شَعر الإنسان ما يصدق عليه اللّباس عرفاً صدق وقوع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سَلّم الانصراف بأنّه يجب المنع من الصَّلاة في اللّباس من شعر الإنسان، نظراً إلى شرطيّة المأكوليّة فيما يُصلّي فيه، فخروج الإنسان ممّا لا يؤكل لا يقتضي تحقّق الشرط، فاللّباس يمنع من الصَّلاة فيه، لا لتحقّق المانع، بل لانتفاء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 فيه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أنّ المأكوليّة ليست شرطاً، بل غير المأكوليّة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سلّمت الشرطيّة المذكورة، فإنّما هي فيما كان اللّباس من الحيوان، فمع انصراف الحيوان عن الإنسان، يكون هو خارجاً عن موضوع الشرطيّة أيضاً، فالصحيح ما ذكرناه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08" w:name="pg11799_136135"/>
    </w:p>
    <w:p>
      <w:pPr>
        <w:pStyle w:val="Heading6"/>
        <w:numPr>
          <w:ilvl w:val="5"/>
          <w:numId w:val="1"/>
        </w:numPr>
        <w:rPr/>
      </w:pPr>
      <w:bookmarkStart w:id="309" w:name="__RefHeading___Toc10444544_73709187"/>
      <w:bookmarkStart w:id="310" w:name="_Toc119"/>
      <w:bookmarkEnd w:id="308"/>
      <w:bookmarkEnd w:id="309"/>
      <w:r>
        <w:rPr>
          <w:rtl w:val="true"/>
        </w:rPr>
        <w:t>عدم اختصاص الحكم بما له نفسٌ سائلة</w:t>
      </w:r>
      <w:bookmarkEnd w:id="310"/>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اختصاص الحكم بما له نفسٌ سائِلة، بل يعمّ ما ليس له نفسٌ‌، لإطلاق النصوص، وعموم الموثّق</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للاختصاص</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بالموثّق، بدعوى أنّه متضمّنٌ لجملتين،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في وَبَره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توجبان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ليس له نفسٌ لا شعر له ولا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ليس له نفس لا يقبل التذكية بذبح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هناك اختصاص الموثّق بما له نفس، وهذا لا يوجبُ تقييد سائر النصوص المطلقة، لعدم حمل المطلق على المقيّد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طبيعي غير المأكول، لا إلى شخصٍ خاص، فمفاده أنّ كلّ واحدٍ من هذه الاُمور، إذا كان مستنداً إلى غير المأكول، ومضافاً إليه لا تجوز الصَّلاة فيه، ولا يعتبر ثبوت جميع ما ذُكر لكلّ فردٍ بل كلّ قسمٍ ثابت له بعض المذكورات، مثلاً الألبان تختصّ بالاُنثى‌؛ فهل يتوهّم اختصاص المنع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فيشمل ما ليس له نفس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الوجه الأوّل الذي أوردناه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واردة في كلام الإمام الصادق عليه السلام، فكيف يمكن أن تكون قرينةً على </w:t>
      </w:r>
    </w:p>
    <w:p>
      <w:pPr>
        <w:pStyle w:val="BookText"/>
        <w:rPr/>
      </w:pPr>
      <w:r>
        <w:rPr>
          <w:rFonts w:ascii="Amiri" w:hAnsi="Amiri" w:eastAsia="Amiri" w:cs="Amiri"/>
          <w:color w:val="111111"/>
          <w:sz w:val="28"/>
          <w:sz w:val="28"/>
          <w:szCs w:val="28"/>
          <w:rtl w:val="true"/>
          <w:lang w:bidi="ar-SA"/>
        </w:rPr>
        <w:t>اختصاص كلام النبيّ صلى الله عليه و آله الذي ذكره الإمام عليه السلام أوّلاً بذي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الإطلاق عبارةٌ عن رفض القيود، وعدم دخل شيءٍ منها في الحكم،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تمام الموضوع هو الحيوان الذي لا يؤكل، بلا دخلٍ للتذكية وعدمها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يوجب ذلك تقييد كلام الإمام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تكون هذه الجملة كناية عن المذكّى، ومعلومٌ أنّ ما لا نفس له يقبل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في استثناء الخَزّ</w:t>
      </w:r>
      <w:r>
        <w:rPr>
          <w:rStyle w:val="FootnoteAnchor"/>
          <w:rtl w:val="true"/>
        </w:rPr>
        <w:footnoteReference w:id="596"/>
      </w:r>
      <w:r>
        <w:rPr>
          <w:rFonts w:ascii="Amiri" w:hAnsi="Amiri" w:eastAsia="Amiri" w:cs="Amiri"/>
          <w:color w:val="111111"/>
          <w:sz w:val="28"/>
          <w:sz w:val="28"/>
          <w:szCs w:val="28"/>
          <w:rtl w:val="true"/>
          <w:lang w:bidi="ar-SA"/>
        </w:rPr>
        <w:t xml:space="preserve">، إذ إستثنائه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الحيوانات البحريّة على ما نُقل عن الشهيد الثاني</w:t>
      </w:r>
      <w:r>
        <w:rPr>
          <w:rStyle w:val="FootnoteAnchor"/>
          <w:rtl w:val="true"/>
        </w:rPr>
        <w:footnoteReference w:id="597"/>
      </w:r>
      <w:r>
        <w:rPr>
          <w:rFonts w:ascii="Amiri" w:hAnsi="Amiri" w:eastAsia="Amiri" w:cs="Amiri"/>
          <w:color w:val="111111"/>
          <w:sz w:val="28"/>
          <w:sz w:val="28"/>
          <w:szCs w:val="28"/>
          <w:rtl w:val="true"/>
          <w:lang w:bidi="ar-SA"/>
        </w:rPr>
        <w:t>لا نفس سائلة لشيء منها كاشف عن عموم المنع لما لا يؤكل للحيوانات البحريّة الاُخر التي ليس لها نفس سائلة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1" w:name="pg11799_136137"/>
    </w:p>
    <w:p>
      <w:pPr>
        <w:pStyle w:val="Heading6"/>
        <w:numPr>
          <w:ilvl w:val="5"/>
          <w:numId w:val="1"/>
        </w:numPr>
        <w:rPr/>
      </w:pPr>
      <w:bookmarkStart w:id="312" w:name="__RefHeading___Toc10444546_73709187"/>
      <w:bookmarkStart w:id="313" w:name="_Toc120"/>
      <w:bookmarkEnd w:id="311"/>
      <w:bookmarkEnd w:id="312"/>
      <w:r>
        <w:rPr>
          <w:rtl w:val="true"/>
        </w:rPr>
        <w:t>عدم شمول الحكم ما لا لحم له</w:t>
      </w:r>
      <w:bookmarkEnd w:id="313"/>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لحم له من الحيوانات كالبَقّ والبرغوث وغيرهما، لا ريب في جواز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الوجه فيه الانصراف أو خصوص السيرة، لأنّها مختصّة بالحيوانات غير المستحدثة، وعليه فما عن المحقّق الهمداني رحمه الله</w:t>
      </w:r>
      <w:r>
        <w:rPr>
          <w:rStyle w:val="FootnoteAnchor"/>
          <w:rtl w:val="true"/>
        </w:rPr>
        <w:footnoteReference w:id="598"/>
      </w:r>
      <w:r>
        <w:rPr>
          <w:rFonts w:ascii="Amiri" w:hAnsi="Amiri" w:eastAsia="Amiri" w:cs="Amiri"/>
          <w:color w:val="111111"/>
          <w:sz w:val="28"/>
          <w:sz w:val="28"/>
          <w:szCs w:val="28"/>
          <w:rtl w:val="true"/>
          <w:lang w:bidi="ar-SA"/>
        </w:rPr>
        <w:t>من ثبوتها في المستحدثة أيضاً غريبٌ‌، إذ السيرة غير المستمرة إلى زمان المعصوم عليه السلام لا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الموضوع هو ما حَرُم أكله بما هو حيوان، إذ بعدما لا يتصوّر حيوانٌ تكون جميع اجزائه محلّل الأكل، بل ولا معظمها، لا محالة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 الأكل ومحرّمه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وما لا لحم له إنّما يحرم أكله لكونه من الخبائث، فيكون خارجاً عمّا أُخذ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 النصوص الدالّة على عدم البأس بالصَّلاة في دم البراغيث، كخبر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 البراغيث، يكون في الثّوب، هل يمنعه ذلك من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كَثُر</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الحكم مورد التسالم</w:t>
      </w:r>
      <w:r>
        <w:rPr>
          <w:rFonts w:eastAsia="Amiri" w:cs="Amiri" w:ascii="Amiri" w:hAnsi="Amiri"/>
          <w:color w:val="111111"/>
          <w:sz w:val="28"/>
          <w:szCs w:val="28"/>
          <w:rtl w:val="true"/>
          <w:lang w:bidi="ar-SA"/>
        </w:rPr>
        <w:t>.</w:t>
      </w:r>
      <w:bookmarkStart w:id="314" w:name="pg11799_136138"/>
    </w:p>
    <w:p>
      <w:pPr>
        <w:pStyle w:val="Heading6"/>
        <w:numPr>
          <w:ilvl w:val="5"/>
          <w:numId w:val="1"/>
        </w:numPr>
        <w:rPr/>
      </w:pPr>
      <w:bookmarkStart w:id="315" w:name="__RefHeading___Toc10444548_73709187"/>
      <w:bookmarkStart w:id="316" w:name="_Toc121"/>
      <w:bookmarkEnd w:id="314"/>
      <w:bookmarkEnd w:id="315"/>
      <w:r>
        <w:rPr>
          <w:rtl w:val="true"/>
        </w:rPr>
        <w:t>المستثنيات عن الحكم</w:t>
      </w:r>
      <w:bookmarkEnd w:id="316"/>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من عموم مانعيّة ما لا يؤكل لحمه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الخالص، وقد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السَّنجاب كما نُسب إلى المشهور</w:t>
      </w:r>
      <w:r>
        <w:rPr>
          <w:rStyle w:val="FootnoteAnchor"/>
          <w:rtl w:val="true"/>
        </w:rPr>
        <w:footnoteReference w:id="600"/>
      </w:r>
      <w:r>
        <w:rPr>
          <w:rFonts w:ascii="Amiri" w:hAnsi="Amiri" w:eastAsia="Amiri" w:cs="Amiri"/>
          <w:color w:val="111111"/>
          <w:sz w:val="28"/>
          <w:sz w:val="28"/>
          <w:szCs w:val="28"/>
          <w:rtl w:val="true"/>
          <w:lang w:bidi="ar-SA"/>
        </w:rPr>
        <w:t>، وهم بين قائلٍ بالكراهة</w:t>
      </w:r>
      <w:r>
        <w:rPr>
          <w:rStyle w:val="FootnoteAnchor"/>
          <w:rtl w:val="true"/>
        </w:rPr>
        <w:footnoteReference w:id="601"/>
      </w:r>
      <w:r>
        <w:rPr>
          <w:rFonts w:ascii="IRNazanin" w:hAnsi="IRNazanin" w:eastAsia="IRNazanin"/>
          <w:color w:val="111111"/>
          <w:sz w:val="28"/>
          <w:sz w:val="28"/>
          <w:szCs w:val="28"/>
          <w:rtl w:val="true"/>
          <w:lang w:bidi="fa-IR"/>
        </w:rPr>
        <w:t>، وقائلٍ بعدمها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كالصدوق ووالده</w:t>
      </w:r>
      <w:r>
        <w:rPr>
          <w:rStyle w:val="FootnoteAnchor"/>
          <w:rtl w:val="true"/>
        </w:rPr>
        <w:footnoteReference w:id="603"/>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وابن إدريس</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عن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وقد سأله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الفراء والسّنجاب‌؟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وبإزاء هذه النصوص موثّق ابن بكير</w:t>
      </w:r>
      <w:r>
        <w:rPr>
          <w:rStyle w:val="FootnoteAnchor"/>
          <w:rtl w:val="true"/>
        </w:rPr>
        <w:footnoteReference w:id="608"/>
      </w:r>
      <w:r>
        <w:rPr>
          <w:rFonts w:ascii="IRNazanin" w:hAnsi="IRNazanin" w:eastAsia="IRNazanin"/>
          <w:color w:val="111111"/>
          <w:sz w:val="28"/>
          <w:sz w:val="28"/>
          <w:szCs w:val="28"/>
          <w:rtl w:val="true"/>
          <w:lang w:bidi="fa-IR"/>
        </w:rPr>
        <w:t>الدالّ على المنع، وهو مستندُ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أورد القائلون به على مستند القول بالجواز، بأنّها على كثرتها لا يوجد فيها خبرٌ يمكن الالتزام بظاهره، فإنّها في غاية الاختلاف، بحيث يعارض بعضها مع بعضٍ‌، فلابدَّ من حملها على التقيّة، مع أنّه لو تمّت دلالتها تكون معارضة مع موثّق ابن بكير، الذي هو نصٌّ في المنع في السّنجاب لذكره في السؤال، والترجيح مع الموثّق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اشتمال جملة من النّصوص على ما لا يمكن الالتزام به، لأجل دليلٍ آخر، لا يوجب قدحاً في العمل بها في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صحيح الحلبي المتقدّم لم يذكر فيه 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حمل هذه الأخبار على كثرتها بأجمعها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 كثيرٍ منها على التفاصيل المنافية للتقيّة كخبر بشير الذي فصل عليه السلام فيه بين السّنجاب والحواصل الخوارزميّة، وبين الثعالب والسّمور، وحكم في الأولين بالجواز، وفي الأخيرين بالمنع</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يصحّ دفعه بأنّ مثله لا يقدح في التخصيص بالمتّصل، فكذلك في المنفصل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بأنّ السؤال إذا كان عن متعدّدٍ كما في الموثّق يكون العام ظاهراً في كلّ ما سُئل عنه، لا نصّاً كما أفاده المحقّق الهمداني رحمه الله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إنْ كان عن شيء خاصٍّ بما أنّه من مصاديق العام، كما في الموثّق، فإنّ الغرض هو السؤال عن الحيوانات التي لم يكن أخذ الثّوب منها متعارفاً، وإنّما ذكر عدّة اُمور للتمثيل لا يكون الجواب نصّاً في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الموثّق أعمٌّ من نصوص الجواز، فيخصّص بها، فتكون النتيجة هي الجواز بلا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الموثّق نصّاً في السّنجاب، فهو ظاهرٌ في المنع، فبقرينة نصوص الجواز الصريحة فيه، يُحمل الموثّق على الكراهة، فتكون النتيجة هي الجواز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حمل الموثّق على الكراهة</w:t>
      </w:r>
      <w:r>
        <w:rPr>
          <w:rStyle w:val="FootnoteAnchor"/>
          <w:rtl w:val="true"/>
        </w:rPr>
        <w:footnoteReference w:id="611"/>
      </w:r>
      <w:r>
        <w:rPr>
          <w:rFonts w:ascii="Amiri" w:hAnsi="Amiri" w:eastAsia="Amiri" w:cs="Amiri"/>
          <w:color w:val="111111"/>
          <w:sz w:val="28"/>
          <w:sz w:val="28"/>
          <w:szCs w:val="28"/>
          <w:rtl w:val="true"/>
          <w:lang w:bidi="ar-SA"/>
        </w:rPr>
        <w:t>إذ حمله عليها في السّنجاب، وعلى الحرمة في غيره، مستلزمٌ لاستعمال اللّفظ في معنيين، وحمله على الجامع بعيدٌ، إذ هو عمدة ما يدلّ على المنع في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الاُصول، من أنّ الحرمة والكراهة خارجتان عن حريم المستعمل فيه، بل هو فيهما شيءٌ واحد، وهو إبراز اعتبار كون المنهيّ عنه بعيداً عن المكلّف، والإختلاف إنّما يكون من ناحية حكم العقل، إذ لو نهي المولى عن شيءٍ ورَخّص في فعله، يحكم العقل بأنّه مكروه، ولو لم يرخّص فيه يحكم بحرمته، ولزوم الاجتناب عنه قضاءً لحقّ المولويّة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النهي في الموثّق استعمل في معنى واحد، ولكن بما أنّه ورد في السّنجاب ما دلَّ على الجواز، ولم يرد في غيره، فيحكم بأنّ الصَّلاة فيه مكروهة، وفي غيره 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جميل،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الثعالب إذا كانت ذكية يُصلّى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بإزائها رواياتٌ اُخرى تدلّ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جلود الثعالب أيُصلّى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اُصلّي فيها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علي بن راشد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تُلبس بعد الصَّلاة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العرفي بين الطائفتين، حمل نصوص المنع على الكراهة، إلّاأنّ إعراض الأصحاب عن نصوص الجواز، مع صحّة السند يسقطها عن الحجيّة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الثعالب، يظهر حكم الأرانب والسّمور والفَنَك، فإنّه وإنْ‌ي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فيها ما دلَّ على الجواز، إلّاأنّه لأجل إعراض الأصحاب عنه، لا يصلح لمعارضة الموثّق، وغيره ممّا يدلّ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المستثنيات الحواصل</w:t>
      </w:r>
      <w:r>
        <w:rPr>
          <w:rStyle w:val="FootnoteAnchor"/>
          <w:rtl w:val="true"/>
        </w:rPr>
        <w:footnoteReference w:id="619"/>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جوازالصَّلاة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ادّعى من كونها من مأكول اللّحم</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لبس فَراء السّمور والسّنجاب والحواصل، وما أشبهها؟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 إلّابالثعالب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عدم ظهوره في الصَّلاة</w:t>
      </w:r>
      <w:r>
        <w:rPr>
          <w:rStyle w:val="FootnoteAnchor"/>
          <w:rtl w:val="true"/>
        </w:rPr>
        <w:footnoteReference w:id="626"/>
      </w:r>
      <w:r>
        <w:rPr>
          <w:rFonts w:ascii="Amiri" w:hAnsi="Amiri" w:eastAsia="Amiri" w:cs="Amiri"/>
          <w:color w:val="111111"/>
          <w:sz w:val="28"/>
          <w:sz w:val="28"/>
          <w:szCs w:val="28"/>
          <w:rtl w:val="true"/>
          <w:lang w:bidi="ar-SA"/>
        </w:rPr>
        <w:t>يدفعها الاستثناء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7" w:name="pg11799_136143"/>
    </w:p>
    <w:p>
      <w:pPr>
        <w:pStyle w:val="Heading6"/>
        <w:numPr>
          <w:ilvl w:val="5"/>
          <w:numId w:val="1"/>
        </w:numPr>
        <w:rPr/>
      </w:pPr>
      <w:bookmarkStart w:id="318" w:name="__RefHeading___Toc10444550_73709187"/>
      <w:bookmarkStart w:id="319" w:name="_Toc122"/>
      <w:bookmarkEnd w:id="317"/>
      <w:bookmarkEnd w:id="318"/>
      <w:r>
        <w:rPr>
          <w:rtl w:val="true"/>
        </w:rPr>
        <w:t>الصَّلاة في ما يشكّ أنّه مأكول اللّحم</w:t>
      </w:r>
      <w:bookmarkEnd w:id="319"/>
    </w:p>
    <w:p>
      <w:pPr>
        <w:pStyle w:val="Heading6"/>
        <w:numPr>
          <w:ilvl w:val="5"/>
          <w:numId w:val="1"/>
        </w:numPr>
        <w:rPr/>
      </w:pPr>
      <w:bookmarkStart w:id="320" w:name="__RefHeading___Toc10444552_73709187"/>
      <w:bookmarkStart w:id="321" w:name="_Toc123"/>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الجلد أو الوَبَر الموجود في الخارج من مأكول اللّحم أو من غيره، فهل تجوز الصَّلاة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المسألة من عويصات المسائل الفقهيّة، وقد اختلفت فيها الأنظار، وصنفت فيها رسائل</w:t>
      </w:r>
      <w:r>
        <w:rPr>
          <w:rStyle w:val="FootnoteAnchor"/>
          <w:rtl w:val="true"/>
        </w:rPr>
        <w:footnoteReference w:id="627"/>
      </w:r>
      <w:r>
        <w:rPr>
          <w:rFonts w:ascii="Amiri" w:hAnsi="Amiri" w:eastAsia="Amiri" w:cs="Amiri"/>
          <w:color w:val="111111"/>
          <w:sz w:val="28"/>
          <w:sz w:val="28"/>
          <w:szCs w:val="28"/>
          <w:rtl w:val="true"/>
          <w:lang w:bidi="ar-SA"/>
        </w:rPr>
        <w:t>، وتفصيل القول فيها وإنْ كان لا يناسب وضع الكتاب، ولكن من جهة كونها من عويصات المسائل الفقهيّة، ومبتنية على قواعد ومبان مهمّة، والحاجة إليها مسيسة، كتبتُ فيها رسالة وهي تتضمّن مجموع الدروس الملقاة، ولا بأس بإدراجها في هذا الكتاب ليعمّ بها الانتفاع، فأقول مستمدّاً من اللّه تعالى‌؛ إنّ المسألة ذات وجوه، و أقول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مطلقاً</w:t>
      </w:r>
      <w:r>
        <w:rPr>
          <w:rStyle w:val="FootnoteAnchor"/>
          <w:rtl w:val="true"/>
        </w:rPr>
        <w:footnoteReference w:id="628"/>
      </w:r>
      <w:r>
        <w:rPr>
          <w:rFonts w:ascii="Amiri" w:hAnsi="Amiri" w:eastAsia="Amiri" w:cs="Amiri"/>
          <w:color w:val="111111"/>
          <w:sz w:val="28"/>
          <w:sz w:val="28"/>
          <w:szCs w:val="28"/>
          <w:rtl w:val="true"/>
          <w:lang w:bidi="ar-SA"/>
        </w:rPr>
        <w:t xml:space="preserve">، وهو المشهور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المقطوع به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واقعاً مطلقاً، وهو ما نُسب إلى المحقّق القمّي</w:t>
      </w:r>
      <w:r>
        <w:rPr>
          <w:rStyle w:val="FootnoteAnchor"/>
          <w:rtl w:val="true"/>
        </w:rPr>
        <w:footnoteReference w:id="629"/>
      </w:r>
      <w:r>
        <w:rPr>
          <w:rFonts w:ascii="Amiri" w:hAnsi="Amiri" w:eastAsia="Amiri" w:cs="Amiri"/>
          <w:color w:val="111111"/>
          <w:sz w:val="28"/>
          <w:sz w:val="28"/>
          <w:szCs w:val="28"/>
          <w:rtl w:val="true"/>
          <w:lang w:bidi="ar-SA"/>
        </w:rPr>
        <w:t>والفاضل النراقي</w:t>
      </w:r>
      <w:r>
        <w:rPr>
          <w:rStyle w:val="FootnoteAnchor"/>
          <w:rtl w:val="true"/>
        </w:rPr>
        <w:footnoteReference w:id="63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جمعٌ من محقّقي متأخّري المتأخّرين، وأساطينهم كالمحقّق الأردبيلي</w:t>
      </w:r>
      <w:r>
        <w:rPr>
          <w:rStyle w:val="FootnoteAnchor"/>
          <w:rtl w:val="true"/>
        </w:rPr>
        <w:footnoteReference w:id="631"/>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والاُستاذ الأكبر الشيرازي</w:t>
      </w:r>
      <w:r>
        <w:rPr>
          <w:rStyle w:val="FootnoteAnchor"/>
          <w:rtl w:val="true"/>
        </w:rPr>
        <w:footnoteReference w:id="633"/>
      </w:r>
      <w:r>
        <w:rPr>
          <w:rFonts w:ascii="Amiri" w:hAnsi="Amiri" w:eastAsia="Amiri" w:cs="Amiri"/>
          <w:color w:val="111111"/>
          <w:sz w:val="28"/>
          <w:sz w:val="28"/>
          <w:szCs w:val="28"/>
          <w:rtl w:val="true"/>
          <w:lang w:bidi="ar-SA"/>
        </w:rPr>
        <w:t xml:space="preserve">، والمحقّق </w:t>
      </w:r>
    </w:p>
    <w:p>
      <w:pPr>
        <w:pStyle w:val="BookText"/>
        <w:rPr/>
      </w:pPr>
      <w:r>
        <w:rPr>
          <w:rFonts w:ascii="Amiri" w:hAnsi="Amiri" w:eastAsia="Amiri" w:cs="Amiri"/>
          <w:color w:val="111111"/>
          <w:sz w:val="28"/>
          <w:sz w:val="28"/>
          <w:szCs w:val="28"/>
          <w:rtl w:val="true"/>
          <w:lang w:bidi="ar-SA"/>
        </w:rPr>
        <w:t>النائيني</w:t>
      </w:r>
      <w:r>
        <w:rPr>
          <w:rStyle w:val="FootnoteAnchor"/>
          <w:rtl w:val="true"/>
        </w:rPr>
        <w:footnoteReference w:id="634"/>
      </w:r>
      <w:r>
        <w:rPr>
          <w:rFonts w:ascii="Amiri" w:hAnsi="Amiri" w:eastAsia="Amiri" w:cs="Amiri"/>
          <w:color w:val="111111"/>
          <w:sz w:val="28"/>
          <w:sz w:val="28"/>
          <w:szCs w:val="28"/>
          <w:rtl w:val="true"/>
          <w:lang w:bidi="ar-SA"/>
        </w:rPr>
        <w:t>رحمهم الله وغيرهم من الحكم بالجواز ظاهراً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اللّباس وما يقع عليه، أو على بدن المُصلّي، بعد الفراغ عن عموم المنع للجميع، فبني على المنع في الأوّل، والجواز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جمعٌ‌</w:t>
      </w:r>
      <w:r>
        <w:rPr>
          <w:rStyle w:val="FootnoteAnchor"/>
          <w:rtl w:val="true"/>
        </w:rPr>
        <w:footnoteReference w:id="636"/>
      </w:r>
      <w:r>
        <w:rPr>
          <w:rFonts w:ascii="Amiri" w:hAnsi="Amiri" w:eastAsia="Amiri" w:cs="Amiri"/>
          <w:color w:val="111111"/>
          <w:sz w:val="28"/>
          <w:sz w:val="28"/>
          <w:szCs w:val="28"/>
          <w:rtl w:val="true"/>
          <w:lang w:bidi="ar-SA"/>
        </w:rPr>
        <w:t>ممّن عاصر المحقّق النائيني رحمه الله، وهو المنع فيما إذا علم أنّه من أجزاء الحيوان، وشكّ في مأكوليّته وعدمها، والجواز فيما إذا لم يعلم ذلك وكانت النباتيّة أيضاً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يكون مع المُصلّي من افتتاح صلاته، وما يقع عليه أو يلبسه بعد الشروع فيها، فيجوز في الثاني ويُمنع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السّاتر وغيره، فلا يجوز في الأوّل، ويجوز في الثاني</w:t>
      </w:r>
      <w:r>
        <w:rPr>
          <w:rStyle w:val="FootnoteAnchor"/>
          <w:rtl w:val="true"/>
        </w:rPr>
        <w:footnoteReference w:id="637"/>
      </w:r>
      <w:r>
        <w:rPr>
          <w:rFonts w:ascii="Amiri" w:hAnsi="Amiri" w:eastAsia="Amiri" w:cs="Amiri"/>
          <w:color w:val="111111"/>
          <w:sz w:val="28"/>
          <w:sz w:val="28"/>
          <w:szCs w:val="28"/>
          <w:rtl w:val="true"/>
          <w:lang w:bidi="ar-SA"/>
        </w:rPr>
        <w:t>، ومبنى هذا القول هو التفصيل بين الشرطيّة والمانعيّة، واختيار المنع على الأُولى والجواز على الثانية، بدعوى الشرطيّة في السّاتر، والمانعيّة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في اللّباس إذا أحرز كونه حيوانيّاً، والجواز فيه إذا لم يحرز ذلك، وفي غير اللّباس مطلقاً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جملة ما وقفنا عليه من الأقوال، والمختار عندنا هو الجواز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22" w:name="pg11799_136145"/>
    </w:p>
    <w:p>
      <w:pPr>
        <w:pStyle w:val="BookText"/>
        <w:rPr/>
      </w:pPr>
      <w:bookmarkEnd w:id="322"/>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عن مقدّمة، ومقاصد، وخاتمة</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444554_73709187"/>
      <w:bookmarkStart w:id="324" w:name="_Toc124"/>
      <w:bookmarkEnd w:id="323"/>
      <w:r>
        <w:rPr>
          <w:rtl w:val="true"/>
        </w:rPr>
        <w:t>أمّا المقدّمة</w:t>
      </w:r>
      <w:r>
        <w:rPr>
          <w:rtl w:val="true"/>
        </w:rPr>
        <w:t xml:space="preserve">: </w:t>
      </w:r>
      <w:r>
        <w:rPr>
          <w:rtl w:val="true"/>
        </w:rPr>
        <w:t>ففي بيان اُمور</w:t>
      </w:r>
      <w:r>
        <w:rPr>
          <w:rtl w:val="true"/>
        </w:rPr>
        <w:t>:</w:t>
      </w:r>
      <w:bookmarkEnd w:id="324"/>
    </w:p>
    <w:p>
      <w:pPr>
        <w:pStyle w:val="Heading6"/>
        <w:numPr>
          <w:ilvl w:val="5"/>
          <w:numId w:val="1"/>
        </w:numPr>
        <w:rPr/>
      </w:pPr>
      <w:bookmarkStart w:id="325" w:name="__RefHeading___Toc10444556_73709187"/>
      <w:bookmarkStart w:id="326" w:name="_Toc125"/>
      <w:bookmarkEnd w:id="325"/>
      <w:r>
        <w:rPr>
          <w:rtl w:val="true"/>
        </w:rPr>
        <w:t>التلازم بين حرمة أكل اللّحم وعدم جواز الصَّلاة فيه</w:t>
      </w:r>
      <w:bookmarkEnd w:id="3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مفصّلاً ثبوت التلازم بين حرمة أكل اللّحم، وعدم جواز الصَّلاة فيه</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0444558_73709187"/>
      <w:bookmarkStart w:id="328" w:name="_Toc126"/>
      <w:bookmarkEnd w:id="327"/>
      <w:r>
        <w:rPr>
          <w:rtl w:val="true"/>
        </w:rPr>
        <w:t>المراد من الجواز الشرعي هنا ما يقابل المنع وضعاً</w:t>
      </w:r>
      <w:bookmarkEnd w:id="3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الشرعي يُطلق تارةً على ما يقابل المنع عن الشيء تكليفاً، واُخرى على ما يقابل المنع وضعاً، المساوق للنفوذ والصحّة، والمراد به في المقام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الجواز قد يكون واقعيّاً لا يؤثّر كشف الخلاف فيه، وقد يكون ظاهريّاً غير منافٍ للمنع الواقعي، وهو بكلا معنيّيه محلّ الكلام في المقام، وإنْ كان المختار هو عدم لزوم الإعادة مع انكشاف الخلاف، حتّى بناءً على كون المانعيّة مطلقة، لما حقّقناه في محلّه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جميع أدلّة الأجزاء والشرائط والموانع، ولا تختصّ بصورة النسيان، وتعمّ جميع الصور عدا صورة العلم والجهل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الإشارة إليه</w:t>
      </w:r>
      <w:r>
        <w:rPr>
          <w:rFonts w:eastAsia="Amiri" w:cs="Amiri" w:ascii="Amiri" w:hAnsi="Amiri"/>
          <w:color w:val="111111"/>
          <w:sz w:val="28"/>
          <w:szCs w:val="28"/>
          <w:rtl w:val="true"/>
          <w:lang w:bidi="ar-SA"/>
        </w:rPr>
        <w:t>.</w:t>
      </w:r>
      <w:r>
        <w:rPr>
          <w:rStyle w:val="FootnoteAnchor"/>
          <w:rtl w:val="true"/>
        </w:rPr>
        <w:footnoteReference w:id="639"/>
      </w:r>
    </w:p>
    <w:p>
      <w:pPr>
        <w:pStyle w:val="Heading6"/>
        <w:numPr>
          <w:ilvl w:val="5"/>
          <w:numId w:val="1"/>
        </w:numPr>
        <w:rPr/>
      </w:pPr>
      <w:bookmarkStart w:id="329" w:name="__RefHeading___Toc10444560_73709187"/>
      <w:bookmarkStart w:id="330" w:name="_Toc127"/>
      <w:bookmarkEnd w:id="329"/>
      <w:r>
        <w:rPr>
          <w:rtl w:val="true"/>
        </w:rPr>
        <w:t>الملاك يعمّ كلّ مشتبهٍ‌</w:t>
      </w:r>
      <w:bookmarkEnd w:id="33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وإنْ كان في خصوص الصَّلاة فيما يُشكّ في كونه من أجزاء ما لا يؤكل لحمه، إلّاأنّ ملاكه يعمّ كلّ مشتبهٍ من بقيّة الموانع، من غير فرقٍ بين المانع الشرعي والعقلي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الخراساني رحمه الله</w:t>
      </w:r>
      <w:r>
        <w:rPr>
          <w:rStyle w:val="FootnoteAnchor"/>
          <w:rtl w:val="true"/>
        </w:rPr>
        <w:footnoteReference w:id="640"/>
      </w:r>
      <w:r>
        <w:rPr>
          <w:rFonts w:ascii="Amiri" w:hAnsi="Amiri" w:eastAsia="Amiri" w:cs="Amiri"/>
          <w:color w:val="111111"/>
          <w:sz w:val="28"/>
          <w:sz w:val="28"/>
          <w:szCs w:val="28"/>
          <w:rtl w:val="true"/>
          <w:lang w:bidi="ar-SA"/>
        </w:rPr>
        <w:t xml:space="preserve">من اختصاص المانعيّة العقليّة بصورة الإحراز، وإنْ كان يتمّ في مورد التزاحم، ولكن لا يتمّ في مورد التعارض، كما إذا حَرُم لبس المغصوب والتستّر به، ووجب التستّر في الصَّلاة، فوقع التعارض بين الدليلين، فقُيّد </w:t>
      </w:r>
      <w:bookmarkStart w:id="331" w:name="pg11799_136146"/>
    </w:p>
    <w:p>
      <w:pPr>
        <w:pStyle w:val="BookText"/>
        <w:rPr/>
      </w:pPr>
      <w:bookmarkEnd w:id="331"/>
      <w:r>
        <w:rPr>
          <w:rFonts w:ascii="Amiri" w:hAnsi="Amiri" w:eastAsia="Amiri" w:cs="Amiri"/>
          <w:color w:val="111111"/>
          <w:sz w:val="28"/>
          <w:sz w:val="28"/>
          <w:szCs w:val="28"/>
          <w:rtl w:val="true"/>
          <w:lang w:bidi="ar-SA"/>
        </w:rPr>
        <w:t>السّاتر بغير المغصوب بحكم العقل، فإنّه إذا كان الغصب بوجوده الواقعي حراماً، والحرمة مضادّة للوجوب، كيف يمكن القول باختصاص المانعيّة بصورة العلم‌؟</w:t>
      </w:r>
    </w:p>
    <w:p>
      <w:pPr>
        <w:pStyle w:val="BookText"/>
        <w:rPr/>
      </w:pPr>
      <w:r>
        <w:rPr>
          <w:rFonts w:ascii="Amiri" w:hAnsi="Amiri" w:eastAsia="Amiri" w:cs="Amiri"/>
          <w:color w:val="111111"/>
          <w:sz w:val="28"/>
          <w:sz w:val="28"/>
          <w:szCs w:val="28"/>
          <w:rtl w:val="true"/>
          <w:lang w:bidi="ar-SA"/>
        </w:rPr>
        <w:t>وتمام الكلام في مبحث اجتماع الأمر والنهي</w:t>
      </w:r>
      <w:r>
        <w:rPr>
          <w:rFonts w:eastAsia="Amiri" w:cs="Amiri" w:ascii="Amiri" w:hAnsi="Amiri"/>
          <w:color w:val="111111"/>
          <w:sz w:val="28"/>
          <w:szCs w:val="28"/>
          <w:rtl w:val="true"/>
          <w:lang w:bidi="ar-SA"/>
        </w:rPr>
        <w:t>.</w:t>
      </w:r>
      <w:r>
        <w:rPr>
          <w:rStyle w:val="FootnoteAnchor"/>
          <w:rtl w:val="true"/>
        </w:rPr>
        <w:footnoteReference w:id="641"/>
      </w:r>
    </w:p>
    <w:p>
      <w:pPr>
        <w:pStyle w:val="Heading6"/>
        <w:numPr>
          <w:ilvl w:val="5"/>
          <w:numId w:val="1"/>
        </w:numPr>
        <w:rPr/>
      </w:pPr>
      <w:bookmarkStart w:id="332" w:name="__RefHeading___Toc10444562_73709187"/>
      <w:bookmarkStart w:id="333" w:name="_Toc128"/>
      <w:bookmarkEnd w:id="332"/>
      <w:r>
        <w:rPr>
          <w:rtl w:val="true"/>
        </w:rPr>
        <w:t>يعم البحث ما إذا شكّ أنه محلّل الأكل أو محرّمه أيضا</w:t>
      </w:r>
      <w:bookmarkEnd w:id="33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يختصّ محلّ البحث بما إذا شكّ في كون شيءٍ من أجزاء الحيوان المعيّن غير المأكول، أو من أجزاء الحيوان المعلوم كونه محلّل الأكل، بل يعمّ ما إذا شُكّ في كون الحيوان المعيّن المأخوذ منه ذلك محلّل الأكل أو محرّمه، بالشبهة الموضوعيّة أو الحكميّة، لما ستعرف من أنّ الحكم بحليّته بمقتضى أصالة الحِلّ لا يُجدي بالنسبة إلى جواز الصَّلاة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0444564_73709187"/>
      <w:bookmarkStart w:id="335" w:name="_Toc129"/>
      <w:bookmarkEnd w:id="334"/>
      <w:r>
        <w:rPr>
          <w:rtl w:val="true"/>
        </w:rPr>
        <w:t>المجعول هي الشرطيّة أو المانعيّة</w:t>
      </w:r>
      <w:bookmarkEnd w:id="335"/>
    </w:p>
    <w:p>
      <w:pPr>
        <w:pStyle w:val="Heading6"/>
        <w:numPr>
          <w:ilvl w:val="5"/>
          <w:numId w:val="1"/>
        </w:numPr>
        <w:rPr/>
      </w:pPr>
      <w:bookmarkStart w:id="336" w:name="__RefHeading___Toc10444566_73709187"/>
      <w:bookmarkStart w:id="337" w:name="_Toc130"/>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نقاش بين الأصحاب في أنّ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المانعيّة، أي مانعيّة غير المأكول كما هو المشهور؟</w:t>
      </w:r>
    </w:p>
    <w:p>
      <w:pPr>
        <w:pStyle w:val="BookText"/>
        <w:rPr/>
      </w:pPr>
      <w:r>
        <w:rPr>
          <w:rFonts w:ascii="Amiri" w:hAnsi="Amiri" w:eastAsia="Amiri" w:cs="Amiri"/>
          <w:color w:val="111111"/>
          <w:sz w:val="28"/>
          <w:sz w:val="28"/>
          <w:szCs w:val="28"/>
          <w:rtl w:val="true"/>
          <w:lang w:bidi="ar-SA"/>
        </w:rPr>
        <w:t xml:space="preserve">أو الشرطيّة، أي شرطيّة الوقوع في المأكول، على تقدير كون اللّباس من الحيوان، كما ذهب إليه غير واحدٍ تبعاً لمحكيّ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هما معاً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لكن مع تعميم المانعيّة لجميع ما يُصلّى فيه من اللّباس وعوارضه، والشّعرات المُلقاة والمحمول، وتخصيص الشرطيّة باللّباس‌؟ وجوه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بالتكلّم في مقامين</w:t>
      </w:r>
      <w:r>
        <w:rPr>
          <w:rFonts w:eastAsia="Amiri" w:cs="Amiri" w:ascii="Amiri" w:hAnsi="Amiri"/>
          <w:color w:val="111111"/>
          <w:sz w:val="28"/>
          <w:szCs w:val="28"/>
          <w:rtl w:val="true"/>
          <w:lang w:bidi="ar-SA"/>
        </w:rPr>
        <w:t xml:space="preserve">: </w:t>
      </w:r>
      <w:bookmarkStart w:id="338" w:name="pg11799_136147"/>
    </w:p>
    <w:p>
      <w:pPr>
        <w:pStyle w:val="BookText"/>
        <w:rPr/>
      </w:pPr>
      <w:bookmarkEnd w:id="33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جعل الشرطيّة لأحد الضدّين، والمانعيّة للآخر واستحالته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الأدلّة في مقام الإثبات</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10444568_73709187"/>
      <w:bookmarkStart w:id="340" w:name="_Toc131"/>
      <w:bookmarkEnd w:id="339"/>
      <w:r>
        <w:rPr>
          <w:rtl w:val="true"/>
        </w:rPr>
        <w:t>قد يقال باستحالة ذلك ملاكاً وخطاباً</w:t>
      </w:r>
      <w:bookmarkEnd w:id="340"/>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ذلك ملاكاً وخطاباً</w:t>
      </w:r>
      <w:r>
        <w:rPr>
          <w:rStyle w:val="FootnoteAnchor"/>
          <w:rtl w:val="true"/>
        </w:rPr>
        <w:footnoteReference w:id="644"/>
      </w:r>
      <w:r>
        <w:rPr>
          <w:rFonts w:ascii="Amiri" w:hAnsi="Amiri" w:eastAsia="Amiri" w:cs="Amiri"/>
          <w:color w:val="111111"/>
          <w:sz w:val="28"/>
          <w:sz w:val="28"/>
          <w:szCs w:val="28"/>
          <w:rtl w:val="true"/>
          <w:lang w:bidi="ar-SA"/>
        </w:rPr>
        <w:t>، واستند في استحالته ملاكاً إلى أنّ عدم المعلول، إنّما يكون بعدم علّته،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بعدم المقتضى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دخل كلٍّ منها يغاير دخل غيره من أجزاء العلّة، إذ المقتضي هو ما يترشّح منه المعلول كالنّار بالإضافة إلى الإحراق، والشرط هو ما يكون دخيلاً في فعليّة تأثير المقتضى أثره، وهو قد يكون بتصحيح فاعليّة الفاعل، وقد يكون بتتميم قابليّة القابل، وعدم المانع دخله إنّما يكون لمزاحمة وجوده تأثير المقتضى‌، فاستناد عدم المعلول إلى المانع، إنّما يكون في ظرف تحقّق المقتضي والشرائط، إذ مع عدم المقتضي أو عدم الشرط لا يستند عدم المعلول إلى وجود المانع، مثلاً إذا لم تكن النّار موجودة، أو لم تكن ممّاسة للثوب، فهل يتوهّم أحدٌ 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الثّوب لا يحترق فعلاً لرطوبته‌؟ فالمانع إنّما يتّصف بالمانعيّة عند وجود المقتضي والشرائط وإلّا فلا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كان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لا يُعقل أن يوجد ضدّه الآخر، وإلّا لزم اجتماع الضدّين، فلا يتّصف بالمانعيّة، وإنْ لم يكن موجوداً، فإنّ عدم </w:t>
      </w:r>
    </w:p>
    <w:p>
      <w:pPr>
        <w:pStyle w:val="BookText"/>
        <w:rPr/>
      </w:pPr>
      <w:r>
        <w:rPr>
          <w:rFonts w:ascii="Amiri" w:hAnsi="Amiri" w:eastAsia="Amiri" w:cs="Amiri"/>
          <w:color w:val="111111"/>
          <w:sz w:val="28"/>
          <w:sz w:val="28"/>
          <w:szCs w:val="28"/>
          <w:rtl w:val="true"/>
          <w:lang w:bidi="ar-SA"/>
        </w:rPr>
        <w:t>المعلول يُستند إلى عدمه، لا إلى وجود الضدّ الآخر، ففي هذا الفرض أيضاً لا يتّصف بالمانعيّة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التكوينيّات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التشريعيّات، فلأنّ دخل وجود الشرط وعدم المانع في متعلّق الحكم أو موضوعه، وإنْ كان ناشئاً عن تقييده بهما، لكن لما كان دخله في ملاك الحكم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اُصول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توقّفه على ذلك الوجود، وهذا العدم توقّف كلّ معلولٍ تكويني على وجود شرطه وعدم مانعه، وكانت الشرطيّة والمانعيّة التكوينيّة بالنسبة إلى الملاك، ملاك التقييد المنتزعة عنه الشرطيّة والمانعيّة التشريعيّة، فسبيلهما من هذه الجهة سبيل سائر التكوينيّات، ويستحيل اجتماع ملاكيهما في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تقتضيه أصول العدليّة، هو لزوم كون الأمر بشيءٍ ناشئاً عن المصلحة، ودخل شيء في المأمور به من جهة دخله في تلك، وأمّا أنّ ما أُخذ عدمه دخيلاً لابدّ وأنْ يكون من جهة كونه مانعاً تكوينيّاً بالنسبة إلى المصلحة والملاك، فممّا لم يدلّ عليه دليل، ولعلّه مع وجود المانع الشرعي لا مصلحة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دخل الشرط والمانع الشرعيّين في الملاك غير معلومة، فلا يجري هذا البرهان في التشريعيّات، مع أنّ تماميّته في التكوينيّات مورد البحث والكلام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قدس سره لامتناع تشريعهما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المتلازمين كما لا يمكن تعلّق الحكمين المتنافيين بهما، لا يصحّ تعلّق الحكمين المتوافقين بهما أيضاً لمكان اللّغوية، فإذا قُيّد الواجب بوجود أحد الضدّين، كان تقييده بعدم الآخر حاصلاً بالتبع قهراً، فيكون تقيّده به بتشريعٍ مستقلٍّ آخر من اللّغو المنزّه عنه مقام الشارعيّة</w:t>
      </w:r>
      <w:r>
        <w:rPr>
          <w:rFonts w:eastAsia="Amiri" w:cs="Amiri" w:ascii="Amiri" w:hAnsi="Amiri"/>
          <w:color w:val="111111"/>
          <w:sz w:val="28"/>
          <w:szCs w:val="28"/>
          <w:rtl w:val="true"/>
          <w:lang w:bidi="ar-SA"/>
        </w:rPr>
        <w:t xml:space="preserve">. </w:t>
      </w:r>
      <w:bookmarkStart w:id="341" w:name="pg11799_136149"/>
    </w:p>
    <w:p>
      <w:pPr>
        <w:pStyle w:val="BookText"/>
        <w:rPr/>
      </w:pPr>
      <w:bookmarkEnd w:id="34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لو تمّ‌، لاقتضى لغويّة الثاني، كان هو تشريع الشرطيّة أو المانعيّة، ومضافاً إلى النقض بوجوب مقدّمة الواجب والنهي عن ضدّ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آثار التشريع الثاني هو التأكيد، وفيه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إمكان جعلهما معاً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0444570_73709187"/>
      <w:bookmarkStart w:id="343" w:name="_Toc132"/>
      <w:bookmarkEnd w:id="342"/>
      <w:r>
        <w:rPr>
          <w:rtl w:val="true"/>
        </w:rPr>
        <w:t>ما يستفاد من الأدلّة في مقام الإثبات</w:t>
      </w:r>
      <w:bookmarkEnd w:id="343"/>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فطوائف من النصوص تدلّ على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لفساد الصَّلاة الواقعة في أجزاء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وَبَر كلّ شيءٍ حرامٌ أكله، فالصَّلاة في وَبَره وشعره وجلده وبوله وروثه وألبانه، وكلّ شيء منه فاسدة، لا تُقبل تلك الصَّلاة حتّى يُصلّيها في غيره ممّا أحلَّ اللّه أكله</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الفساد إلى محرميّة الأكل، عبارة اُخرى عن جعل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عدم جواز الصَّلاة في أجزاء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 والشّعر ممّا لا يؤكل لحمه، من غير تقيّةٍ ولا ضرورة‌؟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الجواز المساوق لعدم الصحّة، استند إلى الصَّلاة فيما لا يؤكل، وظاهر ذلك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الصَّلاة في مُحرّم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أنس بن محمّد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تُصلِّ فيما لا يشرَب لبنه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والنواهي وإنْ كانت ظاهرة في الحكم المولوي النفسي، إلّاأنّ ذلك في غير ما ورد في المركّبات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فيها فهي ظاهرة في كونها إرشاداً إلى الدخل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بنحو الجزئيّة أو ألشرطية كما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المانعيّة كما في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عن الصَّلاة فيما لا يؤكل لحمه ظاهره الإرشاد إلى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التعليل بأنّ أكثرها 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محمّد بن إسماعيل،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الصَّلاة في شعر ووَبَر ما لا يؤكل لحمه لأنّ أكثرها مسوخ</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ورد في السِّباع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التعليل في قوّة التصريح بأنّ المسوخ من حيث أنفسها لا تصلح لوقوع الصَّلاة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للشرطيّة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موثّق ابن بكير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تلك الصَّلاة حتّى يُصلّيها في غيره 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ظاهرٌ في إناطة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اُريد به في المقام الإجزاء بحليّة الأكل، وليست الشرطيّة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جملةً ابتدائيّة مسوقة لبيان ما اعتبر فيما يُصلّى فيه، بل هو تتمّة للحكم السابق، وخبرٌ آخر عن المبتدأ الأوّل، وحُكمٌ عليه بعدم القبول بعد الحكم عليه بالفساد، لاشتمالها على تلك الخصوصيّة، ويؤكّده الإتيان بلفظ الإشارة، فلا يكون ظاهراً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هذا الظهور في نفسه، لكن بما أنّه لابدّ من التصرّف فيه من جهة أنّه لا تجب الصَّلاة في أجزاء ما يحلّ أكله من الحيوان قطعاً، بل إن كان شيءٌ شرطاً، فهو عنوانٌ جامع بين أجزاء ما يؤكل والنباتات، وليس ذلك أولى من حمل الأمر فيه على أنّه لأجل ارتفاع المانع، فليس شيءٌ في صدر الموثّق ظاهر في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ممّا يؤكل لحمه، فالصَّلاة في وَبَره وشعره وكلّ شيء منه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جواز الصَّلاة في أجزاء ما يؤكل، ولكن ذلك لا يلازم مع شرطيّة متعلّقه، ويلائم مع مانعيّة ضدّه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حمزة،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لباس الفِراء والصَّلاة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إلّافيما كان ذكياً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ما ذُكّي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يؤكل لحمه من غير الغنم‌؟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تأكل اللّحم، وليس هو ممّا نهي عنه رسول اللّه صلى الله عليه و آله، إذ نهى عن كلّ ذي نابٍ ومِخْلَب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صدر الكلام، أي الاستثناء المدلول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كان ذكياً، وكان من المأكول، وهذا مساوقٌ للشرطيّة، فيكون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معترضة بين الجواب عن السؤال الأوّل، وقد قطع كلام الإمام ولم يمهله إلى أن ينتهي إلى آخر الجواب، وبادر إلى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لأنّ في طريقه العلوي وهو مهمل، والديلمي المجهول حكماً وموضوعاً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مرتبطاً بالجواب عن السؤال الثاني، فيكون مفاد الخبر اختصاص التذكية بما يكون مأكول اللّحم، فيعارض مع النصوص الأخر فيطرح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 عن ذلك، وسُلّم كونه راجعاً إلى صدر الكلام، بملاحظة ما في ذيله من التعليل بأنّه نهي عن كلّ ذي نابٍ ومِخْلَب، يوجبُ ظهوره في المانعيّة، ولا أقلّ من الإجمال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مانعيّة ما لا يؤكل، لا شرطيّة ما يؤكل</w:t>
      </w:r>
      <w:r>
        <w:rPr>
          <w:rFonts w:eastAsia="Amiri" w:cs="Amiri" w:ascii="Amiri" w:hAnsi="Amiri"/>
          <w:color w:val="111111"/>
          <w:sz w:val="28"/>
          <w:szCs w:val="28"/>
          <w:rtl w:val="true"/>
          <w:lang w:bidi="ar-SA"/>
        </w:rPr>
        <w:t xml:space="preserve">.). </w:t>
      </w:r>
      <w:bookmarkStart w:id="344" w:name="pg11799_136153"/>
    </w:p>
    <w:p>
      <w:pPr>
        <w:pStyle w:val="Heading6"/>
        <w:numPr>
          <w:ilvl w:val="5"/>
          <w:numId w:val="1"/>
        </w:numPr>
        <w:rPr/>
      </w:pPr>
      <w:bookmarkStart w:id="345" w:name="__RefHeading___Toc10444572_73709187"/>
      <w:bookmarkStart w:id="346" w:name="_Toc133"/>
      <w:bookmarkEnd w:id="344"/>
      <w:bookmarkEnd w:id="345"/>
      <w:r>
        <w:rPr>
          <w:rtl w:val="true"/>
        </w:rPr>
        <w:t>أقسام النهي</w:t>
      </w:r>
      <w:bookmarkEnd w:id="34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الصَّلاة في أجزاء ما لا يؤكل لحمه، بعد عدم كونه نهياً تحريميّاً تكليفيّاً، وكونه إرشاداً إلى المانعيّة، يدور أمر ما يستفاد منه من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أن تكون انحلاليّة، بأن يكون كلّ فردٍ من أفراد ما لا يؤكل متّصفاً بالمانعيّة استقلالاً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أن تكون ثابتة، لصرف وجود الطبيعة المنطبق على أوّل الوجودات، فيكون المعتبر مجموع التروك الخارجيّة، فلو اضطرّ إلى لبس فردٍ من الأفراد، ساغ له لبس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أن تكون ثابتةً لمجموع الوجودات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أن يكون المعتبر في الصَّلاة أمراً بسيطاً متحصّلاً من ترك الأفراد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صحّة الصَّلاة فيما وقعت في بعض الأفراد المعلومة، وهو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ظهور الأدلّة، فإنّ ظاهرها دخل ما تضمّنها بنفسه في المأمور به دون المتحصّل منه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فيدور الأمر بين الأولين، والأظهر منهما هو الأوّل، لظهور القضيّة الحقيقيّة في نفسها في ذلك، فكما أنّ النواهي المولويّة ظاهرة فيه، كذلك النواهي الإرشاديّة، ولذا ترى تسالم الفقهاء على أنّه لو اضطرّ المُصلّي إلى لبس لباسٍ مصنوع ممّا لا يؤكل لحمه، لابدَّ من الاقتصار على مقدار الضرورة</w:t>
      </w:r>
      <w:r>
        <w:rPr>
          <w:rFonts w:eastAsia="Amiri" w:cs="Amiri" w:ascii="Amiri" w:hAnsi="Amiri"/>
          <w:color w:val="111111"/>
          <w:sz w:val="28"/>
          <w:szCs w:val="28"/>
          <w:rtl w:val="true"/>
          <w:lang w:bidi="ar-SA"/>
        </w:rPr>
        <w:t xml:space="preserve">. </w:t>
      </w:r>
      <w:bookmarkStart w:id="347" w:name="pg11799_136154"/>
    </w:p>
    <w:p>
      <w:pPr>
        <w:pStyle w:val="Heading6"/>
        <w:numPr>
          <w:ilvl w:val="5"/>
          <w:numId w:val="1"/>
        </w:numPr>
        <w:rPr/>
      </w:pPr>
      <w:bookmarkStart w:id="348" w:name="__RefHeading___Toc10444574_73709187"/>
      <w:bookmarkStart w:id="349" w:name="_Toc134"/>
      <w:bookmarkEnd w:id="347"/>
      <w:bookmarkEnd w:id="348"/>
      <w:r>
        <w:rPr>
          <w:rtl w:val="true"/>
        </w:rPr>
        <w:t>مركز القيد</w:t>
      </w:r>
      <w:bookmarkEnd w:id="34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يعتبر في الصَّلاة من الشرائط والموانع، وإنْ كانت منسوبة إلى الصَّلاة، إلّاأنّ معروضها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الشرط أو المانع وصفاً للمصلّي كالطهارة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وصفاً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وصفاً لغيرهما ممّا يُصلّي فيه أو عليه، كاعتبار كون الوقت الواقعة فيه الصَّلاة بين الزوال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وقع الكلام في أنّ مركز القيد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المُصلّي، بمعنى أنّه يعتبر أن لا يكون المُصلّي لابساً لما لا يؤكل‌؟</w:t>
      </w:r>
    </w:p>
    <w:p>
      <w:pPr>
        <w:pStyle w:val="BookText"/>
        <w:rPr/>
      </w:pPr>
      <w:r>
        <w:rPr>
          <w:rFonts w:ascii="Amiri" w:hAnsi="Amiri" w:eastAsia="Amiri" w:cs="Amiri"/>
          <w:color w:val="111111"/>
          <w:sz w:val="28"/>
          <w:sz w:val="28"/>
          <w:szCs w:val="28"/>
          <w:rtl w:val="true"/>
          <w:lang w:bidi="ar-SA"/>
        </w:rPr>
        <w:t>أم مركزه الصَّلاة، بمعنى أنّه يعتبر في الصَّلاة أن لا تقع في أجزاء ما لايؤكل لحمه‌؟</w:t>
      </w:r>
    </w:p>
    <w:p>
      <w:pPr>
        <w:pStyle w:val="BookText"/>
        <w:rPr/>
      </w:pPr>
      <w:r>
        <w:rPr>
          <w:rFonts w:ascii="Amiri" w:hAnsi="Amiri" w:eastAsia="Amiri" w:cs="Amiri"/>
          <w:color w:val="111111"/>
          <w:sz w:val="28"/>
          <w:sz w:val="28"/>
          <w:szCs w:val="28"/>
          <w:rtl w:val="true"/>
          <w:lang w:bidi="ar-SA"/>
        </w:rPr>
        <w:t>أم مركزه اللّباس، فيعتبر أن لا يكون لباس المُصلّي من جنس ما لا يؤكل‌؟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فإنّ النصوص كموثّق ابن بكير المتقدّم وغيره متطابقة من جهة ما فيها من التعبير بالصَّلاة فيما لا يؤكل لحمه، وأنّه لا يُصلّى فيه على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كونه قيداً للمصلّي، هو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منها شيئاً تصلّون فيه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 وهو لا يدلّ عليه، فإنّه غير متضمّن للنهي عن لبسه في حال الصَّلاة، بل متضمّن للنهي عن الصَّلاة في حال اللّبس، والفرق بين التعبيرين </w:t>
      </w:r>
      <w:bookmarkStart w:id="350" w:name="pg11799_136155"/>
    </w:p>
    <w:p>
      <w:pPr>
        <w:pStyle w:val="BookText"/>
        <w:rPr/>
      </w:pPr>
      <w:bookmarkEnd w:id="350"/>
      <w:r>
        <w:rPr>
          <w:rFonts w:ascii="Amiri" w:hAnsi="Amiri" w:eastAsia="Amiri" w:cs="Amiri"/>
          <w:color w:val="111111"/>
          <w:sz w:val="28"/>
          <w:sz w:val="28"/>
          <w:szCs w:val="28"/>
          <w:rtl w:val="true"/>
          <w:lang w:bidi="ar-SA"/>
        </w:rPr>
        <w:t>واضح، وهو أيضاً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وقوع غير المأكول ظرفاً للصّلاة إلّاباعتبار كونه وصفاً للمصلّي، لا ينافي ذلك، فالأظهر كونه قيداً للصَّلاة وهي مركز القيد</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0444576_73709187"/>
      <w:bookmarkStart w:id="352" w:name="_Toc135"/>
      <w:bookmarkEnd w:id="351"/>
      <w:r>
        <w:rPr>
          <w:rtl w:val="true"/>
        </w:rPr>
        <w:t>المانع هو عنوان محرّم الأكل أو معروضه</w:t>
      </w:r>
      <w:bookmarkEnd w:id="352"/>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بين الأصحاب من أنّ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عنوان محرّم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معروضه من العناوين الخاصّة، كالأسد والأرنب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هما معاً بنحوٍ يكون كلُّ منهما جزء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 كلّاً منهما موضوعٌ مستقلّ؟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طائفة من النصوص، كموثّق ابن بكير المتضمّن للحكم بفساد الصَّلاة الواقعة في أجزاء ما لا يؤكل لحمه هو الأوّل، وهي المدرك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طائفةٍ اُخرى‌، وهي ما تتضمّن النهي عن الصَّلاة في العناوين الخاصّة هو الثاني، والثانية وإنْ كانت أخصّ من الأُولى‌، إلّاأنّه حيث لا تنافي بينهما لأنهما متوافقان، ولا يحمل المطلق على المقيّد فيهما، فالمتعيّن هو القول الرابع، وبقيّة الأقوال ساقطة كما لا يخفى‌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اخترناه، أنّ الحيوان المحرّم بالعارض كالموطوء، وشارب لبن الخنزيرة، والجلّال، ما دام لم يستبرء، مشمولٌ لهذه الأدلّة، لإطلاق الطائفة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والغريبُ ما نُسِبَ إلى المحقّق النائيني رحمه الله</w:t>
      </w:r>
      <w:r>
        <w:rPr>
          <w:rStyle w:val="FootnoteAnchor"/>
          <w:rtl w:val="true"/>
        </w:rPr>
        <w:footnoteReference w:id="651"/>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تكون حرمته العرضيّة دائميّة كالأولين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تكون قابلة للزوال كالأخير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باختيار شمول الأدلّة للأوّل دون الثاني، نظراً إلى أنّ الجمع بين الطائفتين يقتضي الالتزام بكون الموضوع هو العنوان والمعنون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الجواز في الموردين، لعدم جزء الموضوع وهو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حَرُم لا بما هو حيوانٌ بل بعنوان آخر، كما لو حلف على ترك أكل حيوانٍ خاص، أو كان مغصوباً، لا يكون مشمولاً لها،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الايرواني رحمه الله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الأدلّة الاختصاص بالمحرّم بالحرمة الذاتيّة، بدعوى أنّها ظاهرة في التفصيل القاطع للشركة، وأنّ ما يجوز الصَّلاة فيه يجوز أبداً، وما لا يجوز لا يجوز كذلك، من غير أن يكون الحيوان الواحد داخلاً في عنوان الجواز تارةً وفي عنوان المنع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الأدلّة كسائر الأدلّة دوران الحكم مدار فعليّة موضوعه وجوداً وعدماً، فإذا كانت الحرمة متبدّلة، ويكون حيوانٌ واحدٌ محرّماً تارةً ومحلّلاً اُخرى، لا مانع من الالتزام بجواز الصَّلاة في أجزائه تارةً وعدمه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إنّما يكون بين محرّم الأكل ومحلّله، لا بين المعنونات، فتدبّر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3" w:name="pg11799_136157"/>
    </w:p>
    <w:p>
      <w:pPr>
        <w:pStyle w:val="Heading6"/>
        <w:numPr>
          <w:ilvl w:val="5"/>
          <w:numId w:val="1"/>
        </w:numPr>
        <w:rPr/>
      </w:pPr>
      <w:bookmarkStart w:id="354" w:name="__RefHeading___Toc10444578_73709187"/>
      <w:bookmarkStart w:id="355" w:name="_Toc136"/>
      <w:bookmarkEnd w:id="353"/>
      <w:bookmarkEnd w:id="354"/>
      <w:r>
        <w:rPr>
          <w:rtl w:val="true"/>
        </w:rPr>
        <w:t>المقصد الأوّل الاستدلال للجواز بالأدلّة الاجتهاديّة</w:t>
      </w:r>
      <w:bookmarkEnd w:id="355"/>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الأدلّة الاجتهاديّة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للجواز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موضوعة أو مستعملة في المعاني المعلومة، 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من أجزائه، فيكون العلم دخيلاً في المانعيّة، ويكون المشتبه خارجاً عن موضوع المانعيّة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موضوعة للمعاني النفس الأمريّة الواقعيّة لا المعلومة كما حُقّق في الاُصول</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موضوعة للمعاني المعلومة، كانت موضوعة للمعلومة عند المتكلّم، لا المعلومة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المتيقّن في مقام التخاطب، في النصوص المتضمّنة للنهي عن الصَّلاة في أجزاء ما لا يؤكل لحمه، وهي الأشياء المعلوم جزئيّتها له، فلا ينعقد لها إطلاق ليشمل الأفراد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قدر متيقّن في مقام التخاطب، لأنّ نسبة الطبيعة إلى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المعلوم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واحدة، وعلمنا وجهلنا لا يجعلان بعضها متيقّناً بالإضافة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في مقام التخاطب، لا يمنع عن انعقاد الإطلاق كما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القُمّي رحمه الله</w:t>
      </w:r>
      <w:r>
        <w:rPr>
          <w:rStyle w:val="FootnoteAnchor"/>
          <w:rtl w:val="true"/>
        </w:rPr>
        <w:footnoteReference w:id="654"/>
      </w:r>
      <w:r>
        <w:rPr>
          <w:rFonts w:ascii="Amiri" w:hAnsi="Amiri" w:eastAsia="Amiri" w:cs="Amiri"/>
          <w:color w:val="111111"/>
          <w:sz w:val="28"/>
          <w:sz w:val="28"/>
          <w:szCs w:val="28"/>
          <w:rtl w:val="true"/>
          <w:lang w:bidi="ar-SA"/>
        </w:rPr>
        <w:t>من التمسّك بصحيح عبد 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وفي ثوبه عَذَرة من إنسانٍ أو سنّور أو كلبٍ‌، أيُعيدُ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لا يُعقل اجتماع المانعيّة المطلقة والإجزاء في صورة الجهل، إذ مقتضى الإطلاق الشامل لحال الجهل، هو عدم الإجزاء، فالصحيح المتضمّن للإجزاء في تلك الحالة يقيّد إطلاق دليل المانعيّة ويخصّصه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الذي حُكم عليه بالإجزاء، هو ما إذا أوقع الصَّلاة في أجزاء ما لا يؤكل جهلاً، فيعتبر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عن جهلٍ مركّب، أو بسيط مع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هو مورد الشكّ قبل الصَّلاة، فالصحيح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أيضاً</w:t>
      </w:r>
      <w:r>
        <w:rPr>
          <w:rStyle w:val="FootnoteAnchor"/>
          <w:rtl w:val="true"/>
        </w:rPr>
        <w:footnoteReference w:id="656"/>
      </w:r>
      <w:r>
        <w:rPr>
          <w:rFonts w:ascii="Amiri" w:hAnsi="Amiri" w:eastAsia="Amiri" w:cs="Amiri"/>
          <w:color w:val="111111"/>
          <w:sz w:val="28"/>
          <w:sz w:val="28"/>
          <w:szCs w:val="28"/>
          <w:rtl w:val="true"/>
          <w:lang w:bidi="ar-SA"/>
        </w:rPr>
        <w:t>وهو ظهور الأدلّة والإطلاقات الدالّة على المانعيّة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توجيه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هذا الاستظهار إمّا الإنصراف، أو التقييد العقلي، من ناحية أنّ لسان دليل مانعيّته ليس لسان الوضع كي يصحّ دعوى إطلاقه لصورة العجز والجهل، بل لسان التكليف وهو كما يختصّ بمورد القدرة، لإمتناع الانبعاث والتحرّك في فرض العجز، كذلك يختصّ بصورة العلم، إذ في فرض الجهل لا يمكن الانبعاث والانزجار، فيلغى البعث والزجر، لأنّه لا يصدر من الحكيم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ممنوعٌ‌، والتقييد العقلي لا يتمّ في صورة الشكّ التي هي محلّ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فإنّه في تلك الصورة يمكن الإنبعاث والإنزجار بالاحتياط فيصحّ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دليل المانعيّة وإنْ كان بلسان التكليف، إلّاأنّه إرشادٌ إلى المانعيّة، فحاله حال ما يكون لسانه الوضع،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الفاضل النراقي رحمه الله</w:t>
      </w:r>
      <w:r>
        <w:rPr>
          <w:rStyle w:val="FootnoteAnchor"/>
          <w:rtl w:val="true"/>
        </w:rPr>
        <w:footnoteReference w:id="657"/>
      </w:r>
      <w:r>
        <w:rPr>
          <w:rFonts w:ascii="Amiri" w:hAnsi="Amiri" w:eastAsia="Amiri" w:cs="Amiri"/>
          <w:color w:val="111111"/>
          <w:sz w:val="28"/>
          <w:sz w:val="28"/>
          <w:szCs w:val="28"/>
          <w:rtl w:val="true"/>
          <w:lang w:bidi="ar-SA"/>
        </w:rPr>
        <w:t xml:space="preserve">من أنّ الحرام الذي لايجوز الصَّلاة في أجزائه، مختصٌّ بالحرام المعلوم، إذ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الحرمة الفعليّة المنجّزة المتوقّفة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الحرمة، هي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كون حيوانٍ معيّنٍ حلالاً، والآخر حراماً، وشكّ في أنّ الشعر من أيّهما، تكون الحرمة حينئذٍ منجّزة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المأخوذ في الموضوع، هي العناوين الخاصّة أيضاً كالأرنب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للفاضل النراقي رحمه الله أيضاً</w:t>
      </w:r>
      <w:r>
        <w:rPr>
          <w:rStyle w:val="FootnoteAnchor"/>
          <w:rtl w:val="true"/>
        </w:rPr>
        <w:footnoteReference w:id="658"/>
      </w:r>
      <w:r>
        <w:rPr>
          <w:rFonts w:ascii="Amiri" w:hAnsi="Amiri" w:eastAsia="Amiri" w:cs="Amiri"/>
          <w:color w:val="111111"/>
          <w:sz w:val="28"/>
          <w:sz w:val="28"/>
          <w:szCs w:val="28"/>
          <w:rtl w:val="true"/>
          <w:lang w:bidi="ar-SA"/>
        </w:rPr>
        <w:t>من أنّ إطلاق أدلّة السَّتر يدلّ علي كفاية السّتر بكلّ شيءٍ‌، والمتيقّن خروجه ما عُلم أنّه من أجزاء ما لا يؤكل لحمه، والباقي باقٍ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لشيءٍ منها، لعدم ورود شيء منها في مقام بيان كيفيّة السّتر، بل هي في مقام بيان أصل وجوب السّتر، وما يجب أنْ يُستر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بما دلَّ على مانعيّة غير المأكول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فالتمسّك بالإطلاق في مورد الشكّ‌، يعدّ تمسّكاً بالعام في الشبهة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المصداقيّة، وهو لا يجوز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بإطلاق ما يدلّ على جوازها فيما أُخذ من يد المسلم وما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يد المسلم وما يلحق به، إنّما يكون فيما شُكّ في ملكيّته أو تذكيته، ولا دليل على أماريّتها لغير ذلك، بعد فرض كون ما لا يؤكل لحمه، يجوز لبسه وسائر التصرّفات فيه، وما ورد في الموارد الخاصّة كالفراء، بما أنّه من قبيل القضيّة الخارجيّة لا الحقيقيّة، يتوقّف شموله للمقام على إحراز كون ما سأل عنه ولو في موردٍ مشكوكاً فيه من هذه الجهة أيضاً،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استلزام النزع حال الصَّلاة للحَرَج المنفي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واضح الدفع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وأهون منه الوجه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دعوى قيام السيرة العمليّة على عدم التحرّز عن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ببعض وجوه أخر واضحة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الاجتهاديّة ما يمكن أن يُستدلّ به للجواز</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56" w:name="pg11799_136161"/>
    </w:p>
    <w:p>
      <w:pPr>
        <w:pStyle w:val="Heading6"/>
        <w:numPr>
          <w:ilvl w:val="5"/>
          <w:numId w:val="1"/>
        </w:numPr>
        <w:rPr/>
      </w:pPr>
      <w:bookmarkStart w:id="357" w:name="__RefHeading___Toc10444580_73709187"/>
      <w:bookmarkStart w:id="358" w:name="_Toc137"/>
      <w:bookmarkEnd w:id="356"/>
      <w:bookmarkEnd w:id="357"/>
      <w:r>
        <w:rPr>
          <w:rtl w:val="true"/>
        </w:rPr>
        <w:t>المقصد الثاني فيما تقتضيه الاُصول الموضوعيّة</w:t>
      </w:r>
      <w:bookmarkEnd w:id="358"/>
    </w:p>
    <w:p>
      <w:pPr>
        <w:pStyle w:val="Heading6"/>
        <w:numPr>
          <w:ilvl w:val="5"/>
          <w:numId w:val="1"/>
        </w:numPr>
        <w:rPr/>
      </w:pPr>
      <w:bookmarkStart w:id="359" w:name="__RefHeading___Toc10444582_73709187"/>
      <w:bookmarkStart w:id="360" w:name="_Toc138"/>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جريان الاستصحاب في الأعدام الأزليّة</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الاُصول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بها لجواز الصَّلاة في المشتبه بوجوه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0444584_73709187"/>
      <w:bookmarkStart w:id="362" w:name="_Toc139"/>
      <w:bookmarkEnd w:id="361"/>
      <w:r>
        <w:rPr>
          <w:rtl w:val="true"/>
        </w:rPr>
        <w:t>جريان الاستصحاب في الأعدام الأزليّة</w:t>
      </w:r>
      <w:bookmarkEnd w:id="362"/>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كون المشكوك فيه جزءً ممّا لا يؤكل، الثابت قبل وجوده، بتقريب أنّه قبل وجود الحيوان وأجزائه كانت هي واتّصافها بكونها أجزاء ممّا لا يؤكل معدومة في الخارج، وقد عُلم انقلاب أنفسها إلى الوجود، ويُشكّ في انقلاب عدم الاتّصاف، فيحكم ببقائه على ما كان، ويعبّر عن هذا باستصحاب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تنقيح القول في أنّ هذا الأصل هل يجري مطلقاً كما عن المحقّق الخراساني رحمه الله</w:t>
      </w:r>
      <w:r>
        <w:rPr>
          <w:rStyle w:val="FootnoteAnchor"/>
          <w:rtl w:val="true"/>
        </w:rPr>
        <w:footnoteReference w:id="6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يجري كذلك، كما عن المحقّق النائيني رحمه الله</w:t>
      </w:r>
      <w:r>
        <w:rPr>
          <w:rStyle w:val="FootnoteAnchor"/>
          <w:rtl w:val="true"/>
        </w:rPr>
        <w:footnoteReference w:id="6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هناك تفصيل كما ذهب إليه بعض الأساطين</w:t>
      </w:r>
      <w:r>
        <w:rPr>
          <w:rStyle w:val="FootnoteAnchor"/>
          <w:rtl w:val="true"/>
        </w:rPr>
        <w:footnoteReference w:id="662"/>
      </w:r>
      <w:r>
        <w:rPr>
          <w:rFonts w:ascii="Amiri" w:hAnsi="Amiri" w:eastAsia="Amiri" w:cs="Amiri"/>
          <w:color w:val="111111"/>
          <w:sz w:val="28"/>
          <w:sz w:val="28"/>
          <w:szCs w:val="28"/>
          <w:rtl w:val="true"/>
          <w:lang w:bidi="ar-SA"/>
        </w:rPr>
        <w:t>؟ يترتّب عليه فوائد مهمة، فلا بأس بتنقيح القول فيه، وهو يتوقّف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أو المتعلّق إذا كان مركّباً من اُمور متعدّدة له أقسام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مركّباً من جوهرين، أو من عَرَضين، أو من جوهرٍ وعَرَضٍ ثابت، ولو في غير ذلك الجوهر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مركّباً من العرض ومحلّه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مركّباً من المعروض وعدم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الدخيل هو ذوات أجزاء المركّب، أي كلّ واحدٍ من تلك الاُمور المأخوذة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الوجودات التوأمة بلا دخلٍ لعنوان آخر، من قبيل عنوان اجتماعهما في الوجود أو غير ذلك في الموضوع أو المتعلّق، ولذا إذا كان بعضها محرزاً بالوجدان، والآخر مستصحباً، يترتّب عليه الأثر، كما لو فرضنا أنّ موضوع وجوب الإكرام هو العالم في يوم الجمعة، فلو اُحرز كون اليوم يوم الجمعة، واستصحب عالميّة زيد، التي هي متيقّنة سابقاً ومشكوكة لاحقاً، وترتّب عليه الأثر وهو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استصحاب عدم المركّب، لا لأنّ الشكّ في بقاء عدم المركّب مسبّبٌ عن الشكّ في وجود أجزائه، فإذا جرى الأصل فيها لا تصل النوبة إلى جريان الأصل في المسبّب، كما عن المحقّق النائيني رحمه الله</w:t>
      </w:r>
      <w:r>
        <w:rPr>
          <w:rStyle w:val="FootnoteAnchor"/>
          <w:rtl w:val="true"/>
        </w:rPr>
        <w:footnoteReference w:id="663"/>
      </w:r>
      <w:r>
        <w:rPr>
          <w:rFonts w:ascii="Amiri" w:hAnsi="Amiri" w:eastAsia="Amiri" w:cs="Amiri"/>
          <w:color w:val="111111"/>
          <w:sz w:val="28"/>
          <w:sz w:val="28"/>
          <w:szCs w:val="28"/>
          <w:rtl w:val="true"/>
          <w:lang w:bidi="ar-SA"/>
        </w:rPr>
        <w:t>، إذ السببيّة في المقام ليست شرعيّة، فلا يكون الأصل في السبب حاكماً على الأصل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المركّب من حيث أنّه مركّبٌ بوصف الاجتماع، لا يكون موضوعاً للحكم، وإنّما هو مترتّبٌ على ذوات الأجزاء المجتمعة، ولا شكّ فيها بعد ضمّ الوجدان إلى الأصل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وصف المقارنة أو غيره دخيلاً في الحكم، يجري استصحاب العدم، ويترتّب عليه عدم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يعارَض باستصحاب وجود الجزء وضمّه إلى الوجدان،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يؤخذ الموضوع هو المعروض المتّصف بذلك العرض، لا مجرّد وجود المعروض والعَرَض واجتماعهما في الوجود، وذلك لأنّ وجود العَرَض في نفسه وجودٌ في الغير، وعين وجوده لموضوعه،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وجود العرض في الموضوع بما هو شيءٌ في نفسه، ولم يلاحظ كونه في الغير ووصفاً له، خرج عن هذا القسم ودخل في القسم الأوّل، ولابدّ من الالتزام بترتّب الأثر، وإنْ كان العرض موجوداً في غير هذا الموضوع،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بما هو قائمٌ بالذّات وعَرَضٌ‌، فلا محالة يعتبر العَرَض نعتاً، ففي ترتّب الحكم لابدّ من إحراز اتّصاف الموضوع بالعرض، زائداً على إحراز وجود الوضوع ووجود العرض، وفي مثل ذلك لا يمكن إجراء الاستصحاب وإحراز الموضوع، إلّا إذا كان الوصف بوصف كونه نعتاً مسبوقاً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مترتّباً على عدم الوصف بنحو النعتيّة، وبنحو الموجبة المعدولة، ويكون العدم رابطيّاً، بمعنى أخذ الخصوصيّة فيه ملازمةً لعدم العَرَض، وإلّا فلا معنى لكون العدم نعتاً ومنتسباً ومرتبطاً بشيء، فإنّ الارتباط والنسبة من شؤون الوجود، وفي مثل ذلك لا مورد لجريان الاستصحاب في العدم، وإحراز الموضوع بضمّ الوجدان إلى الأصل ما لم يكن العدم بوصف النعتيّة مسبوقاً باليقين، إذ لا يثبت به العدم النعتي، لكون المستصحَب هو العَدمُ المحمولي، وإثبات العدم النعتي به يعدّ من قبيل الأصل المثبت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 الحكم بالتحيّض إلى خمسين عاماً هي المرأة المتّصفة بأنّها غير قرشيّة، لا يجدي استصحاب عدم القرشيّة المتحقّق قبل وجود المرأة، </w:t>
      </w:r>
    </w:p>
    <w:p>
      <w:pPr>
        <w:pStyle w:val="BookText"/>
        <w:rPr/>
      </w:pPr>
      <w:r>
        <w:rPr>
          <w:rFonts w:ascii="Amiri" w:hAnsi="Amiri" w:eastAsia="Amiri" w:cs="Amiri"/>
          <w:color w:val="111111"/>
          <w:sz w:val="28"/>
          <w:sz w:val="28"/>
          <w:szCs w:val="28"/>
          <w:rtl w:val="true"/>
          <w:lang w:bidi="ar-SA"/>
        </w:rPr>
        <w:t>لأنّه لا يُثبت به اتّصاف هذه المرأة بغير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الدخيل في الموضوع هو العدم المحمولي، بل هذا النحو هو الظاهر من القضايا المتضمّنة لأخذ العدم في الموضوع، فإنّ وجود العَرَض في نفسه وإنْ كان عين وجوده لموضوعه، إلّاأنّ عدم العَرَض ليس كذلك، ولا يلزم أن يكون نعتاً، بل هو إنّما يكون بعدم نسبته إلى موضوعه، وعدم تحقّق العرض بنفسه، فلا يعتبر فيه ملاحظة النسبة بينه وبين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وإنْ كان مأخوذاً في طرف الوجود، إلّاأنّه لا يكون مأخوذاً في طرف العدم، وعلى ذلك فأخذ عدم العَرَض في الموضوع إنّما يكون بالطبع بأخذه على ما هو عليه من كونه عدماً محموليّاً لا عدماً نعتيّاً، وفي مثل ذلك يجري الاستصحاب في عدم الوصف، الثابت قبل وجود الموضوع والمعروض، ويُحرز الموضوع بضمّ الوجدان إلى الأصل، ويترتّب عليه الحكم، مثلاً إذا كان موضوع التحيّض إلى خمسين عاماً، المرأة التي لا تكون متّصفة بالقرشيّة، فباستصحاب عدم تحقّق الانتساب بينها وبين قريش المتحقّق قبل وجود المرأة، وضمّه إلى ما هو محرَزٌ بالوجدان، وهو وجود المرأة، يثبت الحكم ويترتّب عليه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أُحرز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موردٍ أنّ المأخوذ في الموضوع هل هو العدم المحمولي أو العدم النعتي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664"/>
      </w:r>
      <w:r>
        <w:rPr>
          <w:rFonts w:ascii="Amiri" w:hAnsi="Amiri" w:eastAsia="Amiri" w:cs="Amiri"/>
          <w:color w:val="111111"/>
          <w:sz w:val="28"/>
          <w:sz w:val="28"/>
          <w:szCs w:val="28"/>
          <w:rtl w:val="true"/>
          <w:lang w:bidi="ar-SA"/>
        </w:rPr>
        <w:t>، بأنّ الاعتبارين متباينان، فليس أحدهما متيقّناً والآخر مشكوكاً فيه، فلا يمكن ترتيب أثر أحدهما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اعتباره نعتاً يحتاج إلى عنايةٍ زائدة، بأن يؤخذ في الذّات خصوصيّة ملازمة لعدم الوصف، لما عرفت من أنّ العدم من حيثُ هو لا معنى لإنتسابه وارتباطه، فإنّهما من شؤون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لم يدلّ دليلٌ على أخذه كذلك، يتعيّن حمله على أنّ المأخوذ هو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وورد خاص، وكان عنوان الخاص من قبيل الأوصاف،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تحيضُ إلى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القرشيّة تحيض إلى ستّين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يكون كاشفاً عن تقييد المراد الواقعي، وعدم جعل الحكم للخاص من أوّل الأمر واقعاً، ولازم ذلك أنّ ما ثبت له الحكم واقعاً هو المقيّد، وملحوظاً بنحو التقييد، إذ مع عدم الإهمال في الواقع وعدم الإطلاق، يتعيّن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العراقي رحمه الله</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من عدم تعنون العام من جهة التخصيص، بأنّ خروج فرد كموته في الخارج، فكما أنّ الموت يوجبُ قصر الحكم على الأفراد الباقية، من دون أن يعنون عنوان العام بعنوان آخر زائداً على ما كان عليه، كذلك إذا خرج فردٌ عن تحت العام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التخصيص إنّما يوجب تضييق الموضوع في مقام الجعل، وأنّه لم يُجعل إلّاعلى أفراد لا تكون داخلة تحت دليل الخاص، وهذا بخلاف الموت، فإنّه يوجبُ عدم فعليّة الحكم، من دون أن يوجب تصرّفاً في مقام الجعل، وهذا هو الفارق بينهما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دليل الخاص لا يوجبُ تقييد العام بكونه متّصفاً بعدم ذلك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ليكون الموضوع مركّباً من الذّات وعدم الوصف بنحو العدم النعتي، كي لا يُجدي استصحاب عدمه الثابت قبل وجود الذّات، وذلك فإنّ غاية ما يلزم من التخصيص، وخروج عنوانٍ عن تحت دليل العام، كونه غير مطلق بالإضافة إلى وجود ذلك الوصف، ولا مقيّدٍ بوجوده ولا مهمل، بل مقيّداً بعدم اتّصافه بوجوده، وأمّا زائداً على ذلك بأن يعتبر النسبة بين الذّات والعدم بالنحو المعقول، فدليل التخصيص لا يدلّ عليه، فلا وجه لإعتباره، والبرهان المتقدّم على أنّ لازم أخذ عدم العَرَض في الموضوع أو المتعلّق دخله فيه على نحو العدم النعتي،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المحقّق النائيني رحمه الله</w:t>
      </w:r>
      <w:r>
        <w:rPr>
          <w:rStyle w:val="FootnoteAnchor"/>
          <w:rtl w:val="true"/>
        </w:rPr>
        <w:footnoteReference w:id="666"/>
      </w:r>
      <w:r>
        <w:rPr>
          <w:rFonts w:ascii="Amiri" w:hAnsi="Amiri" w:eastAsia="Amiri" w:cs="Amiri"/>
          <w:color w:val="111111"/>
          <w:sz w:val="28"/>
          <w:sz w:val="28"/>
          <w:szCs w:val="28"/>
          <w:rtl w:val="true"/>
          <w:lang w:bidi="ar-SA"/>
        </w:rPr>
        <w:t>برهاناً عليه، بأنّه إذا كان دليل التخصيص كاشفاً عن تقييدٍ ما، ورافعاً لإطلاق العام، فلابدّ وأنْ يكون ذلك باعتبار أوصافه ونعوته التي يكون انقسام العام باعتبارها في مرتبةٍ سابقة على انقسامه باعتبار مقارناته، فيرجع التقييد إلى التقييد بالعدم النعتي، إذ لو كان راجعاً إلى التقييد بعدم المقارنة للوصف على نحو 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ذلك مع بقاء الإطلاق بالنسبة إلى كون العدم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ذلك مع التقييد بالإضافة إلى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التدافع بين الإطلاق من جهة العدم النعتي، والتقييد بالعدم المحمولي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لغويّة التقييد بالعدم المحمولي، لكفاية التقييد بالعدم النعتي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 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تحقّق العام، يكون كلٍّ من العدمين ملازماً للآخر خارجاً، فلا يبقى مجالٌ مع التقييد بأحدهما للتقييد بالآخر أو الإطلاق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انقسام العام بالإضافة إلى نعوته وأوصافه، وإنْ هو في مرتبة سابقة على انقسامه بالإضافة إلى مقارناته في طبعه، إلّاأنّ كونه كذلك في مقام الدخل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لحاظ المولى وفي مقام 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وعليه فعين البرهان المتقدّم يجري لو قُيّد العام بالعدم النعتي، ويقال إنّ العام بالإضافة إلى العدم المحمولي مطلقٌ أو مقيّد، وكلاهما باطلٌ‌، والحَلّ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يختار الشقّ الأوّل، على فرض التنزّل، وهو كونه مطلقاً بالإضافة إلى العدم النعتي، وليس معنى الإطلاق دخل جميع القيود في الحكم حتّى يلزم التدافع، بل معناه رفض القيود، فلا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تمهيد هاتين المقدّمتين، تعرف أنّ خروج الخارج عن تحت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المثال عنوان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أخذ عدم ذلك العنوان في طرف العام على نحو التقييد بعدم اتّصاف المرأة بذلك الوصف، فيكون الباقي بعد التخصيص هي المرأة التي لا تكون متّصفة بالقَرَشيّة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شُكّ في كون امرأة قرشيّة، لا مانع من التمسّك باستصحاب عدم القرشيّة المتحقّق قبل تولّد المرأة، بنحو السالبة بانتفاء الموضوع، فيثبت الموضوع المركّب من وجود المرأة وعدم اتّصافها بالوصف، الذي هو الموضوع للعام بعد التخصيص</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نحن فيه، إذا فرض وجود الصُّوف في الخارج، وشُكّ في كونه من غير </w:t>
      </w:r>
    </w:p>
    <w:p>
      <w:pPr>
        <w:pStyle w:val="BookText"/>
        <w:rPr/>
      </w:pPr>
      <w:r>
        <w:rPr>
          <w:rFonts w:ascii="Amiri" w:hAnsi="Amiri" w:eastAsia="Amiri" w:cs="Amiri"/>
          <w:color w:val="111111"/>
          <w:sz w:val="28"/>
          <w:sz w:val="28"/>
          <w:szCs w:val="28"/>
          <w:rtl w:val="true"/>
          <w:lang w:bidi="ar-SA"/>
        </w:rPr>
        <w:t>المأكول، فإنّ مقتضى الأصل عدم تحقّقه، فيثبت الموضوع المركّب من الذّات وعدم اتّصافه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الوجه يتمّ بناءً على المانعيّة، بأنْ يكون الجمع بين الأدلّة مقتضياً، لأنّ المعتبر في الصَّلاة هو وجود السّاتر، وأنْ لايكون من غير المأكول، كما هو الحقّ على ما عرفت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الشرطيّة، واعتبار كون السّاتر من ما يؤكل فلا يتمّ‌، فإنّه لا يثبت به أنّه غير ما لايؤكل</w:t>
      </w:r>
      <w:r>
        <w:rPr>
          <w:rFonts w:eastAsia="Amiri" w:cs="Amiri" w:ascii="Amiri" w:hAnsi="Amiri"/>
          <w:color w:val="111111"/>
          <w:sz w:val="28"/>
          <w:szCs w:val="28"/>
          <w:rtl w:val="true"/>
          <w:lang w:bidi="ar-SA"/>
        </w:rPr>
        <w:t>.</w:t>
      </w:r>
      <w:bookmarkStart w:id="363" w:name="pg11799_136169"/>
    </w:p>
    <w:p>
      <w:pPr>
        <w:pStyle w:val="Heading6"/>
        <w:numPr>
          <w:ilvl w:val="5"/>
          <w:numId w:val="1"/>
        </w:numPr>
        <w:rPr/>
      </w:pPr>
      <w:bookmarkStart w:id="364" w:name="__RefHeading___Toc10444586_73709187"/>
      <w:bookmarkStart w:id="365" w:name="_Toc140"/>
      <w:bookmarkEnd w:id="363"/>
      <w:bookmarkEnd w:id="364"/>
      <w:r>
        <w:rPr>
          <w:rtl w:val="true"/>
        </w:rPr>
        <w:t>أصالة عدم لبس غير المأكول</w:t>
      </w:r>
      <w:bookmarkEnd w:id="365"/>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استدلّ بها للجواز؛ استصحاب عدم كون المُصلّي لابساً لغير المأكول، الثابت قبل لبسه للمشكوك فيه، فيترتّب عليه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يجري هذا الأصل لو كان مركز القيد هو المُصلّي، ولكن قد عرفت في الأمر السابع من المقدّمة منعه، وأنّ مركزه الصَّلاة، وعليه فلا يجري هذا الأصل، لأنّه لا يثبت به وقوع الصَّلاة في غير ما لا يؤكل، وعدم اتّصافها بوقوعها فيما لا يؤكل إلّاعلى القول بالأصل المثبت،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المسلك المختار إذا لبس المُصلّي أثناء صلاته ما يَشكّ في كونه من أجزاء ما لا يؤكل لحمه، جرى في حقّه استصحاب عدم اتّصاف الصَّلاة بوقوعها في غير المأكول ولزم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المانع والقاطع في جريان الاستصحاب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ما أفاده كما عن المحقّق النائيني رحمه الله</w:t>
      </w:r>
      <w:r>
        <w:rPr>
          <w:rStyle w:val="FootnoteAnchor"/>
          <w:rtl w:val="true"/>
        </w:rPr>
        <w:footnoteReference w:id="668"/>
      </w:r>
      <w:r>
        <w:rPr>
          <w:rFonts w:ascii="Amiri" w:hAnsi="Amiri" w:eastAsia="Amiri" w:cs="Amiri"/>
          <w:color w:val="111111"/>
          <w:sz w:val="28"/>
          <w:sz w:val="28"/>
          <w:szCs w:val="28"/>
          <w:rtl w:val="true"/>
          <w:lang w:bidi="ar-SA"/>
        </w:rPr>
        <w:t>يتوقّف على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المركّبات التكوينيّة على قسمين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الحقيقي، وهو الذي يكون له وحدة حقيقيّة، وصورة نوعيّة واحدة، وتكون أجزاءه باقية في الخارج بموادها لا بصورها النوعيّة كالياقوت، فالمركّب منها واحدٌ حقيقي في الخارج، متكثّر بالتحليل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الاعتباري، وهو الذي تكون أجزاءه محفوظة بصورها النوعيّة، ولا تكون له الوحدة إلّابالاعتبار، كالعسكر المركّب من جماعة مجتمعة، فهو متكثّرٌ حقيقي وواحدٌ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المركّبات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بالمركّب الحقيقي، وهو الذي اعتبر فيه جزءٌ صوري محيط بأجزائه التدريجيّة المنصرمة، يوجد ذلك الجزء الصوري شيئاً فشيئاً بابتداء أوّل جزءٍ من المركّب، وينتهي بانتهاء آخر أجزائه، وذلك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بالمركّب الاعتباري، وهو الذي لم يعتبر فيه جزءٌ صوري، ويكون هو نفس الأجزاء المتكثّرة الخارجيّة، وذلك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يُؤخذ أمرٌ عدمي قيداً للأجزاء المادّيّة، فهو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يؤخذ قيداً للجزء الصوري، وهو المعبّر عنه بالقاطع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فالمانع ما يوجب الإخلال بالأجزاء المادّيّة، والقاطع ما يوجب الإخلال بالجزء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فإذا شُكّ في وجود المانع أو مانعيّة الموجود لا مجال لجريان الاستصحاب لعدم بقاء الموضوع، لأنّ الأجزاء المتغايرة المتباينة إذا كانت السابقة منها غير مقترنة بالمانع يقيناً فشكّ بعد لبس ما يُشكّ في كونه من غير المأكول من اقتران الأجزاء اللّاحقة به، يكون المتيقّن غير المشكوك فيه، فلا يجري الاستصحاب لتغاير الموضوع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القاطع، فمع الشكّ في حدوثه، يصحّ استصحاب بقاء الجزء الصوري، لكونه أمراً واحداً ممتدّاً من أوّل الصَّلاة إلى آخرها، نظير استصحاب الطهارة عند </w:t>
      </w:r>
    </w:p>
    <w:p>
      <w:pPr>
        <w:pStyle w:val="BookText"/>
        <w:rPr/>
      </w:pPr>
      <w:r>
        <w:rPr>
          <w:rFonts w:ascii="Amiri" w:hAnsi="Amiri" w:eastAsia="Amiri" w:cs="Amiri"/>
          <w:color w:val="111111"/>
          <w:sz w:val="28"/>
          <w:sz w:val="28"/>
          <w:szCs w:val="28"/>
          <w:rtl w:val="true"/>
          <w:lang w:bidi="ar-SA"/>
        </w:rPr>
        <w:t>الشكّ في ناقضيّة المذي 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توجيه ما أفاده من اعتبار الجزء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للصَّلاة التي تكون مركّبة من أجزاء متغايرة، وحدة اعتباريّة، وهي موجودة بوجودٍ واحد اعتباري افتتاحها التكبير واختتامها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دليل مانعيّة غير المأكول، اعتبار عدم وقوع هذا الواحد في ذلك المانع أو معه، لا اعتبار عدمه في كلّ جزءٍ بما هو جزء، ولذا لو وقع المانع في الآنات المتخلّلة بطل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فصحّ أنْ يُقال هذا الواحد أوّل وجوده لم يكن متّصفاً بوقوعه في غير المأكول، والآن كما كان</w:t>
      </w:r>
      <w:r>
        <w:rPr>
          <w:rFonts w:eastAsia="Amiri" w:cs="Amiri" w:ascii="Amiri" w:hAnsi="Amiri"/>
          <w:color w:val="111111"/>
          <w:sz w:val="28"/>
          <w:szCs w:val="28"/>
          <w:rtl w:val="true"/>
          <w:lang w:bidi="ar-SA"/>
        </w:rPr>
        <w:t>.</w:t>
      </w:r>
      <w:bookmarkStart w:id="366" w:name="pg11799_136172"/>
    </w:p>
    <w:p>
      <w:pPr>
        <w:pStyle w:val="Heading6"/>
        <w:numPr>
          <w:ilvl w:val="5"/>
          <w:numId w:val="1"/>
        </w:numPr>
        <w:rPr/>
      </w:pPr>
      <w:bookmarkStart w:id="367" w:name="__RefHeading___Toc10444588_73709187"/>
      <w:bookmarkStart w:id="368" w:name="_Toc141"/>
      <w:bookmarkEnd w:id="366"/>
      <w:bookmarkEnd w:id="367"/>
      <w:r>
        <w:rPr>
          <w:rtl w:val="true"/>
        </w:rPr>
        <w:t>الاستصحاب التعليقي</w:t>
      </w:r>
      <w:bookmarkEnd w:id="368"/>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 إنّ الصَّلاة قبل لبس المُصلّي للمشكوك فيه، لو كانت موجودة لم تكن واقعة فيما لا يؤكل لحمه، فالآن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يورد على هذا الاستصحاب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التعليقي لا يجري مطلقاً، حتّى في الأحكام، إذ القيود المأخوذة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المعلّق عليها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الموضوع، فمرجع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غلي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العنب المغليّ حرامٌ‌، وعليه فالحكم الكلّي المُنشَأ لا شكّ في بقائه، إذ لا يحتمل عدمه إلّاعلى وجه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الفعلي لترتّبه على الموضوع المركّب، إنّما يكون وجوده بعد تحقّق كلا جُزئي الموضوع، ولا يكون قبل تحقّق الجزئين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الفرضي التقديري لا يُستصحب، لعدم كونه مجعولاً شرعيّاً، بل هو عقليٌ لازمٌ لجعل الحكم على الموضوع المركّب، الذي وُجِد أحد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الملازمة بين الغليان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توهم أنّها فعليّة قبل الغليان، من دون تعليقٍ‌، من جهة أنّ صدق القضيّة الشرطيّة لا يتوقّف على صدق طرفيها أيضاً لا مجال لاستصحابها؛ لأنّ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جعليّة لايجري فيها الاستصحاب، لعدم كونها أثراً شرعيّاً، ولا موضوعاً له أثرٌ شرعي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مجعولة، فلها كسائر الأحكام مقام الإنشاء والفعليّة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وبالنسبة إلى المقام الأوّل، لا شكّ في البقاء، وبالنسبة إلى المقام الثاني لا يقين بالثبوت، إذ فعليّتها تتوقّف على فعليّة موضوعها، وهو مركّب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العنب مثلاً، والآخر الغليان، والمفروض عدم تحقّق الثاني، فلا تكون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جرى الاستصحاب التعليقي، فإنّما هو في الأحكام، ولا سبيل إلى توهّم جريانه في الموضوعات، إذ الموضوع أو المتعلّق إنّما يكون مترتّباً عليه الأثر إذا وجد في الخارج، وأمّا وجوده التقديري، فلا يكون موضوع الأثر، مثلاً إذا شُكّ في بقاء الماء في الحوض، لا يصحّ أنْ يُقال إنّ الثّوب لو كان واقعاً قبل ذلك في الحوض كان مغسولاً والآن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الثاني، فإنّ متعلّق التكليف هي الصَّلاة الخارجيّة دون التقديريّة، واستصحاب الصَّلاة التقديريّة لترتيب آثار الفعليّة، من الأصل المثبت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التعليقي لو جرى، فإنّما هو فيما إذا كان الرّكن الركين في القضيّة باقياً في ظرف الشكّ‌، ولذا منعنا عن جريان استصحاب الحرمة التعليقيّة الثابتة للعنب للزبيب، حتّى بناءً على جريانه، من جهة أنّ الموضوع في القضيّة المتيقّنة ماء العنب، وفي القضيّة المشكوكة الماء الخارجي المُلقى على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إذ موضوع الصحّة هي الصَّلاة، وهي لم تكن موجودة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المستَصحب في المقام، هو نفس طبيعة الصَّلاة، فموضوع القضيّتين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الطبيعة من حيث هي ليست شيئاً، وموضوع الأثر وجودها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جريان هذا الأصل</w:t>
      </w:r>
      <w:r>
        <w:rPr>
          <w:rFonts w:eastAsia="Amiri" w:cs="Amiri" w:ascii="Amiri" w:hAnsi="Amiri"/>
          <w:color w:val="111111"/>
          <w:sz w:val="28"/>
          <w:szCs w:val="28"/>
          <w:rtl w:val="true"/>
          <w:lang w:bidi="ar-SA"/>
        </w:rPr>
        <w:t>.</w:t>
      </w:r>
      <w:bookmarkStart w:id="369" w:name="pg11799_136174"/>
    </w:p>
    <w:p>
      <w:pPr>
        <w:pStyle w:val="Heading6"/>
        <w:numPr>
          <w:ilvl w:val="5"/>
          <w:numId w:val="1"/>
        </w:numPr>
        <w:rPr/>
      </w:pPr>
      <w:bookmarkStart w:id="370" w:name="__RefHeading___Toc10444590_73709187"/>
      <w:bookmarkStart w:id="371" w:name="_Toc142"/>
      <w:bookmarkEnd w:id="369"/>
      <w:bookmarkEnd w:id="370"/>
      <w:r>
        <w:rPr>
          <w:rtl w:val="true"/>
        </w:rPr>
        <w:t>استصحاب عدم الحرمة</w:t>
      </w:r>
      <w:bookmarkEnd w:id="371"/>
    </w:p>
    <w:p>
      <w:pPr>
        <w:pStyle w:val="BookText"/>
        <w:rPr/>
      </w:pPr>
      <w:r>
        <w:rPr>
          <w:rFonts w:ascii="Amiri" w:hAnsi="Amiri" w:eastAsia="Amiri" w:cs="Amiri"/>
          <w:color w:val="111111"/>
          <w:sz w:val="28"/>
          <w:sz w:val="28"/>
          <w:szCs w:val="28"/>
          <w:rtl w:val="true"/>
          <w:lang w:bidi="ar-SA"/>
        </w:rPr>
        <w:t>الوجه الرابع من ما استدلّ به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الحرمة في اللّحم، الثابت لعامّة المكلّفين قبل البلوغ، أو عدم الحرمة الثابت قبل الشرع، فيثبت به عدم كون الحيوان المشكوك فيه من غير المأكول، فيجوز الصَّلاة في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فإنّما هو لو قلنا بأنّ الموضوع لعدم الجواز الحرمة الفعليّة، وأمّا لو التزمنا بأنّ الموضوع هي العناوين الذاتيّة لما لا يؤكل لحمه، فلا يتمّ ذلك لعدم الحالة السابقة له قبل البلوغ، ولا قبل الشرع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على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والمجنون ونحوهما يعدّ من العناوين المقوّمة للموضوع، فإذا بلغ الصبي يكون الموضوع متبدّلاً بنطر العرف، فلايجري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هو العدم المحمولي، غير المنتسب إلى الشارع، والعدم بعد البلوغ لو كان، فهو عدمٌ منتسب إليه، واستصحاب العدم المحمولي لإثبات العدم النعتي من الأصل المثبت، كما عن المحقّق النائيني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في حال التمييز مستندٌ إلى الشارع، مع أنّ الانتساب إليه إنّما يكون بنفس الاستصحاب، وذكرنا في محلّه أنّ المثبت إنّما هو في لوازم المستصحب دون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هذا الإيراد أُورد على التقريب الثاني، وجوابه ما عرفت، وقد أورد عليه بإيرادات اُخر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رحمه الله، من أنّ مورد الأثر هو التكليف الفعلي </w:t>
      </w:r>
    </w:p>
    <w:p>
      <w:pPr>
        <w:pStyle w:val="BookText"/>
        <w:rPr/>
      </w:pPr>
      <w:r>
        <w:rPr>
          <w:rFonts w:ascii="Amiri" w:hAnsi="Amiri" w:eastAsia="Amiri" w:cs="Amiri"/>
          <w:color w:val="111111"/>
          <w:sz w:val="28"/>
          <w:sz w:val="28"/>
          <w:szCs w:val="28"/>
          <w:rtl w:val="true"/>
          <w:lang w:bidi="ar-SA"/>
        </w:rPr>
        <w:t>دون الإنشائي، واستصحاب عدم الجعل لإثبات عدم المجعول من أوضح أنحاء الاُصول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تعدّد للاعتبار والمعتبر والإنشاء والمُنشَأ، وإنّما لا يجبُ امتثال الحكم قبل وجود الموضوع، من جهة تعلّقه به على نحو القضيّة الحقيقيّة، فمع عدم الموضوع، لا حكم في حقّ المكلّف من الأوّل، ولذا لم يستشكل أحدٌ في استصحاب عدم النسخ وبقاء الجعل، ويحكم بفعليّة الحكم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باستصحاب عدم جعل الإباحة، للعلم بجعل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إجرائهما، بعد فرض عدم لزوم المخالفة العمليّة من جريانهما معاً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هو بيِّن الدفع</w:t>
      </w:r>
      <w:r>
        <w:rPr>
          <w:rFonts w:eastAsia="Amiri" w:cs="Amiri" w:ascii="Amiri" w:hAnsi="Amiri"/>
          <w:color w:val="111111"/>
          <w:sz w:val="28"/>
          <w:szCs w:val="28"/>
          <w:rtl w:val="true"/>
          <w:lang w:bidi="ar-SA"/>
        </w:rPr>
        <w:t>.</w:t>
      </w:r>
      <w:bookmarkStart w:id="372" w:name="pg11799_136176"/>
    </w:p>
    <w:p>
      <w:pPr>
        <w:pStyle w:val="Heading6"/>
        <w:numPr>
          <w:ilvl w:val="5"/>
          <w:numId w:val="1"/>
        </w:numPr>
        <w:rPr/>
      </w:pPr>
      <w:bookmarkStart w:id="373" w:name="__RefHeading___Toc10444592_73709187"/>
      <w:bookmarkStart w:id="374" w:name="_Toc143"/>
      <w:bookmarkEnd w:id="372"/>
      <w:bookmarkEnd w:id="373"/>
      <w:r>
        <w:rPr>
          <w:rtl w:val="true"/>
        </w:rPr>
        <w:t>استصحاب العدم النعتي</w:t>
      </w:r>
      <w:bookmarkEnd w:id="374"/>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669"/>
      </w:r>
      <w:r>
        <w:rPr>
          <w:rFonts w:ascii="Amiri" w:hAnsi="Amiri" w:eastAsia="Amiri" w:cs="Amiri"/>
          <w:color w:val="111111"/>
          <w:sz w:val="28"/>
          <w:sz w:val="28"/>
          <w:szCs w:val="28"/>
          <w:rtl w:val="true"/>
          <w:lang w:bidi="ar-SA"/>
        </w:rPr>
        <w:t>من إجراء استصحاب العدم النعتي ببيان دقيق،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أجزاء الحيوان كلّها متبدّلة، من الأجزاء النباتيّة والجماديّة إلى الصورة الحيوانيّة، وعليه فالمادّة المشتركة بين الحيوان والنبات مثلاً قبل تبدّلها بصورة حيوانيّة، لم تكن من أجزاء ما لا يؤكل، فيُستصحب ذلك عند الشكّ والعلم بتبدّلها بصورة حيوانيّة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تقريرات بعض أكابر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هذا الاستصحاب، باستصحاب عدم انقلاب المادّة إلى الصورة الاُخرى، إذ لا أثر شرعي له</w:t>
      </w:r>
      <w:r>
        <w:rPr>
          <w:rFonts w:eastAsia="Amiri" w:cs="Amiri" w:ascii="Amiri" w:hAnsi="Amiri"/>
          <w:color w:val="111111"/>
          <w:sz w:val="28"/>
          <w:szCs w:val="28"/>
          <w:rtl w:val="true"/>
          <w:lang w:bidi="ar-SA"/>
        </w:rPr>
        <w:t>.</w:t>
      </w:r>
      <w:bookmarkStart w:id="375" w:name="pg11799_136177"/>
    </w:p>
    <w:p>
      <w:pPr>
        <w:pStyle w:val="Heading6"/>
        <w:numPr>
          <w:ilvl w:val="5"/>
          <w:numId w:val="1"/>
        </w:numPr>
        <w:rPr/>
      </w:pPr>
      <w:bookmarkStart w:id="376" w:name="__RefHeading___Toc10444594_73709187"/>
      <w:bookmarkStart w:id="377" w:name="_Toc144"/>
      <w:bookmarkEnd w:id="375"/>
      <w:bookmarkEnd w:id="376"/>
      <w:r>
        <w:rPr>
          <w:rtl w:val="true"/>
        </w:rPr>
        <w:t>أصالة الإباحة</w:t>
      </w:r>
      <w:bookmarkEnd w:id="377"/>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 في الحيوان المأخوذ منه اللّباس، فإنّ مقتضاه صحّة الصَّلاة فيه، سواءٌ اُستفيد من النصوص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الأصل المذكور يُثبت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دليله مثل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ومثله موثّق مسعدة</w:t>
      </w:r>
      <w:r>
        <w:rPr>
          <w:rStyle w:val="FootnoteAnchor"/>
          <w:rtl w:val="true"/>
        </w:rPr>
        <w:footnoteReference w:id="671"/>
      </w:r>
      <w:r>
        <w:rPr>
          <w:rFonts w:ascii="Amiri" w:hAnsi="Amiri" w:eastAsia="Amiri" w:cs="Amiri"/>
          <w:color w:val="111111"/>
          <w:sz w:val="28"/>
          <w:sz w:val="28"/>
          <w:szCs w:val="28"/>
          <w:rtl w:val="true"/>
          <w:lang w:bidi="ar-SA"/>
        </w:rPr>
        <w:t>، جعل الحِلّ بلحاظ كلٍّ من أثر الحِلّ وأثر الحرمة، فيقتضي نفي أثر الحرمة، كما يقتضي ثبوت أثر الحِلّ‌، وإذا انتفى المنع الذي هو أثر الحرمة 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الجواز الحليّة الواقعيّة، والثابت بأصالة الحِلّ‌، الحليّة الظاهريّة، فلا يترتّب جواز الصَّلاة على ذلك الأصل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الجواز وإنْ كان الحليّة الواقعيّة، إلّاأنّ لسان دليل أصالة الحِلّ جعل فردٍ من أفراد الموضوع في الظاهر، ولذا يكون دليل الأصل حاكماً على دليل الواقع بالحكومة الظاهريّة، ألا ترى أنّه يترتّب على أصالة طهارة الماء، جواز شربه والوضوء به، مع أنّهما مترتّبان على الطهارة الواقعيّة، ولو انكشف الخلاف وجب إعادة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أصالة الحِلّ جميع الآثار المترتّبة على الحليّة الواقعيّة، ما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الإباحة من الاُصول العمليّة، ويتوقّف جريانها على ترتّب أثر عملي عليها، فإذا فرضنا أنّ الحيوان المتّخذ منه هذا الصُّوف معدومٌ وخارجٌ عن محلّ الابتلاء، لا معنى لجريان أصالة الإباحة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جريان أصالة الإباحة، على ترتّب أثر عملي عليها ممّا لا يُنكر، وإلّا لزم اللّغوية، ولكن يكفي في الخروج عن ذلك، جواز الصَّلاة في الصُّوف المتّخذ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672"/>
      </w:r>
      <w:r>
        <w:rPr>
          <w:rFonts w:ascii="Amiri" w:hAnsi="Amiri" w:eastAsia="Amiri" w:cs="Amiri"/>
          <w:color w:val="111111"/>
          <w:sz w:val="28"/>
          <w:sz w:val="28"/>
          <w:szCs w:val="28"/>
          <w:rtl w:val="true"/>
          <w:lang w:bidi="ar-SA"/>
        </w:rPr>
        <w:t>من أنّه لا تجري أصالة الإباحة فيما إذا عُلم بحليّة أكل لحم حيوانٍ معيّن، وحرمة أكل لحم الآخر، المتميّز في الخارج عن المحلّل، فإنّه ليس هناك ما يُشكّ في كونه محلّل الأكل أو محرّمه، ويكون الشكّ راجعاً إلى أخذ الصُّوف من المحلّل أو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جريان الأصل الشكّ من جهة واحدة، ولا يعتبر كونه مشكوكاً فيه من جميع الجهات، وعليه فاللّحم الخارجي وإنْ كان من حيثُ هو حكمه معلوماً، إلّاأنّ حليّة لحم ما أُخذ منه الصُّوف بهذا العنوان مشكوكٌ فيها، فيجري فيه الأصل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w:t>
      </w:r>
      <w:r>
        <w:rPr>
          <w:rStyle w:val="FootnoteAnchor"/>
          <w:rtl w:val="true"/>
        </w:rPr>
        <w:footnoteReference w:id="673"/>
      </w:r>
      <w:r>
        <w:rPr>
          <w:rFonts w:ascii="Amiri" w:hAnsi="Amiri" w:eastAsia="Amiri" w:cs="Amiri"/>
          <w:color w:val="111111"/>
          <w:sz w:val="28"/>
          <w:sz w:val="28"/>
          <w:szCs w:val="28"/>
          <w:rtl w:val="true"/>
          <w:lang w:bidi="ar-SA"/>
        </w:rPr>
        <w:t>، وهو أنّ موضوع الجواز ليس هو الحليّة الفعليّة، فإنّ الغنم الميّت حرامٌ أكل لحمه، ولم يكن حلالاً ولو في آنٍ واحد، مع أنّه يجوز الصَّلاة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صوفه، فيعلم أنّ الحرمة الفعليّة لا تكون مانعة، والحليّة الفعليّة ليست موضوعاً للجواز، بل الموضوع هو الحرمة الفرضيّة التقديريّة، والحليّة كذلك، أي حليّة الأكل على تقدير التذكية، وحرمته على تقدير عدمها لا تثبتها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رحمه الله يتمّ على مسلكه من رجوع الشرط إلى الموضوع، وكونه من قيوده، وأمّا بناءً على عدمه، وكون الموضوع في المثال الحيوان، والتذكية شرطاً للحكم، لا جزءً للموضوع فلا يتمّ ما ذكره، إذ قبل تحقّق الشرط وإنْ لم يكن الحكم فعليّاً، إلّاأنّه يكون الحكم الإنشائي الجزئي المنطبق على هذا الموضوع الخارجي الجزئي موجوداً، ولا مانع من إجراء أصالة الحِلّ وإثبات الحليّة بهذا المعنى بها، ويترتّب عليها جواز الصَّلاة فيما اتّخذ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رحمه الله</w:t>
      </w:r>
      <w:r>
        <w:rPr>
          <w:rStyle w:val="FootnoteAnchor"/>
          <w:rtl w:val="true"/>
        </w:rPr>
        <w:footnoteReference w:id="6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موضوع المنع ليس هو الحرمة بهذا العنوان، بل العناوين الخاصّة الذاتيّة، كالثعلب والأرنب وماشابههما، كما أنّ موضوع الجواز هي ذوات ما أحلَّ اللّه أكله، ومعلومٌ أنّ أصالة الحِلّ لا تثبت كون الحيوان من الأنواع المحلّلة، أو عدم كونه من الأنواع المحرّمة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الإيرواني رحمه الله</w:t>
      </w:r>
      <w:r>
        <w:rPr>
          <w:rStyle w:val="FootnoteAnchor"/>
          <w:rtl w:val="true"/>
        </w:rPr>
        <w:footnoteReference w:id="675"/>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عنوان محرّم الأكل معرّفاً ومشيراً إلى العناوين الذاتيّة الخارجيّة، لا أنّه موضوع الحكم بنفسه، ولكن دليل الأصل كما يكون حاكماً وناظراً إلى الموضوع الواقعي، يكون حاكماً وناظراً إلى الموضوع الدليلي، فدليل أصالة الحِلّ كما يوجب رفع موضوع ما أُخذ الحرمة بعنوانها في الموضوع، كذلك يوجبُ رفع الحرمة المأخوذة مرآتاً ومشيراً إلى المعنونات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ترتفع به سواءٌ أكانت بنفسها موضوعاً أو معرّفاً لما هو الموضوع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فإنّما هو بالنسبة إلى الدليل الذي أُخذ في موضوعه الحرمة، وأمّا ما أُخذ فيه نفس العناوين الخاصّة من الأسد والثعلب والأرنب ونحوها فلا يتمّ‌، إذ لا يرتفع بأصالة الإباحة احتمال كون المأخوذ منه أسداً مثلاً، مع أنّ الحكومة إنّما تكون بالإضافة إلى المراد لا اللّفظ، لعدم ترتّب الحكم الشرعي على اللّفظ، فلا معنى متصوّر لحكومة دليل الأصل على ما أُخذ الحرمة فيه مرآتاً لمعنونها، فهذا الوجه متينٌ لا يرد عليه شيء، فلا يصحّ التمسّك 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قلنا بصحّة التمسّك بها، فهل يتوقّف جريانها على كون اللّحم في محلّ الابتلاء، نظراً إلى أنّ أصالة الحِلّ من الاُصول الحكميّة، فمع فرض خروجه عن محلّ الابتلاء، لا معنى للحكم عليه بالحلّ والإباحة حتّى يترتّب عليها جواز الصَّلاة، كما عن المحقّق الإيرواني، أم لا؟</w:t>
      </w:r>
    </w:p>
    <w:p>
      <w:pPr>
        <w:pStyle w:val="BookText"/>
        <w:rPr/>
      </w:pPr>
      <w:r>
        <w:rPr>
          <w:rFonts w:ascii="Amiri" w:hAnsi="Amiri" w:eastAsia="Amiri" w:cs="Amiri"/>
          <w:color w:val="111111"/>
          <w:sz w:val="28"/>
          <w:sz w:val="28"/>
          <w:szCs w:val="28"/>
          <w:rtl w:val="true"/>
          <w:lang w:bidi="ar-SA"/>
        </w:rPr>
        <w:t>وجهان، أقواهما الثاني، فإنّ المجعول بهذا الأصل هو الحكم، وهي الإباحة، فيكفي في صحّة جعله ترتّب أثر عملي عليه، ليخرج بذلك عن اللّغوية، وحيث أنّه يترتّب جواز الصَّلاة عليها في المقام، فلا يلزم اللّغوية من جريانها، فلا يعتبر في جريانها الدخول في محلّ الابتلاء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تقاريب اُخر لأصالة الحِلّ لاحقاً</w:t>
      </w:r>
      <w:r>
        <w:rPr>
          <w:rFonts w:eastAsia="Amiri" w:cs="Amiri" w:ascii="Amiri" w:hAnsi="Amiri"/>
          <w:color w:val="111111"/>
          <w:sz w:val="28"/>
          <w:szCs w:val="28"/>
          <w:rtl w:val="true"/>
          <w:lang w:bidi="ar-SA"/>
        </w:rPr>
        <w:t>.</w:t>
      </w:r>
      <w:bookmarkStart w:id="378" w:name="pg11799_136181"/>
    </w:p>
    <w:p>
      <w:pPr>
        <w:pStyle w:val="Heading6"/>
        <w:numPr>
          <w:ilvl w:val="5"/>
          <w:numId w:val="1"/>
        </w:numPr>
        <w:rPr/>
      </w:pPr>
      <w:bookmarkStart w:id="379" w:name="__RefHeading___Toc10444596_73709187"/>
      <w:bookmarkStart w:id="380" w:name="_Toc145"/>
      <w:bookmarkEnd w:id="378"/>
      <w:bookmarkEnd w:id="379"/>
      <w:r>
        <w:rPr>
          <w:rtl w:val="true"/>
        </w:rPr>
        <w:t>قاعدة الطهارة</w:t>
      </w:r>
      <w:bookmarkEnd w:id="380"/>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جواز الصَّلاة في المقام هو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أنْ يكون اللّباس من الغنم أو الكلب، فإنّه إذا جرت القاعدة، وحُكم بطهارة المأخوذ منه، جاز الصَّلاة فيه، فإذا جاز الصَّلاة مع احتمال كونه كلباً، جازت مع سائر الشبهات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بقاعدة الطهارة، هي الطهارة والآثار الشرعيّة المترتّبة عليها خاصّة، وأمّا الآثار الشرعيّة المترتّبة عليها مع شيءٍ آخر، فلا يترتّب عليها، ما لم يثبت ذلك الشيء بطريقٍ آخر، لعدم حجيّتها في مثبتاتها، فلا يثبت بها ذلك الشيء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من قبيل الثاني، فإنّ جواز الصَّلاة مترتّبٌ على الطهارة والحليّة</w:t>
      </w:r>
      <w:r>
        <w:rPr>
          <w:rFonts w:eastAsia="Amiri" w:cs="Amiri" w:ascii="Amiri" w:hAnsi="Amiri"/>
          <w:color w:val="111111"/>
          <w:sz w:val="28"/>
          <w:szCs w:val="28"/>
          <w:rtl w:val="true"/>
          <w:lang w:bidi="ar-SA"/>
        </w:rPr>
        <w:t>.</w:t>
      </w:r>
      <w:bookmarkStart w:id="381" w:name="pg11799_136182"/>
    </w:p>
    <w:p>
      <w:pPr>
        <w:pStyle w:val="Heading6"/>
        <w:numPr>
          <w:ilvl w:val="5"/>
          <w:numId w:val="1"/>
        </w:numPr>
        <w:rPr/>
      </w:pPr>
      <w:bookmarkStart w:id="382" w:name="__RefHeading___Toc10444598_73709187"/>
      <w:bookmarkStart w:id="383" w:name="_Toc146"/>
      <w:bookmarkEnd w:id="381"/>
      <w:bookmarkEnd w:id="382"/>
      <w:r>
        <w:rPr>
          <w:rtl w:val="true"/>
        </w:rPr>
        <w:t>المقصد الثالث</w:t>
      </w:r>
      <w:r>
        <w:rPr>
          <w:rtl w:val="true"/>
        </w:rPr>
        <w:t xml:space="preserve">: </w:t>
      </w:r>
      <w:r>
        <w:rPr>
          <w:rtl w:val="true"/>
        </w:rPr>
        <w:t>فيما تقتضيه الاُصول الحُكميّة</w:t>
      </w:r>
      <w:bookmarkEnd w:id="383"/>
    </w:p>
    <w:p>
      <w:pPr>
        <w:pStyle w:val="Heading6"/>
        <w:numPr>
          <w:ilvl w:val="5"/>
          <w:numId w:val="1"/>
        </w:numPr>
        <w:rPr/>
      </w:pPr>
      <w:bookmarkStart w:id="384" w:name="__RefHeading___Toc10444600_73709187"/>
      <w:bookmarkStart w:id="385" w:name="_Toc14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أصالة الحِلّ في الصَّلاة</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الاُصول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 من وجوه</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0444602_73709187"/>
      <w:bookmarkStart w:id="387" w:name="_Toc148"/>
      <w:bookmarkEnd w:id="386"/>
      <w:r>
        <w:rPr>
          <w:rtl w:val="true"/>
        </w:rPr>
        <w:t>أصالة الحِلّ في الصَّلاة</w:t>
      </w:r>
      <w:bookmarkEnd w:id="387"/>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 والمحقّق القمّي</w:t>
      </w:r>
      <w:r>
        <w:rPr>
          <w:rStyle w:val="FootnoteAnchor"/>
          <w:rtl w:val="true"/>
        </w:rPr>
        <w:footnoteReference w:id="678"/>
      </w:r>
      <w:r>
        <w:rPr>
          <w:rFonts w:ascii="Amiri" w:hAnsi="Amiri" w:eastAsia="Amiri" w:cs="Amiri"/>
          <w:color w:val="111111"/>
          <w:sz w:val="28"/>
          <w:sz w:val="28"/>
          <w:szCs w:val="28"/>
          <w:rtl w:val="true"/>
          <w:lang w:bidi="ar-SA"/>
        </w:rPr>
        <w:t>، والمحقّق اليزدي</w:t>
      </w:r>
      <w:r>
        <w:rPr>
          <w:rStyle w:val="FootnoteAnchor"/>
          <w:rtl w:val="true"/>
        </w:rPr>
        <w:footnoteReference w:id="67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أصالة الحِلّ في نفس الصَّلاة، بتقريب أنّ الصَّلاة في اللّباس المشكوك فيه يُشكّ في أنّها جائزة ومحلّلة أم لا؟ فمقتضى أدلّة القاعدة هو الجواز والحليّة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ذلك بنحوٍ يندفع جميع ما أورده عليه المحقّق النائيني رحمه الله</w:t>
      </w:r>
      <w:r>
        <w:rPr>
          <w:rStyle w:val="FootnoteAnchor"/>
          <w:rtl w:val="true"/>
        </w:rPr>
        <w:footnoteReference w:id="680"/>
      </w:r>
      <w:r>
        <w:rPr>
          <w:rFonts w:ascii="Amiri" w:hAnsi="Amiri" w:eastAsia="Amiri" w:cs="Amiri"/>
          <w:color w:val="111111"/>
          <w:sz w:val="28"/>
          <w:sz w:val="28"/>
          <w:szCs w:val="28"/>
          <w:rtl w:val="true"/>
          <w:lang w:bidi="ar-SA"/>
        </w:rPr>
        <w:t>ومحصّله يبتني على مقدّمات نشير إليها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التكليف الواحد المتعلّق بمركّبٍ اعتباري من اُمور وجوديّة وعدميّة، إلى تكاليف ضمنيّة متعدّدة من أوامر ونواه، فكون غير المأكول مانعاً يعني تعلّق النهي بذلك الأمر الوجودي، ولذلك ترى أنّ موانع الصلاة من الحرير وغير المأكول وغيرهما، قد تعلّق النهي بها في الأدلّة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شيءٍ من أجزاء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الحرير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 فالمستفاد من الأدلّة أنّ كون اللّباس من أجزاء غير المأكول منهيٌّ عنه، ومبغوض </w:t>
      </w:r>
    </w:p>
    <w:p>
      <w:pPr>
        <w:pStyle w:val="BookText"/>
        <w:rPr/>
      </w:pPr>
      <w:r>
        <w:rPr>
          <w:rFonts w:ascii="Amiri" w:hAnsi="Amiri" w:eastAsia="Amiri" w:cs="Amiri"/>
          <w:color w:val="111111"/>
          <w:sz w:val="28"/>
          <w:sz w:val="28"/>
          <w:szCs w:val="28"/>
          <w:rtl w:val="true"/>
          <w:lang w:bidi="ar-SA"/>
        </w:rPr>
        <w:t>للشارع، غاية الأمر بالنهي الغيري الضمني لا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المانعيّة ملحوظٌ بنحو الطبيعة السّارية، بحيث يكون كلّ ما يفرض من الحيوان الذي لا يؤكل لحمه، مانعاً مستقلّاً في قِبال غيره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تختصّ أدلّة اعتبار قاعدة الحِلّ بما إذا كانت الحرمة المشكوك فيها استقلالية، بل تعمّ الحرمة الضمنيّة لإطلاق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ذلك على حدٍّ سواء، لغةً وعرفاً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مأخوذ من الحرمان، ولا فرق في الحرمان عن الشيء، بين أنْ يكون من جهة مبغوضيّته في نفسه، أو لكونه موجباً لتفويت مطلوبٍ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فلاستعمال الحرام والحلال في ذلك في الأخبار، وهي ما بين ما أُطلق فيه الحرام على خصوص الحرام الغيري، كما في باب الموانع، وبين ما أُطلق فيه على الأعمّ منه ومن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الحرير المحض، وإنْ كان الوَبَر ذَكّياً حَلّت الصَّلاة فيه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الجواب عن سؤال الروايتين الواردتين عن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العسكري عليه السلام، المتعارضتين، في الصَّلاة في الخَزّ المغشوش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في هذه الأوبار والجلود، وأمّا الأوبار وحدها فكلّها حلال</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والتوقيع الاخر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فيها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على الإنسان أو معه ممّا لا تجوز الصَّلاة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 شيءٍ من الحديد</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المُشترى المُصاب به الخمر وودك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أكله وشربه، ولم يُحرّم لبسه ومسّه والصَّلاة فيه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تتختَّم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وتُصلّي فيه، وحَرُم ذلك على الرِّجال</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اللّه تعالى الذهب في الدُّنيا زينةً للنساء، وحَرّم على الرِّجال لبسه والصَّلاة فيه</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الحلال هو ما يقابل الحرام، وهو عبارة عن ترك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ليفعل ما يشاء من الفعل أو الترك بإرادته واختياره وميله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قد يكون حراماً، بمعنى ثبوت المنع الشرعي عن جميع تقلّباته، بحيث لا يكون له منفعة محلّلة مقصودة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حراماً باعتبار المنع عن بعض منافعه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الحلال كذلك، فإذا اشتبه الصُّوف بين أنْ يكون ممّا يجوز الصَّلاة فيه وما لا تجوز فالصَّلاة فيه، من المنافع الشائعة له، بحيث لو كان حراماً واقعاً لصدق عليه التحريم الشرعي حقيقة، ولو كان حلالاً لصدق عليه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قاعدة الحِلّ في الصَّلاة، نفي التقييد رأساً في مرحلة الظاهر، والترخيص في الصَّلاة مع المشكوك فيه، فيكون المأمور به مطلقاً غير مقيّدٍ بعدم الوقوع في المشكوك فيه، وترتفع بذلك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هذه الأُمور، يظهر أنّ قاعدة الحِلّ تجري في الصَّلاة، إذ يشكّ المكلّف في حرمة الصَّلاة في اللّباس المشكوك فيه بالحرمة الضمنيّة وعدمها، فيبني بمقتضى القاعدة على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اللّباس أنّه من المأكول أو من غيره، موجبٌ للشكّ في تعلّق نهي بهذا الفرد المشكوك فيه، فيشك في أنّ الصَّلاة فيه حرامٌ أو حلال، وتشمله قاعدة الحِلّ‌، فيقال إنّ الصَّلاة في هذا الفرد المشكوك فيه حلال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التقريب يندفع جميع ما أُورد على جريان قاعدة الحِلّ فيها، كما يندفع ما أورده بعض المحقّقين من أنّه لو قيل بجريان القاعدة فيها لزم منه القول بجريانها في الشكّ في إتيان الشرائط والأجزاء، فيقال إنّ الأصل حليّة الصَّلاة مع الشكّ في فقد جزئها أو شرطها، وهو مستلزمٌ لتأسيس فقه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في الموانع هو التكليف التحريمي، وفي الشرائط والأجزاء هو التكليف الوجوبي، والقاعدة مختصّة بالشبهة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التقريب المذكور البناء على صحّة كلّ عقدٍ أو إيقاع يشكّ في ترتّب الأثر عليه عند الشارع، لأنّ الشكّ في محروميّة المكلّف منه وعدمها،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المراد من الشيء المشكوك حليّته وحرمته، والمأخوذ في أدلّة أصالة الحِلّ‌، هو الأعيان الخارجيّة مثل الماء والجُبُنّ واللّباس، فيكون المراد من الحِلّ والحرمة المتعلّقة بها، هي الحليّة والحرمة الوضعيّة العارضة لنفس الموضوعات الخارجيّة، باعتبار تعلّق الأفعال بها، فلا تشمل الأفعال غير المتعلّقة بالموضوعات الخارجيّة كالقراءة والجهر والإخفات، والعقد والايقاع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يقرّب أصل الحِلّ في المقام بأنّ الشكّ في اللّباس يستلزم الشكّ في مشروعيّة التعبّد بالصَّلاة فيه وحليّته، فإذا جرت القاعدة، وثبتت الحليّة، ثبت ظاهراً أنّه ليس بمانع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يثبت به أجزاء الصَّلاة، وكونها فرداً من المأمور به، لعدم كونه من الآثار الشرعيّة لحليّة التعبّد، كي يترتّب بإثباتها بالأصل، بل هو من اللّوازم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بلا قصد الأمر الجزئي لا يحتمل حرمتها، ومعه يكون تشريعاً محرّماً قطعاً، ما لم يثبت عدم تقييد الصَّلاة بأن لا تقع في المشكوك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فالعمدة من تقريبات أصالة الحِلّ ما ذكرناه تبعاً للأساطين</w:t>
      </w:r>
      <w:r>
        <w:rPr>
          <w:rFonts w:eastAsia="Amiri" w:cs="Amiri" w:ascii="Amiri" w:hAnsi="Amiri"/>
          <w:color w:val="111111"/>
          <w:sz w:val="28"/>
          <w:szCs w:val="28"/>
          <w:rtl w:val="true"/>
          <w:lang w:bidi="ar-SA"/>
        </w:rPr>
        <w:t>.</w:t>
      </w:r>
      <w:bookmarkStart w:id="388" w:name="pg11799_136187"/>
    </w:p>
    <w:p>
      <w:pPr>
        <w:pStyle w:val="Heading6"/>
        <w:numPr>
          <w:ilvl w:val="5"/>
          <w:numId w:val="1"/>
        </w:numPr>
        <w:rPr/>
      </w:pPr>
      <w:bookmarkStart w:id="389" w:name="__RefHeading___Toc10444604_73709187"/>
      <w:bookmarkStart w:id="390" w:name="_Toc149"/>
      <w:bookmarkEnd w:id="388"/>
      <w:bookmarkEnd w:id="389"/>
      <w:r>
        <w:rPr>
          <w:rtl w:val="true"/>
        </w:rPr>
        <w:t>الاستدلال للجواز بالبراءة</w:t>
      </w:r>
      <w:bookmarkEnd w:id="390"/>
    </w:p>
    <w:p>
      <w:pPr>
        <w:pStyle w:val="Heading6"/>
        <w:numPr>
          <w:ilvl w:val="5"/>
          <w:numId w:val="1"/>
        </w:numPr>
        <w:rPr/>
      </w:pPr>
      <w:bookmarkStart w:id="391" w:name="__RefHeading___Toc10444606_73709187"/>
      <w:bookmarkStart w:id="392" w:name="_Toc150"/>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الحكميّة التي استدلّ بها لجواز الصَّلاة في اللّباس المشكوك فيه، هو أصالة البراءة، حيث استند إليه جمعٌ من الأساطين</w:t>
      </w:r>
      <w:r>
        <w:rPr>
          <w:rStyle w:val="FootnoteAnchor"/>
          <w:rtl w:val="true"/>
        </w:rPr>
        <w:footnoteReference w:id="690"/>
      </w:r>
      <w:r>
        <w:rPr>
          <w:rFonts w:ascii="Amiri" w:hAnsi="Amiri" w:eastAsia="Amiri" w:cs="Amiri"/>
          <w:color w:val="111111"/>
          <w:sz w:val="28"/>
          <w:sz w:val="28"/>
          <w:szCs w:val="28"/>
          <w:rtl w:val="true"/>
          <w:lang w:bidi="ar-SA"/>
        </w:rPr>
        <w:t>، بتقريب أنّها تجري ويرفع بها قيديّة عدم ما شُكّ في كونه من غير المأكول في الصَّلاة، فتصحّ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شكٌّ في الامتثال، والمرجع فيه قاعدة الاشتغال</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0444608_73709187"/>
      <w:bookmarkStart w:id="394" w:name="_Toc151"/>
      <w:bookmarkEnd w:id="393"/>
      <w:r>
        <w:rPr>
          <w:rtl w:val="true"/>
        </w:rPr>
        <w:t>جريان البراءة في المقام يتوقّف على اُمور ثلاثة</w:t>
      </w:r>
      <w:bookmarkEnd w:id="394"/>
    </w:p>
    <w:p>
      <w:pPr>
        <w:pStyle w:val="Heading6"/>
        <w:numPr>
          <w:ilvl w:val="5"/>
          <w:numId w:val="1"/>
        </w:numPr>
        <w:rPr/>
      </w:pPr>
      <w:bookmarkStart w:id="395" w:name="__RefHeading___Toc10444610_73709187"/>
      <w:bookmarkStart w:id="396" w:name="_Toc152"/>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البراءة في المقام يتوقّف على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البراءة في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جريانها في الأقلّ والأكثر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الشبهة المصداقيّة في المقام غير راجعة إلى 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المعتبر في الصَّلاة أمراً وجوديّاً أو عدميّاً متحصّلاً من ترك لبس الأفراد الخارجيّة، من ألبسة غير المأكول، أو غير ذلك ممّا سيمرّ عليك، الموجب لكون الشكّ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راجعاً إلى الشكّ في التكليف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تماميّة هذه الاُمور</w:t>
      </w:r>
      <w:r>
        <w:rPr>
          <w:rFonts w:eastAsia="Amiri" w:cs="Amiri" w:ascii="Amiri" w:hAnsi="Amiri"/>
          <w:color w:val="111111"/>
          <w:sz w:val="28"/>
          <w:szCs w:val="28"/>
          <w:rtl w:val="true"/>
          <w:lang w:bidi="ar-SA"/>
        </w:rPr>
        <w:t xml:space="preserve">: </w:t>
      </w:r>
      <w:bookmarkStart w:id="397" w:name="pg11799_136188"/>
    </w:p>
    <w:p>
      <w:pPr>
        <w:pStyle w:val="Heading6"/>
        <w:numPr>
          <w:ilvl w:val="5"/>
          <w:numId w:val="1"/>
        </w:numPr>
        <w:rPr/>
      </w:pPr>
      <w:bookmarkStart w:id="398" w:name="__RefHeading___Toc10444612_73709187"/>
      <w:bookmarkStart w:id="399" w:name="_Toc153"/>
      <w:bookmarkEnd w:id="397"/>
      <w:bookmarkEnd w:id="398"/>
      <w:r>
        <w:rPr>
          <w:rtl w:val="true"/>
        </w:rPr>
        <w:t>جريان البراءة في الشبهة الموضوعيّة</w:t>
      </w:r>
      <w:bookmarkEnd w:id="399"/>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البراءة العقليّة، أي حكم العقل بقبح العقاب بلا بيان ودركه ذلك، وإنْ كان لا يجري فيها، إذ عمدة ما قيل في وجه جريانها فيها بعد النقض والإبرام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إنّما يكون مترتّباً على مخالفة التكليف الواصل، ووصول التكليف الفعلي، إنّما يكون متوقّفاً على وصول الكبرى الكليّة، وثبوت الموضوع، كي يتشكّل قياس،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خمرٌ، وكلّ خمرٍ يجب الاجتناب عنه، ويستنتج أنّ هذا يجبُ الاجتناب عنه، ويعلم بذلك، ومجرّد العلم بجعل الكبرى لا يفيد، فكما أنّه لو كانت الكبرى مشكوكاً فيها، يكون الحكم الفعلي مشكوكاً فيه، ويقبح العقل العقاب على مخالفته، كذلك إذا كانت الصغرى مشكوكاً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هو العلم بالحكم الفعلي وعدم العلم به، سواءٌ أكان منشأ عدم العلم الجهل بالكبرى أو الجهل بالصغرى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الفعلي إذا لم يكن معلوماً، إنّما يَحكُم العقل بقبح العقاب على مخالفته، إذا كان ذلك عن قصورٍ من ناحية المولى في مقام الجعل أو الإيصال، أي الجعل في معرض الوصول، وأمّا إذا فرضنا أنّ المولى عمل بما هو وظيفته، وبيّن الحكم، وجَعَله في معرض الوصول إلى المكلّف ووصل، وكان منشأ الشكّ اشتباه الاُمور الخارجيّة، فلا يقبح من المولى العقاب على مخالفته، إذ ليس بيان المصاديق وتعيين الجزئيّات وظيفة المولى، ولا يقبح منه ترك هذا البيان، فإذا تمّ ما هو مِنْ قِبله من البيان انقطع حكم العقل بالبراءة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المحرّك للعبد إنّما هو الوجود العلمي لا الواقعي، فقد يموت الإنسان عَطَشاً والماء في رحله لجهله بذلك، فالحكم ما لم يصل إلى المكلّف، لا يمكنه التحرّك نحوه، ومعه كان العقاب على مخالفته عقاباً بلا مقتضى، كما إذا لم يكن حكم من المولى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وجود التكليف يصلح للمحرّكيّة، ومعه يتمكّن العبد من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يذكر وجهٌ آخر لعدم الجريان، إلّاأنّ بيانه وما يرد وأُورد عليه موكولان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مانع من جريان البراءة الشرعيّة فيها الثابتة بحديث الرفع، والمرويّ بسند صحيح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تسعة أشياء، 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مسعدة،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تعرف الحرام منه بعينه فتَدَعه مِنْ قِبل نفسك الحديث</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دلالة الأوّل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يعلمون التي هي من الموصولات، وموضوعة لمفهومٍ جامعٍ بين جميع الأشياء، أعمّ من الفعل والحكم، فيدلّ الحديث على رفع الحكم غير المعلوم، والفعل كذلك، وحيثُ أنّ‌</w:t>
      </w:r>
      <w:r>
        <w:rPr>
          <w:rFonts w:eastAsia="Amiri" w:cs="Amiri" w:ascii="Amiri" w:hAnsi="Amiri"/>
          <w:color w:val="111111"/>
          <w:sz w:val="28"/>
          <w:szCs w:val="28"/>
          <w:rtl w:val="true"/>
          <w:lang w:bidi="ar-SA"/>
        </w:rPr>
        <w:t xml:space="preserve">). </w:t>
      </w:r>
      <w:bookmarkStart w:id="400" w:name="pg11799_136190"/>
    </w:p>
    <w:p>
      <w:pPr>
        <w:pStyle w:val="BookText"/>
        <w:rPr/>
      </w:pPr>
      <w:bookmarkEnd w:id="400"/>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التشريعي لا التكويني، فلا يلزم الجمع بين الإسناد الحقيقي والمجازي، فيعمّ الشبهة الموضوعيّة،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الثاني عليه واضحة، بل عن جمعٍ اختصاصه بالشبهة الموضوعيّة</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0444614_73709187"/>
      <w:bookmarkStart w:id="402" w:name="_Toc154"/>
      <w:bookmarkEnd w:id="401"/>
      <w:r>
        <w:rPr>
          <w:rtl w:val="true"/>
        </w:rPr>
        <w:t>جريان البراءة في الأقلّ والأكثر</w:t>
      </w:r>
      <w:bookmarkEnd w:id="402"/>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في مورد دوران الأمر بين الأقلّ والأكثر، يكون وجوب الأقلّ النفسي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الواجب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الحقّ من أنّ الأمر بالمركّب وإنْ كان واحداً، إلّاأنّ له أبعاضاً يتعلّق بكلّ واحد من أجزاء ذلك المركّب بعض من ذلك الأمر، وتعلّق الأمر الضمني بالقيد المشكوك مشكوكٌ فيه، فتجري فيه البراءة، ويقال إنّ ترك المأمور به إذا كان بترك الاُمور المعلوم دخلها فيه، صحَّ صدور العقاب من المولى عليه، وإذا كان بترك المشكوك فيه، يقبح العقل العقاب عليه، وعلى هذا لافرق في جريان البراءة بين العقلي منها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 عمدتها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693"/>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يلزم من وجود الانحلال عدمه، فإنّ لازم الانحلال عدم تنجّز التكليف على تقدير تعلّقه بالأكثر، وهو مستلزمٌ لعدم العلم بوجوب الأقلّ على كلّ تقدير، إذ من جملة تقاديره وجوبه في ضمن وجوب الأكثر، ولازم ذلك عدم الانحلال، فيلزم من فرض الانحلال عدمه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الانحلال، عدم تنجّز التكليف بالزائد لا عدم وجوبه، فلا يلزم </w:t>
      </w:r>
    </w:p>
    <w:p>
      <w:pPr>
        <w:pStyle w:val="BookText"/>
        <w:rPr/>
      </w:pPr>
      <w:r>
        <w:rPr>
          <w:rFonts w:ascii="IRNazanin" w:hAnsi="IRNazanin" w:eastAsia="IRNazanin"/>
          <w:color w:val="111111"/>
          <w:sz w:val="28"/>
          <w:sz w:val="28"/>
          <w:szCs w:val="28"/>
          <w:rtl w:val="true"/>
          <w:lang w:bidi="fa-IR"/>
        </w:rPr>
        <w:t>منه عدم العلم بوجوب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العلم بوجوب الأقلّ لا يكون إلّاعلماً بوجوب الطبيعة المهملة المردّدة بين كونها مطلقة بالإضافة إلى ما شكّ في جزئيّته أو شرطيّته، أو مقيّدة به، وهو عبارةٌ اُخرى عن نفس العلم الإجمالي بوجوب الأقلّ أو الأكثر، فلازم الانحلال عقلاً هو أنْ يكون العلم الإجمالي موجباً لانحلال نفسه،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بوجوب الطبيعة المهملة، مع الشكّ في كلّ واحدةٍ من خصوصيّتي الإطلاق والتقييد، يترتّب عليه العلم بترتّب العقاب على ترك الأقلّ‌، ولا بدِّية الإتيان به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الزائد عليه، فلا علم بوجوبه، ولا العقاب على تركه، فيجري فيه قبح العقاب بلا بيان، فالموجب لانحلال العلم بوجوب المطلق أو المقيّد، هو العلم بوجوب الأقلّ خاصّة بنحو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المصلحة والغرض على المأمور به، ليس من قبيل تعلّق الحكم كي يستوفي كلّ مقدار منها بإتيان جزءٍ من أجزاء المأمور به، بل هي واحدة مترتّبة على المجموع، فمع إتيان الأقلّ وترك الجزء المشكوك فيه، يشكّ في حصول الغرض الملزم المعلوم، فتجري قاعدة الاشتغال من هذه الناحية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إذا لم يتعلّق به التكليف، ولم يكن ممّا يفهمه العُرف، لابدَّ للمولى من بيان محصّله، والعقل لا يستقلّ بلزوم تحصيله، بل يحكم بلزوم متابعةي</w:t>
      </w:r>
      <w:r>
        <w:rPr>
          <w:rFonts w:eastAsia="Amiri" w:cs="Amiri" w:ascii="Amiri" w:hAnsi="Amiri"/>
          <w:color w:val="111111"/>
          <w:sz w:val="28"/>
          <w:szCs w:val="28"/>
          <w:rtl w:val="true"/>
          <w:lang w:bidi="ar-SA"/>
        </w:rPr>
        <w:t xml:space="preserve">. </w:t>
      </w:r>
      <w:bookmarkStart w:id="403" w:name="pg11799_136192"/>
    </w:p>
    <w:p>
      <w:pPr>
        <w:pStyle w:val="BookText"/>
        <w:rPr/>
      </w:pPr>
      <w:bookmarkEnd w:id="403"/>
      <w:r>
        <w:rPr>
          <w:rFonts w:ascii="Amiri" w:hAnsi="Amiri" w:eastAsia="Amiri" w:cs="Amiri"/>
          <w:color w:val="111111"/>
          <w:sz w:val="28"/>
          <w:sz w:val="28"/>
          <w:szCs w:val="28"/>
          <w:rtl w:val="true"/>
          <w:lang w:bidi="ar-SA"/>
        </w:rPr>
        <w:t xml:space="preserve">المولى وإتيان ما بينه، وعليه فالمقدار الواصل من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يجبُ إتيانه بحكم العقل، ويحسن العقاب على مخالفته، وأمّا المقدار الذي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لا يُلزم بإتيانه، ويقبّح العقاب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موكولٌ إلى محلّه، والغرض في المقام هو الإشارة إلى المبنى</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0444616_73709187"/>
      <w:bookmarkStart w:id="405" w:name="_Toc155"/>
      <w:bookmarkEnd w:id="404"/>
      <w:r>
        <w:rPr>
          <w:rtl w:val="true"/>
        </w:rPr>
        <w:t>تميّيز موارد البراءة والإشتغال في الشبهة الموضوعيّة</w:t>
      </w:r>
      <w:bookmarkEnd w:id="405"/>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القول فيه يتوقّف على بسطٍ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تعلّق التكليف بشيءٍ‌، لا خفاء في لزوم كونه عنواناً اختياريّاً يصلح لأنّ تتعلّق به الإرادة، وذلك العنوان له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اختياريّاً كلّه، ولا تعلّق له بموضوعٍ خارج عنه كالتكلّم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 تعلّقٌ بموضوع متحقّق خارجي، كاستقبال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 تعلّقٌ بعنوان كلّي ذي أفراد، مع أخذ الموضوع صرف وجود الطبيعة كالوضوء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 تعلّقٌ بعنوانٍ كلّي، مع أخذ الموضوع جميع الوجودات بنحو العموم الاستغراقي، كالوفاء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 تعلّقٌ بكلّي، مع أخذ الموضوع جميع الوجودات بنحو المعلوم المجموعي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النائيني رحمه الله</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جميع موارد الشبهة الموضوعيّة في هذا القسم، هو الاشتغال، من جهة أنّ عنوان الفعل الاختياري لا </w:t>
      </w:r>
    </w:p>
    <w:p>
      <w:pPr>
        <w:pStyle w:val="BookText"/>
        <w:rPr/>
      </w:pPr>
      <w:r>
        <w:rPr>
          <w:rFonts w:ascii="Amiri" w:hAnsi="Amiri" w:eastAsia="Amiri" w:cs="Amiri"/>
          <w:color w:val="111111"/>
          <w:sz w:val="28"/>
          <w:sz w:val="28"/>
          <w:szCs w:val="28"/>
          <w:rtl w:val="true"/>
          <w:lang w:bidi="ar-SA"/>
        </w:rPr>
        <w:t>يكون مشكوكاً فيه حال صدوره الإرادي، بعد تبيّن مفهومه، إذ يستحيل أن يشكّ من أراد شيئاً عند إرادته له في هويّة ما أراده، وإنّما يعقل الشكّ فيه إذا كان من المسبّبات التوليديّة المقدورة بواسطة أسبابها، واشتبه المسبّب المحصّل له، ومعلومٌ أنّه متى رجعت الشبهة المصداقيّة إلى مرحلة المحصّل كان مرجعها إلى الشكّ في الإمتثال، فيكون مورداً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الإرادي لابدَّ وأنْ يكون معلوماً من الجهة التي تعلّقت به الإرادة، لا من جميع الجهات والعناوين المنطبقة عليه، مثلاً لو تكلّم في الصَّلاة بكلامٍ إراديّ‌، فإنّه يمكن أن يُشكّ في انطباق عنوان الذكر عليه الذي هو متعلّق الحكم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التكليف إيجابيّاً، وكان المطلوب صِرْف وجود الطبيعة، فإنّه لا إشكال في لزوم إحرازه في الخارج، ومع الشكّ في الانطباق لا مجال للاكتفاء به في مقام الامتثال، فلا معنى للبراءة، بل المرجع هو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المطلوب جميع الوجودات، يكون وجوب الأفراد المعلومة معلوماً، ووجوب هذا المشكوك انطباق الطبيعيّة المأمور بها عليه مشكوكاً فيه، فتجري البراءة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متعلّق الزجر جميع الوجودات، فالكلام فيه هو الكلام فيما إذا كان التكليف إيجابيّاً، من حيث جريان البراءة في المشكوك انطباق الطبيعة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صرف الوجود، بمعنى أنّ ما فيه المفسدة ومبغوض المولى أوّل </w:t>
      </w:r>
    </w:p>
    <w:p>
      <w:pPr>
        <w:pStyle w:val="BookText"/>
        <w:rPr/>
      </w:pPr>
      <w:r>
        <w:rPr>
          <w:rFonts w:ascii="Amiri" w:hAnsi="Amiri" w:eastAsia="Amiri" w:cs="Amiri"/>
          <w:color w:val="111111"/>
          <w:sz w:val="28"/>
          <w:sz w:val="28"/>
          <w:szCs w:val="28"/>
          <w:rtl w:val="true"/>
          <w:lang w:bidi="ar-SA"/>
        </w:rPr>
        <w:t>الوجودات، ولا يبعد أنْ يكون النهي عن بعض أنواع المفطرات في بعض أقسام الصوم من هذا القبيل، ومثاله العرفي ما لو نام المولى ونهى عن تكلّم عبيده، من جهة أنّ أوّل وجود التكلّم يوقظه من النوم، ولا مفسدة بعده في سائر الأفراد، وفي مثل ذلك يكون متعلّق النهي صرف وجود الطبيعة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ذلك، من جهة أنّ الحكم التحريمي لا ينشأ إلّاعن مفسدة في متعلّقه، فتلك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في الطبيعة السارية، فلابدَّ من تعلّق الحكم بكلّ وجودٍ بنحو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في مجموع الوجودات، فلا مناص عن تعلّق حكمٍ شخصي بالمجموع، كما عن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الفرض لو أراد المكلّف ارتكاب المشكوك فيه، لا محالة يشكّ في صدق أوّل الوجود عليه، ليكون حراماً، فيرجع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الحكم له تعلّقٌ بموضوع شخصي خارجي، كما في وجوب الصَّلاة إلى القبلة، وحرمة الإفاضة من عرفات قبل الغروب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الحكم إيجابيّاً متعلّقاً بجميع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هو البراءة كما تقدّم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تحريميّاً متعلّقاً بصرف وجود الطبيعة، كان الحكم فيه هو البراءة، وكذلك إنْ كان متعلّقاً بجميع الوجودات، لمعلوميّة مبغوضيّة سائر الأفراد، والشكّ </w:t>
      </w:r>
    </w:p>
    <w:p>
      <w:pPr>
        <w:pStyle w:val="BookText"/>
        <w:rPr/>
      </w:pPr>
      <w:r>
        <w:rPr>
          <w:rFonts w:ascii="Amiri" w:hAnsi="Amiri" w:eastAsia="Amiri" w:cs="Amiri"/>
          <w:color w:val="111111"/>
          <w:sz w:val="28"/>
          <w:sz w:val="28"/>
          <w:szCs w:val="28"/>
          <w:rtl w:val="true"/>
          <w:lang w:bidi="ar-SA"/>
        </w:rPr>
        <w:t>في مبغوضيّة هذا الفرد وإنْ كان متعلّقاً بمجموع الوجودات، لكن برغم ذلك لا إشكال في جواز إيجاد بعض الأفراد المتيقّنة فرديّتها للطبيعة مع ترك غيره، فضلاً عمّا هو مشكوك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ارتكاب جميع الأفراد المعلومة، وترك خصوص الفرد المشكوك فيه‌؟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ذلك، لأنّ مرجع الشكّ إلى الأقلّ والأكثر في المحرّمات على العكس في الواجبات، ويكون تعلّق التكليف بالأكثر ومبغوضيّته معلوماً، إمّا لأنّه المبغوض، أو لاشتماله عليه وتعلّقه بالأقلّ مشكوكاً فيه، فيرجع فيه إلى البراءة، وقد أشار الشيخ الأعظم رحمه الله</w:t>
      </w:r>
      <w:r>
        <w:rPr>
          <w:rStyle w:val="FootnoteAnchor"/>
          <w:rtl w:val="true"/>
        </w:rPr>
        <w:footnoteReference w:id="696"/>
      </w:r>
      <w:r>
        <w:rPr>
          <w:rFonts w:ascii="Amiri" w:hAnsi="Amiri" w:eastAsia="Amiri" w:cs="Amiri"/>
          <w:color w:val="111111"/>
          <w:sz w:val="28"/>
          <w:sz w:val="28"/>
          <w:szCs w:val="28"/>
          <w:rtl w:val="true"/>
          <w:lang w:bidi="ar-SA"/>
        </w:rPr>
        <w:t>إلى ذلك في أواخر بحث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الحكم فيه متعلّقاً بما هو متعلّق بصرف وجود الطبيعة، كما في الوضوء بالماء، فإنّه متقوّمٌ بوجود الماء في الخارج بمقدار ما يمكن أن يتوضّأ به، من غير فرقٍ بين قلّته وكثرته، إلّامن ناحية التوسعة والتضييق في مقام الامتثال، ولا يتصوّر ذلك في التحريميّات، إذ ما فيه المفسدة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جميع الوجودات أو مجموعها، أو وجود واحدٍ من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ورود الحكم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ينهي عن جميع الوجودات، لئلّا يوجد الطبيعة في الخارج، فإنّ الإنزجار عن الطبيعة، لا يكون إلّابالانزجار عن كلّ فردٍ وترك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حتّى لا تُخطئ وتقيس المقام بما ذكرناه في القسم الأوّل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الفرض إن شكّ في وجود الموضوع، يكون المرجع هو أصالة البراءة،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شكّ في انطباق الموضوع الموجود حتماً على فردٍ، كما لو علم بوجود الماء وشكّ في أنّ المائع الخارجي المعيّن هل هو ماء أم لا، يكون المرجع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كبرى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المثال خصوصيّة لا تجري البراءة فيه بمجرّد الشكّ في الموضوع خارجاً، وهي أنّ للوضوء بدلاً وهو التيمّم، وقد أوجب اللّه تعالى الوضوء لواجد الماء، والتيمّم لفاقده، فلو شكّ في وجود الماء فلا محالة يحصل له العلم الإجمالي بوجوب الوضوء أو التيمّم، وهذا العلم الإجمالي مانعٌ عن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وجوب الوضوء، هو الوجود الخاص للماء، أي الوجود المقدور، وهذا مسبوقٌ بالعدم، فيجري استصحاب العدم، ويحكم ببقائه، ويترتّب عليه عدم وجوب الوضوء، ووجوب التيمّم، وقد أشبعنا الكلام في ذلك، وفي النصوص الخاصّة الواردة في هذا الفرع في بحث التيمّم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متعلّق ما تعلّق به الحكم مأخوذاً بنحو العموم الاستغراقي، بحيث كان الحكم ثابتاً لكلّ فردٍ من أفراد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أنّ المرجع في هذا القسم، فيما شكّ في انطباقه على موجود خارجي، كما لو شكّ في عالميّة زيد بعد 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خمريّة مائعٍ خاص بعد 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البراءة كما تقدّم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أنّ منشأ ذلك هو أنّ انطباق متعلّق التكليف لابدَّ وأنْ يكون متحقّقاً في مرتبة سابقة على تعلّق الحكم به، فإذا وجب إكرام العالم، لابدَّ في الحكم بالوجوب، من كون الإكرام مصداقاً لطبيعي إكرام العالم في الرتبة السابقة، </w:t>
      </w:r>
    </w:p>
    <w:p>
      <w:pPr>
        <w:pStyle w:val="BookText"/>
        <w:rPr/>
      </w:pPr>
      <w:r>
        <w:rPr>
          <w:rFonts w:ascii="Amiri" w:hAnsi="Amiri" w:eastAsia="Amiri" w:cs="Amiri"/>
          <w:color w:val="111111"/>
          <w:sz w:val="28"/>
          <w:sz w:val="28"/>
          <w:szCs w:val="28"/>
          <w:rtl w:val="true"/>
          <w:lang w:bidi="ar-SA"/>
        </w:rPr>
        <w:t>فلو شُكّ في عالميّة زيدٍ، لا محالة يُشكّ في كون إكرامه إكراماً للعالم وعدمه، ومعه يُشكّ في تعلّق الوجوب به، فيرجع إلى البراءة، أو أنّ فعليّة الحكم متوقّفة على فعليّة موضوعه، ووجود الموضوع شرط لفعليّة الحكم، على ما هو الشأن في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فالشكّ في وجود الموضوع، يعود إلى الشكّ في وجود شرط فعليّة الحكم، الموجب لكون الشكّ شكّاً في التكليف، أو هما معاً، والبحث عن تفصيله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الحكم متعلّقاً بما له تعلّقٌ بالطبيعة السارية بنحو العموم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حكمه ممّا ذكرناه في تعلّق الحكم بمجموع الأفراد من المتعلّق، وقد عرفت أنّه في التكاليف الوجوبيّة يكون لزوم الإتيان بالأفراد المعلومة معلوماً، ولزوم إتيان المشكوك فيه غير معلوم،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التحريميّات يكون الإتيان بغير المشكوك فيه مشكوك المبغوضيّة، فتجري فيه البراءة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الأقسام التي ذكرناها كما تكون جارية في التكاليف النفسيّة، كذلك تكون جارية في التكاليف الضمنيّة أيضاً</w:t>
      </w:r>
      <w:r>
        <w:rPr>
          <w:rFonts w:eastAsia="Amiri" w:cs="Amiri" w:ascii="Amiri" w:hAnsi="Amiri"/>
          <w:color w:val="111111"/>
          <w:sz w:val="28"/>
          <w:szCs w:val="28"/>
          <w:rtl w:val="true"/>
          <w:lang w:bidi="ar-SA"/>
        </w:rPr>
        <w:t>.</w:t>
      </w:r>
      <w:bookmarkStart w:id="406" w:name="pg11799_136198"/>
    </w:p>
    <w:p>
      <w:pPr>
        <w:pStyle w:val="Heading6"/>
        <w:numPr>
          <w:ilvl w:val="5"/>
          <w:numId w:val="1"/>
        </w:numPr>
        <w:rPr/>
      </w:pPr>
      <w:bookmarkStart w:id="407" w:name="__RefHeading___Toc10444618_73709187"/>
      <w:bookmarkStart w:id="408" w:name="_Toc156"/>
      <w:bookmarkEnd w:id="406"/>
      <w:bookmarkEnd w:id="407"/>
      <w:r>
        <w:rPr>
          <w:rtl w:val="true"/>
        </w:rPr>
        <w:t>تقريب جريان البراءة</w:t>
      </w:r>
      <w:bookmarkEnd w:id="4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هذه الاُمور،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النهي عن الصَّلاة في أجزاء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يبقى على ظاهره من مبغوضيّة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الإرشاد إلى مطلوبيّة العدم، ودخله في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متعلّق النهي له متعلّقٌ خارجي كلّي، فيدور أمر النهي عن الصَّلاة فيما لا يؤكل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مانعيّة وقوعها في كلّ فردٍ، بحيث يكون كلّ فردٍ مانعاً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مانعيّة وقوعها في مجموع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تجري البراءة كما عرفت في القسم الرابع والخامس، وإنْ كان الأظهر هو الأوّل كما تقدّم في المقدّمة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مطلوبيّة كلّ عدمٍ إمّا مستقلّاً أو في ضمن مطلوبيّة البقيّة كلّها، فيرجع في عدم ما شُكّ في أنّه من أفراد غير المأكول إلى البراءة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النهي عن الصَّلاة في أجزاء ما لا يؤكل لحمه إرشاداً إلى أخذ عنوان في المأمور به، يتحقّق ذلك بمجرّد عدم وقوعها في غير المأكول أو ما هو ملازم له، سواءٌ أكان أمراً وجوديّاً أو عدميّاً، والمرجع حينئذٍ هو قاعدة الاشتغال من جهة رجوع الشكّ حينئذٍ إلى الشكّ في الامتثال وعدمه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في المقدّمة السادسة أنّه خلاف ظاهر الأدلّة، فراجع</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يندفع تعجب المحقّق النائيني رحمه الله من ذهاب المشهور إلى البراءة في الشبهات الموضوعيّة، وفي موارد دوران الأمر بين الأقلّ والأكثر الارتباطيين، وإلى عدم الجواز في المقام، ويمكن أنْ يكون وجه ذهابهم إلى عدم الجواز في المقام، بنائهم على اشتراط أن يكون لباس المصلّي من غير المأكول، كما هو صريح عبارة العلّامة قدس سره في السّاتر، إذ عليه أيضاً لا تكفي البراءة، لأنّه لا مجال لإحراز تحقّق الشرط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ظاهر الأدلّة مانعيّة غير المأكول، وعليه فتجري البراءة، ويكتفى بها من غير فرقٍ بين السّاتر وغيره، وبين ما عُلم كون الملبوس حيواناً أو غيره، وبين ما يكون مع المُصلّي من افتتاح الصَّلاة وغيره، وبين ما يكون من قبيل اللّباس وغيره، فإنّ الشكّ في جميع ذلك يرجع إلى الشكّ في المانعيّة، والمرجع فيه أصالة البراءة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مجموع ما ذكرناه أنّ الأظهر جواز الصَّلاة في المشكوك كونه من غير المأكول</w:t>
      </w:r>
      <w:r>
        <w:rPr>
          <w:rFonts w:eastAsia="Amiri" w:cs="Amiri" w:ascii="Amiri" w:hAnsi="Amiri"/>
          <w:color w:val="111111"/>
          <w:sz w:val="28"/>
          <w:szCs w:val="28"/>
          <w:rtl w:val="true"/>
          <w:lang w:bidi="ar-SA"/>
        </w:rPr>
        <w:t>.</w:t>
      </w:r>
      <w:bookmarkStart w:id="409" w:name="pg11799_136200"/>
    </w:p>
    <w:p>
      <w:pPr>
        <w:pStyle w:val="Heading6"/>
        <w:numPr>
          <w:ilvl w:val="5"/>
          <w:numId w:val="1"/>
        </w:numPr>
        <w:rPr/>
      </w:pPr>
      <w:bookmarkStart w:id="410" w:name="__RefHeading___Toc10444620_73709187"/>
      <w:bookmarkStart w:id="411" w:name="_Toc157"/>
      <w:bookmarkEnd w:id="409"/>
      <w:bookmarkEnd w:id="410"/>
      <w:r>
        <w:rPr>
          <w:rtl w:val="true"/>
        </w:rPr>
        <w:t>الخاتمة</w:t>
      </w:r>
      <w:bookmarkEnd w:id="411"/>
    </w:p>
    <w:p>
      <w:pPr>
        <w:pStyle w:val="Heading6"/>
        <w:numPr>
          <w:ilvl w:val="5"/>
          <w:numId w:val="1"/>
        </w:numPr>
        <w:rPr/>
      </w:pPr>
      <w:bookmarkStart w:id="412" w:name="__RefHeading___Toc10444622_73709187"/>
      <w:bookmarkStart w:id="413" w:name="_Toc158"/>
      <w:bookmarkEnd w:id="412"/>
      <w:r>
        <w:rPr>
          <w:rtl w:val="true"/>
        </w:rPr>
        <w:t>مدارك سائر الأقوال والجواب عنها</w:t>
      </w:r>
      <w:bookmarkEnd w:id="413"/>
    </w:p>
    <w:p>
      <w:pPr>
        <w:pStyle w:val="BookText"/>
        <w:rPr/>
      </w:pPr>
      <w:r>
        <w:rPr>
          <w:rFonts w:ascii="Amiri" w:hAnsi="Amiri" w:eastAsia="Amiri" w:cs="Amiri"/>
          <w:color w:val="111111"/>
          <w:sz w:val="28"/>
          <w:sz w:val="28"/>
          <w:szCs w:val="28"/>
          <w:rtl w:val="true"/>
          <w:lang w:bidi="ar-SA"/>
        </w:rPr>
        <w:t>وأمّا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من مطاوي ما حقّقناه مدارك سائر الأقوال وضعفها، إلّا أنّه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مدرك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المنع مطلقاً، فوجهه عدم تماميّة الأدلّة الاجتهاديّة، وعدم جريان الاُصول الموضوعيّة والحكميّة أو عدم فائدتها، وقد عرفت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مدرك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الأدلّة الاجتهاديّة، وقد مرَّ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مدرك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الاُصول الموضوعيّة، استصحاب العدم الأزلي، ومن الاُصول الحُكميّة أصالة البراءة، وأمّا سائر الوجوه فلا تخلو عن المناقشة، وقد عرفت أنّهما يتّمان على القول بالمانعيّة، الذي هو المختار، دون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مدرك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يعتبر في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مانعيّة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 غير ما لايؤكل، أي أنّ المستفاد من الأدلّة الشرطيّة في اللّباس، والمانعيّة في غيره، وعليه فالاُصول تكفي للقول بالجواز في غير اللّباس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فساد المبنى‌، وأنّ الأظهر هو المانعيّة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مدرك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المستفاد من موثّق ابن بكير المتقدّم، شرطيّة المأكوليّة على تقدير كونه حيوانيّاً، وقد تقدّم أنّ المستفاد منه أيضاً المانعيّة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مدرك 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استصحاب عدم كون الصَّلاة في غير المأكول، وقد عرفت اختصاصه بما يلبسه أو يقع عليه بعد الشروع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مدرك 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أشرنا إليه عند نقله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مدرك 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البناء على الشرطيّة في خصوص اللّباس إذا أُحرز كونه حيوانيّاً، وقد مر في مطاوي كلماتنا تفصيل ذلك كلّه وضعفها</w:t>
      </w:r>
      <w:r>
        <w:rPr>
          <w:rFonts w:eastAsia="Amiri" w:cs="Amiri" w:ascii="Amiri" w:hAnsi="Amiri"/>
          <w:color w:val="111111"/>
          <w:sz w:val="28"/>
          <w:szCs w:val="28"/>
          <w:rtl w:val="true"/>
          <w:lang w:bidi="ar-SA"/>
        </w:rPr>
        <w:t>.</w:t>
      </w:r>
      <w:bookmarkStart w:id="414" w:name="pg11799_136202"/>
    </w:p>
    <w:p>
      <w:pPr>
        <w:pStyle w:val="Heading6"/>
        <w:numPr>
          <w:ilvl w:val="5"/>
          <w:numId w:val="1"/>
        </w:numPr>
        <w:rPr/>
      </w:pPr>
      <w:bookmarkStart w:id="415" w:name="__RefHeading___Toc10444624_73709187"/>
      <w:bookmarkStart w:id="416" w:name="_Toc159"/>
      <w:bookmarkEnd w:id="414"/>
      <w:bookmarkEnd w:id="415"/>
      <w:r>
        <w:rPr>
          <w:rtl w:val="true"/>
        </w:rPr>
        <w:t>وقوع الصَّلاة في غير المأكول جهلاً أو نسياناً</w:t>
      </w:r>
      <w:bookmarkEnd w:id="41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 جواز الصَّلاة في اللّباس المشكوك فيه إنّما يكون جوازاً ظاهريّاً، تعرف أنّه لو انكشف الخلاف، ووقعت الصَّلاة فيما لايؤكل، فإنّ مقتضى القاعدة الأوّليّة لزوم الإعادة، وكذا الحال لو صَلّى فيه نسياناً، ولكن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إلّامن خمسة</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صحّة الصَّلاة في الموردين، لما حقّقناه سابقاً من كتابنا هذا، أنّ الحديث كما يشمل الأجزاء والشرائط، كذلك يشمل الموانع، وأنّه لا يختصّ بالنّاسي، بل يشمل الجاهل غير المقصّر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إلى الصَّلاة المركّبة من الاُمور الوجوديّة والعدميّة، ولم تقيّد بنقص شيءٍ خاص منها، بل حُذف المتعلّق، وهو دليل العموم، واستثناء الوجوديّات لا يوجب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يلاحظ من المركّب المقيّد بالاُمور الوجوديّة والعدميّة، هو نفس الاُمور التي يلتئم منها الكلّ‌، وهو الأجزاء، ثمّ يلاحظ تقيّدها بالاُمور الوجوديّة، ثمّ بالاُمور العدميّة، فمرتبة الموانع متأخّرة عن مرتبة الأجزاء والشرائط، وعليه فبما أنّ المستثنى منه لا يكون في نفسه ظاهراً في العموم، والمتيقّن إرادة غير الموانع، فيقتصر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حذف المتعلّق دليلُ العموم، وتقدّم رتبة الأجزاء والشرائط على الموانع في مرتبة الجعل والاعتبار، لا علاقة له بما تضمّنه الحديث من عدم البطلان، وهي في هذا الحكم جميعها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عمدة ما قيل في وجه عدم شمول الحديث للجاهل أمران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الحكم بالصحّة الواقعيّة، ومقتضاها عدم كون المتروك معتبراً، ولا يعقل تقيّد ما اعتبر في المأمور به بصورة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الحديث ان ترك غير الخمسة لا يوجب البطلان، ولاينافي ذلك كونه حين العمل مأموراً بإتيان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الحديث ما إذا صحَّ الأمر بالصّلاة الواجدة للمتروك، وهو إنّما يكون فيما إذا لم يكن الأمر الأوّل باقياً، فلا يشمل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نفي الإعادة، وإنْ كان فيما إذا أمكن الأمر بالإعادة، ولكن لا ينحصر بما إذا أمكن الأمر بها مولويّاً نفسيّاً، بل يصحّ فيما إذا أمكن الأمر بها ولو إرشاديّاً إلى بقاء الأمر الأوّل، كما هو الشأن في أغلب موارد الأمر بالإعادة، بل الظاهر اختصاصه بالفرض الأخير، وعليه فيشمل الحديث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للصحّة في صورة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وفي ثوبه عَذَرة من إنسانٍ أو سنّور أو كلبٍ‌، أيُعيد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النائيني رحمه الله</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الإعادة على الناسي، واستدلّ له بقوله عليه السلام في ذيل موثّق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تلك الصَّلاة حتّى يُصلّيها في غيره ممّا أحلَّ اللّه أكله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أنّه بعد الحكم بفساد الصَّلاة الواقعة في غير المأكول، لا محالة يكون في مقام جعل حكمٍ ثانوي للمصلّي في غير المأكول ناسياً كان أو جاهلاً، فإنّ حمله على التأكيد خلاف الأصل، فتقع المعارضة بينه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النّاسي، بالعموم من وجه، إذ الحديث مختصٌّ بالناسي، وعامٌ بالقياس إلى خصوص الوقوع في غير المأكول، والموثّق بالعكس، ولكن صحيح عبد الرحمن الدالّ على عدم وجوب الإعادة إذا وقعت الصَّلاة في غير المأكول جهلاً، يوجب اختصاص الموثّق بالناسي، فيُخصّص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وتكون النتيجة لزوم الإعادة لو صَلّى في غير المأكول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كون الموثّق في مقام جعل حكمٍ ثانوي، يكون أخصّ مطلقاً من الحديث، بناءً على ما عرفت من شمول الحديث للجاهل فيُقدَّم عليه، وصحيح عبد الرحمن أخصّ من الموثّق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النسبة عموماً من وجه، فإنّه لا وجه لتخصيص الموثّق أوّلاً بالصحيح، ثم ملاحظة النسبة بينه وبين الحديث إلّاعلى القول بانقلاب النسبة،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الحمل على التأكيد خلاف الأصل، إنّما هو فيما إذا كان في نفسه ظاهراً في التأسيس، وفي المقام ليس كذلك،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إشارة إلى الصَّلاة الواقعة، لاستحالة انقلاب الشيء عمّا وقع عليه، بل الظاهر منه كونه إشارةً إلى الصَّلاة بما أنّها واقعة في أجزاء الحيوان، فلا محالة لا يكون ظاهراً في كونه إنشاءً لحكمٍ ثانوي، بل لابدَّ وأن يُحمل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صحّة الصَّلاة إذا وقعت في غير المأكول نسياناً 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في المقام</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417" w:name="pg11799_136205"/>
    </w:p>
    <w:p>
      <w:pPr>
        <w:pStyle w:val="BookText"/>
        <w:rPr/>
      </w:pPr>
      <w:bookmarkEnd w:id="417"/>
      <w:r>
        <w:rPr>
          <w:rFonts w:ascii="Amiri" w:hAnsi="Amiri" w:eastAsia="Amiri" w:cs="Amiri"/>
          <w:color w:val="111111"/>
          <w:sz w:val="28"/>
          <w:sz w:val="28"/>
          <w:szCs w:val="28"/>
          <w:rtl w:val="true"/>
          <w:lang w:bidi="ar-SA"/>
        </w:rPr>
        <w:t>ولا الحَرير المحض للرِّجال مع الاختيار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0444626_73709187"/>
      <w:bookmarkStart w:id="419" w:name="_Toc160"/>
      <w:bookmarkEnd w:id="418"/>
      <w:r>
        <w:rPr>
          <w:rtl w:val="true"/>
        </w:rPr>
        <w:t>الصَّلاة في الحَرير</w:t>
      </w:r>
      <w:bookmarkEnd w:id="419"/>
    </w:p>
    <w:p>
      <w:pPr>
        <w:pStyle w:val="Heading6"/>
        <w:numPr>
          <w:ilvl w:val="5"/>
          <w:numId w:val="1"/>
        </w:numPr>
        <w:rPr/>
      </w:pPr>
      <w:bookmarkStart w:id="420" w:name="__RefHeading___Toc10444628_73709187"/>
      <w:bookmarkStart w:id="421" w:name="_Toc161"/>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المحض للرِّجال مع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لبسه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علماء الإسلام،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بكير،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الرجل الحرير والدّيباج إلّافي الحرب</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لباس الحرير والدّيباج‌؟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الحرب فلا بأس</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غير واحدٍ دعوى الإجماع عليه</w:t>
      </w:r>
      <w:r>
        <w:rPr>
          <w:rStyle w:val="FootnoteAnchor"/>
          <w:rtl w:val="true"/>
        </w:rPr>
        <w:footnoteReference w:id="708"/>
      </w:r>
      <w:r>
        <w:rPr>
          <w:rFonts w:ascii="Amiri" w:hAnsi="Amiri" w:eastAsia="Amiri" w:cs="Amiri"/>
          <w:color w:val="111111"/>
          <w:sz w:val="28"/>
          <w:sz w:val="28"/>
          <w:szCs w:val="28"/>
          <w:rtl w:val="true"/>
          <w:lang w:bidi="ar-SA"/>
        </w:rPr>
        <w:t xml:space="preserve">، وتدلّ عليه جملة </w:t>
      </w:r>
    </w:p>
    <w:p>
      <w:pPr>
        <w:pStyle w:val="BookText"/>
        <w:rPr/>
      </w:pP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عبد الجبّار،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عليها وَبَر ما لا يؤكل لحمه، أو تكّة حريرٍ محض، أو تكّة من وَبَر الأرانب‌؟</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الحرير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مكاتبته الاُخرى إليه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حرير محض، أو قلنسوة ديباج‌؟</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إسماعيل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في ثوب أبريسم‌؟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صحيح ابن بزيع الوارد 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في ثوب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التماثيل فلا بأس</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الحرير الممزوج بغيره، ويشهد له ذِكْر الدّيباج في قبال الحرير في مكاتبة محمّد، ومرسلة ابن بكير، وموثّقة سماعة المتقدّمة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أنّ المراد منه الحرير المحض، لابدَّ من طرحه، أو حمله على ما لا ينافي النصوص المتقدّمة؛ لإعراض الأصحاب عنه وموافقته للعامّة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مقتضى إطلاق النصوص، عدم الفرق بين كون الحرير ساتراً للعورة، وكون السّاتر غيره، فإنّها ظاهرة في مانعيّة لبس الحرير للصّلاة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أنّ حرمة لبس الحرير في نفسه مانعة من أن يُفهم من النصوص الناهية عن الصَّلاة في الحرير، منعٌ مغايرٌ للمنع الناشئ من حرمة اللّبس من حيث هو، فتكون الصَّلاة في الحرير كالصّلاة في الثّوب المغصوب، فكما يفصّل فيه بين السّاتر وغيره، فيحكم في الأوّل بالبطلان دون الثاني، فكذلك لابدّ من التفصيل في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في هذه النصوص بما أنّه تعلّق بالصَّلاة في الحرير على الإطلاق، فيستكشف منه أنّه ليس من جهة حرمة لبسه، بل يكون إرشاداً إلى مانعيّة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الأظهر اختصاص المنع بما تتمّ فيه الصَّلاة، كما هو المنسوب إلى المشهور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كالمفيد</w:t>
      </w:r>
      <w:r>
        <w:rPr>
          <w:rStyle w:val="FootnoteAnchor"/>
          <w:rtl w:val="true"/>
        </w:rPr>
        <w:footnoteReference w:id="715"/>
      </w:r>
      <w:r>
        <w:rPr>
          <w:rFonts w:ascii="IRNazanin" w:hAnsi="IRNazanin" w:eastAsia="IRNazanin"/>
          <w:color w:val="111111"/>
          <w:sz w:val="28"/>
          <w:sz w:val="28"/>
          <w:szCs w:val="28"/>
          <w:rtl w:val="true"/>
          <w:lang w:bidi="fa-IR"/>
        </w:rPr>
        <w:t>والصدوق</w:t>
      </w:r>
      <w:r>
        <w:rPr>
          <w:rStyle w:val="FootnoteAnchor"/>
          <w:rtl w:val="true"/>
        </w:rPr>
        <w:footnoteReference w:id="716"/>
      </w:r>
      <w:r>
        <w:rPr>
          <w:rFonts w:ascii="Amiri" w:hAnsi="Amiri" w:eastAsia="Amiri" w:cs="Amiri"/>
          <w:color w:val="111111"/>
          <w:sz w:val="28"/>
          <w:sz w:val="28"/>
          <w:szCs w:val="28"/>
          <w:rtl w:val="true"/>
          <w:lang w:bidi="ar-SA"/>
        </w:rPr>
        <w:t>وابن الجنيد وغيرهم</w:t>
      </w:r>
      <w:r>
        <w:rPr>
          <w:rStyle w:val="FootnoteAnchor"/>
          <w:rtl w:val="true"/>
        </w:rPr>
        <w:footnoteReference w:id="717"/>
      </w:r>
      <w:r>
        <w:rPr>
          <w:rFonts w:ascii="Amiri" w:hAnsi="Amiri" w:eastAsia="Amiri" w:cs="Amiri"/>
          <w:color w:val="111111"/>
          <w:sz w:val="28"/>
          <w:sz w:val="28"/>
          <w:szCs w:val="28"/>
          <w:rtl w:val="true"/>
          <w:lang w:bidi="ar-SA"/>
        </w:rPr>
        <w:t>عمومه لما لا تتمّ فيه الصَّلاة منفرداً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بمكاتبتي محمّد بن عبد الجبّار المتقدّمتين، وجوابه عليه السلام فيهما وإنْ كان عامّاً، إلّاأنّه لوقوعه عن السؤال عن خصوص ما لا تتمّ فيه الصَّلاة، يصبح نصّاًم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موثّق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الثّوب يكون عَلَمُهُ ديباجاً؟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من حمل هذه النصوص على الكراهة، جمعاً بينها وبين الخبر الذي رواه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 تجوز الصَّلاة فيه وحده، فلا بأس بالصَّلاة فيه، مثل التكّة الأبريسم، والقلنسوة والخُفّ والزّنار</w:t>
      </w:r>
      <w:r>
        <w:rPr>
          <w:rStyle w:val="FootnoteAnchor"/>
          <w:rtl w:val="true"/>
        </w:rPr>
        <w:footnoteReference w:id="719"/>
      </w:r>
      <w:r>
        <w:rPr>
          <w:rFonts w:ascii="Amiri" w:hAnsi="Amiri" w:eastAsia="Amiri" w:cs="Amiri"/>
          <w:color w:val="111111"/>
          <w:sz w:val="28"/>
          <w:sz w:val="28"/>
          <w:szCs w:val="28"/>
          <w:rtl w:val="true"/>
          <w:lang w:bidi="ar-SA"/>
        </w:rPr>
        <w:t>يكون في السّراويل ويُصلّى فيه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طريقه أحمد بن هلال وهو ضعيفٌ‌، في غير محلّه، لاعتماد الأصحاب عليه، مضافاً إلى ما عن ابن الغضائري من أنّه لم يتوقّف في ما يرويه عن ابن أبي عمير، والحسن بن محبوب، لأنّه قد اعتمد على كتابيهما جُلّ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المنع ليست متعرّضة لخصوص ما لا تتمّ فيه الصَّلاة، كي يمكن حملها على الكراهة، بل جوابه عليه السلام فيها عامٌ ويكون بياناً لمانعيّة لبس الحرير على الإطلاق، فلا يصحّ حمله على الكراهة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بعض المباحث السابقة من أنّ الحرمة والكراهة خارجتان عن حريم المستعمل فيه، وإنّما هما تنتزعان من ترخيص المولى في فعل ما نَهى عنه وعدمه، ففي المقام النهي في نصوص المنع استُعمل في معنى واحد، ولكن بما أنّه ورد في خصوص ما لا تتمّ فيه الصَّلاة، دلَّ على الجواز، ولم يرد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فيحكم بأنّ الصَّلاة فيه مكروهة وفي غيره فاسدة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حمل النهي في هذه النصوص على مطلق المرجوحيّة، غير المنافي لكراهة بعض أفراد العام، وعدم جواز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الجواز في ذلك الفرد، لا يستفاد من هذه النصوص، وإنّما يستفاد من الروايات الدالّة على عدم جواز الصَّلاة في الثّوب الحرير، وهي وإنْ كانت مطلقة شاملة لما لا تتمّ فيه الصَّلاة، إلّا أنّه بما أنّ شمولها له إنّما يكون بنحو الإطلاق، وليست كهذه النصوص نصّاً فيه، فتقيّد برواية الحلبي</w:t>
      </w:r>
      <w:r>
        <w:rPr>
          <w:rFonts w:eastAsia="Amiri" w:cs="Amiri" w:ascii="Amiri" w:hAnsi="Amiri"/>
          <w:color w:val="111111"/>
          <w:sz w:val="28"/>
          <w:szCs w:val="28"/>
          <w:rtl w:val="true"/>
          <w:lang w:bidi="ar-SA"/>
        </w:rPr>
        <w:t>.</w:t>
      </w:r>
      <w:bookmarkStart w:id="422" w:name="pg11799_136210"/>
    </w:p>
    <w:p>
      <w:pPr>
        <w:pStyle w:val="BookText"/>
        <w:rPr/>
      </w:pPr>
      <w:bookmarkEnd w:id="422"/>
      <w:r>
        <w:rPr>
          <w:rFonts w:ascii="Amiri" w:hAnsi="Amiri" w:eastAsia="Amiri" w:cs="Amiri"/>
          <w:color w:val="111111"/>
          <w:sz w:val="28"/>
          <w:sz w:val="28"/>
          <w:szCs w:val="28"/>
          <w:rtl w:val="true"/>
          <w:lang w:bidi="ar-SA"/>
        </w:rPr>
        <w:t>ويجوزُ في الحرب</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0444630_73709187"/>
      <w:bookmarkStart w:id="424" w:name="_Toc162"/>
      <w:bookmarkEnd w:id="423"/>
      <w:r>
        <w:rPr>
          <w:rtl w:val="true"/>
        </w:rPr>
        <w:t>لبس الحَرير في حال الضّرورة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الخلاف فيه، بل عن غير واحدٍ</w:t>
      </w:r>
      <w:r>
        <w:rPr>
          <w:rStyle w:val="FootnoteAnchor"/>
          <w:rtl w:val="true"/>
        </w:rPr>
        <w:footnoteReference w:id="721"/>
      </w:r>
      <w:r>
        <w:rPr>
          <w:rFonts w:ascii="Amiri" w:hAnsi="Amiri" w:eastAsia="Amiri" w:cs="Amiri"/>
          <w:color w:val="111111"/>
          <w:sz w:val="28"/>
          <w:sz w:val="28"/>
          <w:szCs w:val="28"/>
          <w:rtl w:val="true"/>
          <w:lang w:bidi="ar-SA"/>
        </w:rPr>
        <w:t xml:space="preserve">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كمرسل ابن بُكير، وموثّق سماعة يالمتقدّمين، ونحوهما غيرهما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فيه حينئذٍ اختياراً، ولعلّه لدعوى التلازم بين الجوازين، أو أنّ حرمة لبسه ذاتاً مانعة عن استفادة منعٍ مغايرٍ للمنع الناشئ من حرمة اللّبس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حليّته لا دليل على المنع عن الصَّلاة فيه، ومقتضى الأصل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دعوى بلا بيّنة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دليل الجواز، الشامل لحال الصَّلاة، لا ينافي مانعيّته، فلا وجه للاستدلال به للصحّة، فالأقوى هو المنع لإطلاق النصوص</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لبسه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المحكيّ عن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المشتملة على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فهو أولى بالعُذر</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اللّه شيئاً إلّاوقد أحلّه في حال الاضطرار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فيه في هذه الحالة، فإنْ لم تكن الضرورة متحقّقة في حال الصَّلاة، بأن تمكّن من نزعه مقدار أن يُصلّي ثمّ يلبسه، وكان له غيره ممّا يستر به عورته، فلا شبهة في المنع، وإلّا فإنْ كانت الضرورة مستوعبة للوقت، صحّتْ صلاته معه، لأنّها لا تدع بحال، وإنْ لم تكن مستوعبة للوقت، ولكنّه لم يتمكّن من نزعه مقدار أنْ يُصلّي في أوّل الوقت، فالأقوى عدم الصحّة، لأنّه لا منشأ لتوهّم الصحّة، سوى حديث الرفع</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قيام التلازم بين جواز لبسه، وجواز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فلما عرفت آنفاً، وأمّا الأوّل فلعدم تعلّق الاضطرار بمتعلّق التكليف، لأنّ متعلّقه الطبيعي على نحو صرف الوجود، وما تعلّق به الاضطرار، وهو إيجاد المانع في الصَّلاة في بعضٍ من الوقت، لا يكون متعلّقاً للتكليف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حكم ما لو أُكره على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فيه نسياناً، صحّت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أو ضرورة من المذهب، 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w:t>
      </w:r>
      <w:r>
        <w:rPr>
          <w:rStyle w:val="FootnoteAnchor"/>
          <w:rtl w:val="true"/>
        </w:rPr>
        <w:footnoteReference w:id="731"/>
      </w:r>
      <w:r>
        <w:rPr>
          <w:rFonts w:ascii="Amiri" w:hAnsi="Amiri" w:eastAsia="Amiri" w:cs="Amiri"/>
          <w:color w:val="111111"/>
          <w:sz w:val="28"/>
          <w:sz w:val="28"/>
          <w:szCs w:val="28"/>
          <w:rtl w:val="true"/>
          <w:lang w:bidi="ar-SA"/>
        </w:rPr>
        <w:t>، هذا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فيها، فنُسب إلى المشهور</w:t>
      </w:r>
      <w:r>
        <w:rPr>
          <w:rStyle w:val="FootnoteAnchor"/>
          <w:rtl w:val="true"/>
        </w:rPr>
        <w:footnoteReference w:id="732"/>
      </w:r>
      <w:r>
        <w:rPr>
          <w:rFonts w:ascii="Amiri" w:hAnsi="Amiri" w:eastAsia="Amiri" w:cs="Amiri"/>
          <w:color w:val="111111"/>
          <w:sz w:val="28"/>
          <w:sz w:val="28"/>
          <w:szCs w:val="28"/>
          <w:rtl w:val="true"/>
          <w:lang w:bidi="ar-SA"/>
        </w:rPr>
        <w:t>الجواز أيضاً، وعن الصدوق</w:t>
      </w:r>
      <w:r>
        <w:rPr>
          <w:rStyle w:val="FootnoteAnchor"/>
          <w:rtl w:val="true"/>
        </w:rPr>
        <w:footnoteReference w:id="733"/>
      </w:r>
      <w:r>
        <w:rPr>
          <w:rFonts w:ascii="Amiri" w:hAnsi="Amiri" w:eastAsia="Amiri" w:cs="Amiri"/>
          <w:color w:val="111111"/>
          <w:sz w:val="28"/>
          <w:sz w:val="28"/>
          <w:szCs w:val="28"/>
          <w:rtl w:val="true"/>
          <w:lang w:bidi="ar-SA"/>
        </w:rPr>
        <w:t>وأبي الصّلاح</w:t>
      </w:r>
      <w:r>
        <w:rPr>
          <w:rStyle w:val="FootnoteAnchor"/>
          <w:rtl w:val="true"/>
        </w:rPr>
        <w:footnoteReference w:id="734"/>
      </w:r>
      <w:r>
        <w:rPr>
          <w:rFonts w:ascii="Amiri" w:hAnsi="Amiri" w:eastAsia="Amiri" w:cs="Amiri"/>
          <w:color w:val="111111"/>
          <w:sz w:val="28"/>
          <w:sz w:val="28"/>
          <w:szCs w:val="28"/>
          <w:rtl w:val="true"/>
          <w:lang w:bidi="ar-SA"/>
        </w:rPr>
        <w:t>المنع، وتبعهما بعض متأخّري المتأخّرين</w:t>
      </w:r>
      <w:r>
        <w:rPr>
          <w:rStyle w:val="FootnoteAnchor"/>
          <w:rtl w:val="true"/>
        </w:rPr>
        <w:footnoteReference w:id="735"/>
      </w:r>
      <w:r>
        <w:rPr>
          <w:rFonts w:ascii="Amiri" w:hAnsi="Amiri" w:eastAsia="Amiri" w:cs="Amiri"/>
          <w:color w:val="111111"/>
          <w:sz w:val="28"/>
          <w:sz w:val="28"/>
          <w:szCs w:val="28"/>
          <w:rtl w:val="true"/>
          <w:lang w:bidi="ar-SA"/>
        </w:rPr>
        <w:t>، وعن جماعة</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للمنع</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بعض أدلّة المانعيّة، كمكاتبتي ابن عبد الجبّار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مورد السؤال فيهما القلنسوة الّتي هي من مختصّات الرّجل، لا يوجبُ تقييد الجواب واختصاصه 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الجُعفي عن أبي جعفر عليه السلام في حديثٍ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للمرأة لبس الدّيباج والحرير في غير الصَّلاة والإحرام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وبمرسلة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تلبس الحرير والدّيباج إلّا في الإحرام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بضميمة ما دلَّ على أنّ ما تجوز الصَّلاة فيه يجوز الإحرام فيه، تدلّ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تعارضه مرسلة ابن بكير، حيث أنّ استثناء الإحرام فيها قرينة على إرادة الأعمّ من التكليف، والوضع في المستثنى منه والنسبة بينها وبين تلك النصوص عمومٌ من وجه، وحيثُ أنّ دلالة كلّ منهما تكون بالإطلاق فيتساقطان</w:t>
      </w:r>
      <w:r>
        <w:rPr>
          <w:rStyle w:val="FootnoteAnchor"/>
          <w:rtl w:val="true"/>
        </w:rPr>
        <w:footnoteReference w:id="740"/>
      </w:r>
      <w:r>
        <w:rPr>
          <w:rFonts w:ascii="Amiri" w:hAnsi="Amiri" w:eastAsia="Amiri" w:cs="Amiri"/>
          <w:color w:val="111111"/>
          <w:sz w:val="28"/>
          <w:sz w:val="28"/>
          <w:szCs w:val="28"/>
          <w:rtl w:val="true"/>
          <w:lang w:bidi="ar-SA"/>
        </w:rPr>
        <w:t>معاً والمرجع إلى أصالة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التلازم بين الجواز في الصَّلاة وفي الإحرام، بطلان الصَّلاة، فلا دليل على الجواز كي يعارض ما 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الإحرام محمولٌ على الكراهة، بقرينة ما دلَّ على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دلَّ على أنّ ما تجوزُ الصَّلاة فيه، يجوز فيه الإحرام، لا على أنّ ما لا يجوز فيه الإحرام لا تجوز فيه الصَّلاة، فليكن هذا المورد بواسطة الدليل خارجاً عن تحت 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الأقوى هو الجواز</w:t>
      </w:r>
      <w:r>
        <w:rPr>
          <w:rFonts w:eastAsia="Amiri" w:cs="Amiri" w:ascii="Amiri" w:hAnsi="Amiri"/>
          <w:color w:val="111111"/>
          <w:sz w:val="28"/>
          <w:szCs w:val="28"/>
          <w:rtl w:val="true"/>
          <w:lang w:bidi="ar-SA"/>
        </w:rPr>
        <w:t xml:space="preserve">.). </w:t>
      </w:r>
      <w:bookmarkStart w:id="425" w:name="pg11799_136214"/>
    </w:p>
    <w:p>
      <w:pPr>
        <w:pStyle w:val="BookText"/>
        <w:rPr/>
      </w:pPr>
      <w:bookmarkEnd w:id="425"/>
      <w:r>
        <w:rPr>
          <w:rFonts w:ascii="Amiri" w:hAnsi="Amiri" w:eastAsia="Amiri" w:cs="Amiri"/>
          <w:color w:val="111111"/>
          <w:sz w:val="28"/>
          <w:sz w:val="28"/>
          <w:szCs w:val="28"/>
          <w:rtl w:val="true"/>
          <w:lang w:bidi="ar-SA"/>
        </w:rPr>
        <w:t>وللركوب عليه، والافتراش له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0444632_73709187"/>
      <w:bookmarkStart w:id="427" w:name="_Toc163"/>
      <w:bookmarkEnd w:id="426"/>
      <w:r>
        <w:rPr>
          <w:rtl w:val="true"/>
        </w:rPr>
        <w:t>تنبيهات قماش الحرير</w:t>
      </w:r>
      <w:bookmarkEnd w:id="42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للرّكوب عليه والإفتراش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سائر التصرّفات عدا اللّبس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بعد كون الأخبار الدالّة على الحرمة مختصّة باللّبس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مضافاً إلى صحيح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الفراش الحرير، ومثله من الدّيباج، والمصلّى الحرير، هل يصلح للرّجل النوم عليه، والتكأة والصَّلاة‌؟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ويقوم عليه ولا يسجد عليه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بالمحمول من الحرير في الصَّلاة وغيرها؛ لاختصاص أدلّة المنع بالملبوس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عدم جواز الصَّلاة معه بناءً على عدم جوازها، مع حمل ما لا يؤكل لحمه، لأنّه من فضلاته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جواز الصَّلاة في الثّوب المكفوف بالحرير، يدلّ على عدم البأس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الحرير الممتزج بغيره، بلا خلافٍ فيه في الجملة، بل عن غير واحدٍ</w:t>
      </w:r>
      <w:r>
        <w:rPr>
          <w:rStyle w:val="FootnoteAnchor"/>
          <w:rtl w:val="true"/>
        </w:rPr>
        <w:footnoteReference w:id="74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قرب دعوى عدم شمول الأدلّة له، للخروج بالمزج عن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ابن قياما أبا الحسن عليه السلام عن الثّوب المُلحم بالقزّ والقطن، والقزّ أكثر من النصف، أيصلّى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كان لأبي الحسن جُبّات</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الفضل،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الثّوب يكون فيه الحرير؟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خبر إسماعيل، عدم الفرق في الخليط بين أنْ يكون قُطناً أو كتّاناً أو يكون غيرهما، وما يظهر من بعض النصوص من الاختصاص بهما، كخبر عبيد بن زرارة،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بلباس القزّ إذا كان سُداه أو لُحمته من قطنٍ أو كتّان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يُحمل على إرادة المثال، لعدم كونها في مقام البيان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هي في مقام بيان التفصيل بين الحرير المحض وغيره، كما يظهر لمن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الثّوب المكفوف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تقييد الموضوع بالخلوص مانعٌ عن شمول الحكم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يوسف بن إبراهيم،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أنْ يكون سُداه وزرّه وعلمه حريراً، وإنّما كَرُه الحرير المبهم للرِّجال</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أنْ يكون سُدا الثّوب إبريسم، ولا زرّه ولا عَلَمه، وإنّما يكره المصمّت من الأبريسم للرِّجال، ولا يكره للنساء</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نفي البأس فيهما شمولهما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يفسّران الحرير المحض الذي علقت عليه حُرمة اللّبس والصَّلاة فيه في النصوص، فلا سبيل إلى توهّم اختصاصهما بغير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والخدشة في سندهما بجهالة أبي داود، في غير محلّها، بعد كون الرّاوي عنه فيهما صفوان، وهو من أصحاب الإجماع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للمنع</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الثّوب يكون عَلَمه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قد عرفت ما فيه، والثاني وإنْ كان ظاهراً في المنع إلّاأنّه يُحمل على الكراهة، جمعاً بينه وبين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بحمل ما دلَّ على الجواز على غير حال الصَّلاة، خلاف المشهور، بل لعلّه يلزم منه خرق الإجماع المركّب، مع أنّه حينئذٍ لا يمكن الاعتماد عليه، لإعراض المشهور عنه، وعليه فالأقوى هو الجواز</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8" w:name="pg11799_136218"/>
    </w:p>
    <w:p>
      <w:pPr>
        <w:pStyle w:val="BookText"/>
        <w:rPr/>
      </w:pPr>
      <w:bookmarkEnd w:id="428"/>
      <w:r>
        <w:rPr>
          <w:rFonts w:ascii="Amiri" w:hAnsi="Amiri" w:eastAsia="Amiri" w:cs="Amiri"/>
          <w:color w:val="111111"/>
          <w:sz w:val="28"/>
          <w:sz w:val="28"/>
          <w:szCs w:val="28"/>
          <w:rtl w:val="true"/>
          <w:lang w:bidi="ar-SA"/>
        </w:rPr>
        <w:t>ولا في المغصوب</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0444634_73709187"/>
      <w:bookmarkStart w:id="430" w:name="_Toc164"/>
      <w:bookmarkEnd w:id="429"/>
      <w:r>
        <w:rPr>
          <w:rtl w:val="true"/>
        </w:rPr>
        <w:t>الصَّلاة في المغصوب</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فيه في الجملة، بل عن غير واحدٍ</w:t>
      </w:r>
      <w:r>
        <w:rPr>
          <w:rStyle w:val="FootnoteAnchor"/>
          <w:rtl w:val="true"/>
        </w:rPr>
        <w:footnoteReference w:id="75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الفضل بن شاذان</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السّاتر وغيره،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أنّه إنْ كان سُتر به العورة أو سُجد عليه، أو قام فوقه، كانت الصَّلاة باطلة، لأنّ جزء الصَّلاة يكون منهيّاً عنه، وتبطل الصَّلاة بفواته، أمّا إذا لم يكن كذلك لم تبطل، وكان كلبس خاتم 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الأقوى عندنا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المقام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تصحّ الصَّلاة في السّاتر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في الثّوب المغصوب غير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فيها ما حقّقناه في الاُصول</w:t>
      </w:r>
      <w:r>
        <w:rPr>
          <w:rStyle w:val="FootnoteAnchor"/>
          <w:rtl w:val="true"/>
        </w:rPr>
        <w:footnoteReference w:id="760"/>
      </w:r>
      <w:r>
        <w:rPr>
          <w:rFonts w:ascii="Amiri" w:hAnsi="Amiri" w:eastAsia="Amiri" w:cs="Amiri"/>
          <w:color w:val="111111"/>
          <w:sz w:val="28"/>
          <w:sz w:val="28"/>
          <w:szCs w:val="28"/>
          <w:rtl w:val="true"/>
          <w:lang w:bidi="ar-SA"/>
        </w:rPr>
        <w:t>من أنّه في موارد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المأمور به والمنهيّ عنه عنوانين منطبقين على شيءٍ واحد ووجود فارد، وكان التركيب بينهما اتّحاديّاً، فلا مناص عن القول بامتناع اجتماع الأمر والنهي، من غير فرقٍ بين أنْ يكون كلّ من متعلّقي الأمر والنهي عنواناً انتزاعيّاً، وكان منشأ انتزاعهما شيءٌ واحد، أو يكون أحدهما انتزاعيّاً والآخر من العناوين المتأصّلة، وكان هو منشأ انتزاع ذلك الأمر الانتزاعي، فحينئذٍ يقع التعارض بين إطلاقي دليلي الأمر والنهي، ولابدَّ من تقديم أحدهما، فلو قُدِّم الإطلاق في طرف النهي، خرج المجمع عن حيّز الأمر واقعاً، وأصبح متمحّضاً في الحرمة، فلا يقع صحيحاً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لكلّ منهما وجودٌ مستقلٌّ منحازٌ عن الآخر، وكان التركيب بينهما استقلاليّاً، فلابدَّ من القول بالجواز، بناءً على ما هو الصحيح من أنّ الحكم لا يسري عن متعلّقه إلى مقارناته، من غير فرقٍ بين أنْ يكون كلٍّ من متعلّقيهما من العناوين الذاتيّة، أو يكون أحدهما منها والآخر انتزاعيّاً، وكان منشأ انتزاعه غير ذلك العنوان الذّاتي الذي هو متعلّق الآخر، فلا يكون حينئذٍ تعارضٌ بين دليلي الأمر والنهي، إذ لا مانع من كون أحدهما مأموراً به والآخر منهيّاً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الكلام في كلّ واحدة من هذه الجهات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السّاتر إذا كان مغصوباً، فبما أنّ التستّر شرطٌ للصَّلاة، فإنّ من الواضح أنّ التستّر بثوب الغير ولبسه تصرّفٌ فيه، فينطبق عليه عنوان الغصبيّة، فيتّحد المأمور به والمنهيّ عنه وجوداً، وحيثُ أنّ الإطلاق في طرف النهي شمولي، وفي طرف الأمر بدلي، فيُقدَّم إطلاق دليل النهي بناءً على ما هو الحقّ من تقدّم الشمولي على البدلي، فالصَّلاة مع السّاتر المغصوب لا تنطبق عليها الطبيعة المأمور بها، فتقع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يُغاير المنهيّ عنه في المقام، إذ الشرط هو المعنى المعبّر عنه باسم المصدر، والمنهيّ عنه المعنى المعبّر عنه بالمصدر، فتكون حال الصَّلاة في السّاتر المغصوب، حال الصَّلاة مع النظر إلى الأجنبيّة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المعبّر عنه باسم المصدر، إنّما يكون متّحداً مع المعبّر عنه بالمصدر وجوداً وخارجاً، والفرق بينهما إنّما يكون بالاعتبار، وعليه فلا يعقل كون أحدهما مأموراً به والآخر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كون السّتر شرطاً عباديّاً وكونه غير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جملة من الفقهاء والمحقّقين</w:t>
      </w:r>
      <w:r>
        <w:rPr>
          <w:rStyle w:val="FootnoteAnchor"/>
          <w:rtl w:val="true"/>
        </w:rPr>
        <w:footnoteReference w:id="761"/>
      </w:r>
      <w:r>
        <w:rPr>
          <w:rFonts w:ascii="Amiri" w:hAnsi="Amiri" w:eastAsia="Amiri" w:cs="Amiri"/>
          <w:color w:val="111111"/>
          <w:sz w:val="28"/>
          <w:sz w:val="28"/>
          <w:szCs w:val="28"/>
          <w:rtl w:val="true"/>
          <w:lang w:bidi="ar-SA"/>
        </w:rPr>
        <w:t>من الحكم بالصحّة في المقام، معلّلاً بأنّ السّتر لا يكون معتبراً في الصَّلاة عبادة، فلا ينافي تحقّقه بالفعل المحرّم، وغايته حصول الإثم، ضعيفٌ‌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الثّوب غير السّاتر مغصوباً، لا يلزم اتّحاد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المأمور به والمنهيّ عنه، إذ ما تعلّق به النهي إنّما هو لبس الثّوب، وعدم كونه معتبراً في الصَّلاة لا يحتاج إلى بيان، فلا يعقل أنْ يكون موجباً لبطلانها، لأنّ متعلّقه مغايرٌ لها، فيكون حاله حال النظر إلى الأجنبيّة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للبطلان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الحركات المعتبرة في الصَّلاة، كالنهوض إلى القيام، والهويّ إلى الركوع والسّجود، تتّحد مع المنهيّ عنه، لانطباق عنوان الغصب عليها، فتبطل الصَّلاة من هذه الجهة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مأمورٌ بردّ المغصوب إلى مالكه، وهو مضادٌّ للصّلاة فيه، والأمر بالشيء يقتضي النهي عن ضدّه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أخذوا ما أمرهم اللّه به، فأنفقوه فيما نَهاهم عنه ما قبله، ولو أخذوا ما نَهاهم اللّه عنه، فأنفقوه فيما أمرهم اللّه تعالى به ما قَبله منهم، حتّى يأخذوه من حقٍّ وينفقوه في حقّ‌</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وصيّته لكميل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اُنظر فيما تُصلّي، وعلى ما تُصلّي، إنْ لم يكن من وجهه وحِلّه فلا قبول</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الحركات ليست معتبرة في الصَّلاة، إذ كلٍّ من الركوع والسّجود والقيام اسمٌ لهيئة خاصّة حاصلة للجسم، باعتبار إضافة بعض أجزائه إلى بعض، فأدلّة وجوب الركوع والسّجود والقيام لا تدلّ على اعتبارها فيها، ولم يدلّ دليلٌ على اعتبارها بأنفسها في الصَّلاة، فما هو مأمورٌ به غير ما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المنهيّ عنه مقدّمةً لإيجاد المأمور به، ولكن حرمة المقدّمة لا تُنافي وجوب ذي المقدّمة، وحصول الامتثال بإتيانه، كما حُقّق في محلّه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أنّه لو سُلّم كون الحركات المزبورة من أجزاء الصَّلاة، فلا وجه للالتزام باتّحاد المأمور به والمنهيّ عنه، إذ بها أنّ بدن المُصلّي يُباين الثّوب المغصوب، والحركة التي تكون من أجزاء الصَّلاة هي القائمة بالبدن، والتي تكون غصباً هي القائمة بالمغصوب، فلا يُعقل أن تكون إحداهما عين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ولو سُلّم كون الحركة الصلاتيّة غير الحركة الغصبيّة، إلّاأنّه لا ريب في أنّ الأُولى علّة للثانية، وحيثُ أنّ علّة الحرام حرامٌ‌، فتكون الحركة الصلاتيّة أيضاً حراماً، فعاد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التكليف الغيري، بما أنّها لا تُوجب البُعد عن المولى، فلا مانع من التقرّب بما هو متعلّق له، إلّابناءً على اعتبار الأمر في صحّة العبادة، فتدبّر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w:t>
      </w:r>
      <w:r>
        <w:rPr>
          <w:rStyle w:val="FootnoteAnchor"/>
          <w:rtl w:val="true"/>
        </w:rPr>
        <w:footnoteReference w:id="767"/>
      </w:r>
      <w:r>
        <w:rPr>
          <w:rFonts w:ascii="Amiri" w:hAnsi="Amiri" w:eastAsia="Amiri" w:cs="Amiri"/>
          <w:color w:val="111111"/>
          <w:sz w:val="28"/>
          <w:sz w:val="28"/>
          <w:szCs w:val="28"/>
          <w:rtl w:val="true"/>
          <w:lang w:bidi="ar-SA"/>
        </w:rPr>
        <w:t>من أنّ الأمر بالشيء لا يقتضي النهي عن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يدلّ عليه، اعتبار الإباحة في القبول، لا في الأجزاء، هذا مضافاً إلى أنّ إنفاق المنهيّ عنه في المأمور به لا يشمل لبس الثّوب المغصوب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مضافاً إلى أنّه يدلّ على اعتبار الإباحة في القبول لا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الأقوى صحّة الصَّلاة في المحمول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اخترناه من البطلان، فيما إذا كان السّاتر مغصوباً، لا يختصّ بالعالِم، بل يشملُ أيضاً الجاهل حكماً أو موضوعاً، إذ على القول بامتناع اجتماع الأمر والنهي، وتقديم جانب النهي، يخرج المجمع عن حيّز الأمر، ويكون متمحّضاً في الحرمة، ومعه لا وجه للإجتزاء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ماقيل</w:t>
      </w:r>
      <w:r>
        <w:rPr>
          <w:rStyle w:val="FootnoteAnchor"/>
          <w:rtl w:val="true"/>
        </w:rPr>
        <w:footnoteReference w:id="768"/>
      </w:r>
      <w:r>
        <w:rPr>
          <w:rFonts w:ascii="Amiri" w:hAnsi="Amiri" w:eastAsia="Amiri" w:cs="Amiri"/>
          <w:color w:val="111111"/>
          <w:sz w:val="28"/>
          <w:sz w:val="28"/>
          <w:szCs w:val="28"/>
          <w:rtl w:val="true"/>
          <w:lang w:bidi="ar-SA"/>
        </w:rPr>
        <w:t>من إنّه لايعتبر في صحّة العبادة إلّاصدورهاعن داع القُربة، وهو حاصلٌ في الجاهل، إذ قصد القُربة بإتيان المحرّم، لايوجب اتّصافه بالعباديّة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 غصبيّة الثّوب، فصلّى فيه مضت صلاته، وكذا لو اُكره على التصرّف في المغصوب، أو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جماعةٌ من المحقّقين</w:t>
      </w:r>
      <w:r>
        <w:rPr>
          <w:rStyle w:val="FootnoteAnchor"/>
          <w:rtl w:val="true"/>
        </w:rPr>
        <w:footnoteReference w:id="770"/>
      </w:r>
      <w:r>
        <w:rPr>
          <w:rFonts w:ascii="Amiri" w:hAnsi="Amiri" w:eastAsia="Amiri" w:cs="Amiri"/>
          <w:color w:val="111111"/>
          <w:sz w:val="28"/>
          <w:sz w:val="28"/>
          <w:szCs w:val="28"/>
          <w:rtl w:val="true"/>
          <w:lang w:bidi="ar-SA"/>
        </w:rPr>
        <w:t xml:space="preserve">عليه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إذا لم يكن مستوعباً للوقت، فطروّه لا يوجب ارتفاع الحكم عن متعلّقه، إذا ما طرأ عليه النسيان وهو الفرد لا حكم له، وما هو متعلّق الحكم وهو الطبيعي، لم يطرأ عليه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مستوعباً للوقت، فغاية ما يدلّ عليه الحديث، رفع الحكم المتعلّق بالمركّب لا المانعيّة خاصّة، فوجوب الإتيان ببقيّة الأجزاء والشرائط يحتاجُ إلى دليلٍ آخر، فالحديث لا يدلّ على صحّة الصَّلاة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اُكره المصلّي على لبس الثّوب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الإكراه مستوعباً لتمام الوقت، فمقتضى حديث الرفع عدم وجوب الصَّلاة المقيّدة بعدم وقوعها في السّاتر المغصوب، ولا يدلّ على الأمر بالفاقدة لهذا القيد، لكنّه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الإكراه مستوعباً للوقت، فلا ريب في ارتفاع حرمته النفسيّة، فحينئذٍ لا يبعدُ الحكم بالصحّة أيضاً، إذ اعتبار عدم كون السّاتر مغصوباً، ليس للنهي الإرشادي، بل إنّما يكون الموجب له الحرمة، بناءً على أنّ المورد من موارد اجتماع الأمر والنهي، فإذا ارتفعت الحرمة بالإكراه، ارتفع اعتباره، وإلّا كان التقييد بلا موجب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إنّما يوجبُ سقوط الحرمة، وأمّا الملاك المقتضي للنهي،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باقٍ على حاله، فلا محالة يقع التزاحم بينه وبين ملاك الأمر، وحيث أنّ المفروض غلبة ملاك النهي، فلا يمكن التقرّب بما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الذي لا يؤثّر في المبغوضيّة الفعليّة، ومعه يكون الفعل مورداً للترخيص، لا يمكن أنْ يكون مانعاً عن تعلّق الأمر بالفعل، بعد فرض اشتماله في نفسه على الملاك المُلْزَم، فلا مانع من التقرّب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ذكرناه في محلّه من أنّه بعد سقوط التكليف، لا طريق لنا إلى كشف 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وجهٌ آخر للحكم بصحّة الصَّلاة مع نسيان غصبيّة الثّوب، ولو لم يكن النسيان مستوعباً للوقت، إذ مقتضى حديث الرفع حينئذٍ رفع الحرمة، فيسقط اعتبار التقييد، ويصحّ وقوع الفعل عبادة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انقدح صحّة الصَّلاة مع الاضطرار إلى التصرّف في المغصوب، فلا نعيد ما ذكرناه</w:t>
      </w:r>
      <w:r>
        <w:rPr>
          <w:rFonts w:eastAsia="Amiri" w:cs="Amiri" w:ascii="Amiri" w:hAnsi="Amiri"/>
          <w:color w:val="111111"/>
          <w:sz w:val="28"/>
          <w:szCs w:val="28"/>
          <w:rtl w:val="true"/>
          <w:lang w:bidi="ar-SA"/>
        </w:rPr>
        <w:t>.</w:t>
      </w:r>
      <w:bookmarkStart w:id="431" w:name="pg11799_136226"/>
    </w:p>
    <w:p>
      <w:pPr>
        <w:pStyle w:val="BookText"/>
        <w:rPr/>
      </w:pPr>
      <w:bookmarkEnd w:id="431"/>
      <w:r>
        <w:rPr>
          <w:rFonts w:ascii="Amiri" w:hAnsi="Amiri" w:eastAsia="Amiri" w:cs="Amiri"/>
          <w:color w:val="111111"/>
          <w:sz w:val="28"/>
          <w:sz w:val="28"/>
          <w:szCs w:val="28"/>
          <w:rtl w:val="true"/>
          <w:lang w:bidi="ar-SA"/>
        </w:rPr>
        <w:t>ولا في ما يستر ظَهر القدم، إذا لم يكن له ساق</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0444636_73709187"/>
      <w:bookmarkStart w:id="433" w:name="_Toc165"/>
      <w:bookmarkEnd w:id="432"/>
      <w:r>
        <w:rPr>
          <w:rtl w:val="true"/>
        </w:rPr>
        <w:t>الصَّلاة في ما يستر ظَهر القدم</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المشهور</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يَستُر ظهر القَدَم إذا لم يكن له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والمحقّق والشهيد الثانيّين</w:t>
      </w:r>
      <w:r>
        <w:rPr>
          <w:rStyle w:val="FootnoteAnchor"/>
          <w:rtl w:val="true"/>
        </w:rPr>
        <w:footnoteReference w:id="775"/>
      </w:r>
      <w:r>
        <w:rPr>
          <w:rFonts w:ascii="Amiri" w:hAnsi="Amiri" w:eastAsia="Amiri" w:cs="Amiri"/>
          <w:color w:val="111111"/>
          <w:sz w:val="28"/>
          <w:sz w:val="28"/>
          <w:szCs w:val="28"/>
          <w:rtl w:val="true"/>
          <w:lang w:bidi="ar-SA"/>
        </w:rPr>
        <w:t>وغيرهم من أكابر الأصحاب</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للمنع</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بفعل النبيّ صلى الله عليه و آله وعمل الصحابة والتابعين، فإنّهم لم يصلّوا في هذا النوع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روي عن عليّ بن حمزة</w:t>
      </w:r>
      <w:r>
        <w:rPr>
          <w:rStyle w:val="FootnoteAnchor"/>
          <w:rtl w:val="true"/>
        </w:rPr>
        <w:footnoteReference w:id="779"/>
      </w:r>
      <w:r>
        <w:rPr>
          <w:rFonts w:ascii="Amiri" w:hAnsi="Amiri" w:eastAsia="Amiri" w:cs="Amiri"/>
          <w:color w:val="111111"/>
          <w:sz w:val="28"/>
          <w:sz w:val="28"/>
          <w:szCs w:val="28"/>
          <w:rtl w:val="true"/>
          <w:lang w:bidi="ar-SA"/>
        </w:rPr>
        <w:t>، من أنّ الصَّلاة محظورة في النعل السِّندي والشمشك</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سيف 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جنازةٍ بحذاء، فإنّ صلاة الجنازة أوسع من غيرها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فعل النبيّ صلى الله عليه و آله والصحابة فلو سُلّم، فلعلّه لعدم تعارفه عندهم، مضافاً إلى أنّه لا دليل على عدم جواز الصَّلاة فيما لم يُصلّ النبيّ صلى الله عليه و آله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لا يشمل المورد، ما لم يُحرز كون تركه له إنّما كان لأجل كونه دخيلاً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سندها، يُحتمل أنْ يكون المنع فيها لخصوصيّةٍ فيما ذكر في موردها، وهي عدم التمكّن من وضع الإبهامين على الأرض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 لم يُعمل به في مورده، فلا وجه للتعدّي عنه، مع أنّ الحذاء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النعل، الذي دلّت على جواز الصَّلاة فيه نصوصٌ مستفيضة، بل يظهر من بعضها استحباب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يُصلّي في نعليه غير مرّةٍ ولم أره ينزعها قط</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عبد الرحمن،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في نعليك إذا كانت طاهرة، فإنّ ذلك من السُنّة</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المنع، ومقتضى الأصل هو الجواز، ويؤيّده 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 بن عبد اللّه كتب إليه عليه السلام يسأله هل يجوز للرّجل أن يُصلّي وفي رجليه بطيط لا يُغطّي الكعبين أم لا يجوز؟ فكتب عليه السلام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والبطيط على ما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الخُفّ بلا ساق</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أنّه لا دليل على الكراهة أيضاً كما لا يخفى‌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34" w:name="pg11799_136229"/>
    </w:p>
    <w:p>
      <w:pPr>
        <w:pStyle w:val="BookText"/>
        <w:rPr/>
      </w:pPr>
      <w:bookmarkEnd w:id="434"/>
      <w:r>
        <w:rPr>
          <w:rFonts w:ascii="Amiri" w:hAnsi="Amiri" w:eastAsia="Amiri" w:cs="Amiri"/>
          <w:color w:val="111111"/>
          <w:sz w:val="28"/>
          <w:sz w:val="28"/>
          <w:szCs w:val="28"/>
          <w:rtl w:val="true"/>
          <w:lang w:bidi="ar-SA"/>
        </w:rPr>
        <w:t>ويكره في الثياب السُّود، إلّاالعِمامة والخُفّ‌</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0444638_73709187"/>
      <w:bookmarkStart w:id="436" w:name="_Toc166"/>
      <w:bookmarkEnd w:id="435"/>
      <w:r>
        <w:rPr>
          <w:rtl w:val="true"/>
        </w:rPr>
        <w:t>ما يُكره من الثياب</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الثياب السُّود إلّاالعمامة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والكساء، ومنه العباء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دعوى الإجماع عليه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وتشهد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الكليني رحمه الله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أسود، فأمّا الكساء أو الخُفّ أو العمامة فلا بأس</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ومفهوم التعليل الوارد في القلنسوة، فيما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محسن، عن من ذكره،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 القلنسوة السوداء؟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الثياب السود من لبّاس أهل النّار كما تشهد به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يأتزر فوق القميص، وأنْ يستصحب الحديد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يأتزر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Style w:val="FootnoteAnchor"/>
          <w:rtl w:val="true"/>
        </w:rPr>
        <w:footnoteReference w:id="791"/>
      </w:r>
      <w:r>
        <w:rPr>
          <w:rFonts w:ascii="Amiri" w:hAnsi="Amiri" w:eastAsia="Amiri" w:cs="Amiri"/>
          <w:color w:val="111111"/>
          <w:sz w:val="28"/>
          <w:sz w:val="28"/>
          <w:szCs w:val="28"/>
          <w:rtl w:val="true"/>
          <w:lang w:bidi="ar-SA"/>
        </w:rPr>
        <w:t xml:space="preserve">لموثّق أبي بصير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ان تتوشّح بإزار فوق القميص، وأنتَ تُصلّي، ولا تتّزر بإزارٍ فوق القميص إذا أنتَ صلّيت، فإنّه من زيّ الجاهليّة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 كان المنع، إلّاأنّه يحمل على الكراهة جمعاً بينه وبين ما دلَّ على الجواز، كصحيح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الإزار والمنديل فوق قميصي في الصَّلاة‌؟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يَستصحب الحديد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ظاهر الكليني</w:t>
      </w:r>
      <w:r>
        <w:rPr>
          <w:rStyle w:val="FootnoteAnchor"/>
          <w:rtl w:val="true"/>
        </w:rPr>
        <w:footnoteReference w:id="795"/>
      </w:r>
      <w:r>
        <w:rPr>
          <w:rFonts w:ascii="IRNazanin" w:hAnsi="IRNazanin" w:eastAsia="IRNazanin"/>
          <w:color w:val="111111"/>
          <w:sz w:val="28"/>
          <w:sz w:val="28"/>
          <w:szCs w:val="28"/>
          <w:rtl w:val="true"/>
          <w:lang w:bidi="fa-IR"/>
        </w:rPr>
        <w:t>، والصدوق</w:t>
      </w:r>
      <w:r>
        <w:rPr>
          <w:rStyle w:val="FootnoteAnchor"/>
          <w:rtl w:val="true"/>
        </w:rPr>
        <w:footnoteReference w:id="79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 وابن البرّاج</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أكيل النميري، عن الصادق عليه السلام في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حُليّة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الحديد في الدُّنيا زينة الجنّ والشياطين، فيُحرَم على الرّجل المسلم أن يلبسه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بالسكين والمنطقة للمسافر في وقت ضرورة، وكذلك المفتاح إذا خاف الضيعة والنسيان، ولا بأس بالسّيف وكلّ آلة السلاح في الحرب، وفي غير ذلك لا يجوز الصَّلاة في شيء من الحديد، لأنّه نجس ممسوخ</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حمل هذه النصوص على الكراهة، للأخبارالدالّة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معه سيف وليس معه ثوب، فليتقلّد السيف ويُصلّي قائماً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وهب،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 فيه ما لم ترَ فيه دماً</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الحميري إلى صاحب الزمان عليه السلام، وفيها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الرّجل يُصلّي وفي كُمّه أو سراويله سكّين أو مفتاح حديد، هل يجوز ذلك‌؟ فكتب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الطائفتن، يقتضي حمل نصوص المنع على الحديد البارز، ونصوص الجواز على غيره، كما يشهد به مرسل الكليني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إذا كان المفتاح في غلافٍ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سبق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المرويّ عن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الحديد إذا كان في غلافٍ فلا بأس</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حمل اخبار الجواز كخبر وهب على ما إذا كان الحديد مستوراً، إذ تغميد السيف لا يوجبُ ستر ما على الغَمد، وعلى قائمة السّيف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إباء أخبار المنع عن هذا الحمل، إذ الغالب في السكّين والمفتاح ونحوهما كونها مستورة، ولا أقلّ من كون السَّتر سهلاً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كان السَّتر موجباً لرفع المنع، لم يكن وجه لقصر الجواز في خبر موسى على وقت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كما هو المشهور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الرّجل وهو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الأرض فلا، وأمّا على الدابّة فلا بأس</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وإنْ كان المنع، إلّاأنّه يُحمل على الكراهة، لموثّق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ويقرأ القرآن وهو متلثّم‌؟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القباء المشدودة في غير الحَرب، واشتمال الصَّماء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المشهور</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بكراهة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القباء المشدود في غير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عليّ بن الحسين بن بابويه، وسمعناه من الشيوخ مذاكرةً‌، ولم أجد به خبراً مسنداً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بلا خلافٍ ظاهر، بل عن غير واحدٍ</w:t>
      </w:r>
      <w:r>
        <w:rPr>
          <w:rStyle w:val="FootnoteAnchor"/>
          <w:rtl w:val="true"/>
        </w:rPr>
        <w:footnoteReference w:id="81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والتحاف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الثّوب من تحت جناحك، فتجعله على منكبٍ واحد</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مرفوع قاسم بن سلام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غاية ما يدلّان عليه، كراهة الصَّماء في نفسه، لا كراهته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الثّوب الطهارة، إلّاما عُفي عنه ممّا تقدّم، والمِلْك أو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 ما يُصلّى فيه، لا خصوص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إلّا ما عُفي عنه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وقد تقدّم فيه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يُشترط في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الإذن في التصرّف فيه، ولو في خصوص الصَّلاة ممّن بيده ذلك،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بعوضٍ كالإجارة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بالإباحة، صريحه أو بالفحوى أو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اعتبار هذا القيد، ما ذكرناه من فساد الصَّلاة في السّاتر المغصوب</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تظهر المسامحة في التعبير عن اعتبار هذا القيد باشتراط المِلْك أو ما في حكمه، إذ مقتضى الدليل مانعيّة وقوع الصَّلاة في السّاتر المغصوب، لا شرطيّة وقوعها في غيره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7" w:name="pg11799_136236"/>
    </w:p>
    <w:p>
      <w:pPr>
        <w:pStyle w:val="BookText"/>
        <w:rPr/>
      </w:pPr>
      <w:bookmarkEnd w:id="437"/>
      <w:r>
        <w:rPr>
          <w:rFonts w:ascii="Amiri" w:hAnsi="Amiri" w:eastAsia="Amiri" w:cs="Amiri"/>
          <w:color w:val="111111"/>
          <w:sz w:val="28"/>
          <w:sz w:val="28"/>
          <w:szCs w:val="28"/>
          <w:rtl w:val="true"/>
          <w:lang w:bidi="ar-SA"/>
        </w:rPr>
        <w:t>وعورة الرّجل قُبله ودُبُره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0444640_73709187"/>
      <w:bookmarkStart w:id="439" w:name="_Toc167"/>
      <w:bookmarkEnd w:id="438"/>
      <w:r>
        <w:rPr>
          <w:rtl w:val="true"/>
        </w:rPr>
        <w:t>تحديد العورة</w:t>
      </w:r>
      <w:bookmarkEnd w:id="439"/>
    </w:p>
    <w:p>
      <w:pPr>
        <w:pStyle w:val="BookText"/>
        <w:rPr/>
      </w:pPr>
      <w:r>
        <w:rPr>
          <w:rFonts w:ascii="Amiri" w:hAnsi="Amiri" w:eastAsia="Amiri" w:cs="Amiri"/>
          <w:color w:val="111111"/>
          <w:sz w:val="28"/>
          <w:sz w:val="28"/>
          <w:szCs w:val="28"/>
          <w:rtl w:val="true"/>
          <w:lang w:bidi="ar-SA"/>
        </w:rPr>
        <w:t>ثمّ إنّه بعد ما عرفت من وجوب ستر العورة في الصَّلاة، يقع الكلام في بيان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تبعاً لأكابر المحقّقين من الفقهاء</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الرَّجل قُبُله ودُبُره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الواسطي،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 والدُّبر مستورٌ بالإليتين، فإذا سَتَرتَ القضيب والبيضتين، فقد سَتَرت العورة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الدُّبر فقد سَتَره الإليتان، وأمّا القُبُل فاستره بيدك</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الميثمي، عن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رآه متجرّداً وعلى عورته ثوب،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الفخذ ليست من العورة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عليه السلام كان يَطلي عانته وما يليها، ثمّ يلفّ إزاره على طرف إحليله، ويدعو قيّم الحمّام فيطلي سائر جسده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 غيرها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الكَركي</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العِجان بهما، ولكن 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العورة من السُّرة إلى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بشير النبّال،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بإسخان الماء، ثمّ دخل فاتّزر بإزارٍ وغَطّى ركبتيه وسُرّته، ثمّ أمر صاحب الحمّام فَطَلى ما كان خارجه من الإزار،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عنّي، ثمّ طَلى هو ما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الحسين بن علوان،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أمَتَهُ فلاينظرنّ‌إلى‌عورتها، والعورة ما بين السُّرة والرُّكبة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يكشف ثيابه عن فخذه ويجلس بين قوم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خبر بشير لعدم دلالته على تحديد العورة، لا ينافي النصوص المتقدّمة، وعليه فالأمر فيه يُحمل على الاستحباب، للإجماع على عدم وجوب ستر شيءٍ زائداً على العورة، وبذلك يظهر 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إشعاره بنفسه بإرادة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خبر الحسين وإنْ كان ظاهراً فيما ادّعاه القاضي، إلّاأنّه لإعراض المشهور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لكون ابن عُلوان على ما قيل عاميّاً</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 ولو سُلّم حجيّته في نفسه، لابدّ من طرحه لمعارضته بما هو أقوى منه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الصّلاح الحلبي رحمه الله</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السُّرة إلى نصف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دليل له، والاستدلال له بالنصوص الدالّة على أنّ الرّجل يُصلّي في سراويل واحدة، كصحيح محمّد بن مسلم،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قميصٍ واحدٍ أو في قباء طاق، أو قباءٍ محشوّ، وليس عليه إزار؟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قميصٌ صفيق، أو قباءٌ ليس بطويل الفرج فلا بأس، والثّوب الواحد يتوشّح به، والسّراويل كلّ ذلك لا بأس به</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المتبادر منها لبسها على حسب ما هو المتعارف فيه، وهو من السُّرة إلى نصف الساق أو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لأنّها ليست مسوقة لبيان هذا الحكم، ولا تدلّ على وجوب ستر ما يستره السّراويل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العورة هي القُبُل والدُّبر، واحتمال الالتزام بوجوب السَّتر من السُّرة إلى الرُّكبة أو إلى نصف الساق في باب الصَّلاة من باب التعبّد لا لأجل أنّ المجموع عورة يُدفع بالأصل، فيجوز للرجل أن يُصلّي عرياناً إذا سَتَر قُبُله ودُبُره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وجَسَدُ المرأة عورة، وسُوّغ لها كشف الوجه واليدين والقدمين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بالقُبُل في الرَّجل كما صرّح به غير واحد</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والبيضتان، وبالدُّبر حلقته التي هي نفس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المتبادر منهما، بعض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المشهور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سَتر جميع بدنها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وسُوّغ لها كشفُ الوَجه واليدين والقدمين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المرأة بدنها ورأسها حتّى الشعر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له الشيخ</w:t>
      </w:r>
      <w:r>
        <w:rPr>
          <w:rStyle w:val="FootnoteAnchor"/>
          <w:rtl w:val="true"/>
        </w:rPr>
        <w:footnoteReference w:id="834"/>
      </w:r>
      <w:r>
        <w:rPr>
          <w:rFonts w:ascii="Amiri" w:hAnsi="Amiri" w:eastAsia="Amiri" w:cs="Amiri"/>
          <w:color w:val="111111"/>
          <w:sz w:val="28"/>
          <w:sz w:val="28"/>
          <w:szCs w:val="28"/>
          <w:rtl w:val="true"/>
          <w:lang w:bidi="ar-SA"/>
        </w:rPr>
        <w:t>بما دلَّ على أنّ بدن المرأة كلّه عورةٍ‌</w:t>
      </w:r>
      <w:r>
        <w:rPr>
          <w:rStyle w:val="FootnoteAnchor"/>
          <w:rtl w:val="true"/>
        </w:rPr>
        <w:footnoteReference w:id="835"/>
      </w:r>
      <w:r>
        <w:rPr>
          <w:rFonts w:ascii="Amiri" w:hAnsi="Amiri" w:eastAsia="Amiri" w:cs="Amiri"/>
          <w:color w:val="111111"/>
          <w:sz w:val="28"/>
          <w:sz w:val="28"/>
          <w:szCs w:val="28"/>
          <w:rtl w:val="true"/>
          <w:lang w:bidi="ar-SA"/>
        </w:rPr>
        <w:t>، وقد شيّد بعضٌ‌</w:t>
      </w:r>
      <w:r>
        <w:rPr>
          <w:rStyle w:val="FootnoteAnchor"/>
          <w:rtl w:val="true"/>
        </w:rPr>
        <w:footnoteReference w:id="836"/>
      </w:r>
      <w:r>
        <w:rPr>
          <w:rFonts w:ascii="Amiri" w:hAnsi="Amiri" w:eastAsia="Amiri" w:cs="Amiri"/>
          <w:color w:val="111111"/>
          <w:sz w:val="28"/>
          <w:sz w:val="28"/>
          <w:szCs w:val="28"/>
          <w:rtl w:val="true"/>
          <w:lang w:bidi="ar-SA"/>
        </w:rPr>
        <w:t>هذا الوجه بصحّة إطلاق العورة عليها حقيقةً‌، لغةً وعرفاً، وقد ثبت بالنّص والإجماع وجوب ستر العورة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المحقّقين</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وجوب سَتر العورة في الصَّلاة، منصرفٌ إلى العورة بالمعنى الأخصّ‌</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العورة إسماً لفرج المرأة خاصّة، كما هو المتبادرة منها 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العرف، فحينئذٍ يكون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تنزيل بدنها منزلة العورة، وحيثُ أنّ التنزيل لابدَّ وأنْ يكون بلحاظ الآثار، وأثر العورة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حفظها عن الناظر المحترم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ووجوب سَترها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الإطلاق ثبوت كليهما لبدنها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العورة إسماً لما يستحيى منه الإنسان إذا ظهر، وكلّ مكمنٍ للسِّتر، وكلّ شيء يستره الإنسان من أعضائه حياءً كما ذكره اللّغويّون، فالدليل المزبور ظاهرٌ في وجوب السّتر عن الناظر المحترم، وأمّا لزوم السّتر في الصَّلاة فهو ساكت عنه، وما دلَّ على وجوب ستر العورة في الصَّلاة، قد عرفت انصرافه إلى العورة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ولا خلاف في وجوب ستر بدن المرأة في الجملة، وعدم كونها كالرّجل في الاكتفاء بسَتر ما هو عورة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بلبس ثوبين وما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تُصلّي فيه المرأة‌؟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وملحفة فتنشرها على رأسها وتجلّل بها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839"/>
      </w:r>
      <w:r>
        <w:rPr>
          <w:rFonts w:ascii="Amiri" w:hAnsi="Amiri" w:eastAsia="Amiri" w:cs="Amiri"/>
          <w:color w:val="111111"/>
          <w:sz w:val="28"/>
          <w:sz w:val="28"/>
          <w:szCs w:val="28"/>
          <w:rtl w:val="true"/>
          <w:lang w:bidi="ar-SA"/>
        </w:rPr>
        <w:t>، فإنّ الدرع هو ما تلبسه النساء ويَسترُ جميع جسدها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أخاه موسى عليه السلام عن المرأة ليس لها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ملحفة واحدة، كيف تُصلّي‌؟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وتغطّي رأسها وتُصلّي، فإنْ خرجت رجلها، وليس تقدر على غير ذلك فلا بأس</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عدم جواز خروج رجلها أيضاً على تقدير القدرة، 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ثابت لا نقاش فيه عند الأصحاب، إنّما الخلاف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الجُنيد</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ستره، والمختار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بلبس الملحفة في الصَّلاة كصحيح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لبس الخِمار، كخبر أبي البختري، عن جعفر بن محمّد،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الجارية فلا تُصلّي إلّابخمارٍ</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843"/>
      </w:r>
      <w:r>
        <w:rPr>
          <w:rFonts w:ascii="Amiri" w:hAnsi="Amiri" w:eastAsia="Amiri" w:cs="Amiri"/>
          <w:color w:val="111111"/>
          <w:sz w:val="28"/>
          <w:sz w:val="28"/>
          <w:szCs w:val="28"/>
          <w:rtl w:val="true"/>
          <w:lang w:bidi="ar-SA"/>
        </w:rPr>
        <w:t>لما اختاره ابن الجنيد، بخبر ابن بكير،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بالمرأة المسلمة الحُرّة أن تُصلّي وهي مكشوفة الرأس</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الأصحاب عنه يمنع عن العمل به، مضافاً إلى أنّه لو ثبتت حجيّته يكون معارضاً مع النصوص المتقدّمة، لعدم إمكان الجمع بحمل تلك على الاستحباب كما لا يخفى، ولا ريب في أنّ الترجيح مع الأخبار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ظاهر عبارات أكثر الأصحاب</w:t>
      </w:r>
      <w:r>
        <w:rPr>
          <w:rStyle w:val="FootnoteAnchor"/>
          <w:rtl w:val="true"/>
        </w:rPr>
        <w:footnoteReference w:id="845"/>
      </w:r>
      <w:r>
        <w:rPr>
          <w:rFonts w:ascii="Amiri" w:hAnsi="Amiri" w:eastAsia="Amiri" w:cs="Amiri"/>
          <w:color w:val="111111"/>
          <w:sz w:val="28"/>
          <w:sz w:val="28"/>
          <w:szCs w:val="28"/>
          <w:rtl w:val="true"/>
          <w:lang w:bidi="ar-SA"/>
        </w:rPr>
        <w:t>أنّه لايجبُ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الأكابر</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وجوب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عليها السلام في درعٍ وخمارها على رأسها، ليس عليها أكثر ممّا وارت به شعرها واُذنيها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هذا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 ستره ما دلَّ على لزوم حمل الخِمار</w:t>
      </w:r>
      <w:r>
        <w:rPr>
          <w:rStyle w:val="FootnoteAnchor"/>
          <w:rtl w:val="true"/>
        </w:rPr>
        <w:footnoteReference w:id="848"/>
      </w:r>
      <w:r>
        <w:rPr>
          <w:rFonts w:ascii="Amiri" w:hAnsi="Amiri" w:eastAsia="Amiri" w:cs="Amiri"/>
          <w:color w:val="111111"/>
          <w:sz w:val="28"/>
          <w:sz w:val="28"/>
          <w:szCs w:val="28"/>
          <w:rtl w:val="true"/>
          <w:lang w:bidi="ar-SA"/>
        </w:rPr>
        <w:t xml:space="preserve">،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الرأس والشَّعر والعُنُق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0" w:name="pg11799_136243"/>
    </w:p>
    <w:p>
      <w:pPr>
        <w:pStyle w:val="Heading5"/>
        <w:numPr>
          <w:ilvl w:val="4"/>
          <w:numId w:val="1"/>
        </w:numPr>
        <w:rPr/>
      </w:pPr>
      <w:bookmarkStart w:id="441" w:name="__RefHeading___Toc10444642_73709187"/>
      <w:bookmarkStart w:id="442" w:name="_Toc168"/>
      <w:bookmarkEnd w:id="440"/>
      <w:bookmarkEnd w:id="441"/>
      <w:r>
        <w:rPr>
          <w:rtl w:val="true"/>
        </w:rPr>
        <w:t>المستثنيات من وجوب السَّتر</w:t>
      </w:r>
      <w:bookmarkEnd w:id="4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ستر ما ذكرناه من الاُمور، فالوجه منها ظاهرٌ لا شبهة فيه، وعن غير واحدٍ</w:t>
      </w:r>
      <w:r>
        <w:rPr>
          <w:rStyle w:val="FootnoteAnchor"/>
          <w:rtl w:val="true"/>
        </w:rPr>
        <w:footnoteReference w:id="849"/>
      </w:r>
      <w:r>
        <w:rPr>
          <w:rFonts w:ascii="Amiri" w:hAnsi="Amiri" w:eastAsia="Amiri" w:cs="Amiri"/>
          <w:color w:val="111111"/>
          <w:sz w:val="28"/>
          <w:sz w:val="28"/>
          <w:szCs w:val="28"/>
          <w:rtl w:val="true"/>
          <w:lang w:bidi="ar-SA"/>
        </w:rPr>
        <w:t>دعوى الإجماع عليه، وتشهد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الاكتفاء بالدِّرع والمقنعة، فإنّ الوجه خارجٌ عادة عمّا يستر بالمقنعة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متنقّبة‌؟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 موضع السّجود فلا بأس، وإنْ أسفرت فهو أفضل</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المدار في معرفة حدود الوجه، على ما دارت عليه الإبهام والوسطى‌، فلا يعمّ الصُّدغين، أو أعمّ من ذلك فيشملهما؟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بعض المحقّقين</w:t>
      </w:r>
      <w:r>
        <w:rPr>
          <w:rStyle w:val="FootnoteAnchor"/>
          <w:rtl w:val="true"/>
        </w:rPr>
        <w:footnoteReference w:id="851"/>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الثابتة للوجه، تُنزل على إرادة الوجه المحدود شرعاً، وهو ما حُدّد في باب الوضوء، مضافاً إلى أنّ الخبر الوارد في تحديده المنساق منه، كونه كاشفاً عن معناه العرفي، ومبيّناً لما في حدوده من الإجمال لدى العرف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عنوان الوجه في النصوص، كي يتمّ ما ذكر، ودعوى كونه معقداً لإجماع، مندفعة بأنّ الدليل في الباب ليس هو الإجماع، لأنّ مدرك المجمعين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الثاني، وتدلّ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الاكتفاء بدرعٍ ومقنعة أو خمار، حيث أنّهما لا يستران الصُّدغين بحسب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الفضيل</w:t>
      </w:r>
      <w:r>
        <w:rPr>
          <w:rStyle w:val="FootnoteAnchor"/>
          <w:rtl w:val="true"/>
        </w:rPr>
        <w:footnoteReference w:id="852"/>
      </w:r>
      <w:r>
        <w:rPr>
          <w:rFonts w:ascii="Amiri" w:hAnsi="Amiri" w:eastAsia="Amiri" w:cs="Amiri"/>
          <w:color w:val="111111"/>
          <w:sz w:val="28"/>
          <w:sz w:val="28"/>
          <w:szCs w:val="28"/>
          <w:rtl w:val="true"/>
          <w:lang w:bidi="ar-SA"/>
        </w:rPr>
        <w:t>المتقدّم، المتضمّن لحكاية صلاة فاطمة عليها السلام، والظاهر في عدم وجوب ستر غير الشَّعر والاُذن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مضافاً إلى أنّه يكفي في الحكم بعدم وجوب ستر الصُّدغين ونحوهما للمرأة، الأصل بعد عدم الدليل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اليدان إلى الزندين، والقَدَمان إلى الساقين، فالمشهور عدم وجوب سترها، وعن غير واحدٍ</w:t>
      </w:r>
      <w:r>
        <w:rPr>
          <w:rStyle w:val="FootnoteAnchor"/>
          <w:rtl w:val="true"/>
        </w:rPr>
        <w:footnoteReference w:id="853"/>
      </w:r>
      <w:r>
        <w:rPr>
          <w:rFonts w:ascii="Amiri" w:hAnsi="Amiri" w:eastAsia="Amiri" w:cs="Amiri"/>
          <w:color w:val="111111"/>
          <w:sz w:val="28"/>
          <w:sz w:val="28"/>
          <w:szCs w:val="28"/>
          <w:rtl w:val="true"/>
          <w:lang w:bidi="ar-SA"/>
        </w:rPr>
        <w:t>دعوى الإجماع عليه، وعن بعضٍ‌</w:t>
      </w:r>
      <w:r>
        <w:rPr>
          <w:rStyle w:val="FootnoteAnchor"/>
          <w:rtl w:val="true"/>
        </w:rPr>
        <w:footnoteReference w:id="854"/>
      </w:r>
      <w:r>
        <w:rPr>
          <w:rFonts w:ascii="IRNazanin" w:hAnsi="IRNazanin" w:eastAsia="IRNazanin"/>
          <w:color w:val="111111"/>
          <w:sz w:val="28"/>
          <w:sz w:val="28"/>
          <w:szCs w:val="28"/>
          <w:rtl w:val="true"/>
          <w:lang w:bidi="fa-IR"/>
        </w:rPr>
        <w:t>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الاكتفاء بدِرْعٍ وملحفة، إذ الدِرع لا يستُر اليدين والقدمين 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 كون دروعهنّ في تلك الأزمنة واسعة الأكمام طويلة الذيل، وفي مثلها يَحصُلُ سَترُ الكفّين والقدمين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إذ الظاهر كون دروعهنّ في تلك الأزمنة التي تلبس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غير المجلّلات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غير ساترة للكفّين والقدمين، كما يشهد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ابن عباس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ما ظَهَرَ مِنْها </w:t>
      </w:r>
      <w:r>
        <w:rPr>
          <w:rStyle w:val="FootnoteAnchor"/>
          <w:rtl w:val="true"/>
        </w:rPr>
        <w:footnoteReference w:id="856"/>
      </w:r>
      <w:r>
        <w:rPr>
          <w:rFonts w:ascii="Amiri" w:hAnsi="Amiri" w:eastAsia="Amiri" w:cs="Amiri"/>
          <w:color w:val="111111"/>
          <w:sz w:val="28"/>
          <w:sz w:val="28"/>
          <w:szCs w:val="28"/>
          <w:rtl w:val="true"/>
          <w:lang w:bidi="ar-SA"/>
        </w:rPr>
        <w:t>بالوجه والكفّين، فإنّ تفسيره شهادة بأنّ الدروع في تلك الأزمنة لم تكن ساترة للكفّين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الأصل بعد عدم الدليل على لزوم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جعفر المتقدّم</w:t>
      </w:r>
      <w:r>
        <w:rPr>
          <w:rStyle w:val="FootnoteAnchor"/>
          <w:rtl w:val="true"/>
        </w:rPr>
        <w:footnoteReference w:id="857"/>
      </w:r>
      <w:r>
        <w:rPr>
          <w:rFonts w:ascii="Amiri" w:hAnsi="Amiri" w:eastAsia="Amiri" w:cs="Amiri"/>
          <w:color w:val="111111"/>
          <w:sz w:val="28"/>
          <w:sz w:val="28"/>
          <w:szCs w:val="28"/>
          <w:rtl w:val="true"/>
          <w:lang w:bidi="ar-SA"/>
        </w:rPr>
        <w:t>، فإنّه لا يدلّ على لزوم ستر القدمين، إذ مفهومه وإنْ كان وجوب ستر الرِّجل عند القدرة، إلّاأنّه لعدم كونه في مقام البيان من هذه الجهة، يؤخذ بالمتيقّن منه وهو غير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ربما يظهر من بعضهم</w:t>
      </w:r>
      <w:r>
        <w:rPr>
          <w:rStyle w:val="FootnoteAnchor"/>
          <w:rtl w:val="true"/>
        </w:rPr>
        <w:footnoteReference w:id="858"/>
      </w:r>
      <w:r>
        <w:rPr>
          <w:rFonts w:ascii="Amiri" w:hAnsi="Amiri" w:eastAsia="Amiri" w:cs="Amiri"/>
          <w:color w:val="111111"/>
          <w:sz w:val="28"/>
          <w:sz w:val="28"/>
          <w:szCs w:val="28"/>
          <w:rtl w:val="true"/>
          <w:lang w:bidi="ar-SA"/>
        </w:rPr>
        <w:t xml:space="preserve">لزوم ستر باطن القدمين، والذي يمكن أنْ يكون مستنده أنّ باطنهما في حال القيام والركوع مستورٌ بالأرض، وفي حال السّجود يُستر بالدرع، فما دلَّ على الاكتفاء بالدرع والخمار لا يدلّ على عدم لزوم ستره، فيرجع إلى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ستره في الصَّلاة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الخدشة في دلالة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ستره في الصَّلاة، وعليه فبما أنّه في حال السّجود تارةً يكون باطن القدمين مستوراً بالدِّرع، واُخرى لا يكون كذلك، فما دلَّ على الاكتفاء بالدرع لا يدلّ على لزوم ستره، وحيثُ لا دليل غيره عليه، فالمرجع إلى ما يقتضيه الأصل وهو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وللأمَة والصبيّة كشف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وللأمة والصبيّة كشف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بلا خمارٍ، بلا خلافٍ ظاهرٍ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عنّا وعن غيرنا من علماء الإسلام، عدا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الأمَة قناعٌ في الصَّلاة، ولا على المدبرة قناعٌ في الصَّلاة، ولا على المكاتبة إذا شرط عليها مولاها قناعٌ في الصَّلاة، وهي مملوكة حتّى تؤدّي جميع مكاتبتها</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ونحوه غيره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يُصلّي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يَصلُح للحُرّة إذا حاضت إلّاالخمار</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وخبر أبي البُختري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فلا تُصلّي إلّابخمار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بناءً على إرادة البلوغ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بما أنّ ستر الرقبة بحسب المتعارف يكون بالخمار لا بالدِّرع، فهذه النصوص تدلّ على عدم وجوب سترها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ما عدا الرأس والرقبة، فالأمَة والصبيّة، كالحُرّة البالغة في جميع ما ذُكر من المستثنى والمستثنى منه، لإطلاق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عدم شمولها للصبيّة، لأنّ موضوعها المرأة وهي لا تصدق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ثبوت الحكم للصبيّة قاعدة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اُعتقت الأمَة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يتخلّل زمانٌ بين عتقها وستر رأسها بأن سَترت ثمّ اُعتقت، فصحّة صلاتها تبتني على شمول ما دلَّ على صحّة صلاة الأمَة مكشوفة الرأس لبعض الصَّلاة، وهو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تخلّل زمانٌ بينهما إلّاأنّها بادرت إلى السّتر في الباقي من صلاتها، فالكلام فيه هو الكلام فيمن صَلّى وعورته مكشوفة ناسياً، والتفت في الأثناء، وقد عرفت أنّ مقتضى القاعدة هو بطلان الصَّلاة، فراجع ما ذكرناه</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ومنه يظهر حكم ما لو بلغت الصبيّة في أثناء الصَّلاة بما لا يبطلها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ويستحبّ للرَّجل سَتر جميع جسده، والرِّداء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للرَّجل سَترُ جميع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فليلبس ثوبيه، فإنّ اللّه تعالى أحقّ أن يُزيّن له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أخيه موسى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يُصلّي في سروالٍ واحد، وهو يُصيب ثوباً؟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Style w:val="FootnoteAnchor"/>
          <w:rtl w:val="true"/>
        </w:rPr>
        <w:footnoteReference w:id="866"/>
      </w:r>
      <w:r>
        <w:rPr>
          <w:rFonts w:ascii="Amiri" w:hAnsi="Amiri" w:eastAsia="Amiri" w:cs="Amiri"/>
          <w:color w:val="111111"/>
          <w:sz w:val="28"/>
          <w:sz w:val="28"/>
          <w:szCs w:val="28"/>
          <w:rtl w:val="true"/>
          <w:lang w:bidi="ar-SA"/>
        </w:rPr>
        <w:t>، ولو صَلّى في ثوبٍ واحد فالأفضل أن يعقده على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أفضل للإمام، فتدلّ عليه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أَمَّ قوماً في قميص واحد، ليس عليه رداء؟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إلّاأن يكون عليه رداء أو عمامة يرتدي بها</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ما دلَّ على أنّ من صَلّى في سراويل أو في إزار مؤتزراً به، يجعل على رقبته ما يتردّى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علي بن محمّد،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في سراويل ليس معه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التّكة على عاتقه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عنه عليه السلام في رجلٍ صَلّى في إزار،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على رقبته منديلاً أو عمامة يتردّى به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443" w:name="pg11799_136249"/>
    </w:p>
    <w:p>
      <w:pPr>
        <w:pStyle w:val="BookText"/>
        <w:rPr/>
      </w:pPr>
      <w:bookmarkEnd w:id="443"/>
      <w:r>
        <w:rPr>
          <w:rFonts w:ascii="Amiri" w:hAnsi="Amiri" w:eastAsia="Amiri" w:cs="Amiri"/>
          <w:color w:val="111111"/>
          <w:sz w:val="28"/>
          <w:sz w:val="28"/>
          <w:szCs w:val="28"/>
          <w:rtl w:val="true"/>
          <w:lang w:bidi="ar-SA"/>
        </w:rPr>
        <w:t>وللمرأة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ودِرْعٌ وخِمار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ساتراً صَلّى قائماً بالإيماء إنْ أمِنَ مِن اطّلاع غيره عليه، وإلّا قاعداً مومياً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ودِرْعٌ وخِمار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ابن أبي يعفور،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ودِرعٌ وخمار، ولا يضرّها أن تقنّع بالخمار، فإنْ لم يجد فثوبين تتّزر بأحدهما وتقنّع بالآخر</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فيه يُحمل على الاستحباب، لما دلَّ على الاكتفاء بالدرع والخمار</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0444644_73709187"/>
      <w:bookmarkStart w:id="445" w:name="_Toc169"/>
      <w:bookmarkEnd w:id="444"/>
      <w:r>
        <w:rPr>
          <w:rtl w:val="true"/>
        </w:rPr>
        <w:t>في صلاة العاري</w:t>
      </w:r>
      <w:bookmarkEnd w:id="445"/>
    </w:p>
    <w:p>
      <w:pPr>
        <w:pStyle w:val="Heading6"/>
        <w:numPr>
          <w:ilvl w:val="5"/>
          <w:numId w:val="1"/>
        </w:numPr>
        <w:rPr/>
      </w:pPr>
      <w:bookmarkStart w:id="446" w:name="__RefHeading___Toc10444646_73709187"/>
      <w:bookmarkStart w:id="447" w:name="_Toc170"/>
      <w:bookmarkEnd w:id="446"/>
      <w:r>
        <w:rPr>
          <w:rtl w:val="true"/>
        </w:rPr>
        <w:t>اشارة</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يجد ساتراً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 قولاً واحداً، وأمّا كيفيّة صلاته ففيها خلافٌ‌، 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بالإيماء إن أمِنَ من اطّلاع غيره عليه، وإلّا قاعداً مومياً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المرتضى رحمه الله</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جالساً مومياً، وإنْ أمِن من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قائماً مومياً في الحالين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المحقّقان</w:t>
      </w:r>
      <w:r>
        <w:rPr>
          <w:rStyle w:val="FootnoteAnchor"/>
          <w:rtl w:val="true"/>
        </w:rPr>
        <w:footnoteReference w:id="873"/>
      </w:r>
      <w:r>
        <w:rPr>
          <w:rFonts w:ascii="Amiri" w:hAnsi="Amiri" w:eastAsia="Amiri" w:cs="Amiri"/>
          <w:color w:val="111111"/>
          <w:sz w:val="28"/>
          <w:sz w:val="28"/>
          <w:szCs w:val="28"/>
          <w:rtl w:val="true"/>
          <w:lang w:bidi="ar-SA"/>
        </w:rPr>
        <w:t>إلى التفصيل بين المأموم وغيره، واختارا مسلك المشهور في غير المأموم، واختارا فيه أنّه إن أمِنَ من اطّلاع غيره عليه، يُصلّي مع الركوع والسّجود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أمِن من المُطّلع في جميع حالات الصَّلاة، يُصلّي قائماً بالركوع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يؤمن، صَلّى جالساً مومياً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أمِنَ في الركوع والسّجود دون القيام، صَلّى جالساً بالركوع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عكس، صَلّى قائماً مومياً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في جميع ذلك بين المأموم وغيره، ولعلّ هذا هو الأقوى‌، على ما سيظهر لك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الخلاف إختلاف الأخبار، وهي على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أنّه يُصلّي قائماً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يصب شيئاً يستر به عورته أومأ وهو قائم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أنّه يُصلّي جالساً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محمّد بن علي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 وهو بالفلاة، وليس عليه إلّاثوب واحد، وأصاب ثوبه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ويطرح ثوبه، فيجلس مجتمعاً، فيُصلّي فيومى إيماءً‌</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التفصيل بين الأمن من المُطّلع فيُصلّي قائماً، وعدمه فيُصلّي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مسكان، عن بعض أصحابه، عن أبي عبد اللّه 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عرياناً فتدركه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عرياناً قائماً إنْ لم 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فإنْ رآه أحدٌ صَلّى جالساً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اللّه ابن مسكان،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عريان ليس معه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حيثُ لا يراه أحد فليصلِّ قائماً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جماعة العُراة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موثّقة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وأُخذت ثيابهم، فبقوا عُراة وحضرت الصَّلاة،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إمامهم فيجلس ويجلسون خلفه، فيؤمى إيماءً بالركوع والسّجود وهم يركعون ويسجدون خلفه على وجوههم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8" w:name="pg11799_136252"/>
    </w:p>
    <w:p>
      <w:pPr>
        <w:pStyle w:val="Heading6"/>
        <w:numPr>
          <w:ilvl w:val="5"/>
          <w:numId w:val="1"/>
        </w:numPr>
        <w:rPr/>
      </w:pPr>
      <w:bookmarkStart w:id="449" w:name="__RefHeading___Toc10444648_73709187"/>
      <w:bookmarkStart w:id="450" w:name="_Toc171"/>
      <w:bookmarkEnd w:id="448"/>
      <w:bookmarkEnd w:id="449"/>
      <w:r>
        <w:rPr>
          <w:rtl w:val="true"/>
        </w:rPr>
        <w:t>صفة صلاة العاري</w:t>
      </w:r>
      <w:bookmarkEnd w:id="45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عنها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 الروايات، تقييد الطائفتين الأوليين بالثالثة الدالّة على التفصيل بين وجود الناظر المحترم، فيُصلّي قائماً، وعدمه فيُصلّي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خبر مسكان ظاهر الضعف، وأمّا هو فمرسلٌ لا يُعتمد عليه، إذ هو من أصحاب الكاظم عليه السلام، وقليل الرواية عن الصادق عليه السلام، فكيف يمكن روايته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أجلّ الثقات، فهو لا يروي عن المجاهيل، مضافاً إلى كونه من أصحاب الإجماع، فضلاً عن عمل الأصحاب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تنافيها الطائفة الرابعة، فإنّ الأمر بجلوس المأمومين في الفرض إنّما يكون لعدم أمِن كلّ واحدٍ منهم عن اطّلاع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ضعف القول بتعيّن القيام مطلقاً، ترجيحاً لنصوصه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كما انقدح ضعف القول بتعيّن الجلوس لما ذُكر، كما عن السيّد</w:t>
      </w:r>
      <w:r>
        <w:rPr>
          <w:rStyle w:val="FootnoteAnchor"/>
          <w:rtl w:val="true"/>
        </w:rPr>
        <w:footnoteReference w:id="881"/>
      </w:r>
      <w:r>
        <w:rPr>
          <w:rFonts w:ascii="Amiri" w:hAnsi="Amiri" w:eastAsia="Amiri" w:cs="Amiri"/>
          <w:color w:val="111111"/>
          <w:sz w:val="28"/>
          <w:sz w:val="28"/>
          <w:szCs w:val="28"/>
          <w:rtl w:val="true"/>
          <w:lang w:bidi="ar-SA"/>
        </w:rPr>
        <w:t>والشيخين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النصوص أنّ سقوط وجوب القيام في الصَّلاة إنّما يكون </w:t>
      </w:r>
    </w:p>
    <w:p>
      <w:pPr>
        <w:pStyle w:val="BookText"/>
        <w:rPr/>
      </w:pPr>
      <w:r>
        <w:rPr>
          <w:rFonts w:ascii="Amiri" w:hAnsi="Amiri" w:eastAsia="Amiri" w:cs="Amiri"/>
          <w:color w:val="111111"/>
          <w:sz w:val="28"/>
          <w:sz w:val="28"/>
          <w:szCs w:val="28"/>
          <w:rtl w:val="true"/>
          <w:lang w:bidi="ar-SA"/>
        </w:rPr>
        <w:t>لأجل ملاحظة الواجب الآخر الذي هو أهمّ من ذلك، وهو حفظ الفَرج عن الناظر، وعليه فالتفصيل بين الأمن من المُطّلع وعدمه، كما هو المشهور هو الصحيح، وإنْ كان ظاهر خبر ابن مسكان التفصيل بين وجود الرائي وعدمه، فلو لم يوجد الناظر فعلاً، ولكن لم يؤمَن مِنْ حضوره تعيّن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كيفيّة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قطع النظر عن موثّقة إسحاق الواردة في صلاة جماعة العراة، فإنّ مقتضى الروايات وجوب الإيماء في الحالين، أي مع الأمن من المُطَّلع وعدمه، وحال القيام والجلوس، كما يظهر لمن لاحظ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أنّ المأمومين بما أنّهم في حال الركوع والسّجود مأمونون من المُطَّلع، لالتصاق بعضهم ببعض، واعتدال صفهم، ومقارنتهم في الأفعال، فيجبُ عليهم الركوع والسّجود بخلاف الإمام، لأنّه من جهة تقدّمه في المكان والأفعال، لا يأمن من اطّلاع المأمومين على عورته، فيجبُ عليه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المأمومين إنْ أمنوا من المُطَّلع، وجبَ عليهم القيام، وإلّا لم يجز لهم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حال القيام كلّ واحدٍ منهم غير مأمونٍ من اطّلاع صاحبه، بخلاف حال الركوع والسّجود كما لا يخفى، فيجبُ عليهم الركوع والسّجود دون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القيام مع الإيماء في صورة الأمن من المُطَّلع، تعارضها وتقدّم عليها، لوجوه غير خفيّة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الموثّقة مختصّة بالمأموم، فتكون أخصّ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الروايات وإنْ كانت مختصّة بحال الأمن من المُطَّلع في حال القيام، إلّاأنّها أعمّ منها بالنسبة إلى حال الركوع والسّجود، وقابلة للتقييد بما إذا لم يؤمَن في الركوع والسّجود من بروز وظهور مقعده ودُبُره للناظر، فعلى فرض عدم اختصاص الموثّقة بالمأموم، تكون أيضاً أخصّ منها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السند، لأنّ في طريقها ابن جَبَلة الواقفي، وإسحاق ابن عمّار الفطحي، الذي ادّعى غير واحدٍ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حقّقناه في محلّه</w:t>
      </w:r>
      <w:r>
        <w:rPr>
          <w:rStyle w:val="FootnoteAnchor"/>
          <w:rtl w:val="true"/>
        </w:rPr>
        <w:footnoteReference w:id="883"/>
      </w:r>
      <w:r>
        <w:rPr>
          <w:rFonts w:ascii="Amiri" w:hAnsi="Amiri" w:eastAsia="Amiri" w:cs="Amiri"/>
          <w:color w:val="111111"/>
          <w:sz w:val="28"/>
          <w:sz w:val="28"/>
          <w:szCs w:val="28"/>
          <w:rtl w:val="true"/>
          <w:lang w:bidi="ar-SA"/>
        </w:rPr>
        <w:t>إنّما هو حجيّة خبر الثقة، ولو لم يكن الراوي إماميّاً، وهذه الرواية موثّقة، وقد وصفها المحقّق رحمه الله</w:t>
      </w:r>
      <w:r>
        <w:rPr>
          <w:rStyle w:val="FootnoteAnchor"/>
          <w:rtl w:val="true"/>
        </w:rPr>
        <w:footnoteReference w:id="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حسنة، ومعمولٌ بها عند جماعةٍ‌، فلا يُلتفت إلى دعوى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يركعون، ويسجُدُون خلفه على وجوههم الإيماء بوجوههم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الظاهر، لا يُصار إليه، خصوصاً مع التفصيل بين المأموم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عموم التعليل في حسنة زرارة، وهو قوله عليه السلام بعد الأمر بالإيماء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يسجُدان ولا يركعان فيبدو ما 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تقدّم عليه لأخصيّتها، وهو لا يكون علّة عقليّة غير قابلة للتخصيص، هذا مضافاً إلى احتمال أنْ يكون المراد البدوّ للناظر، فلا يشمل مورد الرواية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أورد على الموثّقة ليس بتام، فهي المعتمدة في المقام، ولا وجه لطرحها أصلاً، فعلى هذا إنْ احتملنا خصوصيّة المأموم في هذا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فتختصّ الرواية به، وإنْ لم نحتمل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نتيجة ضمّ الروايات بعضها إلى بعض، سقوط شرطيّة السّتر للصّلاة من حيث هو في حقّ العريان، وأنّه لا يجب عليه رعايته إلّامن جهة الحفظ عن النظر، وهو مخصوصٌ بصورة عدم الأمن، فيجبُ عليه الجلوس والإيماء للركوع والسّجود في حال عدم الأمن لذلك، أمّا مع الأمن في حال الركوع والسّجود دون القيام، عليه أن يجلس ويركع ويسجد، ولا مقتضي لترك الركوع والسّجود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مع ذلك بما أنّ حمل النصوص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يره أحدٌ يُصلّي قائماً مؤمياً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الأمن من المُطَّلع في حال القيام دون الركوع والسّجود، لا يخلو عن بُعدٍ، وتخصيص الموثّقة بالمأموم أبعد، فالأحوط تكرار الصَّلاة، بأنْ يُصلّي تارةً مع الإيماء، واُخرى مع الركوع والسّجود</w:t>
      </w:r>
      <w:r>
        <w:rPr>
          <w:rFonts w:eastAsia="Amiri" w:cs="Amiri" w:ascii="Amiri" w:hAnsi="Amiri"/>
          <w:color w:val="111111"/>
          <w:sz w:val="28"/>
          <w:szCs w:val="28"/>
          <w:rtl w:val="true"/>
          <w:lang w:bidi="ar-SA"/>
        </w:rPr>
        <w:t>.</w:t>
      </w:r>
      <w:bookmarkStart w:id="451" w:name="pg11799_136256"/>
    </w:p>
    <w:p>
      <w:pPr>
        <w:pStyle w:val="Heading6"/>
        <w:numPr>
          <w:ilvl w:val="5"/>
          <w:numId w:val="1"/>
        </w:numPr>
        <w:rPr/>
      </w:pPr>
      <w:bookmarkStart w:id="452" w:name="__RefHeading___Toc10444650_73709187"/>
      <w:bookmarkStart w:id="453" w:name="_Toc172"/>
      <w:bookmarkEnd w:id="451"/>
      <w:bookmarkEnd w:id="452"/>
      <w:r>
        <w:rPr>
          <w:rtl w:val="true"/>
        </w:rPr>
        <w:t>فروع</w:t>
      </w:r>
      <w:r>
        <w:rPr>
          <w:rtl w:val="true"/>
        </w:rPr>
        <w:t>:</w:t>
      </w:r>
      <w:bookmarkEnd w:id="453"/>
    </w:p>
    <w:p>
      <w:pPr>
        <w:pStyle w:val="Heading6"/>
        <w:numPr>
          <w:ilvl w:val="5"/>
          <w:numId w:val="1"/>
        </w:numPr>
        <w:rPr/>
      </w:pPr>
      <w:bookmarkStart w:id="454" w:name="__RefHeading___Toc10444652_73709187"/>
      <w:bookmarkStart w:id="455" w:name="_Toc173"/>
      <w:bookmarkEnd w:id="454"/>
      <w:r>
        <w:rPr>
          <w:rtl w:val="true"/>
        </w:rPr>
        <w:t>صفة جماعة العُراة</w:t>
      </w:r>
      <w:bookmarkEnd w:id="455"/>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مشروعيّة الجماعة للعُراة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لأدلّة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وللموثّقة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ولصحيحة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صلّوا جماعة وهم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الإمام بركبتيه ويُصلّي بهم جلوساًوهو جالس</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خبر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جماعةً تباعدوا في المجالس، ثمّ صَلّوا كذلك فُرادى</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لابدَّ من حمله على ما لا ينافي مشروعيّة الجماعة، لعدم عمل الأصحاب به، فلا يصلح لمعارضة ما تقدّم</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0444654_73709187"/>
      <w:bookmarkStart w:id="457" w:name="_Toc174"/>
      <w:bookmarkEnd w:id="456"/>
      <w:r>
        <w:rPr>
          <w:rtl w:val="true"/>
        </w:rPr>
        <w:t>ظاهر كثير من الفتاوى أنّ الواجب على المأمومين وقوفهم في صفٍّ واحد</w:t>
      </w:r>
      <w:bookmarkEnd w:id="45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كثير من الفتاوى أنّ الواجب على المأمومين وقوفهم في صفٍّ واحد، وهو الأظهر، لأنّهم لو وقفوا في صفٍّ واحد أمنوا جميعاً من المُطَّلع، فيجب عليهم الركوع والسّجود، وإنْ وقفوا في صفّين، فمَنْ في الصفّ المتقدّم بالنسبة إلى المتأخّر كالإمام بالنسبة إليهم، فلابدَّ وأن ينتقلوا إلى الإيماء لعدم الأمن من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الإيماء بدلٌ اضطراري، لا ينتقل إليه مع إمكان الركوع والسّجود، فلا يجوز الوقوف في الصفّ المتقدّم</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0444656_73709187"/>
      <w:bookmarkStart w:id="459" w:name="_Toc175"/>
      <w:bookmarkEnd w:id="458"/>
      <w:r>
        <w:rPr>
          <w:rtl w:val="true"/>
        </w:rPr>
        <w:t>لا يجبُ على مَن صَلّى قائماً أن يجلس للإيماء للسجود</w:t>
      </w:r>
      <w:bookmarkEnd w:id="4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مَن صَلّى قائماً أن يجلس للإيماء للسجود، كما عن </w:t>
      </w:r>
      <w:bookmarkStart w:id="460" w:name="pg11799_136257"/>
    </w:p>
    <w:p>
      <w:pPr>
        <w:pStyle w:val="BookText"/>
        <w:rPr/>
      </w:pPr>
      <w:bookmarkEnd w:id="460"/>
      <w:r>
        <w:rPr>
          <w:rFonts w:ascii="Amiri" w:hAnsi="Amiri" w:eastAsia="Amiri" w:cs="Amiri"/>
          <w:color w:val="111111"/>
          <w:sz w:val="28"/>
          <w:sz w:val="28"/>
          <w:szCs w:val="28"/>
          <w:rtl w:val="true"/>
          <w:lang w:bidi="ar-SA"/>
        </w:rPr>
        <w:t>السيّد عميد الدين</w:t>
      </w:r>
      <w:r>
        <w:rPr>
          <w:rStyle w:val="FootnoteAnchor"/>
          <w:rtl w:val="true"/>
        </w:rPr>
        <w:footnoteReference w:id="887"/>
      </w:r>
      <w:r>
        <w:rPr>
          <w:rFonts w:ascii="Amiri" w:hAnsi="Amiri" w:eastAsia="Amiri" w:cs="Amiri"/>
          <w:color w:val="111111"/>
          <w:sz w:val="28"/>
          <w:sz w:val="28"/>
          <w:szCs w:val="28"/>
          <w:rtl w:val="true"/>
          <w:lang w:bidi="ar-SA"/>
        </w:rPr>
        <w:t>، لأنّه ظاهر صحيحة علي بن جعفر المتقدّمة، إنْ لم يكن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أقرب إلى هيئة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وباستصحاب وجوب الجلوس للسجود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اجتهادٌ في مقابل النّص</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0444658_73709187"/>
      <w:bookmarkStart w:id="462" w:name="_Toc176"/>
      <w:bookmarkEnd w:id="461"/>
      <w:r>
        <w:rPr>
          <w:rtl w:val="true"/>
        </w:rPr>
        <w:t>عدم وجوب جعل الإيماء إلى السّجود أخفض منه إلى الركوع</w:t>
      </w:r>
      <w:bookmarkEnd w:id="462"/>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الأخبار، عدم وجوب جعل الإيماء إلى السّجود أخفض منه إلى الركوع، إلّاأنّ ظاهر 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فالاحتياط لا يترك، وليكن الإيماء برأسه، فإنّه المتبادر من الأمر به بدلاً عن الركوع والسّجود، مضافاً إلى أنّه المصرّح به في حسنة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الإطلاقات الواردة في مقام البيان، عدم وجوب الانحناء فيهما بقدر الإمكان، مع عدم بدوّ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من وجوب ذلك مستدلّاً له بقاعدة الميسور والاستصحاب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لرفع اليد بواسطة هذه القواعد عن ما تقتضيه إطلاقات الأدلّة، مضافاً إلى أنّ المعتبر في الصَّلاة الهيئة المخصوصة، وقد انتقل الفرض منها إلى الإيماء، والإنحناءُ إنّما كان واجباً في السابق مقدّمةً لها لا مستقلّاً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الانحناء بنفسه واجباً وجزءً للصّلاة، أمكن التشبّث لإثبات ما تيسّر منه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لولا ظهور الأخبار في خلافه</w:t>
      </w:r>
      <w:r>
        <w:rPr>
          <w:rFonts w:eastAsia="Amiri" w:cs="Amiri" w:ascii="Amiri" w:hAnsi="Amiri"/>
          <w:color w:val="111111"/>
          <w:sz w:val="28"/>
          <w:szCs w:val="28"/>
          <w:rtl w:val="true"/>
          <w:lang w:bidi="ar-SA"/>
        </w:rPr>
        <w:t xml:space="preserve">. </w:t>
      </w:r>
      <w:bookmarkStart w:id="463" w:name="pg11799_136258"/>
    </w:p>
    <w:p>
      <w:pPr>
        <w:pStyle w:val="Heading6"/>
        <w:numPr>
          <w:ilvl w:val="5"/>
          <w:numId w:val="1"/>
        </w:numPr>
        <w:rPr/>
      </w:pPr>
      <w:bookmarkStart w:id="464" w:name="__RefHeading___Toc10444660_73709187"/>
      <w:bookmarkStart w:id="465" w:name="_Toc177"/>
      <w:bookmarkEnd w:id="463"/>
      <w:bookmarkEnd w:id="464"/>
      <w:r>
        <w:rPr>
          <w:rtl w:val="true"/>
        </w:rPr>
        <w:t>صلاة العاري في سعة الوقت</w:t>
      </w:r>
      <w:bookmarkEnd w:id="465"/>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البدار إلى فعل الصَّلاة عارياً في سعة الوقت‌؟</w:t>
      </w:r>
    </w:p>
    <w:p>
      <w:pPr>
        <w:pStyle w:val="BookText"/>
        <w:rPr/>
      </w:pPr>
      <w:r>
        <w:rPr>
          <w:rFonts w:ascii="Amiri" w:hAnsi="Amiri" w:eastAsia="Amiri" w:cs="Amiri"/>
          <w:color w:val="111111"/>
          <w:sz w:val="28"/>
          <w:sz w:val="28"/>
          <w:szCs w:val="28"/>
          <w:rtl w:val="true"/>
          <w:lang w:bidi="ar-SA"/>
        </w:rPr>
        <w:t>أم لا يجوز؟</w:t>
      </w:r>
    </w:p>
    <w:p>
      <w:pPr>
        <w:pStyle w:val="BookText"/>
        <w:rPr/>
      </w:pPr>
      <w:r>
        <w:rPr>
          <w:rFonts w:ascii="Amiri" w:hAnsi="Amiri" w:eastAsia="Amiri" w:cs="Amiri"/>
          <w:color w:val="111111"/>
          <w:sz w:val="28"/>
          <w:sz w:val="28"/>
          <w:szCs w:val="28"/>
          <w:rtl w:val="true"/>
          <w:lang w:bidi="ar-SA"/>
        </w:rPr>
        <w:t>أو يجب التفصيل بين العلم بتجدّد القدرة قلا يجوز، وعدمه فيجوز؟</w:t>
      </w:r>
    </w:p>
    <w:p>
      <w:pPr>
        <w:pStyle w:val="BookText"/>
        <w:rPr/>
      </w:pPr>
      <w:r>
        <w:rPr>
          <w:rFonts w:ascii="Amiri" w:hAnsi="Amiri" w:eastAsia="Amiri" w:cs="Amiri"/>
          <w:color w:val="111111"/>
          <w:sz w:val="28"/>
          <w:sz w:val="28"/>
          <w:szCs w:val="28"/>
          <w:rtl w:val="true"/>
          <w:lang w:bidi="ar-SA"/>
        </w:rPr>
        <w:t>أو يفصّل بين العلم بعدم تجدّد القدرة فيجوز، وعدمه فلا يجوز؟</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الأكابر</w:t>
      </w:r>
      <w:r>
        <w:rPr>
          <w:rStyle w:val="FootnoteAnchor"/>
          <w:rtl w:val="true"/>
        </w:rPr>
        <w:footnoteReference w:id="889"/>
      </w:r>
      <w:r>
        <w:rPr>
          <w:rFonts w:ascii="Amiri" w:hAnsi="Amiri" w:eastAsia="Amiri" w:cs="Amiri"/>
          <w:color w:val="111111"/>
          <w:sz w:val="28"/>
          <w:sz w:val="28"/>
          <w:szCs w:val="28"/>
          <w:rtl w:val="true"/>
          <w:lang w:bidi="ar-SA"/>
        </w:rPr>
        <w:t>على الأوّل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بإطلاق أدلّة الصَّلاة، وأنّها واجبة فعلاً، فيلزم سقوط السّتر، وإلّا لزم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بإطلاق أدلّة صلاه العاري، بدعوى أنّها تدلّ على صحّة الصَّلاة في كلّ زمانٍ حَضَرت الصَّلاة، ولم يكن عنده ما يستر به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أدلّة السّتر لم يعلم منها شرطيّته بالنسبة إلى العاجز الفعلي، وإنْ كان قادراً بملاحظة مجموع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الصَّلاة بعدما قُيّدت بالسَّتر، فالمأمور به هو الصَّلاة متستّراً، ولازم عدم التمكّن منه في جزءٍ من الوقت، عدم وجوبها في ذلك الحين كسائر </w:t>
      </w:r>
    </w:p>
    <w:p>
      <w:pPr>
        <w:pStyle w:val="BookText"/>
        <w:rPr/>
      </w:pPr>
      <w:r>
        <w:rPr>
          <w:rFonts w:ascii="Amiri" w:hAnsi="Amiri" w:eastAsia="Amiri" w:cs="Amiri"/>
          <w:color w:val="111111"/>
          <w:sz w:val="28"/>
          <w:sz w:val="28"/>
          <w:szCs w:val="28"/>
          <w:rtl w:val="true"/>
          <w:lang w:bidi="ar-SA"/>
        </w:rPr>
        <w:t>الشرائط والأجزاء، إذا لم يتمكّن منها في جزء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الدالّة على صحّة الصَّلاة عارياً، مع عدم التمكّن من السّتر، ليس لها إطلاق يمكن التمسّك به لإثبات الصحّة حتّى في حال عدم التمكّن منه في جزءٍ من الوقت، لورودها في مقام بيان حكم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أدلّة اعتبار السَّتر، اعتباره في الطبيعي المأمور به، وهو الصَّلاة الواقعة في الوقت المضروب لها، وليس المأمور به خصوص فردٍ منها حتّى يقال بأنّه لم يعلم شرطيّة السّتر بالنسبة إلى العاجز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لا تجوز الصَّلاة عارياً إلّامع عدم التمكّن من السّتر في مجموع الوقت، لأنّه تكليفٌ عُذري يتوقّف على استيعاب العذر للوقت، كما هو الشأن في جميع التكاليف العُذريّة الّتي لم يرد فيها نصٌّ خاصّ على كفاية الاضطرار حال الفعل في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لا يوجب القول بعدم جواز البدار مطلقاً، بل يجوز مع العلم بعدم تجدّد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تجدّدها، فمقتضى الأصل جوازه جوازاً ظاهريّاً، كما حقّقناه في المواقيت،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الاستصحاب في الحالة المتيقّنة الموجودة، وهي عدم التمكّن، فتستصحب هذه الحالة إلى آخر الوقت، لأنّ الاستصحاب في الاُمور الاستقباليّة يجري إذا كان لبقاء المستصحب في المستقبل أثرٌ فعلي، فيجري استصحاب عدم التمكّن إلى آخر الوقت، فيحكم بجواز البدار في صورة الشكّ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القول الثالث</w:t>
      </w:r>
      <w:r>
        <w:rPr>
          <w:rFonts w:eastAsia="Amiri" w:cs="Amiri" w:ascii="Amiri" w:hAnsi="Amiri"/>
          <w:color w:val="111111"/>
          <w:sz w:val="28"/>
          <w:szCs w:val="28"/>
          <w:rtl w:val="true"/>
          <w:lang w:bidi="ar-SA"/>
        </w:rPr>
        <w:t xml:space="preserve">. </w:t>
      </w:r>
      <w:bookmarkStart w:id="466" w:name="pg11799_136260"/>
    </w:p>
    <w:p>
      <w:pPr>
        <w:pStyle w:val="Heading6"/>
        <w:numPr>
          <w:ilvl w:val="5"/>
          <w:numId w:val="1"/>
        </w:numPr>
        <w:rPr/>
      </w:pPr>
      <w:bookmarkStart w:id="467" w:name="__RefHeading___Toc10444662_73709187"/>
      <w:bookmarkStart w:id="468" w:name="_Toc178"/>
      <w:bookmarkEnd w:id="466"/>
      <w:bookmarkEnd w:id="467"/>
      <w:r>
        <w:rPr>
          <w:rtl w:val="true"/>
        </w:rPr>
        <w:t>لو وجد السّاتر في أثناء الصَّلاة</w:t>
      </w:r>
      <w:bookmarkEnd w:id="468"/>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السّاتر في أثناء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يكون ذلك في سعة الوقت، بحيث لو تركها أدرك الصَّلاة كلّها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في ضيق الوقت، بحيث لو ترك ما بيده من الصَّلاة المشتغل بها، لم يدرك ولو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بحيث لو رَفَع اليد عنها أدرك ركعة منها مع السّتر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عرفت في الفرع السابق، بطلان ما بيده، ووجوب استئناف الصَّلاة مع السَّتر، لما عرفت من أنّ جواز الصَّلاة عارياً يتوقّف على كونه غير متمكّن في مجموع الوقت، فالتمكّن في الأثناء كاشفٌ عن عدم صحّة الصَّلاة الّتي اشتغل بها، والإستصحاب إنّما أوجب جواز الدخول ظاهراً، لا الإجزاء ولو مع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هو الحقّ من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لأمثال المقام، وعدم اختصاصه بالنّاسي، فالأجزاء السابقة محكومة بالصحّة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توقّف السَّتر على فعل المنافي، بطلت صلاته من ناحية الأجزاء اللّاحقة، لأنّ إتيانها عارياً مع التمكّن من السّتر لا دليل عليه، بل أدلّة اعتبار السّتر مع التمكّن تدلّ على فسادها، وتحصيل السّتر بفعل المنافي موجبٌ للبطلان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لم يتوقّف السّتر على فعل المنافي، فيأتي بالأجزاء اللّاحقة مع السّتر، </w:t>
      </w:r>
    </w:p>
    <w:p>
      <w:pPr>
        <w:pStyle w:val="BookText"/>
        <w:rPr/>
      </w:pPr>
      <w:r>
        <w:rPr>
          <w:rFonts w:ascii="Amiri" w:hAnsi="Amiri" w:eastAsia="Amiri" w:cs="Amiri"/>
          <w:color w:val="111111"/>
          <w:sz w:val="28"/>
          <w:sz w:val="28"/>
          <w:szCs w:val="28"/>
          <w:rtl w:val="true"/>
          <w:lang w:bidi="ar-SA"/>
        </w:rPr>
        <w:t>فتكون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واجد السّتر في الصَّلاة تكون صلاته هذه مشتملة عليثلاث قطعات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الواقعة في حال عدم وجدان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اللّاحقة التي يأتي بها مع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التشاغل فعل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تقع صحيحة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الثانية لواجديّة الشرط، وأمّا الثالثة فلا دليل يدلّ على صحّتها، وسقوط شرطيّة السّتر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شمول إطلاق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للأجزاء السابقة، لزم منه الحكم بالصحّة، وسقوط شرطيّة السّتر بالنسبة إلى حال التشاغل بفعل السّتر، وإلّا لزم أنْ يكون الحكم بصحّة الأجزاء السابقة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يوجبُ عدم شمول الإطلاق، لعدم ترتّب الأثر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هذا القسم بطلان الصَّلاة، ولزوم الاستئناف، سواءٌ أمكن السّتر بغير فعل المنافي أو 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المضيّ‌، وعدم جواز رفع اليد عن الصَّلاة التي هو فيها، كما لا يخفى‌، غاية الأمر إنْ تمكّن من السّتر عليه المبادرة إليه، وإلّا يتمّ عارياً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التخيير بين إتمام ما بيده، وبين إبطاله والاستئناف، وذلك لما ذكرناه مراراً من أنّ التنافي بين الأوامر الضمنيّة إنّما يرجع إلى </w:t>
      </w:r>
    </w:p>
    <w:p>
      <w:pPr>
        <w:pStyle w:val="BookText"/>
        <w:rPr/>
      </w:pPr>
      <w:r>
        <w:rPr>
          <w:rFonts w:ascii="Amiri" w:hAnsi="Amiri" w:eastAsia="Amiri" w:cs="Amiri"/>
          <w:color w:val="111111"/>
          <w:sz w:val="28"/>
          <w:sz w:val="28"/>
          <w:szCs w:val="28"/>
          <w:rtl w:val="true"/>
          <w:lang w:bidi="ar-SA"/>
        </w:rPr>
        <w:t>باب التعارض، وعرفت أنّ مركز التنافي إنّما هو إطلاق دليل كلّ من المتنافيين، وعرفت أيضاً أنّ مقتضى القاعدة سقوط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يقع التعارض بين إطلاق دليل اعتبار السَّتر، وبين إطلاق دليل اعتبار إيقاع تمام الصَّلاة في الوقت فيتساقطان</w:t>
      </w:r>
      <w:r>
        <w:rPr>
          <w:rStyle w:val="FootnoteAnchor"/>
          <w:rtl w:val="true"/>
        </w:rPr>
        <w:footnoteReference w:id="891"/>
      </w:r>
      <w:r>
        <w:rPr>
          <w:rFonts w:ascii="Amiri" w:hAnsi="Amiri" w:eastAsia="Amiri" w:cs="Amiri"/>
          <w:color w:val="111111"/>
          <w:sz w:val="28"/>
          <w:sz w:val="28"/>
          <w:szCs w:val="28"/>
          <w:rtl w:val="true"/>
          <w:lang w:bidi="ar-SA"/>
        </w:rPr>
        <w:t>والمرجع إلى الأصل، وهو هاهنا التخيير، لدوران الأمر بين التعيين والتخيير،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يتعلّق بمهمّات مباحث اللّباس، والحمد للّه أوّلاً وآخراً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9" w:name="pg11799_136263"/>
    </w:p>
    <w:p>
      <w:pPr>
        <w:pStyle w:val="BookText"/>
        <w:rPr/>
      </w:pPr>
      <w:bookmarkEnd w:id="469"/>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مكانٍ مملوكٍ أو مأذونٍ فيه، يجوزُ فيه الصَّلاة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0444664_73709187"/>
      <w:bookmarkStart w:id="471" w:name="_Toc179"/>
      <w:bookmarkEnd w:id="470"/>
      <w:r>
        <w:rPr>
          <w:rtl w:val="true"/>
        </w:rPr>
        <w:t>الفصل الخامس البحث عن مكان المصلّي</w:t>
      </w:r>
      <w:bookmarkEnd w:id="471"/>
    </w:p>
    <w:p>
      <w:pPr>
        <w:pStyle w:val="Heading5"/>
        <w:numPr>
          <w:ilvl w:val="4"/>
          <w:numId w:val="1"/>
        </w:numPr>
        <w:rPr/>
      </w:pPr>
      <w:bookmarkStart w:id="472" w:name="__RefHeading___Toc10444666_73709187"/>
      <w:bookmarkStart w:id="473" w:name="_Toc18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وهو عرفاً المحلّ الذي يستقرّ عليه المُصلّي ويشغله من الفضاء، وفي اصطلاح الفقهاء فُسِّر بتفاسير</w:t>
      </w:r>
      <w:r>
        <w:rPr>
          <w:rStyle w:val="FootnoteAnchor"/>
          <w:rtl w:val="true"/>
        </w:rPr>
        <w:footnoteReference w:id="892"/>
      </w:r>
      <w:r>
        <w:rPr>
          <w:rFonts w:ascii="Amiri" w:hAnsi="Amiri" w:eastAsia="Amiri" w:cs="Amiri"/>
          <w:color w:val="111111"/>
          <w:sz w:val="28"/>
          <w:sz w:val="28"/>
          <w:szCs w:val="28"/>
          <w:rtl w:val="true"/>
          <w:lang w:bidi="ar-SA"/>
        </w:rPr>
        <w:t>، وحيث أنّ هذا اللّفظ لم يرد له ذكرٌ في شيءٍ من الأدلّة، فلا حاجة إلى تحقيق مفهومه، بل المهمّ تشخيص مصاديق ما عُلّق عليه الأحكام اللّاحقة له، كالإباحة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الأحكام ما ذكره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مكانٍ مملوكٍ أو مأذونٍ فيه تجوزُ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 النصوص الدالّة على عموم مسجديّة الأرض، كخبر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إلّابئرُ غائطٍ، أو مقبرة أو حمّام</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الوجه في اعتبار كون المكان مملوكاً أو مأذوناً فيه، ولو في خصوص </w:t>
      </w:r>
    </w:p>
    <w:p>
      <w:pPr>
        <w:pStyle w:val="BookText"/>
        <w:rPr/>
      </w:pPr>
      <w:r>
        <w:rPr>
          <w:rFonts w:ascii="Amiri" w:hAnsi="Amiri" w:eastAsia="Amiri" w:cs="Amiri"/>
          <w:color w:val="111111"/>
          <w:sz w:val="28"/>
          <w:sz w:val="28"/>
          <w:szCs w:val="28"/>
          <w:rtl w:val="true"/>
          <w:lang w:bidi="ar-SA"/>
        </w:rPr>
        <w:t>الصَّلاة، بطلان الصَّلاة في المكان المغصوب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مِلْكاً للغير، فبما أنّه يخرج التصرّف فيه عن كونه غصباً برضاه بالتصرف فيه، فالمعتبر هو الرِّضا لا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وإنْ كان اعتبار الإذن في التصرّف، إلّاأنّه لابدّ من حمله على الحكم الطريقي الظاهري، جمعاً بينه وبين موثّق سماعة</w:t>
      </w:r>
      <w:r>
        <w:rPr>
          <w:rStyle w:val="FootnoteAnchor"/>
          <w:rtl w:val="true"/>
        </w:rPr>
        <w:footnoteReference w:id="895"/>
      </w:r>
      <w:r>
        <w:rPr>
          <w:rFonts w:ascii="Amiri" w:hAnsi="Amiri" w:eastAsia="Amiri" w:cs="Amiri"/>
          <w:color w:val="111111"/>
          <w:sz w:val="28"/>
          <w:sz w:val="28"/>
          <w:szCs w:val="28"/>
          <w:rtl w:val="true"/>
          <w:lang w:bidi="ar-SA"/>
        </w:rPr>
        <w:t>، الدالّ على اعتبار الرِّضا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الأظهر كفاية الرضا الشأني، إذا لم تقارنه كراهةٌ فعليّة في حِليّة التصرّف، وعدم انطباق عنوان الغصب عليه، لاستقرار سيرة العقلاء على الاكتفاء به، هذا كلّه ممّا لا كلام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4" w:name="pg11799_136265"/>
    </w:p>
    <w:p>
      <w:pPr>
        <w:pStyle w:val="BookText"/>
        <w:rPr/>
      </w:pPr>
      <w:bookmarkEnd w:id="474"/>
      <w:r>
        <w:rPr>
          <w:rFonts w:ascii="Amiri" w:hAnsi="Amiri" w:eastAsia="Amiri" w:cs="Amiri"/>
          <w:color w:val="111111"/>
          <w:sz w:val="28"/>
          <w:sz w:val="28"/>
          <w:szCs w:val="28"/>
          <w:rtl w:val="true"/>
          <w:lang w:bidi="ar-SA"/>
        </w:rPr>
        <w:t>وتبطل في المغصوب مع العلم بالغصب</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0444668_73709187"/>
      <w:bookmarkStart w:id="476" w:name="_Toc181"/>
      <w:bookmarkEnd w:id="475"/>
      <w:r>
        <w:rPr>
          <w:rtl w:val="true"/>
        </w:rPr>
        <w:t>الصَّلاة في المكان المغصوب</w:t>
      </w:r>
      <w:bookmarkEnd w:id="476"/>
    </w:p>
    <w:p>
      <w:pPr>
        <w:pStyle w:val="Heading6"/>
        <w:numPr>
          <w:ilvl w:val="5"/>
          <w:numId w:val="1"/>
        </w:numPr>
        <w:rPr/>
      </w:pPr>
      <w:bookmarkStart w:id="477" w:name="__RefHeading___Toc10444670_73709187"/>
      <w:bookmarkStart w:id="478" w:name="_Toc182"/>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وإنّما الكلام في الصَّلاة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المغصوب مع العِلم بالغصب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الغاصب مأمورٌ بردّ المغصوب إلى مالكه، وهو مضادّ للصَّلاة، لإفتقاره إلى فعل كثير، والأمر بالشيء يقتضي النهي عن ضدّه، والنهي يقتضي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أنصفناهم إنْ وأخذناهم، ولا أحببناهم إنْ عاقبناهم، بل نُبيح لهم المساكن لتصحّ عباداتهم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انظر فيما تُصلّي، وعلى ما تُصلّي، إنْ لم يكن من وجهه وحِلّه فلا قبول</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أخذوا ما أمرهم اللّه به، فأنفقوه فيما نهاهم عنه ما قبله منهم، ولو أخذوا ما نهاهم اللّه تعالى عنه </w:t>
      </w:r>
    </w:p>
    <w:p>
      <w:pPr>
        <w:pStyle w:val="BookText"/>
        <w:rPr/>
      </w:pPr>
      <w:r>
        <w:rPr>
          <w:rFonts w:ascii="Amiri" w:hAnsi="Amiri" w:eastAsia="Amiri" w:cs="Amiri"/>
          <w:color w:val="111111"/>
          <w:sz w:val="28"/>
          <w:sz w:val="28"/>
          <w:szCs w:val="28"/>
          <w:rtl w:val="true"/>
          <w:lang w:bidi="ar-SA"/>
        </w:rPr>
        <w:t>فأنفقوه فيما أمرهم اللّه تعالى به ما قبله منهم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وبامتناع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غير الأخير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الإجماع ليس بحجّة، مع كون مدرك المجمعين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بالشيء لا يقتضي النهي عن ضدّه، كما حقّقناه في محلّه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والمُرسل ضعيف السّند لا يعتمد عليه، وموافقة المشهور من دون ثبوت اعتمادهم عليه، لا تكون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الجُعفي</w:t>
      </w:r>
      <w:r>
        <w:rPr>
          <w:rStyle w:val="FootnoteAnchor"/>
          <w:rtl w:val="true"/>
        </w:rPr>
        <w:footnoteReference w:id="901"/>
      </w:r>
      <w:r>
        <w:rPr>
          <w:rFonts w:ascii="Amiri" w:hAnsi="Amiri" w:eastAsia="Amiri" w:cs="Amiri"/>
          <w:color w:val="111111"/>
          <w:sz w:val="28"/>
          <w:sz w:val="28"/>
          <w:szCs w:val="28"/>
          <w:rtl w:val="true"/>
          <w:lang w:bidi="ar-SA"/>
        </w:rPr>
        <w:t>قد تقدّم ما فيهما فى بحث لباس المُصلّي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امتناع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كافياً في بطلان الصَّلاة، من غير فرقٍ بين كون ما يتّحد من أجزائها مع المنهيّ عنه عباديّاً، وكونه غير عبادي كما عرفت في المبحث المتقدّم، إلّاأنّ الكلام في اتّحاد شيء ما يعتبر في الصَّلاة مع الغصب خارجاً، كي يكون المورد من موارد الامتناع، وإلّا فقد عرفت أنّه لابدَّ من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هذه الجهة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عدم صدق الغصب على بعض أجزاء الصَّلاة، كالتكبيرة والقراءة وغيرهما من الأذكار، لعدم كونها تصرّفاً في المغصوب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الأفعال المعتبرة فيها كالقيام والجلوس والركوع، فحيثُ إنّها من مقولة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الوضع، لكونها هيئات قائمة بالبدن، والغصب منتزعٌ من الكون في الدار الذي هو من مقولة الأين، فلا يصدق الغصب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أفعال الصَّلاة تكون من مقولة الوضع، والغصب من مقولة الأين، فلا محالة يكون لكلٍّ منهما وجودٌ منحازٌ عن الآخر مستقلّ‌، وأمّا الهوي إلى الرّكوع والسّجود، والنهوض إليهما، فلو سُلّم كونهما من أفراد التصرّف في مِلْك الغير، لكن بما أنّهما لا يكونان من أجزاء الصَّلاة بل من المقدّمات، فلا يلزم اتّحاد المأمور به والمنهيّ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كون الركوع عن قيامٍ‌، لا يقتضي كون الهوي داخلاً في حقيقة الركوع، كما أنّ اعتبار الوضع في السّجود، لا يقتضي كون الهويّ داخلاً في حقيقته، لعدم اعتبار سبق الرفع في صدق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أنّ السّجود يعتبر فيه اعتماد الجبهة على الأرض، كما أنّه لا يبعد اعتبار الاعتماد عليها في القيام، والاعتماد على المكان المغصوب من أظهر أفراد التصرّف في مِلْك الغير، فيتّحد المأمور به والمنهيّ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الدار المغصوبة، بناءً على عدم اعتبار الاعتماد على الأرض، والقرار عليها في القيام، تصحّ لو سجد في خارج الدار، وأمّا بناءً على اعتبار الاعتماد فيه تبطل مطلقاً، ولا فرق في البطلان بين صورتي العلم والجهل، كما عرفت في مبحث الصلاة في المغصوب</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بعد ما عرفت من إنّ الملاك في بطلان الصَّلاة في الدار المغصوبة، ليس اتّحاد الأكوان الصلاتيّة مع الغصب، بل إنّما يكون اتّحاد الاعتماد على الأرض، المعتبر في السّجود والقيام معه، يظهر لك أنّ الصَّلاة تحت الخيمة الغصبيّة، أو سقف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مغصوب لا تكون باطلة، ولو قلنا بأنّ التصرّف في الخيمة إنّما يكون عبارة عن الاستقرار تحت فيئها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صَلّى فيها ناسياً، صحّت صلاته،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وكذا لو اُكره على المكث فيها، لما عرفت في المبحث المتقدّم من أنّ الإكراه يوجبُ ارتفاع الحرمة النفسيّة، ومعه لا موجب للبطلان، فراجع ما ذكرناه هناك</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نعم، يمكن أنْ يُقال في المقام إنّ الاعتماد على الأرض، المعتبر في السّجود، بما أنّه تصرّفٌ زائد عمّا اُكره عليه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في سعة الوقت لا تصحّ الصَّلاة، كما لا يخفى وجهه، وأمّا مع الضيق فيُصلّي بما أمكن من غير استلزام تصرّفٍ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المكرَه على التصرّف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بالإضافة إلى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سجوده من غير جهة الاعتماد تصرّفاً زائداً، وأمّا بالإضافة إلى الأرض، فلأجل اعتبار وضع المساجد السبعة عليها، يكون تصرّفه بالسجود أزيد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حكم ما لو اضطرّ إلى التصرّف فيها بالبقاء، فإنّه يجري فيه جميع ما ذكرناه في الإكراه، فلا حاجة إلى الإعادة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بطلان الصَّلاة بين تعلّق الغصب بالعين أو بالمنفعة، كما لو صَلّى في الدار من غير إذن المستأجر، وإنْ أذن له المالك، لأنّ الملاك واحد وهو حرمة التصرّف في المغصوب، وكذا لو كان المكان متعلّقاً لحقٍّ كحقّ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79" w:name="pg11799_136269"/>
    </w:p>
    <w:p>
      <w:pPr>
        <w:pStyle w:val="Heading6"/>
        <w:numPr>
          <w:ilvl w:val="5"/>
          <w:numId w:val="1"/>
        </w:numPr>
        <w:rPr/>
      </w:pPr>
      <w:bookmarkStart w:id="480" w:name="__RefHeading___Toc10444672_73709187"/>
      <w:bookmarkStart w:id="481" w:name="_Toc183"/>
      <w:bookmarkEnd w:id="479"/>
      <w:bookmarkEnd w:id="480"/>
      <w:r>
        <w:rPr>
          <w:rtl w:val="true"/>
        </w:rPr>
        <w:t>حَقّ السَّبق في المسجد</w:t>
      </w:r>
      <w:bookmarkEnd w:id="481"/>
    </w:p>
    <w:p>
      <w:pPr>
        <w:pStyle w:val="BookText"/>
        <w:rPr/>
      </w:pPr>
      <w:r>
        <w:rPr>
          <w:rFonts w:ascii="Amiri" w:hAnsi="Amiri" w:eastAsia="Amiri" w:cs="Amiri"/>
          <w:color w:val="111111"/>
          <w:sz w:val="28"/>
          <w:sz w:val="28"/>
          <w:szCs w:val="28"/>
          <w:rtl w:val="true"/>
          <w:lang w:bidi="ar-SA"/>
        </w:rPr>
        <w:t>إنّما الكلام في حَقّ السَّبق، كما سبق إلى المسجد أم غيره، فمنعه آخرُ من ذلك المكان، لكنّه دافعه وصلّى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مَنْ سبق إلى مكانٍ من المشتركات كالمسجد فهو أحقّ به ما دام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 بعضهم</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في سقوط حقّه لو قام مفارقاً، رافعاً يده عنه، بل حتّى لو نوى العود، ولكن قام مع عدم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حجيّة مرسل محمّد بن إسماعيل، عن الإمام الصادق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فيجىء آخر فيصير مكانه‌؟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 أحقّ به يومه وليلته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طلحة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العمل بإطلاقهما، وبالتحديد المذكور فيهما، مضافاً إلى تعارضهما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تماميّة ما ذكره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دفعه عن مكانه أثم، وحَلّ له مكثه فيه، وصار أحقّ به من غيره، إذ بعدما صار الحيّز فارغاً، لكلّ أحدٍ التصرّف فيه، سواءٌ كان هو الدافع الظالم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فالأقوى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بطلان الصَّلاة في الفرض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2" w:name="pg11799_136271"/>
    </w:p>
    <w:p>
      <w:pPr>
        <w:pStyle w:val="Heading6"/>
        <w:numPr>
          <w:ilvl w:val="5"/>
          <w:numId w:val="1"/>
        </w:numPr>
        <w:rPr/>
      </w:pPr>
      <w:bookmarkStart w:id="483" w:name="__RefHeading___Toc10444674_73709187"/>
      <w:bookmarkStart w:id="484" w:name="_Toc184"/>
      <w:bookmarkEnd w:id="482"/>
      <w:bookmarkEnd w:id="483"/>
      <w:r>
        <w:rPr>
          <w:rtl w:val="true"/>
        </w:rPr>
        <w:t>الصَّلاة حال الخروج</w:t>
      </w:r>
      <w:bookmarkEnd w:id="484"/>
    </w:p>
    <w:p>
      <w:pPr>
        <w:pStyle w:val="BookText"/>
        <w:rPr/>
      </w:pPr>
      <w:r>
        <w:rPr>
          <w:rFonts w:ascii="Amiri" w:hAnsi="Amiri" w:eastAsia="Amiri" w:cs="Amiri"/>
          <w:color w:val="111111"/>
          <w:sz w:val="28"/>
          <w:sz w:val="28"/>
          <w:szCs w:val="28"/>
          <w:rtl w:val="true"/>
          <w:lang w:bidi="ar-SA"/>
        </w:rPr>
        <w:t>بقي الكلام في الصَّلاة حال الخروج من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لا يمكن أنْ يكون الخروج محكوماً بالحرمة، ولو كان الاضطرار إليه بسوء الاختيار، ولم يكن الخروج عن توبةٍ وندم، لعدم اجتماعه مع حرمة التصرّف بغير الخروج، لإستلزامه التكليف بما لا يُطاق، فلا مانع من صحّة الصَّلاة من جهة المكان، وحينئذٍ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سعة الوقت، وجب عليه الخروج، والصَّلاة خارج الدار، وليس له الصَّلاة حال الخروج، لاستلزام التشاغل بها فوت الاستقرار والسّجود ونحو ذلك، مع عدم الدليل على سقوطها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ضيق الوقت، وجب عليه الاشتغال بها حال الخروج، كما هو المشهور، بل عن بعضٍ‌</w:t>
      </w:r>
      <w:r>
        <w:rPr>
          <w:rStyle w:val="FootnoteAnchor"/>
          <w:rtl w:val="true"/>
        </w:rPr>
        <w:footnoteReference w:id="911"/>
      </w:r>
      <w:r>
        <w:rPr>
          <w:rFonts w:ascii="Amiri" w:hAnsi="Amiri" w:eastAsia="Amiri" w:cs="Amiri"/>
          <w:color w:val="111111"/>
          <w:sz w:val="28"/>
          <w:sz w:val="28"/>
          <w:szCs w:val="28"/>
          <w:rtl w:val="true"/>
          <w:lang w:bidi="ar-SA"/>
        </w:rPr>
        <w:t>بلا خلاف، ويؤمئ للسجود، لاستلزامه مزيد البقاء في المغصوب المحرّم، المقدّم دليله على دليل السّجود، فينتقل الفرض إلى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 لا يستلزم مزيد المكث فيه، لعدم احتياجه إلى الاستقرار، فلا وجه لتبديله بالإيماء، ويراعي باقي الشرائط من الاستقبال وغيره بقدر المكنة، على وجهٍ لا يستلزم المكث، والدّليل على وجوب الصَّلاة في هذه الحال،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تَدَع الصَّلاة بحال</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ابن سعيد، والعلّامة الطباطبائي رحمه الله</w:t>
      </w:r>
      <w:r>
        <w:rPr>
          <w:rStyle w:val="FootnoteAnchor"/>
          <w:rtl w:val="true"/>
        </w:rPr>
        <w:footnoteReference w:id="913"/>
      </w:r>
      <w:r>
        <w:rPr>
          <w:rFonts w:ascii="Amiri" w:hAnsi="Amiri" w:eastAsia="Amiri" w:cs="Amiri"/>
          <w:color w:val="111111"/>
          <w:sz w:val="28"/>
          <w:sz w:val="28"/>
          <w:szCs w:val="28"/>
          <w:rtl w:val="true"/>
          <w:lang w:bidi="ar-SA"/>
        </w:rPr>
        <w:t xml:space="preserve">من التوقّف في صحّة هذه </w:t>
      </w:r>
    </w:p>
    <w:p>
      <w:pPr>
        <w:pStyle w:val="BookText"/>
        <w:rPr/>
      </w:pPr>
      <w:r>
        <w:rPr>
          <w:rFonts w:ascii="Amiri" w:hAnsi="Amiri" w:eastAsia="Amiri" w:cs="Amiri"/>
          <w:color w:val="111111"/>
          <w:sz w:val="28"/>
          <w:sz w:val="28"/>
          <w:szCs w:val="28"/>
          <w:rtl w:val="true"/>
          <w:lang w:bidi="ar-SA"/>
        </w:rPr>
        <w:t>الصَّلاة،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التشاغل بها في هذه الحال مستلزمٌ لفوت الاستقرار والسّجود، ونحو ذلك، مع عدم الدليل على سقوطها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سقوطها إنّما يكون لأجل حرمة البقاء المقدّم دليلها على ما دلَّ على اعتبار تلك الاُمور، ولا يجب حينئذٍ القضاء، إذ بعد إتيان الصَّلاة صحيحة لا فوت حتّى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الفرض في سعة الوقت وضيقه، لو تشاغل بالصَّلاة، وهو مستقرٌّ في المكان المغصوب، أمكن القول بصحّتها، إذا كان زمانها مساوياً لزمان الخروج أو أقلّ‌، لأنّ هذا المقدار من التصرّف مضطرٌّ إليه،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الخروج حراماً، لأنّه المضطرّ إليه لا ذلك المقدار من التصرّف، فلو صَلّى كذلك، يكون توقّفه بخصوصه تصرّفاً زائداً على ما اضطرّ إليه، فلا يجوز،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دار الأمر بين الصَّلاة حال الخروج من المكان الغصبي بتمامها في الوقت، أو الصَّلاة بعد الخروج، وإدراك ركعةٍ أو أزيد، فالظاهر هو التخيير بينهما، لما عرفت غير مرّةٍ من أنّ التنافي بين الأوامر الضمنيّة إنّما يكون من باب التعارض، وعليه فيقع التعارض في المقام بين إطلاق ما دلَّ على وجوب إيقاع تمام الصَّلاة في الوقت، وإطلاق دليل الاستقرار والسّجود ونحوهما، فلا محالة يتساقطان، والمرجع إلى الأصل، وهو يقتضي التخيير، كما عرفت في مبحث القبلة</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الواردة في الموارد المتفرّقة، أنّ مراعاة الوقت أولى من مراعاة غيره من ما يعتبر في الصَّلاة، وعليه فتتعيّن الصَّلاة حال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فيما دار الأمر بين الصَّلاة خارج الوقت بتمامها، أو إتيانها فيه، لا في مثل المقام ممّا يدور الأمر بين إدراك ركعة منها في الوقت تامّة الأجزاء والشرائط، وإتيانها بتمامها فيه فاقدة لبعض ما يعتبر فيها، كما لا يخفى وجهه</w:t>
      </w:r>
      <w:r>
        <w:rPr>
          <w:rFonts w:eastAsia="Amiri" w:cs="Amiri" w:ascii="Amiri" w:hAnsi="Amiri"/>
          <w:color w:val="111111"/>
          <w:sz w:val="28"/>
          <w:szCs w:val="28"/>
          <w:rtl w:val="true"/>
          <w:lang w:bidi="ar-SA"/>
        </w:rPr>
        <w:t>.</w:t>
      </w:r>
      <w:bookmarkStart w:id="485" w:name="pg11799_136274"/>
    </w:p>
    <w:p>
      <w:pPr>
        <w:pStyle w:val="BookText"/>
        <w:rPr/>
      </w:pPr>
      <w:bookmarkEnd w:id="485"/>
      <w:r>
        <w:rPr>
          <w:rFonts w:ascii="Amiri" w:hAnsi="Amiri" w:eastAsia="Amiri" w:cs="Amiri"/>
          <w:color w:val="111111"/>
          <w:sz w:val="28"/>
          <w:sz w:val="28"/>
          <w:szCs w:val="28"/>
          <w:rtl w:val="true"/>
          <w:lang w:bidi="ar-SA"/>
        </w:rPr>
        <w:t>ويشترط طهارة موضع الجَبهة</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0444676_73709187"/>
      <w:bookmarkStart w:id="487" w:name="_Toc185"/>
      <w:bookmarkEnd w:id="486"/>
      <w:r>
        <w:rPr>
          <w:rtl w:val="true"/>
        </w:rPr>
        <w:t>طهارة محلّ وضع الجبهة</w:t>
      </w:r>
      <w:bookmarkEnd w:id="487"/>
    </w:p>
    <w:p>
      <w:pPr>
        <w:pStyle w:val="Heading6"/>
        <w:numPr>
          <w:ilvl w:val="5"/>
          <w:numId w:val="1"/>
        </w:numPr>
        <w:rPr/>
      </w:pPr>
      <w:bookmarkStart w:id="488" w:name="__RefHeading___Toc10444678_73709187"/>
      <w:bookmarkStart w:id="489" w:name="_Toc186"/>
      <w:bookmarkEnd w:id="488"/>
      <w:r>
        <w:rPr>
          <w:rtl w:val="true"/>
        </w:rPr>
        <w:t>اشارة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أو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جماعه كثيرة</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محبوب،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إليه يسأله عن الجِصّ يوقَدُ عليه بالعَذَرة وعظام الموتى، يُجصّص به المسجد، أيُسجد عليه‌؟</w:t>
      </w:r>
    </w:p>
    <w:p>
      <w:pPr>
        <w:pStyle w:val="BookText"/>
        <w:rPr/>
      </w:pP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ظاهر السؤال، كون عدم جواز السّجود على النجس كان عندهم أمراً مفروغاً عنه، كما أنّ ظاهر الجواب هو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الإجماع، بما نقله المحقّق رحمه الله</w:t>
      </w:r>
      <w:r>
        <w:rPr>
          <w:rStyle w:val="FootnoteAnchor"/>
          <w:rtl w:val="true"/>
        </w:rPr>
        <w:footnoteReference w:id="917"/>
      </w:r>
      <w:r>
        <w:rPr>
          <w:rFonts w:ascii="Amiri" w:hAnsi="Amiri" w:eastAsia="Amiri" w:cs="Amiri"/>
          <w:color w:val="111111"/>
          <w:sz w:val="28"/>
          <w:sz w:val="28"/>
          <w:szCs w:val="28"/>
          <w:rtl w:val="true"/>
          <w:lang w:bidi="ar-SA"/>
        </w:rPr>
        <w:t xml:space="preserve">عن الراوندي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أنّهما ذهبا إلى أنّ الأرض والبواري والحُصُر إذا أصابها البول، وجفّفتها الشمس، لا تطهر بذلك، لكن يجوز السّجود عليها، واستجوده هو قدس سره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محلّها، لعدم كون ذلك خلافاً في الكبرى المتقدّمة، بل إنّما يكون التزاماً بتأثير الشمس في جواز السّجود، وعدم تأثيرها في الطهارة، فهو لو لم يكن مؤكّداً </w:t>
      </w:r>
    </w:p>
    <w:p>
      <w:pPr>
        <w:pStyle w:val="BookText"/>
        <w:rPr/>
      </w:pPr>
      <w:r>
        <w:rPr>
          <w:rFonts w:ascii="Amiri" w:hAnsi="Amiri" w:eastAsia="Amiri" w:cs="Amiri"/>
          <w:color w:val="111111"/>
          <w:sz w:val="28"/>
          <w:sz w:val="28"/>
          <w:szCs w:val="28"/>
          <w:rtl w:val="true"/>
          <w:lang w:bidi="ar-SA"/>
        </w:rPr>
        <w:t>للإجماع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الصحيح بما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من أنّ المشهور بين الأصحاب عدم اشتراط طهارة غير موضع الجبهة، كما تدلّ عليه أخبار كثيرة، بل يظهر من بعضها عدم اشتراط طهارة موضع الجبهة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مراده من بعض تلك الأخبار، ما يدلّ عليه بالإطلاق، فلابدّ من تقييده بالصحيح والإجماع، وإنْ كان مراده ما يدلّ عليه بالخصوص، فلم يصل إلينا مثل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بعضهم</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باعتبار طهارة خصوص موضع الجبهة، هو ما يقتضيه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دلَّ على المنع عن الصَّلاة على الموضع النجس، كموثّق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الموضع القذر يكون في البيت أو غيره، فلا تصيبه الشمس، ولكنّه قد يبس الموضع القذر؟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 وأعلِم موضعه حتّى تغسله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ابن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الشاذكونة</w:t>
      </w:r>
      <w:r>
        <w:rPr>
          <w:rStyle w:val="FootnoteAnchor"/>
          <w:rtl w:val="true"/>
        </w:rPr>
        <w:footnoteReference w:id="921"/>
      </w:r>
      <w:r>
        <w:rPr>
          <w:rFonts w:ascii="Amiri" w:hAnsi="Amiri" w:eastAsia="Amiri" w:cs="Amiri"/>
          <w:color w:val="111111"/>
          <w:sz w:val="28"/>
          <w:sz w:val="28"/>
          <w:szCs w:val="28"/>
          <w:rtl w:val="true"/>
          <w:lang w:bidi="ar-SA"/>
        </w:rPr>
        <w:t>يُصيبها الاحتلام أيُصلّى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ما دلَّ على الجواز، كصحيح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الشاذكونة عليها جنابة أيُصلّى عليها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والدار لا تصيبهماالشمس، ويصيبهما البول، ويغتسل فيهما من الجنابة، أيصلّى فيهما إذا جَفّا؟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جمعٌ تبرّعي لا شاهد له، ولا وجه لتخصيص ما دلَّ على الجواز أوّلاً بما دلَّ على المنع في خصوص موضع الجبهة، ثم تخصيص ما دلَّ على المنع مطلقاً به، كما لا يخفى‌، بل الأولى في مقام الجمع بين هاتين الطائفتين، حمل ما ظاهره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لزوم طهارة ما يُسجد عليه، وعدم لزوم طهارة المكان الذي يُصلّى فيه، وإنْ كان الأولى طهارته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السيّد رحمه الله</w:t>
      </w:r>
      <w:r>
        <w:rPr>
          <w:rStyle w:val="FootnoteAnchor"/>
          <w:rtl w:val="true"/>
        </w:rPr>
        <w:footnoteReference w:id="925"/>
      </w:r>
      <w:r>
        <w:rPr>
          <w:rFonts w:ascii="Amiri" w:hAnsi="Amiri" w:eastAsia="Amiri" w:cs="Amiri"/>
          <w:color w:val="111111"/>
          <w:sz w:val="28"/>
          <w:sz w:val="28"/>
          <w:szCs w:val="28"/>
          <w:rtl w:val="true"/>
          <w:lang w:bidi="ar-SA"/>
        </w:rPr>
        <w:t xml:space="preserve">من وجوب طهارة مكان المُصلّي، والنهي عن الصَّلاة في المجزرة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المواضع التي تُذبح فيها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والمزبلة، والحمّامات إذ الدليل لا يدلّ عليه، لأنّ الظاهر منه كونه لأجل الاستقذار والاستخباث، فالنهي عنها يكون تنزيهيّاً، مضافاً إلى ما عرفت من تعيّن حمله على الكراهة على فرض تسليم ظهوره في المنع، جمعاً بينه وبين ما يكون صريحاً في الجواز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90" w:name="pg11799_136277"/>
    </w:p>
    <w:p>
      <w:pPr>
        <w:pStyle w:val="Heading6"/>
        <w:numPr>
          <w:ilvl w:val="5"/>
          <w:numId w:val="1"/>
        </w:numPr>
        <w:rPr/>
      </w:pPr>
      <w:bookmarkStart w:id="491" w:name="__RefHeading___Toc10444680_73709187"/>
      <w:bookmarkStart w:id="492" w:name="_Toc187"/>
      <w:bookmarkEnd w:id="490"/>
      <w:bookmarkEnd w:id="491"/>
      <w:r>
        <w:rPr>
          <w:rtl w:val="true"/>
        </w:rPr>
        <w:t>فروع</w:t>
      </w:r>
      <w:r>
        <w:rPr>
          <w:rtl w:val="true"/>
        </w:rPr>
        <w:t>:</w:t>
      </w:r>
      <w:bookmarkEnd w:id="492"/>
    </w:p>
    <w:p>
      <w:pPr>
        <w:pStyle w:val="Heading6"/>
        <w:numPr>
          <w:ilvl w:val="5"/>
          <w:numId w:val="1"/>
        </w:numPr>
        <w:rPr/>
      </w:pPr>
      <w:bookmarkStart w:id="493" w:name="__RefHeading___Toc10444682_73709187"/>
      <w:bookmarkStart w:id="494" w:name="_Toc188"/>
      <w:bookmarkEnd w:id="493"/>
      <w:r>
        <w:rPr>
          <w:rtl w:val="true"/>
        </w:rPr>
        <w:t>اعتبار عدم نجاسة المحل إذا كانت النجاسة مُسريةً‌</w:t>
      </w:r>
      <w:bookmarkEnd w:id="49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عدم اشتراط طهارة ما عدا موضع الجبهة، إنّما هو فيما إذا لم تكن النجاسة مُسريةً إلى البدن أو الثّوب، وإلّا فلا ريب في اعتبار عدم النجاسة، كما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اعتبار طهارة بدن المُصلّي وثوبه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البواري يُبلّ قصبها بماءٍ قذر، أيُصلّى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فلا بأس</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المطلقة الدالّة على الجواز بلا تقييدٍ بيبوسة المحلّ‌، لا تنافي ما دلَّ على اعتبار طهارة بدن المُصلّي وثوبه، لعدم كونها في مقام البيان من هذه الجهة، بل مسوقة لبيان حكم الموضع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في النصوص المتضمّنة للقيد، ما يدلّ على اعتباره في المكان من حيث هو، كي يُحكم بأنّه إذا كانت الأرض النجسة رطبة غير مسرية، أو كانت نجاستها معفوّاً عنها، كالدم الأقلّ من الدرهم، أو كان الثّوب الذي تصل إليه النجاسة ممّا لا تتمّ فيه الصَّلاة، لا تجوز الصَّلاة عليها،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كونها في مقام البيان من هذه الجهة، فلا إطلاق لها ليتمسّك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اعتبار طهارة بدن المُصلّي وثوبه في الأذهان، يكون مانعاً عن استفادة شرطيّة يبوسة المكان من حيث </w:t>
      </w:r>
      <w:bookmarkStart w:id="495" w:name="pg11799_136278"/>
    </w:p>
    <w:p>
      <w:pPr>
        <w:pStyle w:val="BookText"/>
        <w:rPr/>
      </w:pPr>
      <w:bookmarkEnd w:id="495"/>
      <w:r>
        <w:rPr>
          <w:rFonts w:ascii="Amiri" w:hAnsi="Amiri" w:eastAsia="Amiri" w:cs="Amiri"/>
          <w:color w:val="111111"/>
          <w:sz w:val="28"/>
          <w:sz w:val="28"/>
          <w:szCs w:val="28"/>
          <w:rtl w:val="true"/>
          <w:lang w:bidi="ar-SA"/>
        </w:rPr>
        <w:t>هي، مع أنّ القيد المزبور لو سُلّم عدم ظهوره فيما ذكرناه، بما أنّه يصلح لأنْ يكون بياناً لاعتبار طهارة بدن المُصلّي ولباسه، وأنْ يكون بياناً لاعتبار يبوسة المكان، فلا يستفاد منه شيءٌ زائداً عمّا ثبت بالأدلّة الاُخر من اعتبار طهارتهما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0444684_73709187"/>
      <w:bookmarkStart w:id="497" w:name="_Toc189"/>
      <w:bookmarkEnd w:id="496"/>
      <w:r>
        <w:rPr>
          <w:rtl w:val="true"/>
        </w:rPr>
        <w:t>هل المعتبر طهارة تمام موضع الجبهة</w:t>
      </w:r>
      <w:bookmarkEnd w:id="49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طهارة تمام موضع الجبهة، أو يكفي طهارة مقدار ما يجبُ السّجود عليه‌؟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المدرك في المقام منحصرٌ بالإجماع وصحيح ابن محبوب، وحيث أنّ شيئاً منهما لا إطلاق له كما هو واضح، فيؤخذ بالقدر المتيقّن، وهو اعتبار الطهارة في المقدار المعتبر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اجماعهم في المقام، كالإجماع على بعض القواعد التي يُعامل معها معاملة متون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معقد الإجماع صادراً عن المعصوم عليه السلام، وحيث أنّ ظاهره اعتبار الطهارة في تمام ما توضع عليه الجبهة، فلا يُعتنى إلى مخالفة 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المحقّقين رحمه الله</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حقيقة السّجدة إنّما تكون من الاُمور المتحصّلة بالقصد، فلو وَضع جبهته على أرضٍ يكون بعضها طاهراً بقصد السّجود على الجزء الطاهر، يصدق أنّه سَجَد على أرضٍ طاهرة، وأمّا ممّاسة جبهته للمحلّ النجس، فليست داخلة في السّجود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الالتفات إلى كون بعض المسجد نجساً، لا محالة يشمل قصده السّجدة عليه أيضاً، فيصدق أنّه سجد على الموضع الذي بعضه نجس وبعضه </w:t>
      </w:r>
    </w:p>
    <w:p>
      <w:pPr>
        <w:pStyle w:val="BookText"/>
        <w:rPr/>
      </w:pPr>
      <w:r>
        <w:rPr>
          <w:rFonts w:ascii="Amiri" w:hAnsi="Amiri" w:eastAsia="Amiri" w:cs="Amiri"/>
          <w:color w:val="111111"/>
          <w:sz w:val="28"/>
          <w:sz w:val="28"/>
          <w:szCs w:val="28"/>
          <w:rtl w:val="true"/>
          <w:lang w:bidi="ar-SA"/>
        </w:rPr>
        <w:t>طاهر، وحيثُ أنّ المستفاد من الدليل اعتبار طهارة المسجد مطلقاً، فلا يصحّ هذا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بعض الأساطين</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مقتضى الدليل شرطيّة الطهارة، فلا يعتبر طهارة تمام موضع الجبهة، إذ لو كان مقدار الواجب طاهراً يتحقّق الشرط، والوضع على النجس أمرٌ أجنبي مقارنٌ للعمل، بخلاف ما لو كان مقتضاه مانعيّة النجاسة، فإنّ السّجدة تبطل في الفرض لاقترانها بالمانع، وحيثُ أنّ الدليل من هذه الجهة مجملٌ‌، فإنّ المرجع إلى الأصل، وهو يقتضي الصحّة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إذ على المانعيّة يمكن أنْ يكون المانع نجاسة المقدار المعتبر في السّجود، كما أنّه على الشرطيّة يمكن أن تكون طهارة موضع تمام الجبهة شرطاً، فالتفصيل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اعتبار طهارة تمام محلّ وضع الجبهة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8" w:name="pg11799_136280"/>
    </w:p>
    <w:p>
      <w:pPr>
        <w:pStyle w:val="Heading6"/>
        <w:numPr>
          <w:ilvl w:val="5"/>
          <w:numId w:val="1"/>
        </w:numPr>
        <w:rPr/>
      </w:pPr>
      <w:bookmarkStart w:id="499" w:name="__RefHeading___Toc10444686_73709187"/>
      <w:bookmarkStart w:id="500" w:name="_Toc190"/>
      <w:bookmarkEnd w:id="498"/>
      <w:bookmarkEnd w:id="499"/>
      <w:r>
        <w:rPr>
          <w:rtl w:val="true"/>
        </w:rPr>
        <w:t>لو تعذّر تحصيل الأرض الطاهرة</w:t>
      </w:r>
      <w:bookmarkEnd w:id="50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تحصيل الأرض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تسقط شرطيّة الطهارة‌؟</w:t>
      </w:r>
    </w:p>
    <w:p>
      <w:pPr>
        <w:pStyle w:val="BookText"/>
        <w:rPr/>
      </w:pPr>
      <w:r>
        <w:rPr>
          <w:rFonts w:ascii="Amiri" w:hAnsi="Amiri" w:eastAsia="Amiri" w:cs="Amiri"/>
          <w:color w:val="111111"/>
          <w:sz w:val="28"/>
          <w:sz w:val="28"/>
          <w:szCs w:val="28"/>
          <w:rtl w:val="true"/>
          <w:lang w:bidi="ar-SA"/>
        </w:rPr>
        <w:t>أو يسقط نفس السّجود؟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 الدالّة عدم سقوط المقيّد بسقوط قيده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 فوات الوصف أولى من فوات الموصوف رأساً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المتيقّن من المثبت لهذا القيد حال التمكّن، ولا دليل على اعتباره في حال عدمه، فالمرجع فيه إلى إطلاق دليل جُزئيّة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في محلّه من عدم دلالة شيءٍ ممّا استدلّ به على لزوم إتيان الميسور من الأجزاء عند تعذّر بعضها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أولويّة فوات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لم يدلّ عليها دليل، فلا يمكن أن تكون دليلاً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مجال له، لأنّ مقتضى إطلاق دليل شرطيّتها، ثبوتها في حال عدم التمكّن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أمره يدور بين أنْ يكون شرطاً للصَّلاة، وأنْ يكون شرطاً للسجدة، ولا دليل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الشرطيّة ساقطة قطعاً، حال عدم التمكّن، وإلّا لزم سقوط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بقائها، فإنّ لازمه سقوط السّجدة، وحيثُ أنّ تقيّد الصَّلاة به على كلّ تقدير معلومٌ‌، ويكون الشكّ في تقيّد السّجدة به أيضاً، فيجري الأصل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بالنسبة إلى تقيّد الصَّلاة به لا يجري في حال التمكّن، ولا في حال عدمه، كما هو واضح، فيجري الأصل في تقيّد السّجدة به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المستفاد من النصوص الدالّة على أنّه لو لم يتمكّن المُصلّي من السّجود على ما يصحّ عليه صَلّى على طرف ثوبه، وإنْ لم يتمكّن منه فعلى ظهر كفّه، وستمرّ عليك جملةٌ‌؛ منها عدم انتقال الفرض إلى الإيماء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ثبت بالدليل شرطيّة الطهارة للسجدة، فلابدّ في الفرض من السّجدة على الثّوب أو على ظهر الكفّ‌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فسقوط نفس السّجود لا وجه له</w:t>
      </w:r>
      <w:r>
        <w:rPr>
          <w:rFonts w:eastAsia="Amiri" w:cs="Amiri" w:ascii="Amiri" w:hAnsi="Amiri"/>
          <w:color w:val="111111"/>
          <w:sz w:val="28"/>
          <w:szCs w:val="28"/>
          <w:rtl w:val="true"/>
          <w:lang w:bidi="ar-SA"/>
        </w:rPr>
        <w:t>.</w:t>
      </w:r>
      <w:bookmarkStart w:id="501" w:name="pg11799_136282"/>
    </w:p>
    <w:p>
      <w:pPr>
        <w:pStyle w:val="BookText"/>
        <w:rPr/>
      </w:pPr>
      <w:bookmarkEnd w:id="501"/>
      <w:r>
        <w:rPr>
          <w:rFonts w:ascii="Amiri" w:hAnsi="Amiri" w:eastAsia="Amiri" w:cs="Amiri"/>
          <w:color w:val="111111"/>
          <w:sz w:val="28"/>
          <w:sz w:val="28"/>
          <w:szCs w:val="28"/>
          <w:rtl w:val="true"/>
          <w:lang w:bidi="ar-SA"/>
        </w:rPr>
        <w:t>ويُستحبُّ الفريضة في المسجد، والنافلة في المنزل</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0444688_73709187"/>
      <w:bookmarkStart w:id="503" w:name="_Toc191"/>
      <w:bookmarkEnd w:id="502"/>
      <w:r>
        <w:rPr>
          <w:rtl w:val="true"/>
        </w:rPr>
        <w:t>استحباب أداء الفرائض في المسجد</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إجماعاً،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عليه السلام،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بيت المقدس بألف صلاة، وفي المسجد الأعظم بمائة صلاة، وفي مسجد القبيلة خمس وعشرون صلاة، وفي السوق اثنتي عشرة صلاة، وصلاة الرّجل في بيته صلاة واحدة</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ما دلَّ عليه الذي هو فوق حَدّ الإحصاء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فتوى علمائنا، لأنّ العبادة في السرّ أبلغ في الإخلاص</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صلاة المَرْء في بيته إلّاالمكتوبة</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504" w:name="pg11799_136283"/>
    </w:p>
    <w:p>
      <w:pPr>
        <w:pStyle w:val="BookText"/>
        <w:rPr/>
      </w:pPr>
      <w:bookmarkEnd w:id="504"/>
      <w:r>
        <w:rPr>
          <w:rFonts w:ascii="Amiri" w:hAnsi="Amiri" w:eastAsia="Amiri" w:cs="Amiri"/>
          <w:color w:val="111111"/>
          <w:sz w:val="28"/>
          <w:sz w:val="28"/>
          <w:szCs w:val="28"/>
          <w:rtl w:val="true"/>
          <w:lang w:bidi="ar-SA"/>
        </w:rPr>
        <w:t>وتُكره الصَّلاة في الحمّام</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0444690_73709187"/>
      <w:bookmarkStart w:id="506" w:name="_Toc192"/>
      <w:bookmarkEnd w:id="505"/>
      <w:r>
        <w:rPr>
          <w:rtl w:val="true"/>
        </w:rPr>
        <w:t>الأمكنة المكروهة</w:t>
      </w:r>
      <w:bookmarkEnd w:id="506"/>
    </w:p>
    <w:p>
      <w:pPr>
        <w:pStyle w:val="Heading6"/>
        <w:numPr>
          <w:ilvl w:val="5"/>
          <w:numId w:val="1"/>
        </w:numPr>
        <w:rPr/>
      </w:pPr>
      <w:bookmarkStart w:id="507" w:name="__RefHeading___Toc10444692_73709187"/>
      <w:bookmarkStart w:id="508" w:name="_Toc193"/>
      <w:bookmarkEnd w:id="507"/>
      <w:r>
        <w:rPr>
          <w:rtl w:val="true"/>
        </w:rPr>
        <w:t>الحمّام</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 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937"/>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لمرسل عبد اللّه بن الفضل،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والماء، والحمّام، والقبور، ومسان الطريق، وقُرى الَّنمل، ومعاطن الإبل، ومجرى الماء، والسَّبخ، والثلج</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ابن أبي عمير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إلّابئر غائط أو مقبرة أو حمّام</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خبر النوفلي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حمل هذه النصوص على الكراهة، جمعاً بينها وبين ما دلَّ على الجواز، كصحيح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الصَّلاة في بيت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نظيفاً فلابأس</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عمّار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الطائفتين وإنْ كان يمكن بتقييد الأُولى بالثانية، إلّاأنّ حملها على الكراهة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فهم الأصحاب، واشتمالها على عدّة من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قُيّدت الأُولى بالثانية، كفى للحكم بالكراهة مطلقاً، الشهرة المعتضدة بالإجماعين المنقولين، ولا يخفى أنّ شمول الحكم للمسلخ، يتوقّف على عدم خروجه عن مُسمّى الحمّام أو منصرفه، كما ليس ببعيد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كراهة الصَّلاة فيه، وفي سائر الأماكن المكروهة، إنّما هو أقليّة الثواب، بمعنى أنّ للصَّلاة بما هي تتضمّن مقداراً من المصلحة اللّزوميّة، فكما أنّه قد يكون للخصوصيّة التي يتحقّق الطبيعي في ضمنها مقدارٌ من المصلحة أيضاً كالصلاة في المسجد، كذلك قد يكون لها مقدار من المفسدة، ولكنّها لا تكون ملزمة كي توجب تقيّد المأمور به، وعليه فالصَّلاة في الحمّام وإنْ كان لها وجودٌ واحد، إلّا أنّه بما أنّه وجودٌ للطبيعي يكون مأموراً به، ومعه لا يمكن أن يتّصف بحكمٍ آخر كما هو واضح، وبما أنّه وجود للخصوصيّة يكرهه المولى، من دون أن يوجب ذلك نقصاً في مصلحة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إلى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ووادي ضَجنان، والشقرة، والبيداء، وذات الصلاصل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أربعة مواضع من طريق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ضجنان، والشقرة، والبيداء، وذات الصلاصل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عدا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تُكره في ثلاثة مواطن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وهي ذات الجيش، وذات الصّلاصل، وضجنان، الحديث</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ابن فضّال،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وادي الشقرة</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الساباطي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وادي الشقرة، فإنّ فيه منازل الجنّ‌</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النصوص بقرينة التعليلات الواقعة في بعضها، والروايات الصريحة في الجواز في بعض تلك الأمكنة، وفهم الأصحاب، هو الكراهة، فلا وجه لتوهّم المنع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9" w:name="pg11799_136286"/>
    </w:p>
    <w:p>
      <w:pPr>
        <w:pStyle w:val="BookText"/>
        <w:rPr/>
      </w:pPr>
      <w:bookmarkEnd w:id="509"/>
      <w:r>
        <w:rPr>
          <w:rFonts w:ascii="Amiri" w:hAnsi="Amiri" w:eastAsia="Amiri" w:cs="Amiri"/>
          <w:color w:val="111111"/>
          <w:sz w:val="28"/>
          <w:sz w:val="28"/>
          <w:szCs w:val="28"/>
          <w:rtl w:val="true"/>
          <w:lang w:bidi="ar-SA"/>
        </w:rPr>
        <w:t>وبين المقابر</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0444694_73709187"/>
      <w:bookmarkStart w:id="511" w:name="_Toc194"/>
      <w:bookmarkEnd w:id="510"/>
      <w:r>
        <w:rPr>
          <w:rtl w:val="true"/>
        </w:rPr>
        <w:t>كراه الصَّلاة بين المقابر</w:t>
      </w:r>
      <w:bookmarkEnd w:id="511"/>
    </w:p>
    <w:p>
      <w:pPr>
        <w:pStyle w:val="Heading6"/>
        <w:numPr>
          <w:ilvl w:val="5"/>
          <w:numId w:val="1"/>
        </w:numPr>
        <w:rPr/>
      </w:pPr>
      <w:bookmarkStart w:id="512" w:name="__RefHeading___Toc10444696_73709187"/>
      <w:bookmarkStart w:id="513" w:name="_Toc195"/>
      <w:bookmarkEnd w:id="512"/>
      <w:r>
        <w:rPr>
          <w:rtl w:val="true"/>
        </w:rPr>
        <w:t>اشارة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تُكره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القبر وإليه على المشهور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الديلمي</w:t>
      </w:r>
      <w:r>
        <w:rPr>
          <w:rStyle w:val="FootnoteAnchor"/>
          <w:rtl w:val="true"/>
        </w:rPr>
        <w:footnoteReference w:id="947"/>
      </w:r>
      <w:r>
        <w:rPr>
          <w:rFonts w:ascii="Amiri" w:hAnsi="Amiri" w:eastAsia="Amiri" w:cs="Amiri"/>
          <w:color w:val="111111"/>
          <w:sz w:val="28"/>
          <w:sz w:val="28"/>
          <w:szCs w:val="28"/>
          <w:rtl w:val="true"/>
          <w:lang w:bidi="ar-SA"/>
        </w:rPr>
        <w:t>الحرمة، لموثّق عمّار، عن الإمام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بين القبور؟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إلّاأنّ يجعل بينه وبين القبور إذا صَلّى عشرة أذرع من بين يديه، وعشرة أذرع من خلفه، وعشرة أذرع عن يمينه، وعشرة أذرع عن يساره، ثمّ يُصلّي إن شاء</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حمل هذه النصوص على الكراهة، جمعاً بينها وبين ما هو نصٌّ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سأل أخاه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بين القبور؟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خللها، ولا تتّخذ شيئاً منها قبلة، فإنّ رسول اللّه صلى الله عليه و آله نهي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يكمن الجمع بتقييد هذه النصوص بالطائفة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طرحٌ لها كما لا يخفى على مَن تدبّر في الأخبار، خصوصاً صحيح زرارة،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 آله في خبر النوفلي،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إلّاالحمّام والمقبرة</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عبيد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ورواية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أن يُصلّى على قبرٍ أو يُقعد عليه أو يُبنى عليه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بواسطة القرائن الموجودة فيها ظاهرة في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الصدوق</w:t>
      </w:r>
      <w:r>
        <w:rPr>
          <w:rStyle w:val="FootnoteAnchor"/>
          <w:rtl w:val="true"/>
        </w:rPr>
        <w:footnoteReference w:id="953"/>
      </w:r>
      <w:r>
        <w:rPr>
          <w:rFonts w:ascii="Amiri" w:hAnsi="Amiri" w:eastAsia="Amiri" w:cs="Amiri"/>
          <w:color w:val="111111"/>
          <w:sz w:val="28"/>
          <w:sz w:val="28"/>
          <w:szCs w:val="28"/>
          <w:rtl w:val="true"/>
          <w:lang w:bidi="ar-SA"/>
        </w:rPr>
        <w:t>، والحلبي</w:t>
      </w:r>
      <w:r>
        <w:rPr>
          <w:rStyle w:val="FootnoteAnchor"/>
          <w:rtl w:val="true"/>
        </w:rPr>
        <w:footnoteReference w:id="954"/>
      </w:r>
      <w:r>
        <w:rPr>
          <w:rFonts w:ascii="Amiri" w:hAnsi="Amiri" w:eastAsia="Amiri" w:cs="Amiri"/>
          <w:color w:val="111111"/>
          <w:sz w:val="28"/>
          <w:sz w:val="28"/>
          <w:szCs w:val="28"/>
          <w:rtl w:val="true"/>
          <w:lang w:bidi="ar-SA"/>
        </w:rPr>
        <w:t>، والمفيد</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لصحيح زرارة والمتقدّم، وصحيح معمّر بن خَلّاد،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تتّخذ القبر قبلة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ظهورهما في هذا القول، يتعيّن حملهما على الكراهة، للنصوص النافية للبأس عن الصَّلاة بين القبور المتقدّم بعضها، والتي لا يمكن أن تقيّد بهذين الخبرين، لاستلزامه حملها على الفرد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الظاهر من الصحيحين، النهي عن اتّخاذ القبر قبلة، والمعاملة معه معاملة الكعبة، ولا ريب في 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عدم ظهورهما فيه، لابدّ من حملهما عليه، للنصوص المستفيضة الآمرة بالصَّلاة خلف قبور الأئمّة عليهم السلام، كصحيح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 أسأله عن الرّجل يزور قبور الأئمّة عليهم السلام، هل يجوز ان يسجد على القبر أم لا؟</w:t>
      </w:r>
    </w:p>
    <w:p>
      <w:pPr>
        <w:pStyle w:val="BookText"/>
        <w:rPr/>
      </w:pPr>
      <w:r>
        <w:rPr>
          <w:rFonts w:ascii="Amiri" w:hAnsi="Amiri" w:eastAsia="Amiri" w:cs="Amiri"/>
          <w:color w:val="111111"/>
          <w:sz w:val="28"/>
          <w:sz w:val="28"/>
          <w:szCs w:val="28"/>
          <w:rtl w:val="true"/>
          <w:lang w:bidi="ar-SA"/>
        </w:rPr>
        <w:t>وهل يجوز لمن صَلّى عند قبورهم أن يقوم وراء القبر، ويجعل القبر قبلةً‌، ويقوم عند رأسه ورجليه‌؟</w:t>
      </w:r>
    </w:p>
    <w:p>
      <w:pPr>
        <w:pStyle w:val="BookText"/>
        <w:rPr/>
      </w:pPr>
      <w:r>
        <w:rPr>
          <w:rFonts w:ascii="Amiri" w:hAnsi="Amiri" w:eastAsia="Amiri" w:cs="Amiri"/>
          <w:color w:val="111111"/>
          <w:sz w:val="28"/>
          <w:sz w:val="28"/>
          <w:szCs w:val="28"/>
          <w:rtl w:val="true"/>
          <w:lang w:bidi="ar-SA"/>
        </w:rPr>
        <w:t>وهل يجوز ان يتقدّم القبر ويُصلّي ويجعله خلفه‌؟</w:t>
      </w:r>
    </w:p>
    <w:p>
      <w:pPr>
        <w:pStyle w:val="BookText"/>
        <w:rPr/>
      </w:pPr>
      <w:r>
        <w:rPr>
          <w:rFonts w:ascii="Amiri" w:hAnsi="Amiri" w:eastAsia="Amiri" w:cs="Amiri"/>
          <w:color w:val="111111"/>
          <w:sz w:val="28"/>
          <w:sz w:val="28"/>
          <w:szCs w:val="28"/>
          <w:rtl w:val="true"/>
          <w:lang w:bidi="ar-SA"/>
        </w:rPr>
        <w:t>فأجاب وقرأتُ التوقيع ومنه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السّجود على القبر، فلا يجوز في نافلةٍ ولا فريضة ولا زيارة، بل يضع خدّه الأيمن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فإنّها خلفه ويجعله الإمام، ولا يجوز أن يُصلّي بين يديه، لأنّ الإمام لا يتقدّم، ويُصلّي عن يمينه وشماله</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قوله عليه السلام في الصحيح، في الجواب عن السؤال عن جعله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فيما ذكرناه، كما لا يخفى، وتقييد الصحيحين بهذه النصوص، يستلزم التفصيل بين قبور الأئمّة، وقبر النبيّ صلى الله عليه و آله، وهذا ممّا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كراهة الصَّلاة إلى القبر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4" w:name="pg11799_136289"/>
    </w:p>
    <w:p>
      <w:pPr>
        <w:pStyle w:val="Heading6"/>
        <w:numPr>
          <w:ilvl w:val="5"/>
          <w:numId w:val="1"/>
        </w:numPr>
        <w:rPr/>
      </w:pPr>
      <w:bookmarkStart w:id="515" w:name="__RefHeading___Toc10444698_73709187"/>
      <w:bookmarkStart w:id="516" w:name="_Toc196"/>
      <w:bookmarkEnd w:id="514"/>
      <w:bookmarkEnd w:id="515"/>
      <w:r>
        <w:rPr>
          <w:rtl w:val="true"/>
        </w:rPr>
        <w:t>الصَّلاة قُدّام قبر المعصوم</w:t>
      </w:r>
      <w:bookmarkEnd w:id="516"/>
    </w:p>
    <w:p>
      <w:pPr>
        <w:pStyle w:val="BookText"/>
        <w:rPr/>
      </w:pPr>
      <w:r>
        <w:rPr>
          <w:rFonts w:ascii="Amiri" w:hAnsi="Amiri" w:eastAsia="Amiri" w:cs="Amiri"/>
          <w:color w:val="111111"/>
          <w:sz w:val="28"/>
          <w:sz w:val="28"/>
          <w:szCs w:val="28"/>
          <w:rtl w:val="true"/>
          <w:lang w:bidi="ar-SA"/>
        </w:rPr>
        <w:t>ثمّ إنّه لا ريب في جواز الصَّلاة قُدّام قبر غير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قُدّام قبره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أنّها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المجلسي</w:t>
      </w:r>
      <w:r>
        <w:rPr>
          <w:rStyle w:val="FootnoteAnchor"/>
          <w:rtl w:val="true"/>
        </w:rPr>
        <w:footnoteReference w:id="958"/>
      </w:r>
      <w:r>
        <w:rPr>
          <w:rFonts w:ascii="Amiri" w:hAnsi="Amiri" w:eastAsia="Amiri" w:cs="Amiri"/>
          <w:color w:val="111111"/>
          <w:sz w:val="28"/>
          <w:sz w:val="28"/>
          <w:szCs w:val="28"/>
          <w:rtl w:val="true"/>
          <w:lang w:bidi="ar-SA"/>
        </w:rPr>
        <w:t>والكاشاني</w:t>
      </w:r>
      <w:r>
        <w:rPr>
          <w:rStyle w:val="FootnoteAnchor"/>
          <w:rtl w:val="true"/>
        </w:rPr>
        <w:footnoteReference w:id="959"/>
      </w:r>
      <w:r>
        <w:rPr>
          <w:rFonts w:ascii="Amiri" w:hAnsi="Amiri" w:eastAsia="Amiri" w:cs="Amiri"/>
          <w:color w:val="111111"/>
          <w:sz w:val="28"/>
          <w:sz w:val="28"/>
          <w:szCs w:val="28"/>
          <w:rtl w:val="true"/>
          <w:lang w:bidi="ar-SA"/>
        </w:rPr>
        <w:t>والبهائي</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التقدّم على قبر أحدٍ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بمكاتبة الحميري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ورواية هشام،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ويُصلّى عنده، وقال يُصلّى خلفه ولا يتقدّم عليه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المكاتبة، هو الإمام المعصوم،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إرادة إمام الجماعة منه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اُريد من تنزيل القبر منزلة إمام الجماعة، يكون حينئذٍ قد فرض نفسه </w:t>
      </w:r>
    </w:p>
    <w:p>
      <w:pPr>
        <w:pStyle w:val="BookText"/>
        <w:rPr/>
      </w:pPr>
      <w:r>
        <w:rPr>
          <w:rFonts w:ascii="Amiri" w:hAnsi="Amiri" w:eastAsia="Amiri" w:cs="Amiri"/>
          <w:color w:val="111111"/>
          <w:sz w:val="28"/>
          <w:sz w:val="28"/>
          <w:szCs w:val="28"/>
          <w:rtl w:val="true"/>
          <w:lang w:bidi="ar-SA"/>
        </w:rPr>
        <w:t>مؤتمّاً به في صلاته، وهو غير معتبر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منه التأخّر عنه من غير قصد الإئتمام، فلا يناسبه التعليل المذكور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المعصوم عليه السلام، وحيثُ أنّ التقدّم عليه في غير حال الصَّلاة لا يكون حراماً قطعاً، بل يكون منافياً للأدب، فالتعليل قرينة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في حال الصَّلاة على القبر، لم يُعلم عدم كونه حراماً، فالتعليل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الظاهر من التعليل مطلق التقدّم، لا خصوص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يلزم اتّحاد العلّة والمعلول،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هشام فهي محمولة على الفضل، لورودها مورد آداب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محاذياً للقبر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بعض متأخّري المتأخّرين</w:t>
      </w:r>
      <w:r>
        <w:rPr>
          <w:rStyle w:val="FootnoteAnchor"/>
          <w:rtl w:val="true"/>
        </w:rPr>
        <w:footnoteReference w:id="962"/>
      </w:r>
      <w:r>
        <w:rPr>
          <w:rFonts w:ascii="IRNazanin" w:hAnsi="IRNazanin" w:eastAsia="IRNazanin"/>
          <w:color w:val="111111"/>
          <w:sz w:val="28"/>
          <w:sz w:val="28"/>
          <w:szCs w:val="28"/>
          <w:rtl w:val="true"/>
          <w:lang w:bidi="fa-IR"/>
        </w:rPr>
        <w:t>المنع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الصَّلاة فإنّها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المكاتبة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يُصلّي بين يديه ولا عن يمينه ولا عن شماله، لأنّ الإمام لا يتقدّم ولا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الحصر إضافي في مقابل التقدّم، كما يشهد به ذيله الصريح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الصَّلاة عن يمينه ويساره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سندها، لمعارضتها بالصحيح المقدّم عليها، لا يُعتمد عليها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الجواز بلا كراهة، كما 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استحباب الصَّلاة عند الرأس، لأنّ أظهر مصاديقها صورة المحاذاة</w:t>
      </w:r>
      <w:r>
        <w:rPr>
          <w:rFonts w:eastAsia="Amiri" w:cs="Amiri" w:ascii="Amiri" w:hAnsi="Amiri"/>
          <w:color w:val="111111"/>
          <w:sz w:val="28"/>
          <w:szCs w:val="28"/>
          <w:rtl w:val="true"/>
          <w:lang w:bidi="ar-SA"/>
        </w:rPr>
        <w:t>.</w:t>
      </w:r>
      <w:bookmarkStart w:id="517" w:name="pg11799_136292"/>
    </w:p>
    <w:p>
      <w:pPr>
        <w:pStyle w:val="BookText"/>
        <w:rPr/>
      </w:pPr>
      <w:bookmarkEnd w:id="517"/>
      <w:r>
        <w:rPr>
          <w:rFonts w:ascii="Amiri" w:hAnsi="Amiri" w:eastAsia="Amiri" w:cs="Amiri"/>
          <w:color w:val="111111"/>
          <w:sz w:val="28"/>
          <w:sz w:val="28"/>
          <w:szCs w:val="28"/>
          <w:rtl w:val="true"/>
          <w:lang w:bidi="ar-SA"/>
        </w:rPr>
        <w:t>وأرض الرَّمل والسَّبخة</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0444700_73709187"/>
      <w:bookmarkStart w:id="519" w:name="_Toc197"/>
      <w:bookmarkEnd w:id="518"/>
      <w:r>
        <w:rPr>
          <w:rtl w:val="true"/>
        </w:rPr>
        <w:t>جملة من الأمكنة الّتي تُكره فيها الصَّلاة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الرَّمل والسَّبخة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النصوص المستفيضة الواردة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الصَّلاة في السَّبخة إلّاأنْ يكون مكاناً ليّناً يقع الجبهة مستوية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السَّبخة لِمَ تكرهه‌؟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لا تقع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أرضٌ مستوية‌؟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وإنْ كان المنع، إلّاأنّه لابدَّ من حملها على الكراهة؛ جمعاً بينها وبين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العلّة المذكورة في هذه النصوص، يستفاد كراهة الصَّلاة في أرض الرَّمل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ومعاطن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الإبل، كما صرّح به جملة من اللّغويين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عُرف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المبارك</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971"/>
      </w:r>
      <w:r>
        <w:rPr>
          <w:rFonts w:ascii="Amiri" w:hAnsi="Amiri" w:eastAsia="Amiri" w:cs="Amiri"/>
          <w:color w:val="111111"/>
          <w:sz w:val="28"/>
          <w:sz w:val="28"/>
          <w:szCs w:val="28"/>
          <w:rtl w:val="true"/>
          <w:lang w:bidi="ar-SA"/>
        </w:rPr>
        <w:t>والحلبي</w:t>
      </w:r>
      <w:r>
        <w:rPr>
          <w:rStyle w:val="FootnoteAnchor"/>
          <w:rtl w:val="true"/>
        </w:rPr>
        <w:footnoteReference w:id="972"/>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اعطان الإبل، وفي مرابض الغنم والبقر؟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نضحته بالماء، وقد كان يابساً فلا بأس بالصَّلاة فيها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في اعطان الإبل‌؟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تخوّفت الضيعة على متاعك، فاكنسه وانضحه وصَلِّ‌، ولا بأس بالصَّلاة في مرابض الغنم</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نفي البأس عند الخوف على المتاع، من دون الأمر بنقله مع التمكّن، والتعبير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الكراهة لا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وقُرى النَّمل، وجَوف الوادي، وجَواد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مأوى النمل، كما عن جملة من اللّغويين</w:t>
      </w:r>
      <w:r>
        <w:rPr>
          <w:rStyle w:val="FootnoteAnchor"/>
          <w:rtl w:val="true"/>
        </w:rPr>
        <w:footnoteReference w:id="975"/>
      </w:r>
      <w:r>
        <w:rPr>
          <w:rFonts w:ascii="IRNazanin" w:hAnsi="IRNazanin" w:eastAsia="IRNazanin"/>
          <w:color w:val="111111"/>
          <w:sz w:val="28"/>
          <w:sz w:val="28"/>
          <w:szCs w:val="28"/>
          <w:rtl w:val="true"/>
          <w:lang w:bidi="fa-IR"/>
        </w:rPr>
        <w:t>، وعن القاموس</w:t>
      </w:r>
      <w:r>
        <w:rPr>
          <w:rStyle w:val="FootnoteAnchor"/>
          <w:rtl w:val="true"/>
        </w:rPr>
        <w:footnoteReference w:id="976"/>
      </w:r>
      <w:r>
        <w:rPr>
          <w:rFonts w:ascii="IRNazanin" w:hAnsi="IRNazanin" w:eastAsia="IRNazanin"/>
          <w:color w:val="111111"/>
          <w:sz w:val="28"/>
          <w:sz w:val="28"/>
          <w:szCs w:val="28"/>
          <w:rtl w:val="true"/>
          <w:lang w:bidi="fa-IR"/>
        </w:rPr>
        <w:t>أنّها مجمع ترابها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عبد اللّه بن الفضل المتقدّم وغيره، كما أنّه يدلّ على كراهة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الوادي، وجواد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من بعض النصوص كراهة الصَّلاة في مطلق الطرق، كخبر محمّد بن الفضيل،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طريق يوطأ ويتطرّق، كانت فيه جادّة أم لم تكن، لاينبغي الصَّلاة فيه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والفريضة جوفَ الكعبة، وبيوت المجوس والنيران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في مبحث القبلة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الأمكنة الّتي تُكره فيها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 والكنائس وبيوت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أبي بصير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مقدّميّة الرّش للصَّلاة، وكونه شرطاً لها، فالصَّلاة بدونه ناقصة، لاشتمالها على المنقصة من حيث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الكراهة في أمثال المقام إلّاذلك كما عرفت، فما عن كاشف اللّثام</w:t>
      </w:r>
      <w:r>
        <w:rPr>
          <w:rStyle w:val="FootnoteAnchor"/>
          <w:rtl w:val="true"/>
        </w:rPr>
        <w:footnoteReference w:id="981"/>
      </w:r>
      <w:r>
        <w:rPr>
          <w:rFonts w:ascii="Amiri" w:hAnsi="Amiri" w:eastAsia="Amiri" w:cs="Amiri"/>
          <w:color w:val="111111"/>
          <w:sz w:val="28"/>
          <w:sz w:val="28"/>
          <w:szCs w:val="28"/>
          <w:rtl w:val="true"/>
          <w:lang w:bidi="ar-SA"/>
        </w:rPr>
        <w:t>من التوقّف فيه لأجل أنّ ظاهرالأخبار استحباب الرّش لا الكراهة،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المصنّف رحمه الله في جملةٍ من كتبه</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الصَّلاة فيها تشبّهاًبعبادتها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بأنّها ليست موضع رحمة اللّه تعالى، فلا تصلح لعبادة اللّه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المقام الشهرة المعتضدة بالإجماع المنقول، وإلّا فشيءٌ من هذه المناسبات لا يعتنى به في الأحكام التعبّديّة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20" w:name="pg11799_136296"/>
    </w:p>
    <w:p>
      <w:pPr>
        <w:pStyle w:val="BookText"/>
        <w:rPr/>
      </w:pPr>
      <w:bookmarkEnd w:id="520"/>
      <w:r>
        <w:rPr>
          <w:rFonts w:ascii="Amiri" w:hAnsi="Amiri" w:eastAsia="Amiri" w:cs="Amiri"/>
          <w:color w:val="111111"/>
          <w:sz w:val="28"/>
          <w:sz w:val="28"/>
          <w:szCs w:val="28"/>
          <w:rtl w:val="true"/>
          <w:lang w:bidi="ar-SA"/>
        </w:rPr>
        <w:t>وأنْ يكونَ بين يديه أو أحدِ جانبيه إمرأةً تُصلّي</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0444702_73709187"/>
      <w:bookmarkStart w:id="522" w:name="_Toc198"/>
      <w:bookmarkEnd w:id="521"/>
      <w:r>
        <w:rPr>
          <w:rtl w:val="true"/>
        </w:rPr>
        <w:t>محاذاة المرأة للرجل أو تقدّمها عليه</w:t>
      </w:r>
      <w:bookmarkEnd w:id="522"/>
    </w:p>
    <w:p>
      <w:pPr>
        <w:pStyle w:val="Heading6"/>
        <w:numPr>
          <w:ilvl w:val="5"/>
          <w:numId w:val="1"/>
        </w:numPr>
        <w:rPr/>
      </w:pPr>
      <w:bookmarkStart w:id="523" w:name="__RefHeading___Toc10444704_73709187"/>
      <w:bookmarkStart w:id="524" w:name="_Toc199"/>
      <w:bookmarkEnd w:id="523"/>
      <w:r>
        <w:rPr>
          <w:rtl w:val="true"/>
        </w:rPr>
        <w:t>اشارة</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تكره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بين يديه أو إلى أحد جانبيه امرأة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w:t>
      </w:r>
      <w:r>
        <w:rPr>
          <w:rStyle w:val="FootnoteAnchor"/>
          <w:rtl w:val="true"/>
        </w:rPr>
        <w:footnoteReference w:id="985"/>
      </w:r>
      <w:r>
        <w:rPr>
          <w:rFonts w:ascii="Amiri" w:hAnsi="Amiri" w:eastAsia="Amiri" w:cs="Amiri"/>
          <w:color w:val="111111"/>
          <w:sz w:val="28"/>
          <w:sz w:val="28"/>
          <w:szCs w:val="28"/>
          <w:rtl w:val="true"/>
          <w:lang w:bidi="ar-SA"/>
        </w:rPr>
        <w:t>، والحِلّي</w:t>
      </w:r>
      <w:r>
        <w:rPr>
          <w:rStyle w:val="FootnoteAnchor"/>
          <w:rtl w:val="true"/>
        </w:rPr>
        <w:footnoteReference w:id="986"/>
      </w:r>
      <w:r>
        <w:rPr>
          <w:rFonts w:ascii="Amiri" w:hAnsi="Amiri" w:eastAsia="Amiri" w:cs="Amiri"/>
          <w:color w:val="111111"/>
          <w:sz w:val="28"/>
          <w:sz w:val="28"/>
          <w:szCs w:val="28"/>
          <w:rtl w:val="true"/>
          <w:lang w:bidi="ar-SA"/>
        </w:rPr>
        <w:t>، وأكثر المتأخّرين</w:t>
      </w:r>
      <w:r>
        <w:rPr>
          <w:rStyle w:val="FootnoteAnchor"/>
          <w:rtl w:val="true"/>
        </w:rPr>
        <w:footnoteReference w:id="987"/>
      </w:r>
      <w:r>
        <w:rPr>
          <w:rFonts w:ascii="Amiri" w:hAnsi="Amiri" w:eastAsia="Amiri" w:cs="Amiri"/>
          <w:color w:val="111111"/>
          <w:sz w:val="28"/>
          <w:sz w:val="28"/>
          <w:szCs w:val="28"/>
          <w:rtl w:val="true"/>
          <w:lang w:bidi="ar-SA"/>
        </w:rPr>
        <w:t>، بل عامّتهم إلّاالنادر</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989"/>
      </w:r>
      <w:r>
        <w:rPr>
          <w:rFonts w:ascii="Amiri" w:hAnsi="Amiri" w:eastAsia="Amiri" w:cs="Amiri"/>
          <w:color w:val="111111"/>
          <w:sz w:val="28"/>
          <w:sz w:val="28"/>
          <w:szCs w:val="28"/>
          <w:rtl w:val="true"/>
          <w:lang w:bidi="ar-SA"/>
        </w:rPr>
        <w:t>، والحلبي</w:t>
      </w:r>
      <w:r>
        <w:rPr>
          <w:rStyle w:val="FootnoteAnchor"/>
          <w:rtl w:val="true"/>
        </w:rPr>
        <w:footnoteReference w:id="990"/>
      </w:r>
      <w:r>
        <w:rPr>
          <w:rFonts w:ascii="Amiri" w:hAnsi="Amiri" w:eastAsia="Amiri" w:cs="Amiri"/>
          <w:color w:val="111111"/>
          <w:sz w:val="28"/>
          <w:sz w:val="28"/>
          <w:szCs w:val="28"/>
          <w:rtl w:val="true"/>
          <w:lang w:bidi="ar-SA"/>
        </w:rPr>
        <w:t>، وابن حمزة</w:t>
      </w:r>
      <w:r>
        <w:rPr>
          <w:rStyle w:val="FootnoteAnchor"/>
          <w:rtl w:val="true"/>
        </w:rPr>
        <w:footnoteReference w:id="991"/>
      </w:r>
      <w:r>
        <w:rPr>
          <w:rFonts w:ascii="Amiri" w:hAnsi="Amiri" w:eastAsia="Amiri" w:cs="Amiri"/>
          <w:color w:val="111111"/>
          <w:sz w:val="28"/>
          <w:sz w:val="28"/>
          <w:szCs w:val="28"/>
          <w:rtl w:val="true"/>
          <w:lang w:bidi="ar-SA"/>
        </w:rPr>
        <w:t>، وأكثر المتقدّمين</w:t>
      </w:r>
      <w:r>
        <w:rPr>
          <w:rStyle w:val="FootnoteAnchor"/>
          <w:rtl w:val="true"/>
        </w:rPr>
        <w:footnoteReference w:id="992"/>
      </w:r>
      <w:r>
        <w:rPr>
          <w:rFonts w:ascii="IRNazanin" w:hAnsi="IRNazanin" w:eastAsia="IRNazanin"/>
          <w:color w:val="111111"/>
          <w:sz w:val="28"/>
          <w:sz w:val="28"/>
          <w:szCs w:val="28"/>
          <w:rtl w:val="true"/>
          <w:lang w:bidi="fa-IR"/>
        </w:rPr>
        <w:t>،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الجُعفي</w:t>
      </w:r>
      <w:r>
        <w:rPr>
          <w:rStyle w:val="FootnoteAnchor"/>
          <w:rtl w:val="true"/>
        </w:rPr>
        <w:footnoteReference w:id="995"/>
      </w:r>
      <w:r>
        <w:rPr>
          <w:rFonts w:ascii="IRNazanin" w:hAnsi="IRNazanin" w:eastAsia="IRNazanin"/>
          <w:color w:val="111111"/>
          <w:sz w:val="28"/>
          <w:sz w:val="28"/>
          <w:szCs w:val="28"/>
          <w:rtl w:val="true"/>
          <w:lang w:bidi="fa-IR"/>
        </w:rPr>
        <w:t>المنع إلّامع الفصل بقدر عظم 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996"/>
      </w:r>
      <w:r>
        <w:rPr>
          <w:rFonts w:ascii="Amiri" w:hAnsi="Amiri" w:eastAsia="Amiri" w:cs="Amiri"/>
          <w:color w:val="111111"/>
          <w:sz w:val="28"/>
          <w:sz w:val="28"/>
          <w:szCs w:val="28"/>
          <w:rtl w:val="true"/>
          <w:lang w:bidi="ar-SA"/>
        </w:rPr>
        <w:t>التوقّف في الحكم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اختلاف النصوص، وهي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تزامل الرّجل في المحمل، يصلّيان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فإذا فرغ صَلّت المرأة</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إدريس بن عبد اللّه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يُصلّي وبحياله إمرأة قائمة على فراشها أجنبيّة‌؟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فلا يضرّك، وإنْ كانت تُصلّي فلا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يستقيم له أن يُصلّي وبين يديه إمرأة تُصلّي‌؟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تُصلّي خلفه فلا بأس، وإنْ كانت تصيب ثوبه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المرأة بحذاء الرّجل وهو يُصلّي، فإنّ النبيّ صلى الله عليه و آله كان يُصلّي وعائشة مضطجعة بين يديه، وهي حائض، وكان إذا أراد أن يسجد غَمَز رجلها، فرفعت رجلها حتّى يسجد</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إنّه لابدَّ من طرحه؛ لعدم المناسبة بين العلّة والحكم، إذ لا ريب في جواز الصَّلاة وبين يدي الرّجل امرأة غير مُصلّية، فلا محالة يكون قد وقع فيه تصحيف، فلا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احتمال عدم الفصل واقعاً بين كون المرأة مُصلّية وعدمه، لا يعتنى بهذه المناقشات، مع أنّ عدم فهم المناسبة بين الحكم والعلّة، لا يوجب رفع اليد عمّا يكون الخبر نصّاً فيه، وهو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علي بن فضّال، عمّن أخبره، عن جميل 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والمرأة تُصلّي بحذاه‌؟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وإرساله مع كون الخبر من أخبار بني فضّال لا يقدح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مكّة بكّة، لأنّه تبكّ فيها الرِّجال والنساء، والمرأة تُصلّي بين يديك وعن يمينك وعن يسارك ومعك، ولا بأس بذلك، وإنّما يُكره في سائر البلدان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عدم الفرق بين مكّة وغيرها في الحرمة، أو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التفصيل بين ما إذا كان بينهما حاجزٌ أو مقدار عشرة أذرع وعدمه، في الجواز في الأوّل وعدمه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يستقيم له أن يُصلّي وبين يديه امرأةٌ تُصلّي‌؟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يجعل بينه وبينها أكثر من عشرة أذرع، وإنْ كانت عن يمينه وعن يساره جعل بينه وبينها مثل ذلك، وإنْ كانت تُصلّي خلفه فلا بأس</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تُصلّي 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يُصلّي في مسجدٍ قصير الحائط، وامرأة قائمة تُصلّي بحياله، وهو يراها وتراه‌؟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حائط طويل أو قصير فلا بأس</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المنع، إلّامع الفصل بقدر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الرّجل والمرأة يصلّيان في بيتٍ 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قدر شبر صلّت بحذاه وحدها، وهو وحده، ولابأس</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يصلّيان في بيت واحد، المرأة عن يمين الرّجل بحذاه‌؟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إلّايكون بينهما شبرٌ أو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رحل رسول اللّه صلى الله عليه و آله ذراعاً، وكان يضعه بين يديه إذا صَلّى يستره ممّن يمرّ بين يديه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بينها وبينه ما لا يتخطّى أو قدر عظم الذّراع فصاعداً فلا بأس</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تُصلّي بحيال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بإزاء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إذا كان بينها وبينه قدر ما لا يتخطّى، أو قدر عظم الذراع فصاعداً</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حمل نصوص المنع كلّها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الطائفة الثانية الدالّة على الجواز، إذ تقيّيدها بما إذا كان الفصل بأكثر من عشرة أذرع، جمعاً بينها وبين موثّقة عمّار بعيدٌ، بل ادّعى بعضهم القطع بعدم إرادته من تلك النصوص، فلا محيص عن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نصوص الشبر في عدم المنع في الزائد عليه، فبالنسبة إلى الزائد من مقدار الشبر، لا ينبغي التأمّل في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نصوص الشبر، فللإجماع على عدم الاكتفاء بهذا المقدار من الفصل في رفع المنع، هذا مضافاً إلى ما فيها من اختلاف التحديدات، إذ مقدار الشبر أقلّ من عظم الذراع، وهو أقلّ من قدر ما لا يتخطّى، وهو قرينة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حمل نصوص المنع على الكراهة، بعد تقييد الأُولى بالثالثة، والاختلاف بينها على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المانعين</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الرابعة على صورة تقدّم الرّجل على المرأة، بقرينة جملة من النصوص</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عند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المرأة بحيال الرّجل، إلّاأنْ يكون قدّامها ولو بصدره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الحمل بعيدٌ لا سيّما في صحيح معاوية، وخبر أبي بصير المتقدّمين،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منه ما عن بعضهم</w:t>
      </w:r>
      <w:r>
        <w:rPr>
          <w:rStyle w:val="FootnoteAnchor"/>
          <w:rtl w:val="true"/>
        </w:rPr>
        <w:footnoteReference w:id="1012"/>
      </w:r>
      <w:r>
        <w:rPr>
          <w:rFonts w:ascii="Amiri" w:hAnsi="Amiri" w:eastAsia="Amiri" w:cs="Amiri"/>
          <w:color w:val="111111"/>
          <w:sz w:val="28"/>
          <w:sz w:val="28"/>
          <w:szCs w:val="28"/>
          <w:rtl w:val="true"/>
          <w:lang w:bidi="ar-SA"/>
        </w:rPr>
        <w:t xml:space="preserve">من حملها على إرادة ما لو كان بينهما حاجبٌ بهذا المقدار، بقرينة رواية علي بن جعفر المتقدّمة،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الالتزام بكفاية هذا المقدار من الحائل في رفع المنع، مخالفٌ لظاهر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تلك النصوص، لا سيّما صحيح زرارة المتقدّم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25" w:name="pg11799_136302"/>
    </w:p>
    <w:p>
      <w:pPr>
        <w:pStyle w:val="Heading6"/>
        <w:numPr>
          <w:ilvl w:val="5"/>
          <w:numId w:val="1"/>
        </w:numPr>
        <w:rPr/>
      </w:pPr>
      <w:bookmarkStart w:id="526" w:name="__RefHeading___Toc10444706_73709187"/>
      <w:bookmarkStart w:id="527" w:name="_Toc200"/>
      <w:bookmarkEnd w:id="525"/>
      <w:bookmarkEnd w:id="526"/>
      <w:r>
        <w:rPr>
          <w:rtl w:val="true"/>
        </w:rPr>
        <w:t>تنبيهات</w:t>
      </w:r>
      <w:r>
        <w:rPr>
          <w:rtl w:val="true"/>
        </w:rPr>
        <w:t>:</w:t>
      </w:r>
      <w:bookmarkEnd w:id="527"/>
    </w:p>
    <w:p>
      <w:pPr>
        <w:pStyle w:val="Heading6"/>
        <w:numPr>
          <w:ilvl w:val="5"/>
          <w:numId w:val="1"/>
        </w:numPr>
        <w:rPr/>
      </w:pPr>
      <w:bookmarkStart w:id="528" w:name="__RefHeading___Toc10444708_73709187"/>
      <w:bookmarkStart w:id="529" w:name="_Toc20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الحكم كراهةً أو منعاً، بين الرّجل والمرأة، كما هو ظاهر كلمات الأصحاب</w:t>
      </w:r>
      <w:r>
        <w:rPr>
          <w:rStyle w:val="FootnoteAnchor"/>
          <w:rtl w:val="true"/>
        </w:rPr>
        <w:footnoteReference w:id="1013"/>
      </w:r>
      <w:r>
        <w:rPr>
          <w:rFonts w:ascii="Amiri" w:hAnsi="Amiri" w:eastAsia="Amiri" w:cs="Amiri"/>
          <w:color w:val="111111"/>
          <w:sz w:val="28"/>
          <w:sz w:val="28"/>
          <w:szCs w:val="28"/>
          <w:rtl w:val="true"/>
          <w:lang w:bidi="ar-SA"/>
        </w:rPr>
        <w:t>، وصريح غير واحد منهم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وخبر أبي بصير المتقدّمان، فإنّ ظاهرهما بيان حكم كلّ منهما،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الحكم منعاً أو كراهةً إذا كان بينهما حاجزٌ، أو مقدار عشرة أذرع، بلا خلافٍ فيه، بل عن غير واحدٍ</w:t>
      </w:r>
      <w:r>
        <w:rPr>
          <w:rStyle w:val="FootnoteAnchor"/>
          <w:rtl w:val="true"/>
        </w:rPr>
        <w:footnoteReference w:id="1015"/>
      </w:r>
      <w:r>
        <w:rPr>
          <w:rFonts w:ascii="Amiri" w:hAnsi="Amiri" w:eastAsia="Amiri" w:cs="Amiri"/>
          <w:color w:val="111111"/>
          <w:sz w:val="28"/>
          <w:sz w:val="28"/>
          <w:szCs w:val="28"/>
          <w:rtl w:val="true"/>
          <w:lang w:bidi="ar-SA"/>
        </w:rPr>
        <w:t>دعوى الإجماع عليه، وتشهد به الطائفة الثالثة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الحائل المانع عن الرؤية، ولكن قد ينافيه صحيح علي بن جعفر المتقدّم،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يُصلّي في مسجدٍ قصير الحائط، وامرأة قائمة تُصلّي بحياله، وهو يراها وتراه‌؟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حائطٌ طويل أو قصير فلا بأس</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فبناءً على القول بالمنع، يُجمع بين النصوص بتعميم الحائل، بحيث يشمل مورد الخبرين، وعلى القول بالكراهة يُجمع بحمل الخبرين على خفّة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رفع الحكم في صورة تقدّم المرأة، بما إذا كان بين موقفها وموقفه مقدار عشرة أذرع، إذ الظاهر من الأخبار اعتبار هذا المقدار من الفصل بين جسديهما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بالمنع، لو صَلّى ثمّ التفت بعد الفراغ أنّه كان محاذياً لإمرأةٍ كانت تُصلّي، كانت صلاته صحيحة، لعموم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صَلّى مع الجهل بالموضوع أو بحكمه، مع عدم التقصير، بناءً على ما هو الحقّ من عدم اختصاص الحديث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اُكره على ذلك أو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 إلى الأكثر</w:t>
      </w:r>
      <w:r>
        <w:rPr>
          <w:rStyle w:val="FootnoteAnchor"/>
          <w:rtl w:val="true"/>
        </w:rPr>
        <w:footnoteReference w:id="1018"/>
      </w:r>
      <w:r>
        <w:rPr>
          <w:rFonts w:ascii="Amiri" w:hAnsi="Amiri" w:eastAsia="Amiri" w:cs="Amiri"/>
          <w:color w:val="111111"/>
          <w:sz w:val="28"/>
          <w:sz w:val="28"/>
          <w:szCs w:val="28"/>
          <w:rtl w:val="true"/>
          <w:lang w:bidi="ar-SA"/>
        </w:rPr>
        <w:t>أنّه لا منع في الصورتين، واستدلّ بعض المتأخّرين</w:t>
      </w:r>
      <w:r>
        <w:rPr>
          <w:rStyle w:val="FootnoteAnchor"/>
          <w:rtl w:val="true"/>
        </w:rPr>
        <w:footnoteReference w:id="1019"/>
      </w:r>
      <w:r>
        <w:rPr>
          <w:rFonts w:ascii="Amiri" w:hAnsi="Amiri" w:eastAsia="Amiri" w:cs="Amiri"/>
          <w:color w:val="111111"/>
          <w:sz w:val="28"/>
          <w:sz w:val="28"/>
          <w:szCs w:val="28"/>
          <w:rtl w:val="true"/>
          <w:lang w:bidi="ar-SA"/>
        </w:rPr>
        <w:t>له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في بعض المباحث المتقدّمة</w:t>
      </w:r>
      <w:r>
        <w:rPr>
          <w:rStyle w:val="FootnoteAnchor"/>
          <w:rtl w:val="true"/>
        </w:rPr>
        <w:footnoteReference w:id="1020"/>
      </w:r>
      <w:r>
        <w:rPr>
          <w:rFonts w:ascii="Amiri" w:hAnsi="Amiri" w:eastAsia="Amiri" w:cs="Amiri"/>
          <w:color w:val="111111"/>
          <w:sz w:val="28"/>
          <w:sz w:val="28"/>
          <w:szCs w:val="28"/>
          <w:rtl w:val="true"/>
          <w:lang w:bidi="ar-SA"/>
        </w:rPr>
        <w:t>من عدم ثبوت القاعدة في موارد تعذّر بعض ما يعتبر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الإكراه والاضطرار مستوعبين للوقت، فيرتفع المنع، إذ الصَّلاة لا تدع بحال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يكونا مستوعبين له، فلا وجه لارتفاعه، وحديث الرفع لا يدلّ عليه، لما عرفت من أنّه إنّما يرفع حكم ما طرأ عليه أحد العناوين المذكورة فيه، إذا كان هو متعلّق الحكم في نفسه، وفي المقام بما أنّ ماطرأ عليه الإكراه أو الاضطرار 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له، وما هو متعلّقٌ للحكم وهو الطبيعي، لم يتعلّق أحدهما به، فلا محالة لا يدلّ الحديث على ارتفاع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موضع سجودها وراء قدمه، سقط الحكم كراهةً أو حرمةً بلا ريب ولا كلام، لعدم شمول النصوص لصورة التأخّر، بل الأظهر بناءً على القول بالمنع، سقوطه بما إذا كان التأخّر بأقلّ من ذلك، لقوله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بحيال المرأة إلّاأنْ يكون قُدّامها ولو بصدره</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إذ الظاهر إرادة تقدّمه عليها بمقدارٍ يكون مسجدها محاذياً لصدره حال السّجود، وقد حُكي القولُ به عن بعض القدماء وجماعةٍ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بالكراهة، فيتعيّن القول بخفّة الكراهة بما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 بما إذا كانت صلاة كلٍّ منهما صحيحة من غير ناحية المحاذاة‌؟</w:t>
      </w:r>
    </w:p>
    <w:p>
      <w:pPr>
        <w:pStyle w:val="BookText"/>
        <w:rPr/>
      </w:pPr>
      <w:r>
        <w:rPr>
          <w:rFonts w:ascii="Amiri" w:hAnsi="Amiri" w:eastAsia="Amiri" w:cs="Amiri"/>
          <w:color w:val="111111"/>
          <w:sz w:val="28"/>
          <w:sz w:val="28"/>
          <w:szCs w:val="28"/>
          <w:rtl w:val="true"/>
          <w:lang w:bidi="ar-SA"/>
        </w:rPr>
        <w:t>أو يعمّ صورة فساد أحداهما، فلو علم بأنّ صلاة صاحبه فاسدة صحّت صلاته في صورة المحاذاة والتقدّم بلا كراهةٍ؟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مبنيّان على أنّ أسامي العبادات أسامٍ للصحيح أو الأعمّ‌، وحيثُ إنّ المختار هو الثاني على ما حقّقناه في محلّه</w:t>
      </w:r>
      <w:r>
        <w:rPr>
          <w:rStyle w:val="FootnoteAnchor"/>
          <w:rtl w:val="true"/>
        </w:rPr>
        <w:footnoteReference w:id="1022"/>
      </w:r>
      <w:r>
        <w:rPr>
          <w:rFonts w:ascii="Amiri" w:hAnsi="Amiri" w:eastAsia="Amiri" w:cs="Amiri"/>
          <w:color w:val="111111"/>
          <w:sz w:val="28"/>
          <w:sz w:val="28"/>
          <w:szCs w:val="28"/>
          <w:rtl w:val="true"/>
          <w:lang w:bidi="ar-SA"/>
        </w:rPr>
        <w:t>، فالأقوى هو التعميم، إلّافيما كان الفساد من جهة الإخلال بما يكون دخيلاً في المسمّى، فتدبّر إذ دعوى انصراف النصوص إلى الصحيحة المبرئة للذمّة، ليست ببعيدة</w:t>
      </w:r>
      <w:r>
        <w:rPr>
          <w:rFonts w:eastAsia="Amiri" w:cs="Amiri" w:ascii="Amiri" w:hAnsi="Amiri"/>
          <w:color w:val="111111"/>
          <w:sz w:val="28"/>
          <w:szCs w:val="28"/>
          <w:rtl w:val="true"/>
          <w:lang w:bidi="ar-SA"/>
        </w:rPr>
        <w:t xml:space="preserve">.). </w:t>
      </w:r>
      <w:bookmarkStart w:id="530" w:name="pg11799_136305"/>
    </w:p>
    <w:p>
      <w:pPr>
        <w:pStyle w:val="Heading6"/>
        <w:numPr>
          <w:ilvl w:val="5"/>
          <w:numId w:val="1"/>
        </w:numPr>
        <w:rPr/>
      </w:pPr>
      <w:bookmarkStart w:id="531" w:name="__RefHeading___Toc10444710_73709187"/>
      <w:bookmarkStart w:id="532" w:name="_Toc202"/>
      <w:bookmarkEnd w:id="530"/>
      <w:bookmarkEnd w:id="531"/>
      <w:r>
        <w:rPr>
          <w:rtl w:val="true"/>
        </w:rPr>
        <w:t>إذا تعاقبت الصَّلاتان</w:t>
      </w:r>
      <w:bookmarkEnd w:id="532"/>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اقترنت الصَّلاتان، بطلتا جميعاً، 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تعاقبتا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يختصّ البطلان باللّاحقة كما عن جماعةٍ التصريح به كالشهيدين</w:t>
      </w:r>
      <w:r>
        <w:rPr>
          <w:rStyle w:val="FootnoteAnchor"/>
          <w:rtl w:val="true"/>
        </w:rPr>
        <w:footnoteReference w:id="1023"/>
      </w:r>
      <w:r>
        <w:rPr>
          <w:rFonts w:ascii="Amiri" w:hAnsi="Amiri" w:eastAsia="Amiri" w:cs="Amiri"/>
          <w:color w:val="111111"/>
          <w:sz w:val="28"/>
          <w:sz w:val="28"/>
          <w:szCs w:val="28"/>
          <w:rtl w:val="true"/>
          <w:lang w:bidi="ar-SA"/>
        </w:rPr>
        <w:t>، والمحقّق الثاني</w:t>
      </w:r>
      <w:r>
        <w:rPr>
          <w:rStyle w:val="FootnoteAnchor"/>
          <w:rtl w:val="true"/>
        </w:rPr>
        <w:footnoteReference w:id="1024"/>
      </w:r>
      <w:r>
        <w:rPr>
          <w:rFonts w:ascii="Amiri" w:hAnsi="Amiri" w:eastAsia="Amiri" w:cs="Amiri"/>
          <w:color w:val="111111"/>
          <w:sz w:val="28"/>
          <w:sz w:val="28"/>
          <w:szCs w:val="28"/>
          <w:rtl w:val="true"/>
          <w:lang w:bidi="ar-SA"/>
        </w:rPr>
        <w:t>، وكاشف اللّثام</w:t>
      </w:r>
      <w:r>
        <w:rPr>
          <w:rStyle w:val="FootnoteAnchor"/>
          <w:rtl w:val="true"/>
        </w:rPr>
        <w:footnoteReference w:id="10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يعمّها والسابقة كماعن آخرين</w:t>
      </w:r>
      <w:r>
        <w:rPr>
          <w:rStyle w:val="FootnoteAnchor"/>
          <w:rtl w:val="true"/>
        </w:rPr>
        <w:footnoteReference w:id="1026"/>
      </w:r>
      <w:r>
        <w:rPr>
          <w:rFonts w:ascii="IRNazanin" w:hAnsi="IRNazanin" w:eastAsia="IRNazanin"/>
          <w:color w:val="111111"/>
          <w:sz w:val="28"/>
          <w:sz w:val="28"/>
          <w:szCs w:val="28"/>
          <w:rtl w:val="true"/>
          <w:lang w:bidi="fa-IR"/>
        </w:rPr>
        <w:t>، وعن بعض نسبته إلى المشهور</w:t>
      </w:r>
      <w:r>
        <w:rPr>
          <w:rStyle w:val="FootnoteAnchor"/>
          <w:rtl w:val="true"/>
        </w:rPr>
        <w:footnoteReference w:id="102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للأوّل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28"/>
      </w:r>
      <w:r>
        <w:rPr>
          <w:rFonts w:ascii="Amiri" w:hAnsi="Amiri" w:eastAsia="Amiri" w:cs="Amiri"/>
          <w:color w:val="111111"/>
          <w:sz w:val="28"/>
          <w:sz w:val="28"/>
          <w:szCs w:val="28"/>
          <w:rtl w:val="true"/>
          <w:lang w:bidi="ar-SA"/>
        </w:rPr>
        <w:t>من إنّ المتأخّرة مختصّة بالنهي الموجب لفسادها، ومع عدم انعقادها لا يمكن أن تكون موجبة لبطلان صلاة انعقدت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لا يختصُّ باللّاحقة، إذ المراد من النصوص مانعيّة المحاذاة في الصَّلاة الصحيحة، من غير ناحيتها، على فرض اعتبار صحّة صلاة كلٍّ منهما، وإلّا لم يتحقّق موضوع النهي في صورة الاقتران، بل ولا بالنسبة إلى السابق في صورة </w:t>
      </w:r>
    </w:p>
    <w:p>
      <w:pPr>
        <w:pStyle w:val="BookText"/>
        <w:rPr/>
      </w:pPr>
      <w:r>
        <w:rPr>
          <w:rFonts w:ascii="Amiri" w:hAnsi="Amiri" w:eastAsia="Amiri" w:cs="Amiri"/>
          <w:color w:val="111111"/>
          <w:sz w:val="28"/>
          <w:sz w:val="28"/>
          <w:szCs w:val="28"/>
          <w:rtl w:val="true"/>
          <w:lang w:bidi="ar-SA"/>
        </w:rPr>
        <w:t>التعاقب، لتحقّق المحاذاة المانعة في حقّ كلٍّ منهما، غاية الأمر للسابق في الأثناء، واللّاحق في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صورتي الإقتران والتعاقب، في بطلان صلاة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وهو أنّ المتأخّرة باطلة، فلا تكون بصلاةٍ كي تصلح مانعةً عن صحّة السابقة، بخلاف السابقة فإنّها صحيحة حين انعقاد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الناشئ من قبل هذا الحكم لا يُعقل أنْ يكون مانعاً عن تحقّق موضوعه، وإلّا امتنع البطلان في صورة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اشتراط صحّة صلاة كلٍّ منهما، بأنْ لا يُصلّي الآخر بحياله صلاةً صحيحة مبرئة للذمّة من جميع الجهات، وإنّما يرفع اليد عنه ويقال إنّ المراد صحّة صلاة كلٍّ منهما، مع قطع النظر عن المحاذاة في صورة الاقتران بقرينة عقليّة، وهي عدم إمكان اتّصافهما بالصحّة لمنافاته للشرط، واتّصاف إحداهما بها ترجيحٌ بلا مرجّح، فلا محالة لابدَّ من الحكم بفسادهما، وليست هذه القرينة موجودة في حقّ اللّاحقة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إرادة المحاذاة في الصَّلاة الصحيحة من جيمع الجهات في صورة التعاقب، والمحاذاة في الصحيحة من غير ناحية المحاذاة في صورة الاقتران من دليل المانعيّة فاسدة، فيتردّد الأمر بين إرادة المحاذاة في الصحيحة من جميع الجهات، ومن غير جهة المحاذاة، وحيثُ عرفت عدم إمكان الأولى فيتعيّن الثانية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w:t>
      </w:r>
      <w:r>
        <w:rPr>
          <w:rStyle w:val="FootnoteAnchor"/>
          <w:rtl w:val="true"/>
        </w:rPr>
        <w:footnoteReference w:id="1030"/>
      </w:r>
      <w:r>
        <w:rPr>
          <w:rFonts w:ascii="Amiri" w:hAnsi="Amiri" w:eastAsia="Amiri" w:cs="Amiri"/>
          <w:color w:val="111111"/>
          <w:sz w:val="28"/>
          <w:sz w:val="28"/>
          <w:szCs w:val="28"/>
          <w:rtl w:val="true"/>
          <w:lang w:bidi="ar-SA"/>
        </w:rPr>
        <w:t>من أنّ ظاهر الأخبار المنع عن صلاة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تتحقّق بصلاته المحاذاة، وتكون المحاذاة مستندةً إليه، ومتحقّقة بفعله، فحينئذٍ لو اقترنا فهما سواءٌ في تحقّق المحاذاة، ولو كان أحدهما لاحقاً فالمحاذاة جاءت من فعله، فيختصّ البطلان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المحاذاة في صورة التعاقب أيضاً مستندة إليهما، إذ السابق لو رفع اليد عن صلاته، لا تتحقّق المحاذاة، فاستمراره فيها محقّقٌ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وجود من يُصلّي بحذاه، فالأصل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 المُصلّي الواقف بحذاه امرأة أو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اعتبار عدم المحاذاة قيداً للمصلّي، بأنْ يكون المعتبر في الصَّلاة أنْ لا يكون المُصلّي محاذياً للمرأة المصليّة، فيجري استصحاب عدم تحقّق المحاذاة مع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باستصحاب عدم المحاذاة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لعدم ترتّب الأثر عليه لا يجرى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قيداً للصَّلاة، فلا يجري الأصل، إلّابناءً على جريانه في العدم الأزلي،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 النصوص هو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ارتفاع المنع على القول به، بتقديم أحدهما صلاته، من غير فرقٍ بين تقديم المرأة أو الرّجل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تأخير المرأة صلاتها، وهو ظاهرُ جماعةٍ من الأصحاب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مسلم،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تُزامل الرّجل في المحمل، يصلّيان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فإذا فرغ صلّت المرأة</w:t>
      </w:r>
      <w:r>
        <w:rPr>
          <w:rFonts w:eastAsia="Amiri" w:cs="Amiri" w:ascii="Amiri" w:hAnsi="Amiri"/>
          <w:color w:val="111111"/>
          <w:sz w:val="28"/>
          <w:szCs w:val="28"/>
          <w:rtl w:val="true"/>
          <w:lang w:bidi="ar-SA"/>
        </w:rPr>
        <w:t>»</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حمل هذه النصوص على الفضل والأولويّة، جمعاً بينها وبين صحيح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والمرأة إلى جنبي وهي تُصلّي‌؟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تتقدّم هي أو أنتَ‌</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منه التقدّم في الزمان لا المكان،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تأخير المرأة صلاتها وإنْ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بالمنع، لو دخل فى الصَّلاة غفلةً‌، ثمّ رأى امرأةً تُصلّى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تمكّن من التقدّم أو التباعد، بلا فعلٍ منافٍ‌، سكتَ وتقدَّم أو تباعد، ومضى في صلاته، فإنّ الأجزاء الصادرة حين الغفلة صحيحة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بناءً على ما هو الحقّ من شموله لبعض الصَّلاة أيضاً على ما ستعرف، والأجزاء الباقية يأتي بها واجدةً لشرطها، والأكوان المتخلّلة ليست من أجزاء الصَّلاة، كي يعتبر فيها عدم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النصوص مانعيّة المحاذاة مطلقاً، ولو كانت في الأكوان المتخلّلة، وعليه فحكمه حكم من لا يتمكّن من التباعد أو التقدّم من البطلان، ولا يخفى وجهه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3" w:name="pg11799_136309"/>
    </w:p>
    <w:p>
      <w:pPr>
        <w:pStyle w:val="BookText"/>
        <w:rPr/>
      </w:pPr>
      <w:bookmarkEnd w:id="533"/>
      <w:r>
        <w:rPr>
          <w:rFonts w:ascii="IRNazanin" w:hAnsi="IRNazanin" w:eastAsia="IRNazanin"/>
          <w:color w:val="111111"/>
          <w:sz w:val="28"/>
          <w:sz w:val="28"/>
          <w:szCs w:val="28"/>
          <w:rtl w:val="true"/>
          <w:lang w:bidi="fa-IR"/>
        </w:rPr>
        <w:t>وإلى بابٍ مفتوح</w:t>
      </w:r>
      <w:r>
        <w:rPr>
          <w:rFonts w:eastAsia="IRNazanin" w:cs="IRNazanin"/>
          <w:color w:val="111111"/>
          <w:sz w:val="28"/>
          <w:szCs w:val="28"/>
          <w:rtl w:val="true"/>
          <w:lang w:bidi="fa-IR"/>
        </w:rPr>
        <w:t>.</w:t>
      </w:r>
    </w:p>
    <w:p>
      <w:pPr>
        <w:pStyle w:val="Heading6"/>
        <w:numPr>
          <w:ilvl w:val="5"/>
          <w:numId w:val="1"/>
        </w:numPr>
        <w:rPr/>
      </w:pPr>
      <w:bookmarkStart w:id="534" w:name="__RefHeading___Toc10444712_73709187"/>
      <w:bookmarkStart w:id="535" w:name="_Toc203"/>
      <w:bookmarkEnd w:id="534"/>
      <w:r>
        <w:rPr>
          <w:rtl w:val="true"/>
        </w:rPr>
        <w:t>الصَّلاة إلى باب مفتوح أو إلى نار مُضرَمة</w:t>
      </w:r>
      <w:bookmarkEnd w:id="535"/>
    </w:p>
    <w:p>
      <w:pPr>
        <w:pStyle w:val="BookText"/>
        <w:rPr/>
      </w:pPr>
      <w:r>
        <w:rPr>
          <w:rFonts w:ascii="IRNazanin" w:hAnsi="IRNazanin" w:eastAsia="IRNazanin"/>
          <w:color w:val="111111"/>
          <w:sz w:val="28"/>
          <w:sz w:val="28"/>
          <w:szCs w:val="28"/>
          <w:rtl w:val="true"/>
          <w:lang w:bidi="fa-IR"/>
        </w:rPr>
        <w:t>قال أبو الصّلاح</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بابٍ مفتوح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جماعة</w:t>
      </w:r>
      <w:r>
        <w:rPr>
          <w:rStyle w:val="FootnoteAnchor"/>
          <w:rtl w:val="true"/>
        </w:rPr>
        <w:footnoteReference w:id="1037"/>
      </w:r>
      <w:r>
        <w:rPr>
          <w:rFonts w:ascii="Amiri" w:hAnsi="Amiri" w:eastAsia="Amiri" w:cs="Amiri"/>
          <w:color w:val="111111"/>
          <w:sz w:val="28"/>
          <w:sz w:val="28"/>
          <w:szCs w:val="28"/>
          <w:rtl w:val="true"/>
          <w:lang w:bidi="ar-SA"/>
        </w:rPr>
        <w:t>معترفون بعدم الدليل عليه، وإنّما أفتوا به لفتوى الحلبي به من باب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المصنّف رحمه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بما دلَّ على استحباب السَّتر بينه وبين ممرّ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إلى الطريق أعمٌّ منه إلى الباب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مواجهٍ‌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بالنصوص الدالّة على أنّه يُكره للمصلّي أن يمرّ بين يديه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يقطع صلاته شيءٌ ممّا يمرّ بين يديه‌؟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صلاة المسلم شيء، ولكن إدرأ ما استطعت</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الأمر بالدَّرء إنّما يكون لدفع المنقصة عن الصَّلاة التي تحصل من المرور بين يدي المُصلّي، وليس معنى الكراهة إلّاذلك،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وإنْ لم يكن موردها الإنسان المواجه، إلّاأنّها تدلّ على كراهة الصَّلاة إليه </w:t>
      </w:r>
    </w:p>
    <w:p>
      <w:pPr>
        <w:pStyle w:val="BookText"/>
        <w:rPr/>
      </w:pPr>
      <w:r>
        <w:rPr>
          <w:rFonts w:ascii="Amiri" w:hAnsi="Amiri" w:eastAsia="Amiri" w:cs="Amiri"/>
          <w:color w:val="111111"/>
          <w:sz w:val="28"/>
          <w:sz w:val="28"/>
          <w:szCs w:val="28"/>
          <w:rtl w:val="true"/>
          <w:lang w:bidi="ar-SA"/>
        </w:rPr>
        <w:t>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لنا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الأمر بالدرء رعايةً لحرمة الصَّلاة، فيكون الدَّرء مستحبّاً كما هو ظاهره، لا أنّ الصَّلاة بدونه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 القوم بأنّه تُكره الصَّلاة إلى إنسانٍ مواجه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مضرمة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يُصلّي والسّراج بين يديه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وفي قبلته نارٌ أو حديد</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ظهورهما في الحرمة، فلابدّ من حملهما على الكراهة، جمعاً بينهما وبين مرفوع عمرو بن إبراهيم الهمداني، عنه 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والنّار والسّراج والصورة بين يديه، إنّ الذي يُصلّي له أقرب إليه من الذي بين يديه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حائطٌ ينزُّ من بالوعة، ولا يجوزُ السّجود إلّاعلى الأرض ممّا لا يؤكل ولا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المُصلّي والنّار والصورة والسّراج بين يديه، هل تجوز صلاته، فإنّ الناس قد اختلفوا في ذلك قبلك‌؟ فإنّه جائزٌ لمن لم يكن من أولاد عَبَدة الأوثان والنيران، ولا يجوز ذلك لمن كان من أولاد عَبَدة الأوثان</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وإنْ كان أخصّ من جميع روايات الباب، ومقتضى القاعدة تخصيصها به، إلّاأنّه لم ينقل القول بهذا التفصيل عن أحدٍ، فيُحمل على شدّة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أنْ يكون في حال صلاته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 ينزُّ من بالوعة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ما رواه البزنطي، عمّن سأل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 ينزّ حائط قبلته من بالوعةٍ يُبال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 من البالوعة فلا تُصلِّ فيه، وإنْ كان نزّه من غير ذلك فلا بأس</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6" w:name="pg11799_136312"/>
    </w:p>
    <w:p>
      <w:pPr>
        <w:pStyle w:val="BookText"/>
        <w:rPr/>
      </w:pPr>
      <w:bookmarkEnd w:id="536"/>
      <w:r>
        <w:rPr>
          <w:rFonts w:ascii="Amiri" w:hAnsi="Amiri" w:eastAsia="Amiri" w:cs="Amiri"/>
          <w:color w:val="111111"/>
          <w:sz w:val="28"/>
          <w:sz w:val="28"/>
          <w:szCs w:val="28"/>
          <w:rtl w:val="true"/>
          <w:lang w:bidi="ar-SA"/>
        </w:rPr>
        <w:t>ولا يجوزُ السّجود إلّاعلى الأرض ممّا لا يؤكل ولا يُلبس</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0444714_73709187"/>
      <w:bookmarkStart w:id="538" w:name="_Toc204"/>
      <w:bookmarkEnd w:id="537"/>
      <w:r>
        <w:rPr>
          <w:rtl w:val="true"/>
        </w:rPr>
        <w:t>مسجد الجبهة</w:t>
      </w:r>
      <w:bookmarkEnd w:id="538"/>
    </w:p>
    <w:p>
      <w:pPr>
        <w:pStyle w:val="Heading6"/>
        <w:numPr>
          <w:ilvl w:val="5"/>
          <w:numId w:val="1"/>
        </w:numPr>
        <w:rPr/>
      </w:pPr>
      <w:bookmarkStart w:id="539" w:name="__RefHeading___Toc10444716_73709187"/>
      <w:bookmarkStart w:id="540" w:name="_Toc205"/>
      <w:bookmarkEnd w:id="539"/>
      <w:r>
        <w:rPr>
          <w:rtl w:val="true"/>
        </w:rPr>
        <w:t>اشارة</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السّجود إلّاعلى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أنبتته الأرض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04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عن الإمام الصادق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 وعمّا لا يجوز؟</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إلّاعلى الأرض أو على ما أنبتت الأرض إلّاما أُكل أو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 وجلّ‌، فلا ينبغي أنْ يكون على ما يُؤكل ويُلبس، لأنّ أبناء الدُّنيا عبيدُ ما يأكلون ويلبسون، والسّاجد في سجوده في عبادة اللّه عزّ وجلّ‌، فلا ينبغي ان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ما أنبتت الأرض إلّاما أكل أو لُبس</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إلّاعلى الأرض أو ما أنبتت الأرض، إلّاالمأكول والقطن والكتّان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صريحة في أنّه يعتبر في مسجد الجبهة، أنْ يكون أرضاً أو نباتاً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يُؤكل ولا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05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النصوص المتقدّمة، وبها يقيّد ما بإطلاقه يدلّ على جواز السّجود على مطلق ما أنبتت الأرض، كخبر الفضل بن عبد الملك،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إلّاعلى الأرض أو ما أنبتت الأرض، إلّاالقطن والكتّان</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خصوص القطن والكتّان ورد ما يدلّ على جواز السّجود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حسين بن علي بن كيسان الصنعاني،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السّجود على القطن والكتّان، من غير تقيّةٍ ولا ضرورة‌؟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الصَّرمي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هل يجوز السّجود على القطن والكتّان من غير تقيّة‌؟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أبو الحسن عليه السلام وأنا اُصلّي على الطبري، وقد ألقيتُ عليه شيئاً أسجدُ عليه،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تسجدُ عليه‌؟ أليسَ هو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نبات الأرض‌؟</w:t>
      </w:r>
      <w:r>
        <w:rPr>
          <w:rFonts w:eastAsia="IRNazanin" w:cs="IRNazanin"/>
          <w:color w:val="111111"/>
          <w:sz w:val="28"/>
          <w:szCs w:val="28"/>
          <w:rtl w:val="true"/>
          <w:lang w:bidi="fa-IR"/>
        </w:rPr>
        <w:t>!»</w:t>
      </w:r>
      <w:r>
        <w:rPr>
          <w:rStyle w:val="FootnoteAnchor"/>
          <w:rtl w:val="true"/>
        </w:rPr>
        <w:footnoteReference w:id="1054"/>
      </w:r>
      <w:r>
        <w:rPr>
          <w:rFonts w:ascii="Amiri" w:hAnsi="Amiri" w:eastAsia="Amiri" w:cs="Amiri"/>
          <w:color w:val="111111"/>
          <w:sz w:val="28"/>
          <w:sz w:val="28"/>
          <w:szCs w:val="28"/>
          <w:rtl w:val="true"/>
          <w:lang w:bidi="ar-SA"/>
        </w:rPr>
        <w:t>، فلا يدلّ عليه، لأنّ الطبري مجملٌ‌، يحتمل أنْ يكون هو الحصير الذي يعمله أهل طبرستان كما قيل</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يدلّ عليه خبر منصور بن حازم، عن غير واحدٍ من أصحابنا،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بأرضٍ باردة، يكون فيها الثلج، أفنسجدُ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اِجعل بينك وبينه شيئاً قطناً أو كتّاناً</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لاختصاصه بحال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عدم الملازمة بين كونه في أرضٍ باردة، وعدم تمكّنه حال الصَّلاة من تحصيل ما يصحّ السّجود عليه، فلا يتنزّل عليه إطلاق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فيها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عدم التمكّن من السّجدة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خبري الحسين وداود الصرمي ضعيفاً السند، لأنّ الصنعاني مهملٌ‌، وداود الصّرمي لم تثبت وثاقته، فلا يُعتمد عليهما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وسَلّمنا تماميّة الخبرين سنداً، لابدَّ من طرحهما أو حملها على ما قبل النسج، لمعارضتهما مع ما هو أقوى منهما سنداً، الذي يدلّ على المنع، كالنصوص المانعة عن السّجود على الملبوس، الصريحة في القطن والكتّان، لندرة غيرهما في ذلك الزمان، وخبري الفضل والأعمش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إنّ الجمع بينهما يقتضي حمل نصوص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قابلة للحمل على الكراهة، لورودها في مقام بيان ما يصحّ السّجود عليه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بحمل نصوص الجواز على حال الضرورة غير تامّ‌، لأنّه لا يلائمه تقييد السائل في الخبرين بعدم الضرورة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عدم صحّة حمل نصوص الجواز على حال التقيّة، وعلى هذا فيتعيّن طرحها أو حملها على ما قبل النسج، كما يشهد له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 شيءٍ يكون غذاء الإنسان في مطعمه أو مشربه أو ملبسه، فلا تجوز الصَّلاة عليه، ولا السّجود إلّاما كان من نباتِ الأرض، من غير ثمر قبل أن يصير مغزولاً، فإذا صار مغزولاً فلا يجوز السّجود عليه إلّافي حال الضرورة</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1" w:name="pg11799_136316"/>
    </w:p>
    <w:p>
      <w:pPr>
        <w:pStyle w:val="Heading6"/>
        <w:numPr>
          <w:ilvl w:val="5"/>
          <w:numId w:val="1"/>
        </w:numPr>
        <w:rPr/>
      </w:pPr>
      <w:bookmarkStart w:id="542" w:name="__RefHeading___Toc10444718_73709187"/>
      <w:bookmarkStart w:id="543" w:name="_Toc206"/>
      <w:bookmarkEnd w:id="541"/>
      <w:bookmarkEnd w:id="542"/>
      <w:r>
        <w:rPr>
          <w:rtl w:val="true"/>
        </w:rPr>
        <w:t>فروع</w:t>
      </w:r>
      <w:r>
        <w:rPr>
          <w:rtl w:val="true"/>
        </w:rPr>
        <w:t>:</w:t>
      </w:r>
      <w:bookmarkEnd w:id="543"/>
    </w:p>
    <w:p>
      <w:pPr>
        <w:pStyle w:val="Heading6"/>
        <w:numPr>
          <w:ilvl w:val="5"/>
          <w:numId w:val="1"/>
        </w:numPr>
        <w:rPr/>
      </w:pPr>
      <w:bookmarkStart w:id="544" w:name="__RefHeading___Toc10444720_73709187"/>
      <w:bookmarkStart w:id="545" w:name="_Toc207"/>
      <w:bookmarkEnd w:id="544"/>
      <w:r>
        <w:rPr>
          <w:rtl w:val="true"/>
        </w:rPr>
        <w:t>السّجود على الثمار غير المأكولة</w:t>
      </w:r>
      <w:bookmarkEnd w:id="545"/>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الثمار غير المأكولة كالحنظل، للنصوص المتقدّمة الدالّة على جواز السّجود على نبات الأرض غير المأكول والملبوس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طائفة من النصوص اشتملت على استثناء مطلق الثمرة، كصحيح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البوريا والخَصَفة وكلّ نباتٍ إلّا الثمرة</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بينها وبين النصوص المتقدّمة، المشتملة على استثناء المأكول، عمومٌ من وجه،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يؤكل،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صدق الثمرة عليه، وكلّ من الطائفتين تنحلّ إلى عقدٍ سلبي وإيجابي، ولا منافاة بين الإيجابيين ولا بين السلبيّين، وإنّما التنافي يكون بين الإيجابي من كلّ منهما مع السلبي من الآخر، فلابدَّ من رفع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من تقييد العقد السلبي من كلّ منهما بالإيجابي من الآخر، فتصير النتيجة إنّ المأكول من غير الثمرة والثمرة غير القابلة للأكل داخلان في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من تقييد العقد الإيجابي من كلّ منهما بالسّلبي من الآخر، فيكون المستثنى منه ما لا يكون مأكولاً ولا 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المأكول، والسرّ في التعبير عنه بها هو الغلبة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من حمل المأكول على مطلق الثمرة</w:t>
      </w:r>
      <w:r>
        <w:rPr>
          <w:rFonts w:eastAsia="Amiri" w:cs="Amiri" w:ascii="Amiri" w:hAnsi="Amiri"/>
          <w:color w:val="111111"/>
          <w:sz w:val="28"/>
          <w:szCs w:val="28"/>
          <w:rtl w:val="true"/>
          <w:lang w:bidi="ar-SA"/>
        </w:rPr>
        <w:t xml:space="preserve">. </w:t>
      </w:r>
      <w:bookmarkStart w:id="546" w:name="pg11799_136317"/>
    </w:p>
    <w:p>
      <w:pPr>
        <w:pStyle w:val="BookText"/>
        <w:rPr/>
      </w:pPr>
      <w:bookmarkEnd w:id="5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أظهريّة الثالث، إذ الأوّل والثاني خاليان عن الشاهد، فيدور الأمر بين إلغاء الثمرة عن الموضوعيّة، وإلغاء المأكول عنها، والأوّل أظهر، لفتاوى الأصحاب المعتضدة بصحيح هشام، المشتمل على العلّة، القاضية بأنّ المنع منوطٌ بالمأكوليّة لا بكونه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إنّه لا يجوز السّجود على المأكول غير الثمرة</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0444722_73709187"/>
      <w:bookmarkStart w:id="548" w:name="_Toc208"/>
      <w:bookmarkEnd w:id="547"/>
      <w:r>
        <w:rPr>
          <w:rtl w:val="true"/>
        </w:rPr>
        <w:t>جواز السّجود على المعدن</w:t>
      </w:r>
      <w:bookmarkEnd w:id="548"/>
    </w:p>
    <w:p>
      <w:pPr>
        <w:pStyle w:val="Heading6"/>
        <w:numPr>
          <w:ilvl w:val="5"/>
          <w:numId w:val="1"/>
        </w:numPr>
        <w:rPr/>
      </w:pPr>
      <w:bookmarkStart w:id="549" w:name="__RefHeading___Toc10444724_73709187"/>
      <w:bookmarkStart w:id="550" w:name="_Toc20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النصوص جواز السّجود على كلّ ما يصدق عليه الأرض، وإنْ صدق عليه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صدق الأرض هو العرف، فإنْ تيقّن بذلك فهو، وان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السابق أرضاً جرى استصحاب الموضوع، بناءً على ما هو الحقّ من جريان الاستصحاب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حالته السابقة، فمقتضى الأصل هو الاحتياط، وعدم الاكتفاء بالصَّلاة مع السّجدة عليه، لرجوع الشكّ إلى الامتثال بعد اليقين بالتكليف، ومن الواضح أنّه ليس مورداً لأصالة البراءة حتّى بناءً على جريان البراءة في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خرجت الأرض عن حقيقتها، لا يجوز السّجود عليها، لدوران الحكم مدار صدق عنوان الأرض، فلا يجوز السّجود على الذهب والفضّة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انقلب ممّا كان أرضاً عرفاً الزّجاج، فلا يجوز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بعض أصحابنا إلى أبي الحسن الماضي عليه السلام يسأله عن الصَّلاة على الزجاج‌؟</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أنبتتِ الأرض، وما كان لي أن </w:t>
      </w:r>
    </w:p>
    <w:p>
      <w:pPr>
        <w:pStyle w:val="BookText"/>
        <w:rPr/>
      </w:pPr>
      <w:r>
        <w:rPr>
          <w:rFonts w:ascii="Amiri" w:hAnsi="Amiri" w:eastAsia="Amiri" w:cs="Amiri"/>
          <w:color w:val="111111"/>
          <w:sz w:val="28"/>
          <w:sz w:val="28"/>
          <w:szCs w:val="28"/>
          <w:rtl w:val="true"/>
          <w:lang w:bidi="ar-SA"/>
        </w:rPr>
        <w:t>أسأل عنه،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وإن حَدَّثتك نفسك أنّه ممّا أنبتتِ الأرض، ولكنّه من الملح والرَّمل، وهما ممسوخان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لا بيانيّة، والمراد إنّ ما حَدَّثتك نفسك من كونه من نبات الأرض غير صحيح بل هو إنّما نشأ وتكوّن من الملح والرّمل، وكيفيّة تكوّنه إنّهما مسخا فصارا زجاجاً، لا أنّ الرّمل في نفسه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يندفع ما أُورد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السائل تخيّل كونه من نبات الأرض، والإمام عليه السلام قرّره، مع أنّه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أنّه يدلّ على أنّ الرّمل ممسوخٌ لا يجوز السّجود عليه، وهو غير تامّ‌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1" w:name="pg11799_136319"/>
    </w:p>
    <w:p>
      <w:pPr>
        <w:pStyle w:val="Heading6"/>
        <w:numPr>
          <w:ilvl w:val="5"/>
          <w:numId w:val="1"/>
        </w:numPr>
        <w:rPr/>
      </w:pPr>
      <w:bookmarkStart w:id="552" w:name="__RefHeading___Toc10444726_73709187"/>
      <w:bookmarkStart w:id="553" w:name="_Toc210"/>
      <w:bookmarkEnd w:id="551"/>
      <w:bookmarkEnd w:id="552"/>
      <w:r>
        <w:rPr>
          <w:rtl w:val="true"/>
        </w:rPr>
        <w:t>السّجود على القير والجِصّ وما شاكل</w:t>
      </w:r>
      <w:bookmarkEnd w:id="55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جواز السّجدة عليه، مضافاً إلى ذلك،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على 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وخبر محمّد بن عمرو بن سعيد عن أبي الحسن عليه السلام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يدلّ على الجواز صحيح منصور بن حازم، عن الإمام الصادق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الدلالة على الجواز، صحيح ابن عمّار</w:t>
      </w:r>
      <w:r>
        <w:rPr>
          <w:rStyle w:val="FootnoteAnchor"/>
          <w:rtl w:val="true"/>
        </w:rPr>
        <w:footnoteReference w:id="1064"/>
      </w:r>
      <w:r>
        <w:rPr>
          <w:rFonts w:ascii="Amiri" w:hAnsi="Amiri" w:eastAsia="Amiri" w:cs="Amiri"/>
          <w:color w:val="111111"/>
          <w:sz w:val="28"/>
          <w:sz w:val="28"/>
          <w:szCs w:val="28"/>
          <w:rtl w:val="true"/>
          <w:lang w:bidi="ar-SA"/>
        </w:rPr>
        <w:t>، وخبر ابن ميمون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النصوص، يقتضي الحكم بكراهة السّجود عليه، إلّاأنّ إعراض المشهور عن نصوص الجواز، وإفتائهم بالمنع،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الإجماع على المنع، يوجب وهنها،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الممزوج من النُّورة والرّماد، فلا يجوز السّجود عليه، لاشتماله على ما ليس بأرضٍ ولا نباتها، وأجزاؤه الأرضيّة لا تمتاز عن غيرها، كي يصدق السّجدة على الأرض</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عمرو بن سعيد،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على القفر، ولا على القير، ولا على السّاروج</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الجِصّ والنُّورة والخَزَف والآجر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جواز السّجود عليها كما نُسب إلى المشهور</w:t>
      </w:r>
      <w:r>
        <w:rPr>
          <w:rStyle w:val="FootnoteAnchor"/>
          <w:rtl w:val="true"/>
        </w:rPr>
        <w:footnoteReference w:id="1068"/>
      </w:r>
      <w:r>
        <w:rPr>
          <w:rFonts w:ascii="Amiri" w:hAnsi="Amiri" w:eastAsia="Amiri" w:cs="Amiri"/>
          <w:color w:val="111111"/>
          <w:sz w:val="28"/>
          <w:sz w:val="28"/>
          <w:szCs w:val="28"/>
          <w:rtl w:val="true"/>
          <w:lang w:bidi="ar-SA"/>
        </w:rPr>
        <w:t>، لصدق الأرض عليها عرفاً، إذ الشيء لا يوجبُ خروج الأرض عن حقيقتها، وإنْ شئت فاختبر ذلك من اللّحم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فلا أقلّ من الشكّ فيه، فقد عرفت أنّه لا مانع من جريان استصحاب مفهوم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من المنع من السّجدة على النورة، بدعوى أنّ خبر محمّد المتقدّم يدلّ على المنع من السّجود على الساروج، هو يستلزمُ المنع من النورة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لما عرفت من أنّ من جملة أجزاء الساروج الرماد، وهو ليس بأرض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الجواز في خصوص الجِصّ‌، صحيح ابن محبوب،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الجِصّ يوقدُ عليه بالعَذَرة وعظام الموتى‌، ثمّ يُجصّص به المسجد، أيُسجَدُ عليه‌؟</w:t>
      </w:r>
    </w:p>
    <w:p>
      <w:pPr>
        <w:pStyle w:val="BookText"/>
        <w:rPr/>
      </w:pPr>
      <w:r>
        <w:rPr>
          <w:rFonts w:ascii="Amiri" w:hAnsi="Amiri" w:eastAsia="Amiri" w:cs="Amiri"/>
          <w:color w:val="111111"/>
          <w:sz w:val="28"/>
          <w:sz w:val="28"/>
          <w:szCs w:val="28"/>
          <w:rtl w:val="true"/>
          <w:lang w:bidi="ar-SA"/>
        </w:rPr>
        <w:t>فكتب 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جوابه عليه السلام ظاهرٌ في تقريره عليه السلام ما اعتقده السائل من جواز السّجدة عليه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الجِصّ لا يطهر بالماء والنّار قطعاً، فكيف حكم عليه السلام بأنّهما قد طهّراه‌؟ قد تقدّم الجواب عنها في كتاب الطهارة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54" w:name="pg11799_136321"/>
    </w:p>
    <w:p>
      <w:pPr>
        <w:pStyle w:val="Heading6"/>
        <w:numPr>
          <w:ilvl w:val="5"/>
          <w:numId w:val="1"/>
        </w:numPr>
        <w:rPr/>
      </w:pPr>
      <w:bookmarkStart w:id="555" w:name="__RefHeading___Toc10444728_73709187"/>
      <w:bookmarkStart w:id="556" w:name="_Toc211"/>
      <w:bookmarkEnd w:id="554"/>
      <w:bookmarkEnd w:id="555"/>
      <w:r>
        <w:rPr>
          <w:rtl w:val="true"/>
        </w:rPr>
        <w:t>السّجود على القرطاس</w:t>
      </w:r>
      <w:bookmarkEnd w:id="55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القرطاس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وغيرهما</w:t>
      </w:r>
      <w:r>
        <w:rPr>
          <w:rStyle w:val="FootnoteAnchor"/>
          <w:rtl w:val="true"/>
        </w:rPr>
        <w:footnoteReference w:id="107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داود بن فرقد أبا الحسن عليه السلام عن القراطيس والكواغذ المكتوبة، هل يجوز السّجود عليها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في المحمل يَسجدُ على القرطاس، وأكثر ذلك يومئ إيماءً‌</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عليه السلام كره أن يُسجَد على قرطاسٍ عليه كتابة</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في الجملة ممّا لا إشكال فيه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القرطاس المتّخذ من غير ما يصحّ السّجود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حكم جماعة</w:t>
      </w:r>
      <w:r>
        <w:rPr>
          <w:rStyle w:val="FootnoteAnchor"/>
          <w:rtl w:val="true"/>
        </w:rPr>
        <w:footnoteReference w:id="1078"/>
      </w:r>
      <w:r>
        <w:rPr>
          <w:rFonts w:ascii="Amiri" w:hAnsi="Amiri" w:eastAsia="Amiri" w:cs="Amiri"/>
          <w:color w:val="111111"/>
          <w:sz w:val="28"/>
          <w:sz w:val="28"/>
          <w:szCs w:val="28"/>
          <w:rtl w:val="true"/>
          <w:lang w:bidi="ar-SA"/>
        </w:rPr>
        <w:t>بجواز السّجود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وإرشادها</w:t>
      </w:r>
      <w:r>
        <w:rPr>
          <w:rStyle w:val="FootnoteAnchor"/>
          <w:rtl w:val="true"/>
        </w:rPr>
        <w:footnoteReference w:id="1080"/>
      </w:r>
      <w:r>
        <w:rPr>
          <w:rFonts w:ascii="Amiri" w:hAnsi="Amiri" w:eastAsia="Amiri" w:cs="Amiri"/>
          <w:color w:val="111111"/>
          <w:sz w:val="28"/>
          <w:sz w:val="28"/>
          <w:szCs w:val="28"/>
          <w:rtl w:val="true"/>
          <w:lang w:bidi="ar-SA"/>
        </w:rPr>
        <w:t>وغيرهما</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بما إذا كان متّخذاً من ما يُسجَد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 غيرها</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بما إذا كان متّخذاً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النبات هو ممّا لا يؤكل ولا يلبس،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المسألة قولان، أقواهما الثاني، لا لما قيل من إنّ عدم التقييد يستلزم تخصيصاً فيما دلَّ على عدم جواز السّجود على غير الأرض ونباتها الذي يُؤكل أو يُلبس، إذ يرد عليه أنّه لا محذور في ذلك بعد دلالة الدليل عليه، وهو إطلاق النصوص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النصوص حينئذٍ وما دلَّ على المنع عن السّجود على غير الأرض ونباتها، عمومٌ من وجه فيتعارضان، وحيثُ لا مرجّح فيتساقطان، والمرجع إلى الأصل، وهو الاحتياط كما مرّ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لنصوص الباب، لظهورها في ثبوت 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للقرطاس، الموجبة لجواز السّجود عليه، بل لعدم ثبوت إطلاق النصوص، إذ صحيح ابن مهزيار واردٌ في مقام بيان عدم مانعيّة الكتابة عن الجواز، لا في مقام تشريع الجواز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جميل، وصحيح صفوان حكاية لفعلٍ مجمل، إذ لعلّه كان ما يُسجد عليه متّخذاً من ما يُسجد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فغاية ما يثبت بهذه النصوص والإجماع، هو جواز السّجدة على القرطاس، إذا كان من جنس ما يُسجد عليه</w:t>
      </w:r>
      <w:r>
        <w:rPr>
          <w:rFonts w:eastAsia="Amiri" w:cs="Amiri" w:ascii="Amiri" w:hAnsi="Amiri"/>
          <w:color w:val="111111"/>
          <w:sz w:val="28"/>
          <w:szCs w:val="28"/>
          <w:rtl w:val="true"/>
          <w:lang w:bidi="ar-SA"/>
        </w:rPr>
        <w:t>.</w:t>
      </w:r>
      <w:bookmarkStart w:id="557" w:name="pg11799_136324"/>
    </w:p>
    <w:p>
      <w:pPr>
        <w:pStyle w:val="BookText"/>
        <w:rPr/>
      </w:pPr>
      <w:bookmarkEnd w:id="557"/>
      <w:r>
        <w:rPr>
          <w:rFonts w:ascii="Amiri" w:hAnsi="Amiri" w:eastAsia="Amiri" w:cs="Amiri"/>
          <w:color w:val="111111"/>
          <w:sz w:val="28"/>
          <w:sz w:val="28"/>
          <w:szCs w:val="28"/>
          <w:rtl w:val="true"/>
          <w:lang w:bidi="ar-SA"/>
        </w:rPr>
        <w:t>إذا كان مملوكاً أو في حكمه خالياً من النجاسة، ولا يجوزُ على المَغصوب مع العلم، ولا على النجاسة، ولا يُشترط طهارة مساقط بقيّة أعضاء السّجود</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10444730_73709187"/>
      <w:bookmarkStart w:id="559" w:name="_Toc212"/>
      <w:bookmarkEnd w:id="558"/>
      <w:r>
        <w:rPr>
          <w:rtl w:val="true"/>
        </w:rPr>
        <w:t>البحث عن شروط المسجد</w:t>
      </w:r>
      <w:bookmarkEnd w:id="559"/>
    </w:p>
    <w:p>
      <w:pPr>
        <w:pStyle w:val="Heading6"/>
        <w:numPr>
          <w:ilvl w:val="5"/>
          <w:numId w:val="1"/>
        </w:numPr>
        <w:rPr/>
      </w:pPr>
      <w:bookmarkStart w:id="560" w:name="__RefHeading___Toc10444732_73709187"/>
      <w:bookmarkStart w:id="561" w:name="_Toc213"/>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ثمّ إنّك قد عرفت</w:t>
      </w:r>
      <w:r>
        <w:rPr>
          <w:rStyle w:val="FootnoteAnchor"/>
          <w:rtl w:val="true"/>
        </w:rPr>
        <w:footnoteReference w:id="1086"/>
      </w:r>
      <w:r>
        <w:rPr>
          <w:rFonts w:ascii="Amiri" w:hAnsi="Amiri" w:eastAsia="Amiri" w:cs="Amiri"/>
          <w:color w:val="111111"/>
          <w:sz w:val="28"/>
          <w:sz w:val="28"/>
          <w:szCs w:val="28"/>
          <w:rtl w:val="true"/>
          <w:lang w:bidi="ar-SA"/>
        </w:rPr>
        <w:t xml:space="preserve">أنّه يجوز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 أو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 من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وعرفت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السّجود على المغصوب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الجهل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طهارة مساقط بقيّة أعضاء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بل لم يُعرف الخلاف إلّاعن أبي الصّلاح</w:t>
      </w:r>
      <w:r>
        <w:rPr>
          <w:rStyle w:val="FootnoteAnchor"/>
          <w:rtl w:val="true"/>
        </w:rPr>
        <w:footnoteReference w:id="1087"/>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لوجوب طهارة مواضع المساجد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وإطلاق النَّص المانع من السّجود على الموضع 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معاقد الإجماعات على اعتبار طهارة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النبويّ ضعيفُ السند والدّلالة، لاحتمال أنْ يكون المراد بالمساجد الأماكن المعدّة للصَّلاة، فيكون أجنبيّاً عن المقام، وقد عرفت أنّه لا دليل على اعتبار طهارة موضع السّجود، سوى الإجماع وصحيح ابن محبوب، وهما مختصّان بمسجدالجبهة، كما تقدّم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على العدم</w:t>
      </w:r>
      <w:r>
        <w:rPr>
          <w:rFonts w:eastAsia="Amiri" w:cs="Amiri" w:ascii="Amiri" w:hAnsi="Amiri"/>
          <w:color w:val="111111"/>
          <w:sz w:val="28"/>
          <w:szCs w:val="28"/>
          <w:rtl w:val="true"/>
          <w:lang w:bidi="ar-SA"/>
        </w:rPr>
        <w:t xml:space="preserve">. </w:t>
      </w:r>
      <w:bookmarkStart w:id="562" w:name="pg11799_136325"/>
    </w:p>
    <w:p>
      <w:pPr>
        <w:pStyle w:val="BookText"/>
        <w:rPr/>
      </w:pPr>
      <w:bookmarkEnd w:id="562"/>
      <w:r>
        <w:rPr>
          <w:rFonts w:ascii="Amiri" w:hAnsi="Amiri" w:eastAsia="Amiri" w:cs="Amiri"/>
          <w:color w:val="111111"/>
          <w:sz w:val="28"/>
          <w:sz w:val="28"/>
          <w:szCs w:val="28"/>
          <w:rtl w:val="true"/>
          <w:lang w:bidi="ar-SA"/>
        </w:rPr>
        <w:t>ولا يجوزُ السّجود على ما ليسَ بأرضٍ كالجلود، أو ما خَرَج عنها بالإستحالة كالمعادن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انقدح ممّا ذكرناه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السّجود على ما ليس بأرضٍ كالجلود، أو ما خرج عنها بالاستحالة كالمعادن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سلب اسم الأرض عنه كالملح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قيّدنا بصحّة سلب اسم الأرض عنه، للتنبيه على أنّ مناط المنع ذلك، لا صدق اسم المعدن، فلا يهمّنا البحث عن تحقيق معنى المعدن</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10444734_73709187"/>
      <w:bookmarkStart w:id="564" w:name="_Toc214"/>
      <w:bookmarkEnd w:id="563"/>
      <w:r>
        <w:rPr>
          <w:rtl w:val="true"/>
        </w:rPr>
        <w:t>اُمورٌ لابدَّ من التنبيه عليها</w:t>
      </w:r>
      <w:bookmarkEnd w:id="564"/>
    </w:p>
    <w:p>
      <w:pPr>
        <w:pStyle w:val="Heading6"/>
        <w:numPr>
          <w:ilvl w:val="5"/>
          <w:numId w:val="1"/>
        </w:numPr>
        <w:rPr/>
      </w:pPr>
      <w:bookmarkStart w:id="565" w:name="__RefHeading___Toc10444736_73709187"/>
      <w:bookmarkStart w:id="566" w:name="_Toc215"/>
      <w:bookmarkEnd w:id="565"/>
      <w:r>
        <w:rPr>
          <w:rtl w:val="true"/>
        </w:rPr>
        <w:t>اشارة</w:t>
      </w:r>
      <w:bookmarkEnd w:id="56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اُمورٌ لابدَّ من التنبيه عليها</w:t>
      </w:r>
      <w:r>
        <w:rPr>
          <w:rFonts w:eastAsia="Amiri" w:cs="Amiri" w:ascii="Amiri" w:hAnsi="Amiri"/>
          <w:color w:val="111111"/>
          <w:sz w:val="28"/>
          <w:szCs w:val="28"/>
          <w:rtl w:val="true"/>
          <w:lang w:bidi="ar-SA"/>
        </w:rPr>
        <w:t xml:space="preserve">: </w:t>
      </w:r>
      <w:bookmarkStart w:id="567" w:name="pg11799_136326"/>
    </w:p>
    <w:p>
      <w:pPr>
        <w:pStyle w:val="BookText"/>
        <w:rPr/>
      </w:pPr>
      <w:bookmarkEnd w:id="567"/>
      <w:r>
        <w:rPr>
          <w:rFonts w:ascii="Amiri" w:hAnsi="Amiri" w:eastAsia="Amiri" w:cs="Amiri"/>
          <w:color w:val="111111"/>
          <w:sz w:val="28"/>
          <w:sz w:val="28"/>
          <w:szCs w:val="28"/>
          <w:rtl w:val="true"/>
          <w:lang w:bidi="ar-SA"/>
        </w:rPr>
        <w:t>ويَجوزُ مع عدم الأرض على الثَّلج والقير وغيرهما، ومع الحَرّ على الثوب، وإنْ فُقِد فعلى اليد</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0444738_73709187"/>
      <w:bookmarkStart w:id="569" w:name="_Toc216"/>
      <w:bookmarkEnd w:id="568"/>
      <w:r>
        <w:rPr>
          <w:rtl w:val="true"/>
        </w:rPr>
        <w:t>ما يُسجَد عليه عند الاضطرار</w:t>
      </w:r>
      <w:bookmarkEnd w:id="56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مع عدم الأرض وعدم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السّجود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غيرهما ممّا لا يُسجد عليه عند الاختيار، وهذا في الجملة ممّا لا خلاف فيه، بل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وجود بدلٍ شرعي اضطراري مطلقاً، كما هو المشهور، أو مع الحَرّ كما ذكره المصنّف رحمه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الأرض على الثّلج والقير، وغيرهما، ومع الحَرّ على الثّوب، وإنْ فُقِد فعلى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عدمه مطلقاً، فيكفي وضع جبهته على أيّ شيءٍ يكون كما اختاره بعض</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ذلك يحتاج إلى ذكر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 غير واحدٍ من أصحابنا،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نكون بأرض باردة يكون فيها الثّلج أفنسجُد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اجعل بينك وبينه شيئاً قطناً أو كتّاناً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جواز السّجود على القطن والكتّان اختياراً، قد عرفت دفعها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السّفر فتحضر الصَّلاة، وأخاف الرَّمضاء على وجهي، كيف أصنع‌؟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على بعض 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ثوب يمكنني أن أسجد على طرفه، ولا ذيله‌؟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ظهر كفّك، فإنّها إحدى المساجد</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الرّجل يُصلّي في حَرٍّ شديد، فيخاف على جبهته من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ثوبه تحت جبهته</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الثالث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السفر، فيقطع عليه الطريق، فيبقى عرياناً في سراويل، ولا يجد ما يسجدُ عليه، يخاف إن سجد على الرّمضاء أحرقت وجهه‌؟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ظهر كفّه فإنّها إحدى المساجد</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 قميصه من أذى الحَرّ والبرد، وعلى ردائه إذا كان تحته مسحٌ أو غيره ممّا لا يسجد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هي العمدة في إثبات البدل الاضطراري، وأمّا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النافية للبأس عن السّجود على الثّوب عند الاضطرار، فلا تدلّ عليه، إذ نفي البأس أعمّ من التعيين، ومنه يظهر عدم دلالة الخبر الأخير على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95"/>
      </w:r>
      <w:r>
        <w:rPr>
          <w:rFonts w:ascii="Amiri" w:hAnsi="Amiri" w:eastAsia="Amiri" w:cs="Amiri"/>
          <w:color w:val="111111"/>
          <w:sz w:val="28"/>
          <w:sz w:val="28"/>
          <w:szCs w:val="28"/>
          <w:rtl w:val="true"/>
          <w:lang w:bidi="ar-SA"/>
        </w:rPr>
        <w:t>ظهوره في مفروغيّة السائل عن عدم جواز السّجود على المسح وغيره ممّا لا يُسجد 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عليه تقريرٌ للسائل على ما في ذهنه من عدم جواز السّجود على المسح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فيما ذُكر؛ إذ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تحته مسحٌ أو غيره ممّا لا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إرادته ما لا يُسجد عليه في حال الاختيار،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من الأخبار، فدلالته على وجود البدل الاضطراري، وهو الثّوب ثمّ ظهر الكفّ واضحة، وهذه النصوص وإنْ كانت واردة في مورد الحَرّ والبرد، إلّا أنّه يتعدّى عن موردها إلى ما لو لم يتمكّن من السّجود على ما يصحّ عليه لتقيّةٍ أو غيرها، للقطع بعدم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القول الأوّل، وتخصيص المصنّف رحمه الله البدل الاضطراري بمورد الحَرّ لعلّه من جهة اعتقاده عدم دلالة صحيح منصور لهذا القول، وغيره مختصٌّ بمورد الحَرّ، والتعدّي يحتاج إلى الدليل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جماعة من القائلين بالبدل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مخالفة دعواهم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أنّ المراتب في البدليّة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يكون من القطن أو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من غيرهما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النصوص المتقدّمة، أنّ الثّوب مطلقاً هو البدل الأوّل، من غير فرقٍ بين كونه من القطن أو الكتّان أو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تقييدها بصحيح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مفهوم له كي يقيّد به النصوص، ومنطوقه لا ينافيها، فلا وجه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لو لم يكن عنده ما يصحّ السّجود عليه، أو كان ولم يتمكّن من السّجود عليه سجد على ثوبه، وإنْ لم يكن سجد عليه ظهر كفّه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70" w:name="pg11799_136330"/>
    </w:p>
    <w:p>
      <w:pPr>
        <w:pStyle w:val="Heading6"/>
        <w:numPr>
          <w:ilvl w:val="5"/>
          <w:numId w:val="1"/>
        </w:numPr>
        <w:rPr/>
      </w:pPr>
      <w:bookmarkStart w:id="571" w:name="__RefHeading___Toc10444740_73709187"/>
      <w:bookmarkStart w:id="572" w:name="_Toc217"/>
      <w:bookmarkEnd w:id="570"/>
      <w:bookmarkEnd w:id="571"/>
      <w:r>
        <w:rPr>
          <w:rtl w:val="true"/>
        </w:rPr>
        <w:t>السّجود على ما لا تتمكّن الجبهة عليه</w:t>
      </w:r>
      <w:bookmarkEnd w:id="57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ما يسجد عليه ممّا تستقرّ الجبهة عليه، فلا يجوز على الطين الذي لا تستقرّ الجبهة عليه، ومع استقراره لا بأس بالسجود عليه، بلا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الطين الذي لا يُسجد عليه ما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الجبهة، ولم تثبت على الأرض</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وموثّقه الآخر،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يصيبه المطر، وهو في موضعٍ لا يقدر أن يسجد فيه من الطين، ولا يجدُ موضعا جافّاً؟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فإذا ركع فليركع كما يركع إذا صَلّى‌، فإذا رفع رأسه من الركوع فليؤمّ بالسجود إيماءً وهو قائمٌ يفعل ذلك حتّى يفرغ من الصَّلاة ويتشهّد وهو قائم</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هشام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لم يوجد إلّاالطين الذي لا يتمكّن الجبهة عليه، أومأ كما ذكره غير واحدٍ</w:t>
      </w:r>
      <w:r>
        <w:rPr>
          <w:rStyle w:val="FootnoteAnchor"/>
          <w:rtl w:val="true"/>
        </w:rPr>
        <w:footnoteReference w:id="1100"/>
      </w:r>
      <w:r>
        <w:rPr>
          <w:rFonts w:ascii="Amiri" w:hAnsi="Amiri" w:eastAsia="Amiri" w:cs="Amiri"/>
          <w:color w:val="111111"/>
          <w:sz w:val="28"/>
          <w:sz w:val="28"/>
          <w:szCs w:val="28"/>
          <w:rtl w:val="true"/>
          <w:lang w:bidi="ar-SA"/>
        </w:rPr>
        <w:t>لبدليّة الإيماء عن السّجود في كلّ مقامٍ يتعذّر فيه، وقد استدلّ له بالخبرين المتقدّمين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موردهما ما إذا كان المُصلّي في الأرض ذات الطين، بحيث تتلطّخ به ثيابه في حال الجلوس للسجود والتشهّد، ولذا حكم عليه السلام بأنّه يتشهّد وهو قائم، ولا ربط لهما بما إذا كان مكانه جافّاً، وكان الطين في مسجد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الأعاظم رحمه الله</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السّجدة في الفرض من غير اعتمادٍ، واستدلّ له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مراراً من أنّه لا يُعمل بها في أمثال المقام، ممّا يكون المعسور بعض ما يعتبر في الواجب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73" w:name="pg11799_136332"/>
    </w:p>
    <w:p>
      <w:pPr>
        <w:pStyle w:val="Heading6"/>
        <w:numPr>
          <w:ilvl w:val="5"/>
          <w:numId w:val="1"/>
        </w:numPr>
        <w:rPr/>
      </w:pPr>
      <w:bookmarkStart w:id="574" w:name="__RefHeading___Toc10444742_73709187"/>
      <w:bookmarkStart w:id="575" w:name="_Toc218"/>
      <w:bookmarkEnd w:id="573"/>
      <w:bookmarkEnd w:id="574"/>
      <w:r>
        <w:rPr>
          <w:rtl w:val="true"/>
        </w:rPr>
        <w:t>في مراتب فضل السجود</w:t>
      </w:r>
      <w:bookmarkEnd w:id="57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أفضل منه على النبات والقرطاس لصحيح هشام،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أفضل، لأنّه أبلغ في التواضع والخضوع للّه عزّ و جلّ‌</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والتراب أفضل من الحَجَر، لما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للمُصلّي أن يُباشر بجبهته الأرض، ويعفّر وجهه في التراب، لأنّه من التذلّل للّه عزّ وجلّ‌</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ما يُسجد عليه التربة الحسينيّة، لخبر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عبد اللّه عليه السلام خريطة ديباجٍ صَفراء فيها تربة أبي عبد اللّه عليه السلام، فكان إذا حضرته الصَّلاة صبّه على سجّادته وسجد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على تربة أبي عبد اللّه عليه السلام تخرق الحُجُب السّبع</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الصادق عليه السلام لا يسجدُ إلّاعلى تربة الحسين عليه السلام تذلّلاً له واستكانةً إليه</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طين قبر الحسين عليه السلام ينوّر إلى الأرضين السّبع</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عليه</w:t>
      </w:r>
      <w:r>
        <w:rPr>
          <w:rFonts w:eastAsia="Amiri" w:cs="Amiri" w:ascii="Amiri" w:hAnsi="Amiri"/>
          <w:color w:val="111111"/>
          <w:sz w:val="28"/>
          <w:szCs w:val="28"/>
          <w:rtl w:val="true"/>
          <w:lang w:bidi="ar-SA"/>
        </w:rPr>
        <w:t>.</w:t>
      </w:r>
      <w:bookmarkStart w:id="576" w:name="pg11799_136333"/>
    </w:p>
    <w:p>
      <w:pPr>
        <w:pStyle w:val="BookText"/>
        <w:rPr/>
      </w:pPr>
      <w:bookmarkEnd w:id="576"/>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مستحبّان في الصلوات الخمس، أداءً وقضاءً‌، للمنفرد والجامع، رجلاً كان أو امرأة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0444744_73709187"/>
      <w:bookmarkStart w:id="578" w:name="_Toc219"/>
      <w:bookmarkEnd w:id="577"/>
      <w:r>
        <w:rPr>
          <w:rtl w:val="true"/>
        </w:rPr>
        <w:t>الفصل السادس في الأذان والإقامة</w:t>
      </w:r>
      <w:bookmarkEnd w:id="578"/>
    </w:p>
    <w:p>
      <w:pPr>
        <w:pStyle w:val="Heading5"/>
        <w:numPr>
          <w:ilvl w:val="4"/>
          <w:numId w:val="1"/>
        </w:numPr>
        <w:rPr/>
      </w:pPr>
      <w:bookmarkStart w:id="579" w:name="__RefHeading___Toc10444746_73709187"/>
      <w:bookmarkStart w:id="580" w:name="_Toc220"/>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وهما يُطلقان في عرف الشارع والمتشرّعة، على الأذكار الخاصّة التي شُرِّعت أمام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فيهما يقع في مواضع</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0444748_73709187"/>
      <w:bookmarkStart w:id="582" w:name="_Toc221"/>
      <w:bookmarkEnd w:id="581"/>
      <w:r>
        <w:rPr>
          <w:rtl w:val="true"/>
        </w:rPr>
        <w:t>فيما يؤذّن له ويقام</w:t>
      </w:r>
      <w:bookmarkEnd w:id="582"/>
    </w:p>
    <w:p>
      <w:pPr>
        <w:pStyle w:val="Heading6"/>
        <w:numPr>
          <w:ilvl w:val="5"/>
          <w:numId w:val="1"/>
        </w:numPr>
        <w:rPr/>
      </w:pPr>
      <w:bookmarkStart w:id="583" w:name="__RefHeading___Toc10444750_73709187"/>
      <w:bookmarkStart w:id="584" w:name="_Toc222"/>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يؤذّن له ويقام،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مستحبّان في الصلوات الخمس أداءً وقضاءً‌، للمنفرد والجامع، 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المشهور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1108"/>
      </w:r>
      <w:r>
        <w:rPr>
          <w:rFonts w:ascii="Amiri" w:hAnsi="Amiri" w:eastAsia="Amiri" w:cs="Amiri"/>
          <w:color w:val="111111"/>
          <w:sz w:val="28"/>
          <w:sz w:val="28"/>
          <w:szCs w:val="28"/>
          <w:rtl w:val="true"/>
          <w:lang w:bidi="ar-SA"/>
        </w:rPr>
        <w:t>وابن حمزة</w:t>
      </w:r>
      <w:r>
        <w:rPr>
          <w:rStyle w:val="FootnoteAnchor"/>
          <w:rtl w:val="true"/>
        </w:rPr>
        <w:footnoteReference w:id="1109"/>
      </w:r>
      <w:r>
        <w:rPr>
          <w:rFonts w:ascii="IRNazanin" w:hAnsi="IRNazanin" w:eastAsia="IRNazanin"/>
          <w:color w:val="111111"/>
          <w:sz w:val="28"/>
          <w:sz w:val="28"/>
          <w:szCs w:val="28"/>
          <w:rtl w:val="true"/>
          <w:lang w:bidi="fa-IR"/>
        </w:rPr>
        <w:t>وابن البرّاج</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واجبان في صلاة الجماعة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الإقامة في كلّ فريضةٍ على الرِّجال، والأذان والإقامة على الرِّجال والنساء في الصبح والمغرب والجمعة، وعلى الرِّجال خاصّة في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الأذان في الصبح والمغرب، والإقامة في جميع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واجبان مطلقاً في الصبح والمغرب والجمعة، وتجبُ الإقامة في باقي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بينهم في الحكم اختلاف الأخبار، وقبل الشروع في بيان ما يُستفاد منها بعد الجمع، ينبغي تأسيس الأصل في المقام، ليكون هو المرجع عند فقد الدليل،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أصل الوجوب معلوماً، ويكون الشكّ في كونه شرطيّاً أو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 هو البراءة، من غير فرقٍ بين أن يشكّ في الوجوب الشرطي أو النفسي، بناءً على ما هو الحقّ من جريان البراءة في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مقتضى الأصل عدم الاكتفاء بالصَّلاة بدونهما، لأنّ العلم الإجمالي أوجب تنجّز 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بأحد الوجوبين، ينحلّ إلى العلم التفصيلي بوجوب الإتيان بهما، والشكّ في تقيّد الصَّلاة بهما، فتجري البراءة عن ذلك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الوجوبان يشتركان في الآثار، إلّاأنّ الوجوب الشرطي يختصّ بأثرٍ زائد، وهو عدم الاكتفاء بالصَّلاة بدونها، وتقيّد الصَّلاة بهما، فتجري البراءة عن هذا الأثر الزائد المشكوك فيه، وتمام الكلام في ذلك موكولٌ إليمحلّه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بما ذكرناه أنّه يكفي للحكم بعدم الوجوب، وعدم تقيّد الصَّلاة بهما، مجرّد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w:t>
      </w:r>
      <w:r>
        <w:rPr>
          <w:rFonts w:eastAsia="Amiri" w:cs="Amiri" w:ascii="Amiri" w:hAnsi="Amiri"/>
          <w:color w:val="111111"/>
          <w:sz w:val="28"/>
          <w:szCs w:val="28"/>
          <w:rtl w:val="true"/>
          <w:lang w:bidi="ar-SA"/>
        </w:rPr>
        <w:t>.</w:t>
      </w:r>
      <w:bookmarkStart w:id="585" w:name="pg11799_136336"/>
    </w:p>
    <w:p>
      <w:pPr>
        <w:pStyle w:val="Heading6"/>
        <w:numPr>
          <w:ilvl w:val="5"/>
          <w:numId w:val="1"/>
        </w:numPr>
        <w:rPr/>
      </w:pPr>
      <w:bookmarkStart w:id="586" w:name="__RefHeading___Toc10444752_73709187"/>
      <w:bookmarkStart w:id="587" w:name="_Toc223"/>
      <w:bookmarkEnd w:id="585"/>
      <w:bookmarkEnd w:id="586"/>
      <w:r>
        <w:rPr>
          <w:rtl w:val="true"/>
        </w:rPr>
        <w:t>استحباب الأذان مطلقاً</w:t>
      </w:r>
      <w:bookmarkEnd w:id="587"/>
    </w:p>
    <w:p>
      <w:pPr>
        <w:pStyle w:val="Heading6"/>
        <w:numPr>
          <w:ilvl w:val="5"/>
          <w:numId w:val="1"/>
        </w:numPr>
        <w:rPr/>
      </w:pPr>
      <w:bookmarkStart w:id="588" w:name="__RefHeading___Toc10444754_73709187"/>
      <w:bookmarkStart w:id="589" w:name="_Toc224"/>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استحباب الأذان مطلقاً كما هو المشهور، وتشهد له النصوص الدالّة على أنّ من صَلّى بأذانٍ وإقامةٍ صَلّى خلفه صفّان من الملائكة، ومن صَلّى بإقامة بلا أذانٍ صَلّى خلفه صفٌّ واحد</w:t>
      </w:r>
      <w:r>
        <w:rPr>
          <w:rStyle w:val="FootnoteAnchor"/>
          <w:rtl w:val="true"/>
        </w:rPr>
        <w:footnoteReference w:id="1114"/>
      </w:r>
      <w:r>
        <w:rPr>
          <w:rFonts w:ascii="Amiri" w:hAnsi="Amiri" w:eastAsia="Amiri" w:cs="Amiri"/>
          <w:color w:val="111111"/>
          <w:sz w:val="28"/>
          <w:sz w:val="28"/>
          <w:szCs w:val="28"/>
          <w:rtl w:val="true"/>
          <w:lang w:bidi="ar-SA"/>
        </w:rPr>
        <w:t>، فإنّها صريحة في أنّ ترك الأذان، إنّما يوجب فوات بعض مراتب كمال الصَّلاة، دون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للقول بوجوبه مطلقاً بموثّق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للمريض أن يُؤذِّن ويُقيم، لأنّه لا صلاة إلّا بأذانٍ وإقامة</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رفع اليد عن ظهور هذه النصوص، وحملها على الاستحباب لما تقدّم، وللنصوص المرخّصة في تركه،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يُجزيه في السفر والحضر إقامةٌ ليس معها أذان‌؟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على وجوبه في الجماعة، بخبر أبي بصير، عن أحدهما عليه السلام،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أيجزي أذانٌ واحد؟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 لم يجز إلّاأذان وإقامة، وإنْ كنتَ وحدك تبادر أمراً تخاف أن يفوتك، يُجزئك إقامة إلّاالفجر والمغرب، فإنّه ينبغي أن تؤذّن فيها وتُقيم من أجل أنّه لا يقصر فيهما كما يقصر في سائر الصلوات</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وقصور الدلالة؛ لأنّ الإجزاء كما يجوز أن يُراد به الإجزاء في الصحّة، كذلك يجوز أن يكون المراد الإجزاء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تضعيف السند، مع كون الخبر ممّا رواه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واستدلّ الشيخ رحمه الله به،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الإجزاء على الإجزاء في الفضيلة وإنْ كان ممكناً، إلّاأنّه خلاف الظاهر، لا يُصار إليه إلّامع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معارَضٌ بصحيح علي 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الصَّلاة ونحنُ مجتمعون في مكانٍ واحد، أتجزءنا إقامة بغير أذان‌؟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الحسن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وبين الخبر، يقتضي حمله على تأكّد الاستحباب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ظهر أنّه لا يصحّ الاستدلال لهذا القول بما في صحيح عبد اللّه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يجزؤك إذا خلوت في بيتك إقامة واحدة بغير أذان</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لتعيّن حمله على الإجزاء في الفضيلة للخبرين المتقدّمين</w:t>
      </w:r>
    </w:p>
    <w:p>
      <w:pPr>
        <w:pStyle w:val="BookText"/>
        <w:rPr/>
      </w:pPr>
      <w:r>
        <w:rPr>
          <w:rFonts w:ascii="Amiri" w:hAnsi="Amiri" w:eastAsia="Amiri" w:cs="Amiri"/>
          <w:color w:val="111111"/>
          <w:sz w:val="28"/>
          <w:sz w:val="28"/>
          <w:szCs w:val="28"/>
          <w:rtl w:val="true"/>
          <w:lang w:bidi="ar-SA"/>
        </w:rPr>
        <w:t>وأمّا ما في صحيح الحلبي، عن أبي عبد اللّه،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صَلّى وحده في البيت أقام إقامةً ولم يؤذِّن</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ظاهر فيه في نفسه، لإجماله من حيث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يؤذّن ويُقيم ليُصلّي وحده، فيجيءُ 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الإذن والإقامة‌؟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يؤذِّن ويُقيم</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في مقام بيان الاكتفاء بما أتى به للصَّلاة سابقاً، عمّا يكون مشروعاً في الجماعة، ولو على سبيل الاستحباب، وليس في مقام جعل الوجوب لهما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ظهورهما في اعتباره فيها، تعيّن حملهما على الاستحباب، لصحيح ابن رئاب، وخبر الحسن المتقدّمين، وبهما تندفع دعوى</w:t>
      </w:r>
      <w:r>
        <w:rPr>
          <w:rStyle w:val="FootnoteAnchor"/>
          <w:rtl w:val="true"/>
        </w:rPr>
        <w:footnoteReference w:id="1126"/>
      </w:r>
      <w:r>
        <w:rPr>
          <w:rFonts w:ascii="Amiri" w:hAnsi="Amiri" w:eastAsia="Amiri" w:cs="Amiri"/>
          <w:color w:val="111111"/>
          <w:sz w:val="28"/>
          <w:sz w:val="28"/>
          <w:szCs w:val="28"/>
          <w:rtl w:val="true"/>
          <w:lang w:bidi="ar-SA"/>
        </w:rPr>
        <w:t>إنّ الجماعة عبادة توقيفيّة، ولم يثبُت جوازها بلا أذانٍ وإقامة، فيرجع إلى 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بوجوبه في الجماعة مطلقاً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القول بوجوبه فيها لخصوص الرِّجال أيضاً غير تامّ‌، إذ لا مدرك له سوى ما ذُكر، بضميمة ما دلَّ على عدم وجوبه على النساء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بوجوبه في المغرب والصبح</w:t>
      </w:r>
      <w:r>
        <w:rPr>
          <w:rStyle w:val="FootnoteAnchor"/>
          <w:rtl w:val="true"/>
        </w:rPr>
        <w:footnoteReference w:id="1127"/>
      </w:r>
      <w:r>
        <w:rPr>
          <w:rFonts w:ascii="Amiri" w:hAnsi="Amiri" w:eastAsia="Amiri" w:cs="Amiri"/>
          <w:color w:val="111111"/>
          <w:sz w:val="28"/>
          <w:sz w:val="28"/>
          <w:szCs w:val="28"/>
          <w:rtl w:val="true"/>
          <w:lang w:bidi="ar-SA"/>
        </w:rPr>
        <w:t>فاستدلّوا له بجملةٍ‌ث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بن مهران،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والإقامة مثنى مثنى، ولابدّ في الفجر والمغرب من أذانٍ وإقامة في الحَضَر والسَّفر، لأنّه لا يقصر فيهما في حَضَر ولا سَفر، وتجزؤك إقامةٌ بغير أذان في الظهر والعصر والعشاء الآخرة، والأذان والإقامة في جميع الصلوات أفضل</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تُجزئك في الصَّلاة إقامةٌ واحدة، إلّا الغداة والمغرب</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الأذان أنْ تفتتح اللّيل بأذانٍ وإقامة، وتفتتح النّهار بأذانٍ وإقامة، ويُجزيك في سائر الصلوات إقامة بغير أذان</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هذه النصوص في اعتبار الأذان في الصبح والمغرب، وإنْ كان لا يُنكر، إلّا أنّه لابدّ من رفع اليد عن هذا الظهور، وحمل النصوص على تأكّد الاستحباب في المغرب، لمعارضتها فيها مع صحيح عمرو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الإقامة بغير الأذان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وما أحبّ أن يُعتاد</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اشتمال النصوص على تعليل الحكم في الصبح والمغرب بشيء واحد، يتعيّن حملها على الاستحباب في الصبح أيضاً، مضافاً إلى عدم القول بالفصل بينهما، مضافاً إلى أنّ بعض تلك النصوص ظاهرٌ في الاستحباب فيهما، كخبر أبي بصير المتقدّم، المشتمل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النسبة بين هذه النصوص، وبين ما دلَّ على عدم وجوبه في جميع الصلوات للمنفرد، عمومٌ من وجه، وحيثُ إنّ حمل هذه على تأكّد الاستحباب أهون من حمل تلك النصوص على غير الفجر والمغرب، فيتعيّن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 المحقّقين رحمه الله</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هذه النصوص تعارض ما دلَّ على عدم وجوبه مطلقاً، وحملها على تأكّد الاستحباب أهون من حمل المطلقات على غير الفجر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 الطائفتين عموم مطلق، وظهور المقيّد مقدّمٌ على ظهور المطلق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وجوبه في شيء من الصلوات، وأنّ الأقوى استحبابه في جميعها للرِّجال والنساء، وما يكون ظاهراً في عدم مشروعيّته لهنّ كصحيح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هل عليها أذان وإقامة‌؟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على عدم تأكّد الاستحباب، لصحيح ابن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تؤذّن للصّلاة‌؟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إنْ فَعَلت، وإنْ لم تفعل أجزأها أن تُكبّر وتَشهد أنْ لا إله إلّااللّه، وأنّ محمّداً رسول اللّه</w:t>
      </w:r>
      <w:r>
        <w:rPr>
          <w:rFonts w:eastAsia="Amiri" w:cs="Amiri" w:ascii="Amiri" w:hAnsi="Amiri"/>
          <w:color w:val="111111"/>
          <w:sz w:val="28"/>
          <w:szCs w:val="28"/>
          <w:rtl w:val="true"/>
          <w:lang w:bidi="ar-SA"/>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عدم الخلاف في مشروعيّته لهنّ جماعةً وفُرادى‌، وعن غير واحدٍ</w:t>
      </w:r>
      <w:r>
        <w:rPr>
          <w:rStyle w:val="FootnoteAnchor"/>
          <w:rtl w:val="true"/>
        </w:rPr>
        <w:footnoteReference w:id="113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بشرط أن تستر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صرّح به المصنّف رحمه الله في المقام،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إلى علمائنا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والظاهر أنّ مراده به إخفاء صوتها عن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صوتها عورة، فلو جَهَرت ارتكبت معصيةً‌، فلذا لا يعتدّ الرِّجال بأذان النساء، لأنّها إنْ جَهَرت فَسَد الأذان؛ لأنّه معصية، والنهي يدلّ على الفساد، وإلّا لا يُجزء لعدم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دليل لهم في هذا الشرط، سوى ذلك، وهو فاسدٌ؛ لعدم كون صوتها عورة، لما ورد من تكلّم النساء مع الرجال في مجالس المعصومين عليهم السلام، وتكلّم الصدِّيقة الطاهرة عليها السلام مع جملةٍ من الصحابة، وخروجها للمخاصمة في قضيّة فدك إلى المسجد وكان فيه من الصحابة جمعٌ غفير، وخطبتها الطويلة مشهورة عند الفريقين، وأيضاً تحيّة رسول اللّه صلى الله عليه و آله وأمير المؤمنين عليه السلام للنساء وجوابهنّ لهما، فعلى هذا لا وجه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المرأة للرِّجال جازَ لهم أن يعتدّوا ولا 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واعتراض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عليه بأنّها إنْ‌أجهرت فهو منهيٌّ عنه، والنهيّ يدلّ على الفساد، ضعيفٌ‌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90" w:name="pg11799_136342"/>
    </w:p>
    <w:p>
      <w:pPr>
        <w:pStyle w:val="Heading6"/>
        <w:numPr>
          <w:ilvl w:val="5"/>
          <w:numId w:val="1"/>
        </w:numPr>
        <w:rPr/>
      </w:pPr>
      <w:bookmarkStart w:id="591" w:name="__RefHeading___Toc10444756_73709187"/>
      <w:bookmarkStart w:id="592" w:name="_Toc225"/>
      <w:bookmarkEnd w:id="590"/>
      <w:bookmarkEnd w:id="591"/>
      <w:r>
        <w:rPr>
          <w:rtl w:val="true"/>
        </w:rPr>
        <w:t>الأذان لصلاة القضاء</w:t>
      </w:r>
      <w:bookmarkEnd w:id="592"/>
    </w:p>
    <w:p>
      <w:pPr>
        <w:pStyle w:val="BookText"/>
        <w:rPr/>
      </w:pPr>
      <w:r>
        <w:rPr>
          <w:rFonts w:ascii="Amiri" w:hAnsi="Amiri" w:eastAsia="Amiri" w:cs="Amiri"/>
          <w:color w:val="111111"/>
          <w:sz w:val="28"/>
          <w:sz w:val="28"/>
          <w:szCs w:val="28"/>
          <w:rtl w:val="true"/>
          <w:lang w:bidi="ar-SA"/>
        </w:rPr>
        <w:t>ثمّ إنّه قد ذكرنا فيما سبق أنّه لا فرق في استحباب الأذان للفرائض اليوميّة، بين كونها أداءً أو قضاءً‌، وهذا فيما لو أتى بكلّ صلاةٍ وحدها ممّا لا شبهة فيه ولا خلاف، ويشهد به صحيح زرارة المتضمّن حكاية الإمام الباقر عليه السلام نوم النبيّ صلى الله عليه و آله في بعض أسفاره في معرسه حتّى طلعت الشمس،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أذِّن، فأذَّن، وصَلّى رسول اللّه صلى الله عليه و آله ركعتي الفجر وأمر الصحابة فصلّوا ركعتي الفجر، ثمّ قام فصلّى بهم الصبح</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فوائد، وعَدَّ منها استحباب الأذان للفائتة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أيضاً في استحبابه للصَّلاة الأُولى، لمن قصد إتيان الفوائت مرّة واحدة،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صَلّى الصلوات وهو جنبٌ اليوم واليومين والثلاثة، ثمّ ذكر بعد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ويؤذّن ويُقيم في اُولاهن ثمّ يُصلّي ويُقيم بعد ذلك في كلّ صلاة، بغير أذان حتّى يقضي صلاته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يُغمى عليه ثمّ يفيق‌؟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يؤذِّن في الأُولى ويُقيم في البقيّة</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كان عليك قضاء صلواتٍ‌، فابدأ باُولاهنّ فأذّن لها وأقم، ثمّ صَلِّ ما بعدها بإقامةٍ لكلّ صلاة</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الخلاف في مشروعيّته مع الجمع لما عدا الصَّلاة الأُولى‌، فالمنسوب إلى المشهور</w:t>
      </w:r>
      <w:r>
        <w:rPr>
          <w:rStyle w:val="FootnoteAnchor"/>
          <w:rtl w:val="true"/>
        </w:rPr>
        <w:footnoteReference w:id="1146"/>
      </w:r>
      <w:r>
        <w:rPr>
          <w:rFonts w:ascii="Amiri" w:hAnsi="Amiri" w:eastAsia="Amiri" w:cs="Amiri"/>
          <w:color w:val="111111"/>
          <w:sz w:val="28"/>
          <w:sz w:val="28"/>
          <w:szCs w:val="28"/>
          <w:rtl w:val="true"/>
          <w:lang w:bidi="ar-SA"/>
        </w:rPr>
        <w:t xml:space="preserve">استحبابه لكلّصلاة،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حكم الفائتة استحباب تقديم الأذان والإقامة، فكذلك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إذا أعاد الصَّلاة، هل يعيد الأذان والإقامة‌؟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بإطلاقه يدلّ على استحبابهما للمعادة، سواءٌ أكانت أداءً أو قضاءً‌، وحدها أو مع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مشروعيّته للفرائض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مراراً من عدم حجيّة المنقول منه، لا سيّما مع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 مع وجود مدركٍ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ما دلَّ على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المطلقات في مقام البيان حتّى بالنسبة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سُلّم الإطلاق، لابدَّ من تقييدها بالنصوص المتقدّمة، الدالّة على سقوط الأذان عمّا عدا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مورد الرّخصة والتخفيف، ولا تنافي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الأذان واجباً ولو في خصوص الأولى منها، كان ما ذكر متيناً، ولكن بما أنّه مستحبٌّ مطلقاً، ولا كُلفة فيه في نفسه، فمن الأمر بالصَّلاة بدونه يستفاد 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ما في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فرض تماميّته سنداً ودلالةً‌، لابدَّ من تقييده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 أعاظم المحقّقين رحمه الله</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منه إرادة المماثلة في الأجزاء والشرائط الداخلة في حقيقة الصَّلاة، لا الخارجة عنها كالأذان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إرادة المماثلة في كلّ ما يكون موجباً لصحّة الصَّلاة، أو كمالها، ومنه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ظهوره في المتعدّد، مع أنّه لا إطلاق له من حيث القضاء والأداء كي يتمسّك به، لوروده في مقام بيان عدم إجزاء الأذان والإقامة المأتي بهما سابقاً عن الأذان والإقامة المشروعين للصَّلاة 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مشروعيّة الأذان لغير الصَّلاة الأُولى‌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93" w:name="pg11799_136345"/>
    </w:p>
    <w:p>
      <w:pPr>
        <w:pStyle w:val="Heading6"/>
        <w:numPr>
          <w:ilvl w:val="5"/>
          <w:numId w:val="1"/>
        </w:numPr>
        <w:rPr/>
      </w:pPr>
      <w:bookmarkStart w:id="594" w:name="__RefHeading___Toc10444758_73709187"/>
      <w:bookmarkStart w:id="595" w:name="_Toc226"/>
      <w:bookmarkEnd w:id="593"/>
      <w:bookmarkEnd w:id="594"/>
      <w:r>
        <w:rPr>
          <w:rtl w:val="true"/>
        </w:rPr>
        <w:t>البحث عن الإقامة</w:t>
      </w:r>
      <w:bookmarkEnd w:id="595"/>
    </w:p>
    <w:p>
      <w:pPr>
        <w:pStyle w:val="Heading6"/>
        <w:numPr>
          <w:ilvl w:val="5"/>
          <w:numId w:val="1"/>
        </w:numPr>
        <w:rPr/>
      </w:pPr>
      <w:bookmarkStart w:id="596" w:name="__RefHeading___Toc10444760_73709187"/>
      <w:bookmarkStart w:id="597" w:name="_Toc22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استحبابها أيضاً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وما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المركّب، وعدم القول بالفصل، إذ كلّ مَن اختار استحباب الأذان مطلقاً اختار استحبابها، ومن ذهب إلى وجوبها اختار وجوب الأذان في الجملة، فالتفصيل خرقٌ للإجماع، وحيثُ أثبتنا استحباب الأذان، فالإقامة تكون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من النصوص</w:t>
      </w:r>
      <w:r>
        <w:rPr>
          <w:rStyle w:val="FootnoteAnchor"/>
          <w:rtl w:val="true"/>
        </w:rPr>
        <w:footnoteReference w:id="1151"/>
      </w:r>
      <w:r>
        <w:rPr>
          <w:rFonts w:ascii="Amiri" w:hAnsi="Amiri" w:eastAsia="Amiri" w:cs="Amiri"/>
          <w:color w:val="111111"/>
          <w:sz w:val="28"/>
          <w:sz w:val="28"/>
          <w:szCs w:val="28"/>
          <w:rtl w:val="true"/>
          <w:lang w:bidi="ar-SA"/>
        </w:rPr>
        <w:t>على أنّ مَن صَلّى بإقامةٍ بلا أذانٍ صَلّى خلفه صفٌّ واحد أو ملكان أو ملكٌ‌، إذ هذه النصوص ظاهرة في أنّ فائدة الإقامة صيرورة المُصلّي إماماً للملائكة، وأنّه بتركها تفوت منه هذه الفائدة العظمى‌، فيستفاد منها كون الصَّلاة مع عدمها واجدة لجميع ما يعتبر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بالمفهوم تدلّ على أنّ مَن صَلّى بلا إقامة صَلّى وحده، ولم يُصلِّ أحدٌ خلفه، فتدلّ على صحّة الصَّلاة بدونها مع اشتمالها على الترغيب من دون ترهيب، فيكون ظاهراً في الاستحباب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الأذان والإقامة حتّى دخل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بناءً على أنّ المراد من الأذان ما يعمّ الإقامة بقرينة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السُنّة في المندوب، لاحتمال كون المراد بها ما ثبت وجوبه بغير الكتاب، كما اُطلقت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الواجب من السُنّة إنْ كانت محتملة، فهي بالنسبة إلى الإقامة لا الأذان، للإجماع على عدم وجوبه في غير الفجر والمغرب للمنفرد، فلا محيص عن إرادة المندوب بها، إذ إرادة الواجب بالنسبة إلى الإقامة، والمندوب بالسُنّة إلى الأذان، مستلزمةٌ لاستعمال اللّفظ في معنيين، وإرادة القدر المشترك بها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مراراً من إنّ الوجوب والاستحباب خارجان عن حريم المستعمل فيه، وإنّما هما ينتزعان من ترخيص الشارع في ترك المأمور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بالسُنّة ما ثبت مشروعيّته بغير الكتاب، وهذا المعنى يلائم مع استحباب الأذان ووجوب الإقامة، فهذا الخبر بنفسه لا يدلّ على عدم وجوب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حمل التعليل على التعبّد، وهو خلاف الظاهر، وهذا بخلاف ما لو اُريد بها المندوب، أي ما ثبت مشروعيّته مع الترخيص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153"/>
      </w:r>
      <w:r>
        <w:rPr>
          <w:rFonts w:ascii="Amiri" w:hAnsi="Amiri" w:eastAsia="Amiri" w:cs="Amiri"/>
          <w:color w:val="111111"/>
          <w:sz w:val="28"/>
          <w:sz w:val="28"/>
          <w:szCs w:val="28"/>
          <w:rtl w:val="true"/>
          <w:lang w:bidi="ar-SA"/>
        </w:rPr>
        <w:t>والحِلّي</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نَسى أن يُقيم للصَّلاة</w:t>
      </w:r>
      <w:r>
        <w:rPr>
          <w:rStyle w:val="FootnoteAnchor"/>
          <w:rtl w:val="true"/>
        </w:rPr>
        <w:footnoteReference w:id="1155"/>
      </w:r>
      <w:r>
        <w:rPr>
          <w:rFonts w:ascii="Amiri" w:hAnsi="Amiri" w:eastAsia="Amiri" w:cs="Amiri"/>
          <w:color w:val="111111"/>
          <w:sz w:val="28"/>
          <w:sz w:val="28"/>
          <w:szCs w:val="28"/>
          <w:rtl w:val="true"/>
          <w:lang w:bidi="ar-SA"/>
        </w:rPr>
        <w:t>حتّى انصرف‌؟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يُعيدها ولا يعود لمثلها</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حمل النسيان على الترك العمدي، بقرينة النهي عن العود لمثلها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الإعادة لا يُلازم عدم الوجوب، لإمكان أنْ يكون واجباً نفسيّاً</w:t>
      </w:r>
      <w:r>
        <w:rPr>
          <w:rFonts w:eastAsia="Amiri" w:cs="Amiri" w:ascii="Amiri" w:hAnsi="Amiri"/>
          <w:color w:val="111111"/>
          <w:sz w:val="28"/>
          <w:szCs w:val="28"/>
          <w:rtl w:val="true"/>
          <w:lang w:bidi="ar-SA"/>
        </w:rPr>
        <w:t xml:space="preserve">.). </w:t>
      </w:r>
      <w:bookmarkStart w:id="598" w:name="pg11799_136347"/>
    </w:p>
    <w:p>
      <w:pPr>
        <w:pStyle w:val="Heading6"/>
        <w:numPr>
          <w:ilvl w:val="5"/>
          <w:numId w:val="1"/>
        </w:numPr>
        <w:rPr/>
      </w:pPr>
      <w:bookmarkStart w:id="599" w:name="__RefHeading___Toc10444762_73709187"/>
      <w:bookmarkStart w:id="600" w:name="_Toc228"/>
      <w:bookmarkEnd w:id="598"/>
      <w:bookmarkEnd w:id="599"/>
      <w:r>
        <w:rPr>
          <w:rtl w:val="true"/>
        </w:rPr>
        <w:t>أدلّة وجوب الإقامة</w:t>
      </w:r>
      <w:bookmarkEnd w:id="600"/>
    </w:p>
    <w:p>
      <w:pPr>
        <w:pStyle w:val="BookText"/>
        <w:rPr/>
      </w:pPr>
      <w:r>
        <w:rPr>
          <w:rFonts w:ascii="IRNazanin" w:hAnsi="IRNazanin" w:eastAsia="IRNazanin"/>
          <w:color w:val="111111"/>
          <w:sz w:val="28"/>
          <w:sz w:val="28"/>
          <w:szCs w:val="28"/>
          <w:rtl w:val="true"/>
          <w:lang w:bidi="fa-IR"/>
        </w:rPr>
        <w:t>واستدلّ للقول بوجوبها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إنّ الإقامة أدنى ما يُجزي</w:t>
      </w:r>
      <w:r>
        <w:rPr>
          <w:rStyle w:val="FootnoteAnchor"/>
          <w:rtl w:val="true"/>
        </w:rPr>
        <w:footnoteReference w:id="1157"/>
      </w:r>
      <w:r>
        <w:rPr>
          <w:rFonts w:ascii="IRNazanin" w:hAnsi="IRNazanin" w:eastAsia="IRNazanin"/>
          <w:color w:val="111111"/>
          <w:sz w:val="28"/>
          <w:sz w:val="28"/>
          <w:szCs w:val="28"/>
          <w:rtl w:val="true"/>
          <w:lang w:bidi="fa-IR"/>
        </w:rPr>
        <w:t>، وقد تقدّم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النصوص عدم الاكتفاء عن المشروع بأقلّ من الإقامة، وأمّا كون المشروع واجباً أم مندوباً، فهذا التعبير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إجزاء الصَّلاة بدون الإقامة في إسقاط التكليف المتعلّق بالصَّلاة، مستلزمٌ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الأخبار ليس عدم الإجتزاء بالصَّلاة بدونها، و إنّما مفادها عدم الإجتزاء بأقلّ منها في الخروج عن الأمر المتعلّق بالافعال المخصوصة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إشعار هذا التعبير بالوجوب ضعيفٌ‌، لكثرة استعمال هذه الكلمة في المستحبّات، حيث يظهر لمن تتبّع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ما ذكرناه، قوله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ورَخَّص في سائر الصلوات بالإقامة، والأذانُ أفضل</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حيث أنّه يدلّ على إنّ الأصل الأذان معها، ومعلوم أنّ أصالته إنّما تكون في تمام الفضل لا في الوجوب، فتتبعه الرخصة حينئذٍ</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للأمر بقطع الصَّلاة عند نسيان الإقامة لتداركها</w:t>
      </w:r>
      <w:r>
        <w:rPr>
          <w:rStyle w:val="FootnoteAnchor"/>
          <w:rtl w:val="true"/>
        </w:rPr>
        <w:footnoteReference w:id="11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ولولا وجوبها لما جاز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قطع الصَّلاة لدرك فضيلة الإقامة جائزاً، كما يجوز لفائدةٍ دنيويّة، فجواز قطعها أو استحبابه لا يستلزم وجوبها، لئلّا ينافي مع القاعدة العقليّة الحاكمة بعدم جواز ارتكاب الحرام لدرك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بالقطع ظاهرٌ فى وجوبه، ولولا وجوبها لما وجب القطع لتدراكها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الأمر لوروده مورد توهّم المنع لا يكون ظاهراً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بها، كموثّق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صلاة فريضةٍ‌، فأذّن وأقم، وأفصل بين الأذان والإقامة بقعود أو كلام أو تسبيح</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الغداة والمغرب إلّابأذانٍ وإقامة، ورَخّص في سائر الصلوات بالإقامة، والأذان أفضل</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بعض الأعاظم رحمه الله</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النصوص بأنّ هذا النوع من الأخبار بعد صرفها عن ظاهرها في الأذان، لا يبقى لها ظهورٌ في الوجوب بالنسبة إلى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إنّ الوجوب والندب خارجان عن مدلول الأمر، بل الأمر فيهما يستعمل في معنى واحد، فلا مانع من التفكيك بينهما، لأجل الترخيص في ترك الأذان خاصّة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النصوص، إنّها بالنسبة إلى الإقامة أيضاً محمولة على الاستحباب، لما عرفت من الدليل على عدم وجوبها، فيجمع بينهما بالحمل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مراعاة الشرائط المعتبرة في الصَّلاة حال الإقامة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أعمٌّ من المدَّعى، إذ مفاد هذه النصوص اعتبار هذه الاُمور في الإقامة، وهو لا ينافي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أذان ولا إقامة على النساء، كصحيح جميل المتقدّم</w:t>
      </w:r>
      <w:r>
        <w:rPr>
          <w:rStyle w:val="FootnoteAnchor"/>
          <w:rtl w:val="true"/>
        </w:rPr>
        <w:footnoteReference w:id="1165"/>
      </w:r>
      <w:r>
        <w:rPr>
          <w:rFonts w:ascii="Amiri" w:hAnsi="Amiri" w:eastAsia="Amiri" w:cs="Amiri"/>
          <w:color w:val="111111"/>
          <w:sz w:val="28"/>
          <w:sz w:val="28"/>
          <w:szCs w:val="28"/>
          <w:rtl w:val="true"/>
          <w:lang w:bidi="ar-SA"/>
        </w:rPr>
        <w:t>، المحمول على نفي اللّزوم لما دلَّ على مشروعيّتها لهنّ‌، كقول الإمام الصادق عليه السلام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إنْ أذَّنَتْ وأقامتْ فهو أفضل</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ى، فهذه النصوص تدلّ بالمفهوم على اللّزوم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حجيّة مفهومها، لعدم كونه من مفهوم الشرط، بل هو مندرجٌ في مفهوم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هذه النصوص، اختلاف الرِّجال مع النساء في مرتبة المشروعيّة، وآكديّتها للرِّجال، وحينئذٍ فكما يمكن أنْ يكون ذلك بوجوبها لهم، واستحبابها لهنّ‌، كذلك يمكن أنْ يكون بتأكّد استحبابها لهم وعدمه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ظهورها في الوجوب، لابدَّ من صرفها عن ظاهرها، لما دلَّ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إنّ الإقامة من الصَّلاة، كخبر أبي هارون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الإقامة من الصَّلاة، فإذا أقمت فلا تتكلّم ولا تؤمئ بيدك</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أبي يونس</w:t>
      </w:r>
      <w:r>
        <w:rPr>
          <w:rStyle w:val="FootnoteAnchor"/>
          <w:rtl w:val="true"/>
        </w:rPr>
        <w:footnoteReference w:id="1168"/>
      </w:r>
      <w:r>
        <w:rPr>
          <w:rFonts w:ascii="Amiri" w:hAnsi="Amiri" w:eastAsia="Amiri" w:cs="Amiri"/>
          <w:color w:val="111111"/>
          <w:sz w:val="28"/>
          <w:sz w:val="28"/>
          <w:szCs w:val="28"/>
          <w:rtl w:val="true"/>
          <w:lang w:bidi="ar-SA"/>
        </w:rPr>
        <w:t>، وسليمان بن صالح</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سندها، إنّها لا تكون في مقام البيان من جهة الوجوب، كي يتمسّك بإطلاق التنزيل، والقدر المتيقّن غيره، كحرمة الكلام ونحوها، مع معارضتها بما دلَّ على أنّ افتتاحها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إنّه لا صلاة إلّابإقامة، كموثّق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لابدَّ للمريض أن يُؤذِّن ويُقيم إذا أراد الصَّلاة، ولو في نفسه، إنْ لم يقدر على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شديد الوجع‌؟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يؤذِّن ويُقيم، لأنّه لا صلاة إلّا بأذانٍ وإقامة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ثبت استحباب الأذان، لابدَّ من حمل النفي على نفي الكمال بالإضافة إليه، فبالإضافة إلى الإقامة أيضاً لا محيص عن ذلك، لاستلزام حمله على نفي الصحّة، استعماله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سُلّم ظهور هذه النصوص في نفي الصحّة بالإضافة إليها، لابدَّ من صرف ظهورها، لما دلَّ على عدم وجوبها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الأذان والإقامة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ويتأكّدان في الجهريّة خصوصاً في الغداة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ويتأكّدان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الجهريّة، خصوصاً في الغداة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في الأذان في الغداة والمغرب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الإقامة والأذان في العشاء، فلا مستند له سوى الإجماع المنقول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01" w:name="pg11799_136352"/>
    </w:p>
    <w:p>
      <w:pPr>
        <w:pStyle w:val="Heading6"/>
        <w:numPr>
          <w:ilvl w:val="5"/>
          <w:numId w:val="1"/>
        </w:numPr>
        <w:rPr/>
      </w:pPr>
      <w:bookmarkStart w:id="602" w:name="__RefHeading___Toc10444764_73709187"/>
      <w:bookmarkStart w:id="603" w:name="_Toc229"/>
      <w:bookmarkEnd w:id="601"/>
      <w:bookmarkEnd w:id="602"/>
      <w:r>
        <w:rPr>
          <w:rtl w:val="true"/>
        </w:rPr>
        <w:t>مسألتان</w:t>
      </w:r>
      <w:r>
        <w:rPr>
          <w:rtl w:val="true"/>
        </w:rPr>
        <w:t>:</w:t>
      </w:r>
      <w:bookmarkEnd w:id="603"/>
    </w:p>
    <w:p>
      <w:pPr>
        <w:pStyle w:val="Heading6"/>
        <w:numPr>
          <w:ilvl w:val="5"/>
          <w:numId w:val="1"/>
        </w:numPr>
        <w:rPr/>
      </w:pPr>
      <w:bookmarkStart w:id="604" w:name="__RefHeading___Toc10444766_73709187"/>
      <w:bookmarkStart w:id="605" w:name="_Toc230"/>
      <w:bookmarkEnd w:id="604"/>
      <w:r>
        <w:rPr>
          <w:rtl w:val="true"/>
        </w:rPr>
        <w:t>موارد سقوط الأذان</w:t>
      </w:r>
      <w:bookmarkEnd w:id="605"/>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وحده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يوم الجمعة إذا جُمعت مع الجمعة أو الظهر كما هو المشهور، بل نُسب إليهم</w:t>
      </w:r>
      <w:r>
        <w:rPr>
          <w:rStyle w:val="FootnoteAnchor"/>
          <w:rtl w:val="true"/>
        </w:rPr>
        <w:footnoteReference w:id="1172"/>
      </w:r>
      <w:r>
        <w:rPr>
          <w:rFonts w:ascii="Amiri" w:hAnsi="Amiri" w:eastAsia="Amiri" w:cs="Amiri"/>
          <w:color w:val="111111"/>
          <w:sz w:val="28"/>
          <w:sz w:val="28"/>
          <w:szCs w:val="28"/>
          <w:rtl w:val="true"/>
          <w:lang w:bidi="ar-SA"/>
        </w:rPr>
        <w:t>سقوطه في حال الجمع مطلقاً، وقيل</w:t>
      </w:r>
      <w:r>
        <w:rPr>
          <w:rStyle w:val="FootnoteAnchor"/>
          <w:rtl w:val="true"/>
        </w:rPr>
        <w:footnoteReference w:id="1173"/>
      </w:r>
      <w:r>
        <w:rPr>
          <w:rFonts w:ascii="Amiri" w:hAnsi="Amiri" w:eastAsia="Amiri" w:cs="Amiri"/>
          <w:color w:val="111111"/>
          <w:sz w:val="28"/>
          <w:sz w:val="28"/>
          <w:szCs w:val="28"/>
          <w:rtl w:val="true"/>
          <w:lang w:bidi="ar-SA"/>
        </w:rPr>
        <w:t>بسقوطه في حال الجمع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تخصيص السقوط بيوم الجمعة، فيما لو جمعت مع الجمعة، وعن غير واحدٍ</w:t>
      </w:r>
      <w:r>
        <w:rPr>
          <w:rStyle w:val="FootnoteAnchor"/>
          <w:rtl w:val="true"/>
        </w:rPr>
        <w:footnoteReference w:id="1175"/>
      </w:r>
      <w:r>
        <w:rPr>
          <w:rFonts w:ascii="Amiri" w:hAnsi="Amiri" w:eastAsia="Amiri" w:cs="Amiri"/>
          <w:color w:val="111111"/>
          <w:sz w:val="28"/>
          <w:sz w:val="28"/>
          <w:szCs w:val="28"/>
          <w:rtl w:val="true"/>
          <w:lang w:bidi="ar-SA"/>
        </w:rPr>
        <w:t>دعوى الإجماع عليه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به لهذا الحكم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فرض حجيّتها مختصّة بعصر يوم الجمعة إذا جُمِعت مع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بناءً على أنّ المراد منه أذان العصر، لأنّه ثالث الأذانين للظهر والصبح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تتطرّق فيها احتمالات، </w:t>
      </w:r>
    </w:p>
    <w:p>
      <w:pPr>
        <w:pStyle w:val="BookText"/>
        <w:rPr/>
      </w:pPr>
      <w:r>
        <w:rPr>
          <w:rFonts w:ascii="Amiri" w:hAnsi="Amiri" w:eastAsia="Amiri" w:cs="Amiri"/>
          <w:color w:val="111111"/>
          <w:sz w:val="28"/>
          <w:sz w:val="28"/>
          <w:szCs w:val="28"/>
          <w:rtl w:val="true"/>
          <w:lang w:bidi="ar-SA"/>
        </w:rPr>
        <w:t>منها إرادة الأذان الثاني، الذي ابتدعه عثمان أو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ابن اُذينة، عن رهطٍ منهم الفضيل وزرارة،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جمعَ بين الظهر والعصر بأذانٍ وإقامتين، وجمع بين المغرب والعشاء بأذانٍ وإقامتين</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78"/>
      </w:r>
      <w:r>
        <w:rPr>
          <w:rFonts w:ascii="Amiri" w:hAnsi="Amiri" w:eastAsia="Amiri" w:cs="Amiri"/>
          <w:color w:val="111111"/>
          <w:sz w:val="28"/>
          <w:sz w:val="28"/>
          <w:szCs w:val="28"/>
          <w:rtl w:val="true"/>
          <w:lang w:bidi="ar-SA"/>
        </w:rPr>
        <w:t xml:space="preserve">من عدم اختصاصه بيوم الجمعة، وإنّما يدلّ على السقوط في موارد الجمع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تركه من النبيّ صلى الله عليه و آله لا يدلّ على سقوطه، إذ لعلّه يكون تركه كالجمع بين الصلاتين وترك النافلة لغرضٍ أهمّ كالتنبيه على جوازه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الأخبار متضمّنة لحكاية جمعه صلى الله عليه و آله بين الصلاتين من دون تعرّض للأذان، كالخبر الذي رواه عبد الملك،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بين الصلاتين من غير علّة‌؟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رسول اللّه صلى الله عليه و آله، أراد التخفيف عن اُمّته</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عدم تماميّة الاستدلال بصحيحي عبد اللّه بن سنان</w:t>
      </w:r>
      <w:r>
        <w:rPr>
          <w:rStyle w:val="FootnoteAnchor"/>
          <w:rtl w:val="true"/>
        </w:rPr>
        <w:footnoteReference w:id="1180"/>
      </w:r>
      <w:r>
        <w:rPr>
          <w:rFonts w:ascii="IRNazanin" w:hAnsi="IRNazanin" w:eastAsia="IRNazanin"/>
          <w:color w:val="111111"/>
          <w:sz w:val="28"/>
          <w:sz w:val="28"/>
          <w:szCs w:val="28"/>
          <w:rtl w:val="true"/>
          <w:lang w:bidi="fa-IR"/>
        </w:rPr>
        <w:t>وصفوان</w:t>
      </w:r>
      <w:r>
        <w:rPr>
          <w:rStyle w:val="FootnoteAnchor"/>
          <w:rtl w:val="true"/>
        </w:rPr>
        <w:footnoteReference w:id="1181"/>
      </w:r>
      <w:r>
        <w:rPr>
          <w:rFonts w:ascii="Amiri" w:hAnsi="Amiri" w:eastAsia="Amiri" w:cs="Amiri"/>
          <w:color w:val="111111"/>
          <w:sz w:val="28"/>
          <w:sz w:val="28"/>
          <w:szCs w:val="28"/>
          <w:rtl w:val="true"/>
          <w:lang w:bidi="ar-SA"/>
        </w:rPr>
        <w:t>، كما أنّه يظهر ضعف ما قيل</w:t>
      </w:r>
      <w:r>
        <w:rPr>
          <w:rStyle w:val="FootnoteAnchor"/>
          <w:rtl w:val="true"/>
        </w:rPr>
        <w:footnoteReference w:id="1182"/>
      </w:r>
      <w:r>
        <w:rPr>
          <w:rFonts w:ascii="Amiri" w:hAnsi="Amiri" w:eastAsia="Amiri" w:cs="Amiri"/>
          <w:color w:val="111111"/>
          <w:sz w:val="28"/>
          <w:sz w:val="28"/>
          <w:szCs w:val="28"/>
          <w:rtl w:val="true"/>
          <w:lang w:bidi="ar-SA"/>
        </w:rPr>
        <w:t>من أنّ حكاية الإمام له تدلّ عليه، بدعوى ظهورها في وقوع الأذان الأوّل للصلاتين اللّتين جمع بينهما، فيكون نظير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اكتفاء جماعة المأمومين بأذانٍ واحد، من أحدهم أو من الإمام، إذ يمكن أن تكون حكايته عليه السلام أيضاً لذلك الغرض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النبيّ صلى الله عليه و آله والأئمّة عليهم السلام على ترك الأذان في الموارد التي جَمَعوا فيها بين الصلاتين، أو أمروا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كان متيناً، إلّاأنّ مقتضاه التفصيل بين مورد الجمع المستحبّ وغيره، والالتزام بالسقوط وعدم المشروعيّة في الأوّل دون الثاني؛ إذ في الأوّل لا محمل لاستقرار سيرتهم عليهم السلام على الترك إلّاعدم المشروعيّة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83"/>
      </w:r>
      <w:r>
        <w:rPr>
          <w:rFonts w:ascii="Amiri" w:hAnsi="Amiri" w:eastAsia="Amiri" w:cs="Amiri"/>
          <w:color w:val="111111"/>
          <w:sz w:val="28"/>
          <w:sz w:val="28"/>
          <w:szCs w:val="28"/>
          <w:rtl w:val="true"/>
          <w:lang w:bidi="ar-SA"/>
        </w:rPr>
        <w:t>أنّه يمكن أنْ يكون التزامهم بالترك لأجل أرجحيّة الصَّلاة مع ترك الأذان، وهذا لا ينافي كون فعله أيضاً راجحاً في نفسه، نظير التطوّع في وقت الفريضة، حيثُ إنّ تركه والشروع في الفريضة أرجح، ويكون التطوّع أيضاً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بين المقامين، إذ ما ذُكر يتمّ في مثل التطوّع الذي يكون مستحبّاً في نفسه، والأدلّة الدالّة على أفضليّة المبادرة إلى الصَّلاة، لا توجب تخصيص ما دلَّ على استحبابه، لعدم التنافي بينهما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الأذان، فحيثُ أنّ المستفاد من ما دلَّ على مشروعيّته، أفضليّة الصَّلاة معه عن الصَّلاة بدونه، لا استحبابه في نفسه، فلو دلَّ دليلٌ في موردٍ خاص على إنّ الصَّلاة بدونه أفضل كما في المقام، فلا محالة يقع التنافي بينهما، وحيثُ أنّ ما دلَّ على أفضليّة الصَّلاة الفاقدة له أخصّ من ما دلَّ على مشروعيّته، فيُخصّص به، فلا يبقى دليل للمشروعيّة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تماميّة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84"/>
      </w:r>
      <w:r>
        <w:rPr>
          <w:rFonts w:ascii="Amiri" w:hAnsi="Amiri" w:eastAsia="Amiri" w:cs="Amiri"/>
          <w:color w:val="111111"/>
          <w:sz w:val="28"/>
          <w:sz w:val="28"/>
          <w:szCs w:val="28"/>
          <w:rtl w:val="true"/>
          <w:lang w:bidi="ar-SA"/>
        </w:rPr>
        <w:t>من إنّه في المورد الذي دلَّ الدليل على سقوط الأذان، يكون ذلك بنحو العزيمة لا الرخصة، إذ لا جهة للتمسّك بإطلاق أوامر الأذان فيه، وإلّا لإقتضى بقاء ندبه، فالمرجع أصالة عدم المشروعيّة المقتضية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أورده عليه بعض الأكابر</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مشروعيّته إنّما يدلّ على البعث إليه بالمطابقة، وعلى وجود المصلحة فيه بالالتزام، وانتفاء الأوّل للسيرة والإجماع، لا يقتضي البناء على عدم المصلحة المُصحّحة للتعبّد، لعدم التلازم بين الدلالتين في الحجيّة، فسقوط الأُولى عن الحجيّة لا يدلّ على سقوط الثانية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مراراً في هذا الكتاب، من أنّه لا كاشف عن وجود المصلحة سوى الحكم، ومع فرض انتفائه من أينَ يُستكشف وجود المصلحة، 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الجمع المرجوح؛ فلأنّ جمعهم عليهم السلام في هذا المورد لما لم يكن إلّالأجل التنبيه على الجواز، أو لبعض الاُمور الاُخر، المقتضية له من الاستعجال ونحوه، فترك الأذان كترك النافلة في هذا المورد، لا ينافي مع مشروعيّته، لا مكان أنْ يكون لأحدِ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الأذان في موارد الجمع المستحبّ للصَّلاة الثانية، بلا خصوصيّةٍ لعصر يوم الجمعة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بالجمع هو وصل الصَّلاة الثانية بالاُولى‌، على نحوٍ يصدق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إيقاعهما في زمانٍ واحد، كما عن جماعةٍ من المحقّقين</w:t>
      </w:r>
      <w:r>
        <w:rPr>
          <w:rStyle w:val="FootnoteAnchor"/>
          <w:rtl w:val="true"/>
        </w:rPr>
        <w:footnoteReference w:id="1186"/>
      </w:r>
      <w:r>
        <w:rPr>
          <w:rFonts w:ascii="Amiri" w:hAnsi="Amiri" w:eastAsia="Amiri" w:cs="Amiri"/>
          <w:color w:val="111111"/>
          <w:sz w:val="28"/>
          <w:sz w:val="28"/>
          <w:szCs w:val="28"/>
          <w:rtl w:val="true"/>
          <w:lang w:bidi="ar-SA"/>
        </w:rPr>
        <w:t>التصريح به، لأنّه المفهوم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حصول التفريق بفعل النافلة، كموثّق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إذا لم يكن بينهما تطوّع، فإذا كان بينهما تطوّع فلا جمع</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مفهوم الجملة الأُولى ليس إنّ المراد بالجمع عدم التطوّع، ولو مع الفصل الطويل كما قيل، بل مفهومها هو الجملة الثانية،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الإشتغال بالتعقيب فضلاً عن ركعات الاحتياط، وسجدتي السهو، ونحوهما ممّا يكون مرتبطاً بالصَّلاة، لا ينافي الجمع الموجب للإكتفاء بأذان الأُولى‌، ما لم يكن موجباً للفصل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سقوط الأذان، هو عصر يوم عرفة، بلا خلافٍ‌، بل عن غير واحدٍ</w:t>
      </w:r>
      <w:r>
        <w:rPr>
          <w:rStyle w:val="FootnoteAnchor"/>
          <w:rtl w:val="true"/>
        </w:rPr>
        <w:footnoteReference w:id="118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الأذان يوم عرفة أن يؤذِّن ويُقيم للظهر ثُمّ يُصلّي ثمّ يقوم فيقيم للعصر بغير أذانٍ‌، وكذلك المغرب والعشاء بالمُزدلفة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الصحيح بصورة الجمع بين الصلاتين لا يُنكر، إلّاأنّ اختصاصه بعرفة غير ظاهر، وذكره في سياق المزدلفة، لا يصلُح للقرينيّة كي يكون المطلق من قبيل المقرون بما يصلح للقرينيّة، ليوجب سقوط إطلاقه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ظاهر الصحيح، كون سقوط الأذان فيها بنحو العزيمة، 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أفضليّة الصَّلاة بغير أذان من الصَّلاة معه، يوجب تخصيص عمومات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المزدلفة بلا خلافٍ فيه، ويشهد له صحيح ابن سنان المتقدّم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والعشاء للمسلوس الذي يجمعهما مع 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 يجمع بين صلاتين الظهر والعصر، يؤخّر الظهر ويعجّل العصر بأذانٍ وإقامتين، ويؤخّر المغرب ويعجِّل العشاء بأذانٍ وإقامتين</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والعشاء للمستحاضة الّتي تجمعهما مع 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أنّها تجمع بين الظهرين بغُسلٍ‌، وبين العشائين بغُسل، بضميمة الكليّة التي أثبتناها وهي سقوط الأذان مع الجمع الرّاجح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هو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9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السقوط في المستحاضة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يرد عليه ما أورده من تأخّر عنه</w:t>
      </w:r>
      <w:r>
        <w:rPr>
          <w:rStyle w:val="FootnoteAnchor"/>
          <w:rtl w:val="true"/>
        </w:rPr>
        <w:footnoteReference w:id="1192"/>
      </w:r>
      <w:r>
        <w:rPr>
          <w:rFonts w:ascii="Amiri" w:hAnsi="Amiri" w:eastAsia="Amiri" w:cs="Amiri"/>
          <w:color w:val="111111"/>
          <w:sz w:val="28"/>
          <w:sz w:val="28"/>
          <w:szCs w:val="28"/>
          <w:rtl w:val="true"/>
          <w:lang w:bidi="ar-SA"/>
        </w:rPr>
        <w:t>من أنّا لم نقف عليها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06" w:name="pg11799_136358"/>
    </w:p>
    <w:p>
      <w:pPr>
        <w:pStyle w:val="Heading6"/>
        <w:numPr>
          <w:ilvl w:val="5"/>
          <w:numId w:val="1"/>
        </w:numPr>
        <w:rPr/>
      </w:pPr>
      <w:bookmarkStart w:id="607" w:name="__RefHeading___Toc10444768_73709187"/>
      <w:bookmarkStart w:id="608" w:name="_Toc231"/>
      <w:bookmarkEnd w:id="606"/>
      <w:bookmarkEnd w:id="607"/>
      <w:r>
        <w:rPr>
          <w:rtl w:val="true"/>
        </w:rPr>
        <w:t>موارد سقوط الأذان والإقامة</w:t>
      </w:r>
      <w:bookmarkEnd w:id="60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والإقامة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وإنْ لم يكن حاضراً حينما أذّنوا للصَّلاة وأقاموا،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شريح،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أدرك الإمام وهو في الرّكعة الأخيرة فقد أدرك فضل الجماعة، ومن أدركه وقد رفع رأسه من السّجدة الأخيرة وهو في التشهّد، فقد أدرك الجماعة، وليس عليه أذانٌ وإقامة، ومن أدركه وقد سَلّم، فعليه الأذان والإقامة</w:t>
      </w:r>
      <w:r>
        <w:rPr>
          <w:rFonts w:eastAsia="Amiri" w:cs="Amiri" w:ascii="Amiri" w:hAnsi="Amiri"/>
          <w:color w:val="111111"/>
          <w:sz w:val="28"/>
          <w:szCs w:val="28"/>
          <w:rtl w:val="true"/>
          <w:lang w:bidi="ar-SA"/>
        </w:rPr>
        <w:t>»</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وظهوره في عدم الأمر بهما لا يُنكر، فتخصّص به عمومات المشروعيّة، فيكون السقوط على وجه العزيمة دون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أذان غيره وإقامته،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جعفر عليه السلام في قميصٍ بلا إزار ولا رداء، ولا أذان ولا إقامةٍ‌،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صلّيت بنا بلا قيمصٍ ولا إزار ولا رداء ولا أذان ولا إقامة‌؟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قميصي كثيفٌ فهو يجزي أنْ لا يكون عَليَّ إزارٌ ولا رداء، وإنّي مررتُ بجعفر وهو يؤذّن ويُقيم، فلم أتكلّم فأجزأني ذلك</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خالد،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معه فسمع إقامة جارٍ له بالصَّلاة،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وإقامة،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يُجزِءُكُم أذان جاركم</w:t>
      </w:r>
      <w:r>
        <w:rPr>
          <w:rFonts w:eastAsia="Amiri" w:cs="Amiri" w:ascii="Amiri" w:hAnsi="Amiri"/>
          <w:color w:val="111111"/>
          <w:sz w:val="28"/>
          <w:szCs w:val="28"/>
          <w:rtl w:val="true"/>
          <w:lang w:bidi="ar-SA"/>
        </w:rPr>
        <w:t>»</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 وصاحب المستند</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السقوط بنحو العزيمة لا الرخصة، إذ الظاهر من النصوص المتضمّنة للتعبير بالإجزاء، كون سماع أذان الغير إقامته بمنزلة الأذان والإقامة، وموجباً لسقوط أمرهما، وعليه فلا يكونان مشروعين بعد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وإنْ كان موردها الجامع، إلّاأنّه يثبت الحكم للمنفرد بالأولويّة، ولو لم يسمع تمام الفصول، جاز له أن يُتمّ ما نقصه المؤذّن ويكتفي به، لصحيح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مؤذّن فنَقَص الأذان وأنتَ تُريد أن تُصلّي بأذانه، فأتمّ ما نَقَص هو من أذانه</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الإمام جماعة، ثمّ جاء آخرون، ما لم تتفرّق صفوفهم،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أبي عبد اللّه عليه السلام فأتاه رجلٌ‌، فقال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صلّينا في المسجد الفجر وانصرف بعضنا، وجلس بعض في التسبيح، فدخل علينا رجلٌ المسجد، فأذّن فمنعناه ودفعناه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ادفعه عن ذلك وامنعه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دخلوا فأرادوا أن يُصلّوا فيه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ولا يبدر بهم إمام</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المسجد، وقد صَلّى القوم، أيؤذّن ويُقيم‌؟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ولم يتفرّق الصفّ صَلّى بأذانهم وإقامتهم، وإنْ كان تفرّق الصفّ أذّن وأقام</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ينتهي إلى الإمام حين يُسلِّم‌؟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 الأذان، فيدخل معهم في أذانهم، فإنْ وجدهم قد تفرّقوا أعاد الأذان</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عليٍّ عليه السلام، إنّه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رجلٌ المسجد وقد صَلّى أهله فلا يؤذّنن ولا يقيمنّ‌</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خالد، عن زيد بن علي،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وقد صَلّى عليٌّ عليه السلام بالناس، فقال عليه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فليؤمّ أحدكما صاحبه ولا يؤذّن ولا يُقيم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الإمام الصادق عليه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الجماعة وقد انصرف القوم، ووجدت الإمام مكانه، وأهل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 قبل أن يتفرّقوا، أجزأك أذانهم وإقامتهم، فاستفتح الصَّلاة لنفسك، وإذا وافيتهم وقد انصرفوا من صلاتهم، وهم جلوسٌ أجزأك إقامةٌ بغير أذان، وإن وجدتهم قد تفرّقوا، وخرج بعضهم من المسجد، فأذّن وأقم لنفسك</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حجيّة هذه النصوص بضعف سندها، في غير محلّها، إذ مضافاً إلى عمل الأصحاب بها، الموجب لجبر ضعف سندها، فإنّ موثّق أبي بصير، وخبر أبي علي،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أبي بصير بين الثقة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أنّه مشترك بين ليث المرادي، ويحيى‌، وكلٌّ منهما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جهالة أبي علي غير مضرّة، إذ يعدّ ابن أبي عمير الراوي عنه من أصحاب الإجماع، الذي لا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بإزاء هذه النصوص هناك خبر معاوية بن شريح المتقدّم في المورد الأوّل، وموثّق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أدرك الإمام حين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يؤذّن ويُقيم ويفتتح الصَّلاة</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حمل بعضٌ الخبرين على صورة التفرّق، جمعاً بينهما وبين الأخبار المتقدّمة، لكنّه بعيدٌ غايته، إذ كيف يمكن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الإمام حين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بعد التفرّق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بعض المحقّقين رحمه الله</w:t>
      </w:r>
      <w:r>
        <w:rPr>
          <w:rStyle w:val="FootnoteAnchor"/>
          <w:rtl w:val="true"/>
        </w:rPr>
        <w:footnoteReference w:id="1206"/>
      </w:r>
      <w:r>
        <w:rPr>
          <w:rFonts w:ascii="Amiri" w:hAnsi="Amiri" w:eastAsia="Amiri" w:cs="Amiri"/>
          <w:color w:val="111111"/>
          <w:sz w:val="28"/>
          <w:sz w:val="28"/>
          <w:szCs w:val="28"/>
          <w:rtl w:val="true"/>
          <w:lang w:bidi="ar-SA"/>
        </w:rPr>
        <w:t>بين الطائفتين، بحمل النصوص المتقدّمة على الكراهة، بالمعنى الذي لا ينافي استحبابهما، وهو المرجوحيّة بالإضافة إلى الصَّلاة بدونهما، لصراحة الخبرين في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 الكراهة بهذا المعنى في الأذان والإقامة تستلزمُ عدم مشروعيّتهما، وليسا كالتطوّع كي يمكن الالتزام بهذا المعنى فيهما مع بقاء مشروعيّتهما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معيار كون الجمع عرفيّاً، فرض المتنافيين في كلامٍ واحد صادر من شخص واحد، فإنْ كان أحدهما قرينةً على الآخر، والعرف لم يلاحظ تهافتاً في الكلام، فهو الجمع العرفي وإلّا فلا، وفي المقام إذا جمعنا قوله عليه السلام في خبر أبي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امنعه أشدّ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يُؤذّن ويُقيم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شبهة في أنّ العرف يرى تهافتاً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الالتزام بعدم إمكان الجمع العرفي والتعارض بينهما، فلابدّ من الرجوع إلى مرجّحات باب المعارضة، والظاهر أنّ الترجيح مع النصوص الأوّل لأشهريّة مضمونها بين الفقهاء وأكثريتها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يتوهّم التعارض بين مدلول النصوص المتقدّمة، إذ سقوط الأذان والإقامة في خبري أبي بصير، عُلّق على عدم التفرّق، المتوقّف صدقه على بقاء الجميع، وفي خبر أبي علي عُلّق على بقاء بعضٍ من المأمومين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ظهور التفرّق فيهما، في تفرّق الهيئة الاجتماعيّة، الحاصل بذهاب البعض، ولو كان واحداً، لابدَّ من حملها على إرادة تفرّق الجميع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الحاصل بافتراق كلّ واحدٍ من المصلّين، لخبر أبي علي الصريح في بقاء السقوط بذهاب البعض، مع إنّ للمنع عن ظهور التفرّق فيه مجالاً واسعاً، إذ التفرّق لاستناده إلى المصلّين، وإلى الصفّ الذي اُريد منه المصطفّين، ظاهرٌ في المعنى الثاني،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سقوط الأذان والإقامة ما لم يتفرّق الجميع، ولو مع ذهاب الجميع إلّاالاثنين المشتغلين بأمرٍ مرتبط بالصّلاه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السقوط على وجه العزيمة لا الرخصة،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لقوله عليه السلام في خبر أبي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عن ذلك، وامنعه أشدّ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خبر معاوية وموثّق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عدم كون السقوط بنحو العزيمة، إلّاأنّه قد عرفت إنّه لابدَّ من طرحهما أو حملهما على ما لا ينافي النصوص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الحكم بالمسجد، إذ مورد أغلب النصوص وإنْ كان المسجد، إلّاأنّ خبر أبي بصير مطلق، وليس في النصوص الاُخر ما يوجب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وغلبة انعقاد الجماعة في المسجد، لا توجبُ انصراف إطلاقه،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وغيرهما من الاختصاص، غير تامّ‌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ظاهر المشهور اختصاص السقوط بالجامع، وعن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اختصاصه بالمنفرد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من الجامع والمنفرد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فلروايتي زيد وأبي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لتخصيص الحكم في المنفرد بمن أراد الإئتمام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الإطلاق على المتعارف في ذلك الزمان، من الإئتمام عند إدراك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لنا كون المتعارف في ذلك الزمان أنّ كلّ من دخل المسجد كان مريداً للجماعة، فضلاً عن أنّ الغلبة لا توجب الانصراف</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فروعاً اُخر، كشمول الحكم لصورة تعدّد المكان، وصورة إدراك جماعة القضاء وغيرهما، لكن لأجل وضوح حكمها ممّا ذكرناه، أغمضنا عن ذكرها</w:t>
      </w:r>
      <w:r>
        <w:rPr>
          <w:rFonts w:eastAsia="Amiri" w:cs="Amiri" w:ascii="Amiri" w:hAnsi="Amiri"/>
          <w:color w:val="111111"/>
          <w:sz w:val="28"/>
          <w:szCs w:val="28"/>
          <w:rtl w:val="true"/>
          <w:lang w:bidi="ar-SA"/>
        </w:rPr>
        <w:t>.</w:t>
      </w:r>
      <w:bookmarkStart w:id="609" w:name="pg11799_136365"/>
    </w:p>
    <w:p>
      <w:pPr>
        <w:pStyle w:val="BookText"/>
        <w:rPr/>
      </w:pPr>
      <w:bookmarkEnd w:id="609"/>
      <w:r>
        <w:rPr>
          <w:rFonts w:ascii="Amiri" w:hAnsi="Amiri" w:eastAsia="Amiri" w:cs="Amiri"/>
          <w:color w:val="111111"/>
          <w:sz w:val="28"/>
          <w:sz w:val="28"/>
          <w:szCs w:val="28"/>
          <w:rtl w:val="true"/>
          <w:lang w:bidi="ar-SA"/>
        </w:rPr>
        <w:t>وصورة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إله إلّااللّه، أشهدُ أنْ لا إله إلّااللّه،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إلّااللّه، لا إله إلّااللّه</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0444770_73709187"/>
      <w:bookmarkStart w:id="611" w:name="_Toc232"/>
      <w:bookmarkEnd w:id="610"/>
      <w:r>
        <w:rPr>
          <w:rtl w:val="true"/>
        </w:rPr>
        <w:t>كيفيّة الأذان والإقامة</w:t>
      </w:r>
      <w:bookmarkEnd w:id="611"/>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صورة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إله إلّااللّه، أشهدُ أنْ لا إله إلّااللّه،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إلّااللّه،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إجماعاً، أو عليه عمل الأصحاب، أو نحو ذلك ممّا حُكي في المقام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بكر الحضرمي وكُليب الأسدي جميعاً عن الإمام الصادق عليه السلام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حكى لهما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Style w:val="FootnoteAnchor"/>
          <w:rtl w:val="true"/>
        </w:rPr>
        <w:footnoteReference w:id="1211"/>
      </w:r>
      <w:r>
        <w:rPr>
          <w:rFonts w:ascii="Amiri" w:hAnsi="Amiri" w:eastAsia="Amiri" w:cs="Amiri"/>
          <w:color w:val="111111"/>
          <w:sz w:val="28"/>
          <w:sz w:val="28"/>
          <w:szCs w:val="28"/>
          <w:rtl w:val="true"/>
          <w:lang w:bidi="ar-SA"/>
        </w:rPr>
        <w:t>إلى آخر ما ذكر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 خبر المعلّى بن خنيس</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تفتتح الأذان بأربع تكبيرات، وتختمه بتكبيرتين وتهليلتين</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تعارضها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الأذان‌؟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الأخبار المتقدّمة</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والإقامة مثنى مثنى</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إعراض الأصحاب عن هذه النصوص، وعدم عملهم بها، لكان مقتضى الجمع بين الطائفتين، الالتزام بأنّ الأقلّ يكون مجزياً، وأنّ الأولى والأفضل الإتيان بالأكثر، لكنّه لأجل الإعراض لابدَّ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إنّ القول بكفاية التهليل في آخره مرّة واحدة لا يُعتنى به، وإنْ دلَّ عليه خبر البزنطي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الأذان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والإقامة مثله إلّاالتكبير، فإنّه يسقط منه مرّتان في أوّله، والتهليل يسقط منه مرّة في آخره، ويزيدُ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فإنّه يسقط منه مرّتان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 يسقط منه مرّة في آخره، ويزيد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التكبير عندنا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معروفيّة كونها كذلك لدى الشيعة، المعتضدة بالاجماعات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إسماعيل الجُعفي،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خمسة وثلاثون حرفاً، فعدَّ ذلك بيده واحداً واحداً، والأذان ثمانية عَشَر حرفاً، والإقامة سبعة عشر حرفاً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ينطبق إلّاعلى ما عرفت من كون التهليل في آخر الإقامة مرّة، والتكبير في أوّلها مرّتين،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الاُخر الواردة في المقام غير منطبقة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مثنى مثنى</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واحدة واحدة</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زرارة والفضيل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كالأذان</w:t>
      </w:r>
      <w:r>
        <w:rPr>
          <w:rStyle w:val="FootnoteAnchor"/>
          <w:rtl w:val="true"/>
        </w:rPr>
        <w:footnoteReference w:id="1219"/>
      </w:r>
      <w:r>
        <w:rPr>
          <w:rFonts w:ascii="Amiri" w:hAnsi="Amiri" w:eastAsia="Amiri" w:cs="Amiri"/>
          <w:color w:val="111111"/>
          <w:sz w:val="28"/>
          <w:sz w:val="28"/>
          <w:szCs w:val="28"/>
          <w:rtl w:val="true"/>
          <w:lang w:bidi="ar-SA"/>
        </w:rPr>
        <w:t>إلّافي زيادة قد قامت الصَّلاة</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بعد بيان كون التهليل في آخره مرّتين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لإعراض الأصحاب عنها يتعيّن طرحها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فجميع فصولهما خمسة وثلاثون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فصولهما خمسة وثلاثون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للمسافر والمستعجل الإقتصار فيهما على كلّ فصلٍ مرّة، كما عن غير واحدٍ من الأصحاب</w:t>
      </w:r>
      <w:r>
        <w:rPr>
          <w:rStyle w:val="FootnoteAnchor"/>
          <w:rtl w:val="true"/>
        </w:rPr>
        <w:footnoteReference w:id="1221"/>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يُكبّر واحدةً واحدة في الأذان،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كنتَ مستعجلاً</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يزيد بن معاوية،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يقصر في السّفر كما تقصر الصَّلاة، الأذان واحداً واحداً، والإقامة واحدة واحدة</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نعمان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من الإقامة طاق طاق في السفر</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الشهادة لعليّ عليه السلام بإمْرَة المؤمنين والولاية ليست من أجزائهما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الشهادة بالولاية من الأجزاء المستحبّة للأذان، لشهادة الشيخ والعلّامة والشهيد وغيرهم بورود الأخبار به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شهد بورود الخبر به، شَهد بأنّه لا يُعمل به، وإنّه موضوع أو ضعيفٌ‌، 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رُوي في شواذ الأخبار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وليّ اللّه، وآل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يُعمل عليه في الأذان والإقامة، فمَن عمل به كان مُخطئاً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كلامٌ غيره</w:t>
      </w:r>
      <w:r>
        <w:rPr>
          <w:rStyle w:val="FootnoteAnchor"/>
          <w:rtl w:val="true"/>
        </w:rPr>
        <w:footnoteReference w:id="1227"/>
      </w:r>
      <w:r>
        <w:rPr>
          <w:rFonts w:ascii="Amiri" w:hAnsi="Amiri" w:eastAsia="Amiri" w:cs="Amiri"/>
          <w:color w:val="111111"/>
          <w:sz w:val="28"/>
          <w:sz w:val="28"/>
          <w:szCs w:val="28"/>
          <w:rtl w:val="true"/>
          <w:lang w:bidi="ar-SA"/>
        </w:rPr>
        <w:t>، وظاهر كلماتهم نفي المشروعيّة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228"/>
      </w:r>
      <w:r>
        <w:rPr>
          <w:rFonts w:ascii="Amiri" w:hAnsi="Amiri" w:eastAsia="Amiri" w:cs="Amiri"/>
          <w:color w:val="111111"/>
          <w:sz w:val="28"/>
          <w:sz w:val="28"/>
          <w:szCs w:val="28"/>
          <w:rtl w:val="true"/>
          <w:lang w:bidi="ar-SA"/>
        </w:rPr>
        <w:t>إنّ هذا المقدار لا يمنعُ من الالتزام بكونها من الأجزاء المستحبّة لهما، لأنّه لا يوجبُ العلم بالكذب، ومع احتمال الصدق مقتضى قاعدة التسامح كونها جزءٌ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لم يوجب العلم الوجداني، إلّاأنّه علمٌ تعبّدي، ومعه لا مجال لجريان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وجه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بعد نقل كلام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الشهادة له عليه السلام بالولاية وإمرة المؤمنين بعد الشهادتين لا بقصد الجزئيّة، بل قاصداً بها امتثال ما دلَّ على استحبابها بعدهما مطلقاً، كخبر القاسم بن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أحدكم لا إله إلّااللّه محمّد رسول اللّه، فليقل عليّ أمير المؤمنين</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12" w:name="pg11799_136370"/>
    </w:p>
    <w:p>
      <w:pPr>
        <w:pStyle w:val="Heading5"/>
        <w:numPr>
          <w:ilvl w:val="4"/>
          <w:numId w:val="1"/>
        </w:numPr>
        <w:rPr/>
      </w:pPr>
      <w:bookmarkStart w:id="613" w:name="__RefHeading___Toc10444772_73709187"/>
      <w:bookmarkStart w:id="614" w:name="_Toc233"/>
      <w:bookmarkEnd w:id="612"/>
      <w:bookmarkEnd w:id="613"/>
      <w:r>
        <w:rPr>
          <w:rtl w:val="true"/>
        </w:rPr>
        <w:t>شرائط الأذان والإقامة</w:t>
      </w:r>
      <w:bookmarkEnd w:id="614"/>
    </w:p>
    <w:p>
      <w:pPr>
        <w:pStyle w:val="Heading6"/>
        <w:numPr>
          <w:ilvl w:val="5"/>
          <w:numId w:val="1"/>
        </w:numPr>
        <w:rPr/>
      </w:pPr>
      <w:bookmarkStart w:id="615" w:name="__RefHeading___Toc10444774_73709187"/>
      <w:bookmarkStart w:id="616" w:name="_Toc234"/>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الأذان والإقامة، حيث يشترط 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لكونهما من العباديّات، لا لأن الأصل في الواجبات كونها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w:t>
      </w:r>
      <w:r>
        <w:rPr>
          <w:rStyle w:val="FootnoteAnchor"/>
          <w:rtl w:val="true"/>
        </w:rPr>
        <w:footnoteReference w:id="1231"/>
      </w:r>
      <w:r>
        <w:rPr>
          <w:rFonts w:ascii="Amiri" w:hAnsi="Amiri" w:eastAsia="Amiri" w:cs="Amiri"/>
          <w:color w:val="111111"/>
          <w:sz w:val="28"/>
          <w:sz w:val="28"/>
          <w:szCs w:val="28"/>
          <w:rtl w:val="true"/>
          <w:lang w:bidi="ar-SA"/>
        </w:rPr>
        <w:t>من أنّ الأصل كونها توصّليّة، بل للإجماع على عباديّتهما، مضافاً إلى كونها المرتكزة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الصَّلاة التي يأتي بهما لها مع الاشتراك، كما عن غير واحدٍ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الوجه فيه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من إنّ عباديّة كلّ منهما إنّما تكون بقصد الأمر النفسي المتعلّق بالصَّلاة المقيّدة بهما، وتعيين ذلك الأمر إنّما يكون بتعيين الصَّلاة، لاختلاف الأمر باختلاف موضوعه، إذ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بهما نفسي لا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فيه إنّهما مع عدم التعيين، يصلحان لوقوعهما لكلٍّ من الصلاتين، وحيثُ إنّ وقوعهما لهما معاً لا يمكن، ولإحداهما دون الاُخرى ترجيحٌ بلا مرجّح، فلا محالة لا يقعان لشيءٍ منهما، فلابدّ من تعيينهما بتعيين الصَّلاة التي يأتي بهما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ويدلّ عليه الإجماع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كما عن غير واحدٍ من الأصحاب</w:t>
      </w:r>
      <w:r>
        <w:rPr>
          <w:rStyle w:val="FootnoteAnchor"/>
          <w:rtl w:val="true"/>
        </w:rPr>
        <w:footnoteReference w:id="1233"/>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غيرهم</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على اعتبار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الأذان هل يجوز أن يكون عن غير عارف‌؟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الأذان ولا يجوز أن يؤذّن به إلّارجلٌ مسلم عارف، فإنْ علم الأذان وأذّن به، ولم يكن عارفاً لم يجز أذانه ولا إقامته ولا يقتدى به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لأنّه المراد منه في موارد استعماله في النصوص، ويؤيّده ذيل الموثّق،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البلوغ والذكوريّة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اعتباره في الإقامة، إنّما يكون لما عرفت في محلّه</w:t>
      </w:r>
      <w:r>
        <w:rPr>
          <w:rStyle w:val="FootnoteAnchor"/>
          <w:rtl w:val="true"/>
        </w:rPr>
        <w:footnoteReference w:id="1236"/>
      </w:r>
      <w:r>
        <w:rPr>
          <w:rFonts w:ascii="Amiri" w:hAnsi="Amiri" w:eastAsia="Amiri" w:cs="Amiri"/>
          <w:color w:val="111111"/>
          <w:sz w:val="28"/>
          <w:sz w:val="28"/>
          <w:szCs w:val="28"/>
          <w:rtl w:val="true"/>
          <w:lang w:bidi="ar-SA"/>
        </w:rPr>
        <w:t>من مشروعيّة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أذانه فيشهد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xml:space="preserve">من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الغلام الذي لم يحتلم</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فيها مفصّلاً، فراجع</w:t>
      </w:r>
      <w:r>
        <w:rPr>
          <w:rFonts w:eastAsia="Amiri" w:cs="Amiri" w:ascii="Amiri" w:hAnsi="Amiri"/>
          <w:color w:val="111111"/>
          <w:sz w:val="28"/>
          <w:szCs w:val="28"/>
          <w:rtl w:val="true"/>
          <w:lang w:bidi="ar-SA"/>
        </w:rPr>
        <w:t>.</w:t>
      </w:r>
      <w:r>
        <w:rPr>
          <w:rStyle w:val="FootnoteAnchor"/>
          <w:rtl w:val="true"/>
        </w:rPr>
        <w:footnoteReference w:id="123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يؤذّن قبل دخول الوقت إلّافي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غير أذان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تنتظر بأذانك وإقامتك إلّادخول وقت الصَّلاة</w:t>
      </w:r>
      <w:r>
        <w:rPr>
          <w:rFonts w:eastAsia="Amiri" w:cs="Amiri" w:ascii="Amiri" w:hAnsi="Amiri"/>
          <w:color w:val="111111"/>
          <w:sz w:val="28"/>
          <w:szCs w:val="28"/>
          <w:rtl w:val="true"/>
          <w:lang w:bidi="ar-SA"/>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رُخّص في تقديم الأذان فيه على الوقت، كما هو المشهور، وعن غير واحدٍ</w:t>
      </w:r>
      <w:r>
        <w:rPr>
          <w:rStyle w:val="FootnoteAnchor"/>
          <w:rtl w:val="true"/>
        </w:rPr>
        <w:footnoteReference w:id="124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كان لرسول اللّه صلى الله عليه و آله مؤذِّنان أحدهما ابن أُمّ مكتوم، والآخر بلال، وكان ابن أُمّ مكتوم أعمى، وكان يؤذِّن قبل الفجر</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مؤذّناً يؤذِّن بليل‌؟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ذلك ينفع الجيران لقيامهم إلى الصَّلاة، وأمّا السُنّة فإنّما يتأدّى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طلوع الفجر، ولا يكون بين الأذان والإقامة إلّاالركعتان</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من النصوص عدم كون الأذان المتقدّم على الفجر، هو الأذان المشروع لصلاة الصبح، وإنّما هو مستحبٌّ مستقلٌّ‌، كما يظهر لمن لاحظ النصوص، وعليه فيمكن أنْ يُقال إنّ النزاع في المسألة لفظي، إذ مَنْ ذَهب إلى المنع أراد أذان الصَّلاة، ومن اختار الجواز أراد استحبابه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إعادته بعد دخوله، ويشترط فيهما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إعادته بعد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ما ذكرناه من عدم الإتيان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بناءً على أنّه أذان الفجر، فلما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أذّن قبل طلوع الفجر فأمره النبيّ صلى الله عليه و آله أن يُعيد الأذان</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بينهما، بتقديم الأذان على الإقامة، بلا خلافٍ فيه، وعن بعضهم</w:t>
      </w:r>
      <w:r>
        <w:rPr>
          <w:rStyle w:val="FootnoteAnchor"/>
          <w:rtl w:val="true"/>
        </w:rPr>
        <w:footnoteReference w:id="124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والتأسّي، إذ هو الثابت من النصوص، وإمكان دعوى القطع باستفادته مَنْ تصفّح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فيهما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فصول كلّ منهما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الأذان والإقامة، فابدأ بالأوّل فالأوّل، فإنْ قلت حَيّ على الصَّلاة قبل الشهادة، شهدت ثمّ قلت حَيّ على الصَّلاة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617" w:name="pg11799_136375"/>
    </w:p>
    <w:p>
      <w:pPr>
        <w:pStyle w:val="Heading6"/>
        <w:numPr>
          <w:ilvl w:val="5"/>
          <w:numId w:val="1"/>
        </w:numPr>
        <w:rPr/>
      </w:pPr>
      <w:bookmarkStart w:id="618" w:name="__RefHeading___Toc10444776_73709187"/>
      <w:bookmarkStart w:id="619" w:name="_Toc235"/>
      <w:bookmarkEnd w:id="617"/>
      <w:bookmarkEnd w:id="618"/>
      <w:r>
        <w:rPr>
          <w:rtl w:val="true"/>
        </w:rPr>
        <w:t>حكم المخالف للترتيب</w:t>
      </w:r>
      <w:bookmarkEnd w:id="619"/>
    </w:p>
    <w:p>
      <w:pPr>
        <w:pStyle w:val="BookText"/>
        <w:rPr/>
      </w:pPr>
      <w:r>
        <w:rPr>
          <w:rFonts w:ascii="Amiri" w:hAnsi="Amiri" w:eastAsia="Amiri" w:cs="Amiri"/>
          <w:color w:val="111111"/>
          <w:sz w:val="28"/>
          <w:sz w:val="28"/>
          <w:szCs w:val="28"/>
          <w:rtl w:val="true"/>
          <w:lang w:bidi="ar-SA"/>
        </w:rPr>
        <w:t>لو خالف المصلّي الترتيب بأن قدَّم الإقامة على الأذان، أعادها بعد الأذان ليحصل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المحقّقين</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 يكون الإتيان بالأذان بعد الإقامة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يلزم إعادة الإقامة، وذلك لأنّه حين الإتيان بالإقامة كان مكلّفاً بها، لجواز الاقتصار عليها، وقد أتى بها عليوجه الصحيح، فسقط التكليف بها، والأذان اللّاحق لا يُعقل أن يؤثّر في الإقامة السابقة، بأنْ يقلبها عمّا وقعت عليه،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 الدليل على مشروعيّة الأذان بعدها، فمقتضاه انتفاء شرطيّة الترتيب، فلا يلزم إعادة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الدليل على بقاء الشرطيّة، فهو يقتضي عدم مشروعيّة الأذان ولا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دلالة الدليل على اعتبار الترتيب بين الأذان والإقامة في حال الجمع، تكون صحّة الإقامة الموجبة لسقوط أمرها، متوقّفة على عدم إتيان الأذان بعدها، الموجب لمخالفة الشرط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اعتبار الترتيب أنْ يكون الأذان قبل الإقامة، وتكون الإقامة بعد الأذان، وعليه فلو أتى بالأذان بعدها، لا تكون الإقامة صحيحة، لا لأنّ الأذان أوجب انقلابها عمّا وقعت عليه، بل لكشف ذلك عن عدم وقوعها صحيحةً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تلتزم في الفرض بعدم مشروعيّة الأذان بعد الإقامة‌؟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لإصالة بقاء مشروعيّته بعد الإقامة، المقتضية لجواز تداركه، وما في خبر السّاباطي</w:t>
      </w:r>
      <w:r>
        <w:rPr>
          <w:rStyle w:val="FootnoteAnchor"/>
          <w:rtl w:val="true"/>
        </w:rPr>
        <w:footnoteReference w:id="1250"/>
      </w:r>
      <w:r>
        <w:rPr>
          <w:rFonts w:ascii="Amiri" w:hAnsi="Amiri" w:eastAsia="Amiri" w:cs="Amiri"/>
          <w:color w:val="111111"/>
          <w:sz w:val="28"/>
          <w:sz w:val="28"/>
          <w:szCs w:val="28"/>
          <w:rtl w:val="true"/>
          <w:lang w:bidi="ar-SA"/>
        </w:rPr>
        <w:t xml:space="preserve">من جواز الاقتصار على إعادة الأذان وحده، دون الإقامة، لا ينافي ما ذكرناه حتّى يلزم طرحه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لإمكان حمله على أنّ استحباب الأذان ليس ارتباطيّاً بالإضافة إلى الإقامة، ويجوز الاقتصار عليه، الذي يكون مفروغاً عنه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أفاده بعض الأعاظم</w:t>
      </w:r>
      <w:r>
        <w:rPr>
          <w:rStyle w:val="FootnoteAnchor"/>
          <w:rtl w:val="true"/>
        </w:rPr>
        <w:footnoteReference w:id="1252"/>
      </w:r>
      <w:r>
        <w:rPr>
          <w:rFonts w:ascii="Amiri" w:hAnsi="Amiri" w:eastAsia="Amiri" w:cs="Amiri"/>
          <w:color w:val="111111"/>
          <w:sz w:val="28"/>
          <w:sz w:val="28"/>
          <w:szCs w:val="28"/>
          <w:rtl w:val="true"/>
          <w:lang w:bidi="ar-SA"/>
        </w:rPr>
        <w:t>من إنّ الاقتصار على الأذان لم أقف على دليله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الترتيب فيما بين فصولهما، فيرجع إلى موضع المخالفة ويأتي إلى الآخر، ويشهد له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نصَّ بعضهم</w:t>
      </w:r>
      <w:r>
        <w:rPr>
          <w:rStyle w:val="FootnoteAnchor"/>
          <w:rtl w:val="true"/>
        </w:rPr>
        <w:footnoteReference w:id="1253"/>
      </w:r>
      <w:r>
        <w:rPr>
          <w:rFonts w:ascii="Amiri" w:hAnsi="Amiri" w:eastAsia="Amiri" w:cs="Amiri"/>
          <w:color w:val="111111"/>
          <w:sz w:val="28"/>
          <w:sz w:val="28"/>
          <w:szCs w:val="28"/>
          <w:rtl w:val="true"/>
          <w:lang w:bidi="ar-SA"/>
        </w:rPr>
        <w:t>على اعتبار الموالاة بين الفصول من كلّ منهما، ولم أقف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الفصل بما يوجبُ محو الصورة، والإخلال بالهيئة الكلاميّة المعتبرة في صحّة كونه كلاماً، يكون قادحاً، ولا يخفى وجهه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20" w:name="pg11799_136377"/>
    </w:p>
    <w:p>
      <w:pPr>
        <w:pStyle w:val="BookText"/>
        <w:rPr/>
      </w:pPr>
      <w:bookmarkEnd w:id="620"/>
      <w:r>
        <w:rPr>
          <w:rFonts w:ascii="Amiri" w:hAnsi="Amiri" w:eastAsia="Amiri" w:cs="Amiri"/>
          <w:color w:val="111111"/>
          <w:sz w:val="28"/>
          <w:sz w:val="28"/>
          <w:szCs w:val="28"/>
          <w:rtl w:val="true"/>
          <w:lang w:bidi="ar-SA"/>
        </w:rPr>
        <w:t>ويستحبّ كون المؤذّن عَدْلاً، صَيّتاً، بصيراً بالأوقات،</w:t>
      </w:r>
    </w:p>
    <w:p>
      <w:pPr>
        <w:pStyle w:val="Heading6"/>
        <w:numPr>
          <w:ilvl w:val="5"/>
          <w:numId w:val="1"/>
        </w:numPr>
        <w:rPr/>
      </w:pPr>
      <w:bookmarkStart w:id="621" w:name="__RefHeading___Toc10444778_73709187"/>
      <w:bookmarkStart w:id="622" w:name="_Toc236"/>
      <w:bookmarkEnd w:id="621"/>
      <w:r>
        <w:rPr>
          <w:rtl w:val="true"/>
        </w:rPr>
        <w:t>ما يستحبُّ في الأذان والإقامة</w:t>
      </w:r>
      <w:bookmarkEnd w:id="622"/>
    </w:p>
    <w:p>
      <w:pPr>
        <w:pStyle w:val="Heading6"/>
        <w:numPr>
          <w:ilvl w:val="5"/>
          <w:numId w:val="1"/>
        </w:numPr>
        <w:rPr/>
      </w:pPr>
      <w:bookmarkStart w:id="623" w:name="__RefHeading___Toc10444780_73709187"/>
      <w:bookmarkStart w:id="624" w:name="_Toc237"/>
      <w:bookmarkEnd w:id="623"/>
      <w:r>
        <w:rPr>
          <w:rtl w:val="true"/>
        </w:rPr>
        <w:t>اشارة</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اُمور</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0444782_73709187"/>
      <w:bookmarkStart w:id="626" w:name="_Toc238"/>
      <w:bookmarkEnd w:id="625"/>
      <w:r>
        <w:rPr>
          <w:rtl w:val="true"/>
        </w:rPr>
        <w:t>كون المؤذّن عَدْلاً</w:t>
      </w:r>
      <w:bookmarkEnd w:id="62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المؤذّن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منه أنّه يستحبّ للحاكم أو المكلّفين اختيار المؤذّن العادل،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في صحّة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مرسلاً،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أقرأكم، ويؤذّن لكم خِياركم</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10444784_73709187"/>
      <w:bookmarkStart w:id="628" w:name="_Toc239"/>
      <w:bookmarkEnd w:id="627"/>
      <w:r>
        <w:rPr>
          <w:rtl w:val="true"/>
        </w:rPr>
        <w:t>و صَيّتاً</w:t>
      </w:r>
      <w:bookmarkEnd w:id="62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رفيع الصوت،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على بلال فإنّه أندى منك صوتاً</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10444786_73709187"/>
      <w:bookmarkStart w:id="630" w:name="_Toc240"/>
      <w:bookmarkEnd w:id="629"/>
      <w:r>
        <w:rPr>
          <w:rtl w:val="true"/>
        </w:rPr>
        <w:t>و بصيراً بالأوقات</w:t>
      </w:r>
      <w:bookmarkEnd w:id="63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 بالأوقات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بالأمن من الغلط، وبفتوى الأصحاب من باب المسامحة، وهما كما ترى‌</w:t>
      </w:r>
      <w:r>
        <w:rPr>
          <w:rFonts w:eastAsia="Amiri" w:cs="Amiri" w:ascii="Amiri" w:hAnsi="Amiri"/>
          <w:color w:val="111111"/>
          <w:sz w:val="28"/>
          <w:szCs w:val="28"/>
          <w:rtl w:val="true"/>
          <w:lang w:bidi="ar-SA"/>
        </w:rPr>
        <w:t xml:space="preserve">. </w:t>
      </w:r>
      <w:bookmarkStart w:id="631" w:name="pg11799_136378"/>
    </w:p>
    <w:p>
      <w:pPr>
        <w:pStyle w:val="BookText"/>
        <w:rPr/>
      </w:pPr>
      <w:bookmarkEnd w:id="631"/>
      <w:r>
        <w:rPr>
          <w:rFonts w:ascii="Amiri" w:hAnsi="Amiri" w:eastAsia="Amiri" w:cs="Amiri"/>
          <w:color w:val="111111"/>
          <w:sz w:val="28"/>
          <w:sz w:val="28"/>
          <w:szCs w:val="28"/>
          <w:rtl w:val="true"/>
          <w:lang w:bidi="ar-SA"/>
        </w:rPr>
        <w:t>متطهّراً</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0444788_73709187"/>
      <w:bookmarkStart w:id="633" w:name="_Toc241"/>
      <w:bookmarkEnd w:id="632"/>
      <w:r>
        <w:rPr>
          <w:rtl w:val="true"/>
        </w:rPr>
        <w:t>استحباب الطهارة في الأذان واعتبارها في الإقامة</w:t>
      </w:r>
      <w:bookmarkEnd w:id="633"/>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المرويّ عن كتب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 إلّاوأنتَ متطهّر</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وسنّةٌ أنْ لا يؤذّن أحدٌ إلّاوهو طاهر</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وإنْ كان اعتبار الطهارة فيه، إلّاأنّهما يُحملان على الاستحباب، للنصوص الآتية، الصريحة في جواز الأذان والمؤذّن على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للإستحباب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الرّجل، وهو على غير طهر، وعلى طُهر أفضل</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الأذان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جماعةٍمن القدماء</w:t>
      </w:r>
      <w:r>
        <w:rPr>
          <w:rStyle w:val="FootnoteAnchor"/>
          <w:rtl w:val="true"/>
        </w:rPr>
        <w:footnoteReference w:id="1262"/>
      </w:r>
      <w:r>
        <w:rPr>
          <w:rFonts w:ascii="Amiri" w:hAnsi="Amiri" w:eastAsia="Amiri" w:cs="Amiri"/>
          <w:color w:val="111111"/>
          <w:sz w:val="28"/>
          <w:sz w:val="28"/>
          <w:szCs w:val="28"/>
          <w:rtl w:val="true"/>
          <w:lang w:bidi="ar-SA"/>
        </w:rPr>
        <w:t>والمتأخّرين</w:t>
      </w:r>
      <w:r>
        <w:rPr>
          <w:rStyle w:val="FootnoteAnchor"/>
          <w:rtl w:val="true"/>
        </w:rPr>
        <w:footnoteReference w:id="1263"/>
      </w:r>
      <w:r>
        <w:rPr>
          <w:rFonts w:ascii="Amiri" w:hAnsi="Amiri" w:eastAsia="Amiri" w:cs="Amiri"/>
          <w:color w:val="111111"/>
          <w:sz w:val="28"/>
          <w:sz w:val="28"/>
          <w:szCs w:val="28"/>
          <w:rtl w:val="true"/>
          <w:lang w:bidi="ar-SA"/>
        </w:rPr>
        <w:t>اعتبارها فيها، و هو الأقوي‌</w:t>
      </w:r>
      <w:r>
        <w:rPr>
          <w:rFonts w:eastAsia="Amiri" w:cs="Amiri" w:ascii="Amiri" w:hAnsi="Amiri"/>
          <w:color w:val="111111"/>
          <w:sz w:val="28"/>
          <w:szCs w:val="28"/>
          <w:rtl w:val="true"/>
          <w:lang w:bidi="ar-SA"/>
        </w:rPr>
        <w:t xml:space="preserve">. </w:t>
      </w:r>
      <w:bookmarkStart w:id="634" w:name="pg11799_136379"/>
    </w:p>
    <w:p>
      <w:pPr>
        <w:pStyle w:val="BookText"/>
        <w:rPr/>
      </w:pPr>
      <w:bookmarkEnd w:id="634"/>
      <w:r>
        <w:rPr>
          <w:rFonts w:ascii="Amiri" w:hAnsi="Amiri" w:eastAsia="Amiri" w:cs="Amiri"/>
          <w:color w:val="111111"/>
          <w:sz w:val="28"/>
          <w:sz w:val="28"/>
          <w:szCs w:val="28"/>
          <w:rtl w:val="true"/>
          <w:lang w:bidi="ar-SA"/>
        </w:rPr>
        <w:t>ونُسِب إلى المشهور</w:t>
      </w:r>
      <w:r>
        <w:rPr>
          <w:rStyle w:val="FootnoteAnchor"/>
          <w:rtl w:val="true"/>
        </w:rPr>
        <w:footnoteReference w:id="1264"/>
      </w:r>
      <w:r>
        <w:rPr>
          <w:rFonts w:ascii="Amiri" w:hAnsi="Amiri" w:eastAsia="Amiri" w:cs="Amiri"/>
          <w:color w:val="111111"/>
          <w:sz w:val="28"/>
          <w:sz w:val="28"/>
          <w:szCs w:val="28"/>
          <w:rtl w:val="true"/>
          <w:lang w:bidi="ar-SA"/>
        </w:rPr>
        <w:t>الاستحباب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تؤذّن وأنتَ على غير طهورٍ، ولا تُقيم إلّاوأنتَ على وضوء</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الرّجل من غير وضوء، ولا يُقيم إلّاوهو على وضوء</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الأمر بالإقامة متطهِّراً، اعتبار الطهارة فيها، إذ ظاهر الأمر المتعلّق بكيفيّة العمل، الإرشاد إلى الجزئيّة أو الشرطيّة، و لا وجه لحمل النصوص على الاستحباب، سوى ما اشتهر بينهم من عدم حمل المطلق على المقيّد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فيما إذا كان دليل المقيّد استحبابيّاً، وأمّا إذا كان دليل المقيّد إلزاميّاً، مسوقاً لبيان اعتبار ما تعلّق الأمر به فيه فيما أمر به في دليل المطلق، فلا يتمّ فيه ذلك، إذ نتيجة الأمرين حينئذٍ انحصار الطلب الاستحبابي بالمقيّد، وتمام الكلام في ذلك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10444790_73709187"/>
      <w:bookmarkStart w:id="636" w:name="_Toc242"/>
      <w:bookmarkEnd w:id="635"/>
      <w:r>
        <w:rPr>
          <w:rtl w:val="true"/>
        </w:rPr>
        <w:t>استحباب القيام في الأذان، واعتباره في الإقامة</w:t>
      </w:r>
      <w:bookmarkEnd w:id="636"/>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المؤذّن قائماً إجماعاً، حكاه جماعة</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الأذان جالساً؟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جالساً إلّاراكب أو مريض</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المرسل المرويّ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المحمولان على الاستحباب، للنصوص الصريحة في عدم اعتباره فيه، كصحيح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أيؤذّن</w:t>
      </w:r>
      <w:r>
        <w:rPr>
          <w:rStyle w:val="FootnoteAnchor"/>
          <w:rtl w:val="true"/>
        </w:rPr>
        <w:footnoteReference w:id="1270"/>
      </w:r>
      <w:r>
        <w:rPr>
          <w:rFonts w:ascii="Amiri" w:hAnsi="Amiri" w:eastAsia="Amiri" w:cs="Amiri"/>
          <w:color w:val="111111"/>
          <w:sz w:val="28"/>
          <w:sz w:val="28"/>
          <w:szCs w:val="28"/>
          <w:rtl w:val="true"/>
          <w:lang w:bidi="ar-SA"/>
        </w:rPr>
        <w:t>الرّجل وهو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يُقيم إلّا وهو قائم</w:t>
      </w:r>
      <w:r>
        <w:rPr>
          <w:rFonts w:eastAsia="Amiri" w:cs="Amiri" w:ascii="Amiri" w:hAnsi="Amiri"/>
          <w:color w:val="111111"/>
          <w:sz w:val="28"/>
          <w:szCs w:val="28"/>
          <w:rtl w:val="true"/>
          <w:lang w:bidi="ar-SA"/>
        </w:rPr>
        <w:t>»</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النصوص اعتبار القيام في الإقامة، فتقيّد المطلقات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ولبعض الأعاظم رحمه الله</w:t>
      </w:r>
      <w:r>
        <w:rPr>
          <w:rStyle w:val="FootnoteAnchor"/>
          <w:rtl w:val="true"/>
        </w:rPr>
        <w:footnoteReference w:id="1272"/>
      </w:r>
      <w:r>
        <w:rPr>
          <w:rFonts w:ascii="Amiri" w:hAnsi="Amiri" w:eastAsia="Amiri" w:cs="Amiri"/>
          <w:color w:val="111111"/>
          <w:sz w:val="28"/>
          <w:sz w:val="28"/>
          <w:szCs w:val="28"/>
          <w:rtl w:val="true"/>
          <w:lang w:bidi="ar-SA"/>
        </w:rPr>
        <w:t>في المقام كلام لا يخلو إيراده عن فائدة، وإليك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استفادة التقييد بالنسبة إلى أصل الطبيعة من مثل هذه النصوص مشكلة، إذ نصوص الباب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بالإقامة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الفاقدة للخصوصيّة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حمل المطلق على المقيّد في المستحبّات، إلّاأنْ يكون دليل المقيّد إلزاميّاً نفسيّاً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من النهي وإنْ كان إرادة الحكم الوضعي، إلّا أنّه كما يمكن أنْ يكون النهي إرشاداً إلى عدم حصول ذاتها إلّابهذا، كذلك يمكن أنْ يكون إرشاداً إلى عدم حصول الفرد الكامل إلّابه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منه هو الأوّل، ولذا نلتزم به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بين الواجبات والمستحبّات، فإنّ الأوامر الإرشاديّة المتعلّقة بكيفيّة العمل في الأُولى‌، يمكن إبقاءها على ظاهرها من الوجوب، فتدلّ على كون متعلّقها معتبراً في قوام ذات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 فلا يعقل أنْ يكون الطلب المتعلّق بكيفيّة العمل إلزاميّاً، إلّاأن يُقصد به تكليفاً نفسيّاً، وهو خلاف الظاهر، فيُشكل حينئذٍ استفادة كون متعلّقه معتبراً في قوام ذات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يُحمل المطلق على المقيّد في المستحبّات إذا كان دليل المقيّد إلزاميّاً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كون الأمر المتعلّق بكيفيّة العمل المستحبّ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كونه إلزاميّاً إلى أنّ الطلب الاستحبابي متعلّق بالحصّة الخاصّة، لا الطبيعة مطلقاً، وهذا مضافاً إلى معقوليّته، ظاهرٌ من الأمر المتعلّق بالكيفيّة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استفادة التقييد بالنسبة إلى أصل الطبيعة من القسم الثاني من النصوص أيضاً واضحة لا إشكال فيها</w:t>
      </w:r>
      <w:r>
        <w:rPr>
          <w:rFonts w:eastAsia="Amiri" w:cs="Amiri" w:ascii="Amiri" w:hAnsi="Amiri"/>
          <w:color w:val="111111"/>
          <w:sz w:val="28"/>
          <w:szCs w:val="28"/>
          <w:rtl w:val="true"/>
          <w:lang w:bidi="ar-SA"/>
        </w:rPr>
        <w:t xml:space="preserve">. </w:t>
      </w:r>
      <w:bookmarkStart w:id="637" w:name="pg11799_136382"/>
    </w:p>
    <w:p>
      <w:pPr>
        <w:pStyle w:val="BookText"/>
        <w:rPr/>
      </w:pPr>
      <w:bookmarkEnd w:id="637"/>
      <w:r>
        <w:rPr>
          <w:rFonts w:ascii="Amiri" w:hAnsi="Amiri" w:eastAsia="Amiri" w:cs="Amiri"/>
          <w:color w:val="111111"/>
          <w:sz w:val="28"/>
          <w:sz w:val="28"/>
          <w:szCs w:val="28"/>
          <w:rtl w:val="true"/>
          <w:lang w:bidi="ar-SA"/>
        </w:rPr>
        <w:t>قائماً على مرتفعٍ‌، مستقبلاً للقبلة،</w:t>
      </w:r>
    </w:p>
    <w:p>
      <w:pPr>
        <w:pStyle w:val="Heading6"/>
        <w:numPr>
          <w:ilvl w:val="5"/>
          <w:numId w:val="1"/>
        </w:numPr>
        <w:rPr/>
      </w:pPr>
      <w:bookmarkStart w:id="638" w:name="__RefHeading___Toc10444792_73709187"/>
      <w:bookmarkStart w:id="639" w:name="_Toc243"/>
      <w:bookmarkEnd w:id="638"/>
      <w:r>
        <w:rPr>
          <w:rtl w:val="true"/>
        </w:rPr>
        <w:t>قائماً على مرتفع</w:t>
      </w:r>
      <w:bookmarkEnd w:id="639"/>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على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طول حائط مسجد رسول اللّه صلى الله عليه و آله قامة، فكان يقول لبلال إذا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اُعلُ فوق الجدار وارفع صوتك بالأذان</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10444794_73709187"/>
      <w:bookmarkStart w:id="641" w:name="_Toc244"/>
      <w:bookmarkEnd w:id="640"/>
      <w:r>
        <w:rPr>
          <w:rtl w:val="true"/>
        </w:rPr>
        <w:t>بقيّة ما يستحبّ فيهما</w:t>
      </w:r>
      <w:bookmarkEnd w:id="641"/>
    </w:p>
    <w:p>
      <w:pPr>
        <w:pStyle w:val="Heading6"/>
        <w:numPr>
          <w:ilvl w:val="5"/>
          <w:numId w:val="1"/>
        </w:numPr>
        <w:rPr/>
      </w:pPr>
      <w:bookmarkStart w:id="642" w:name="__RefHeading___Toc10444796_73709187"/>
      <w:bookmarkStart w:id="643" w:name="_Toc245"/>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المؤذّن القبلة في الأذان والإقامة</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به دليلاً للاستحباب، لقاعدة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له النصوص الدالّة على أنّ الإقامة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الشيباني،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أقمتَ الصَّلاة، فأقم مترسّلاً فإنّك في الصَّلاة</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سليمان بن صالح</w:t>
      </w:r>
      <w:r>
        <w:rPr>
          <w:rStyle w:val="FootnoteAnchor"/>
          <w:rtl w:val="true"/>
        </w:rPr>
        <w:footnoteReference w:id="1276"/>
      </w:r>
      <w:r>
        <w:rPr>
          <w:rFonts w:ascii="Amiri" w:hAnsi="Amiri" w:eastAsia="Amiri" w:cs="Amiri"/>
          <w:color w:val="111111"/>
          <w:sz w:val="28"/>
          <w:sz w:val="28"/>
          <w:szCs w:val="28"/>
          <w:rtl w:val="true"/>
          <w:lang w:bidi="ar-SA"/>
        </w:rPr>
        <w:t>وغيره، فإنّها بمقتضى إطلاق التنزيل ظاهرة في اعتبار الاستقبال فيها، ولكنّه لابدَّ من حملها على الاستحباب بقرينة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الرّجل يفتتح الأذان والإقامة، وهو على غير </w:t>
      </w:r>
      <w:bookmarkStart w:id="644" w:name="pg11799_136383"/>
    </w:p>
    <w:p>
      <w:pPr>
        <w:pStyle w:val="BookText"/>
        <w:rPr/>
      </w:pPr>
      <w:bookmarkEnd w:id="644"/>
      <w:r>
        <w:rPr>
          <w:rFonts w:ascii="Amiri" w:hAnsi="Amiri" w:eastAsia="Amiri" w:cs="Amiri"/>
          <w:color w:val="111111"/>
          <w:sz w:val="28"/>
          <w:sz w:val="28"/>
          <w:szCs w:val="28"/>
          <w:rtl w:val="true"/>
          <w:lang w:bidi="ar-SA"/>
        </w:rPr>
        <w:t>رافعاً صوته، مرتّلاً للأذان، ومحدّراً للإقامة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 ثمّ استقبل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إنّ نصوص التنزيل ضعيفة السند، وفتوى الأصحاب بالاستحباب يمكن أن تكون لقاعدة التسامح، لا للاعتماد عليها، كي يُجبر به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استحباب الإقامة مطلقاً، إلّاأنّ الأولى أنْ يكون في حال الإقامة مستقبل القبلة، فما عن السيّد وجماعة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القول بوجوبه فيها ضعيفٌ‌</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10444798_73709187"/>
      <w:bookmarkStart w:id="646" w:name="_Toc246"/>
      <w:bookmarkEnd w:id="645"/>
      <w:r>
        <w:rPr>
          <w:rtl w:val="true"/>
        </w:rPr>
        <w:t>رافعاً صوته</w:t>
      </w:r>
      <w:bookmarkEnd w:id="646"/>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معاوية،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الأذان‌؟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به، وارفع به صوتك، وإذا أقمتَ فدون ذلك</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زرارة،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اشتدّ صوتك من غير أن تجهد نفسك، كان من يسمع أكثر، وكان أجرك في ذلك أعظم</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10444800_73709187"/>
      <w:bookmarkStart w:id="648" w:name="_Toc247"/>
      <w:bookmarkEnd w:id="647"/>
      <w:r>
        <w:rPr>
          <w:rtl w:val="true"/>
        </w:rPr>
        <w:t>مرتّلاً للأذان ومحدّراً للإقامة</w:t>
      </w:r>
      <w:bookmarkEnd w:id="648"/>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مرتّلاً للأذان ومحدّراً للإقامة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به السّري،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ترتيلٌ والإقامة حَدرٌ</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واحدِرْ إقامتك حَدْراً</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الحدر الإسراع، فلا ينافي الجزم في أواخر الفصول</w:t>
      </w:r>
      <w:r>
        <w:rPr>
          <w:rFonts w:eastAsia="Amiri" w:cs="Amiri" w:ascii="Amiri" w:hAnsi="Amiri"/>
          <w:color w:val="111111"/>
          <w:sz w:val="28"/>
          <w:szCs w:val="28"/>
          <w:rtl w:val="true"/>
          <w:lang w:bidi="ar-SA"/>
        </w:rPr>
        <w:t xml:space="preserve">. </w:t>
      </w:r>
      <w:bookmarkStart w:id="649" w:name="pg11799_136384"/>
    </w:p>
    <w:p>
      <w:pPr>
        <w:pStyle w:val="BookText"/>
        <w:rPr/>
      </w:pPr>
      <w:bookmarkEnd w:id="649"/>
      <w:r>
        <w:rPr>
          <w:rFonts w:ascii="Amiri" w:hAnsi="Amiri" w:eastAsia="Amiri" w:cs="Amiri"/>
          <w:color w:val="111111"/>
          <w:sz w:val="28"/>
          <w:sz w:val="28"/>
          <w:szCs w:val="28"/>
          <w:rtl w:val="true"/>
          <w:lang w:bidi="ar-SA"/>
        </w:rPr>
        <w:t>فاصلاً بينهما بجلسةٍ‌، أو سجدةٍ‌، أو خطوة</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10444802_73709187"/>
      <w:bookmarkStart w:id="651" w:name="_Toc248"/>
      <w:bookmarkEnd w:id="650"/>
      <w:r>
        <w:rPr>
          <w:rtl w:val="true"/>
        </w:rPr>
        <w:t>فاصِلاً بينهما بِجلْسةٍ أو سَجْدةٍ أو خطوة</w:t>
      </w:r>
      <w:bookmarkEnd w:id="651"/>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فاصِلاً بينهما بِجلْسةٍ أو سَجْدةٍ أو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ركعتين، أو تسبيحةٍ‌، أو غيرها في غير المغرب، وأمّا فيها فالأولى الفصل بجلسةٍ خفيفة أو نحوها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جعفر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 بين الأذان والإقامة بجلوسٍ أو بركعتين</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شهاب،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قعودٍ بين الأذان والإقامة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وافصل بين الأذان والإقامة بقعود، أو بكلام، أو بتسبيح</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عُمير، عن أبيه،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أذّن ثمّ أهوى للسجود، ثمّ سجد سجدةً بين الأذان والإقامة، فلما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عُمير من فعل مثل فِعلي غَفَرَ اللّه له</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مرسل ابن فرقد،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إذانين قعدة إلّاالمغرب فإنّ بينها نَفَساً</w:t>
      </w:r>
      <w:r>
        <w:rPr>
          <w:rFonts w:eastAsia="Amiri" w:cs="Amiri" w:ascii="Amiri" w:hAnsi="Amiri"/>
          <w:color w:val="111111"/>
          <w:sz w:val="28"/>
          <w:szCs w:val="28"/>
          <w:rtl w:val="true"/>
          <w:lang w:bidi="ar-SA"/>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هذه النصوص، أنّ الفصل في نفسه مستحبٌّ‌، وما جرى ذكره إنّما هو من باب التمثيل، وعليه فما ذكره بعض الأعاظم</w:t>
      </w:r>
      <w:r>
        <w:rPr>
          <w:rStyle w:val="FootnoteAnchor"/>
          <w:rtl w:val="true"/>
        </w:rPr>
        <w:footnoteReference w:id="1287"/>
      </w:r>
      <w:r>
        <w:rPr>
          <w:rFonts w:ascii="Amiri" w:hAnsi="Amiri" w:eastAsia="Amiri" w:cs="Amiri"/>
          <w:color w:val="111111"/>
          <w:sz w:val="28"/>
          <w:sz w:val="28"/>
          <w:szCs w:val="28"/>
          <w:rtl w:val="true"/>
          <w:lang w:bidi="ar-SA"/>
        </w:rPr>
        <w:t xml:space="preserve">من إنّ الخطوة لم يُعرف لها دليلٌ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وهو كما ترى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جملةٍ من هذه النصوص، وإنْ كان وجوب الفصل، إلّاأنّها محمولة على الاستحباب، لعدم القول بالوجوب من أحدٍ، مع أنّه المستفاد من مجموعها بعد التدبّر،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اختصاص استحباب الفصل بصلاة ركعتين بالظُّهرين، لخبر زُريق،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الجِلْسة بين الأذان والإقامة في صلاة الغداة، وصلاة المغرب، وصلاة العشاء، ليس بين الأذان والإقامة سبحة، ومن السُنّة أن يتنفّل بين الأذان والإقامة في صلاة الظهر والعصر</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توهّمٌ فاسد، إذ الظاهر منه أنّه لا يستحبّ إتيان شيء من نوافل الصَّلاة بين الاذانين بعنوان التوظيف إلّافي الظهرين، وهذا لا ينافي استحباب الفصل بينهما في غيرهما بالنافلة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ينافي هذا الخبر صحيح سليمان المتقدّم، الدالّ بإطلاقه على استحباب الفصل بصلاةٍ من ركعتين في صلاة العشاء والغداة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توهمه بعضٌ‌</w:t>
      </w:r>
      <w:r>
        <w:rPr>
          <w:rStyle w:val="FootnoteAnchor"/>
          <w:rtl w:val="true"/>
        </w:rPr>
        <w:footnoteReference w:id="1290"/>
      </w:r>
      <w:r>
        <w:rPr>
          <w:rFonts w:ascii="Amiri" w:hAnsi="Amiri" w:eastAsia="Amiri" w:cs="Amiri"/>
          <w:color w:val="111111"/>
          <w:sz w:val="28"/>
          <w:sz w:val="28"/>
          <w:szCs w:val="28"/>
          <w:rtl w:val="true"/>
          <w:lang w:bidi="ar-SA"/>
        </w:rPr>
        <w:t>من عدم استحباب الفصل بينهما في المغرب بجلسةٍ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نحوها لمرسل ابن فرقد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زريق المتقدّم، الدالّ على استحباب الفصل بها في المغرب، وخبر إسحاق الجريري،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فيما بين أذان المغرب والإقامة، كان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هذه النصوص يُحمل النَّفَسُ في المرسل على فصلٍ مّا، غير المنافي مع الجلسة الخفيفة أو نحوها، ويشهد لهذا الحمل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يجزي في صلاة المغرب الّتي لا صلاة قبلها، أن يجلس بعد الأذان جِلْسة يمسّ فيه الأرض بيده</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السُنّة في المغرب الفصل بجِلْسةٍ خفيفة أو خطوة أو نحوهما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2" w:name="pg11799_136387"/>
    </w:p>
    <w:p>
      <w:pPr>
        <w:pStyle w:val="BookText"/>
        <w:rPr/>
      </w:pPr>
      <w:bookmarkEnd w:id="652"/>
      <w:r>
        <w:rPr>
          <w:rFonts w:ascii="Amiri" w:hAnsi="Amiri" w:eastAsia="Amiri" w:cs="Amiri"/>
          <w:color w:val="111111"/>
          <w:sz w:val="28"/>
          <w:sz w:val="28"/>
          <w:szCs w:val="28"/>
          <w:rtl w:val="true"/>
          <w:lang w:bidi="ar-SA"/>
        </w:rPr>
        <w:t>ويُكره أنْ يكون ماشياً أو راكباً مع القدرة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0444804_73709187"/>
      <w:bookmarkStart w:id="654" w:name="_Toc249"/>
      <w:bookmarkEnd w:id="653"/>
      <w:r>
        <w:rPr>
          <w:rtl w:val="true"/>
        </w:rPr>
        <w:t>ما يُكره في الأذان ويعتبر في الإقامة</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اُمورٌ، وبعضها يعتبر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حين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أو راكباً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النصوص الدالّة على رجحان القيام في الأذان، إذ المتبادر إلى الذهن من القيام، الوقوف على الأرض في حال السكون،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 عدم الركوب والمشي فيها، لما عرفت من اعتبار القيام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تُقيم وأنتَ راكبٌ أو جالس</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صالح،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أحدكم للصَّلاة</w:t>
      </w:r>
      <w:r>
        <w:rPr>
          <w:rStyle w:val="FootnoteAnchor"/>
          <w:rtl w:val="true"/>
        </w:rPr>
        <w:footnoteReference w:id="1294"/>
      </w:r>
      <w:r>
        <w:rPr>
          <w:rFonts w:ascii="Amiri" w:hAnsi="Amiri" w:eastAsia="Amiri" w:cs="Amiri"/>
          <w:color w:val="111111"/>
          <w:sz w:val="28"/>
          <w:sz w:val="28"/>
          <w:szCs w:val="28"/>
          <w:rtl w:val="true"/>
          <w:lang w:bidi="ar-SA"/>
        </w:rPr>
        <w:t>وهو ماشٍ ولا راكبٍ‌، ولا مضطجع، إلّاأنْ يكون مريضاً</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لابأس بالإقامة في حال المشي إلى الصَّلاة، لخبر يونس الشيباني،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فاُقيمُ وأنا ماشٍ؟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ماشٍ‌إلى الصَّلاة</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والإعراب في آخر الفصول، والكلام في خلالهما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الإعراب في أواخر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خالد بن نُجيح،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والإقامة مجزومان</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بينهما وبين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زرارة، إنّه قال أبوجعفر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جزم بإفصاح الألف والهاء، والإقامة حدر</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مقابلة الحدر بالجزم تدلّ على أنّ المراد به الوصل الموجب لظهور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من الجزم فيه طول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على أنّ ترك الكلام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المؤذّن أيتكلّم وهو يؤذّن‌؟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حين يفرغ من أذانه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وإنْ كان اعتبار عَدَمه فيه، إلّاأنّه يُحمل على الكراهة، لما دلَّ من النصوص الآتي بعضها على الجواز</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له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عمرو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في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إذا أقمتَ الصَّلاة، فإنّك إن تكلّمت أعدت الإقامة</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أبي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الإقامة من الصَّلاة، فإذا أقمتَ فلا تتكلّم ولا تؤمّ بيدك</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فهو محمول على الكراهة بقرينة ما دلَّ على الجواز، كصحيح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يتكلّم في أذانه وفي إقامته‌؟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 الطائفتين، بحمل الأُولى على الكلام الخارج عن الصَّلاة، غير المتعلّق بها، وحمل الثانية على ما تعلّق بها، بشهادة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المؤذّن الصَّلاة، فقد حَرُم الكلام، إلّاأنْ يكون القوم ليس يُعرف لهم إمام</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زرارة</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اخبار الجواز يأبى هذا الحمل، لكونه نصّاً في المنفرد،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بحمل الأُولى على ما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صحيح ابن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يتكلّم في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الكلام على أهل المسجد، إلّاأن يكونوا قد اجتمعوا من شتّى، وليس لهم إمام، فلا 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بعض أخبار الجواز، الصريح في جواز التكلّم بعد الإقامة عن ذلك، مع أنّه لا وجه لهذا الحمل سوى شهادة الصحيح، وهو قاصرٌ عن ذلك، لأنّه اُريد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قطعاً، إذ لا ريب في عدم حرمة الكلام على المأمومين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كراهته فيها، وتأكّدها 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فما عن غير واحدٍ من القدماء</w:t>
      </w:r>
      <w:r>
        <w:rPr>
          <w:rStyle w:val="FootnoteAnchor"/>
          <w:rtl w:val="true"/>
        </w:rPr>
        <w:footnoteReference w:id="1309"/>
      </w:r>
      <w:r>
        <w:rPr>
          <w:rFonts w:ascii="Amiri" w:hAnsi="Amiri" w:eastAsia="Amiri" w:cs="Amiri"/>
          <w:color w:val="111111"/>
          <w:sz w:val="28"/>
          <w:sz w:val="28"/>
          <w:szCs w:val="28"/>
          <w:rtl w:val="true"/>
          <w:lang w:bidi="ar-SA"/>
        </w:rPr>
        <w:t>من الحكم بعدم الجواز ضعيفٌ‌</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والترجيع لغير الإشعار، ويَحرُم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تكرار التكبير والشهادتين من أوّل الأذان،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تفسيره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للكراهة، سوى فتوى الأصحاب،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بقصد الجزئيّة، فهو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يقصد به الإشعار، وإلّا فلا ريب في جوازه، بل يكون راجحاً لخبر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مؤذّناً أعاد في الشهادة أو في حَيّ على الصَّلاة أو حَيّ على الفلاح مرّتين أو الثلاث أو أكثر من ذلك، إذا كان إماماً يريد به جماعة القوم ليجمعهم، لم يكن به بأس</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الصَّلاة خَيرٌ من النوم،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 وعن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منهم المصنّف رحمه الله،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وابن إدريس</w:t>
      </w:r>
      <w:r>
        <w:rPr>
          <w:rStyle w:val="FootnoteAnchor"/>
          <w:rtl w:val="true"/>
        </w:rPr>
        <w:footnoteReference w:id="131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حمزة</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القول بعنوان التوظيف والجزئيّة، فهو تشريعٌ مُحرّم، وإلّا فلا، ويشهد له خبر زيد،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بدعة بني اُميّة، وليس ذلك من أصل الأذان، فلا بأس إذا أراد أن يُنبّه الناس للصَّلاة أن يُنادي بذلك، ولا يجعله من أصل الأذان، فإنّا لا نراه أذاناً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عدم كراهته إذا لم يقصد به الجزئيّة، خبر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يُنادي في بيته بالصَّلاة</w:t>
      </w:r>
      <w:r>
        <w:rPr>
          <w:rStyle w:val="FootnoteAnchor"/>
          <w:rtl w:val="true"/>
        </w:rPr>
        <w:footnoteReference w:id="1319"/>
      </w:r>
      <w:r>
        <w:rPr>
          <w:rFonts w:ascii="Amiri" w:hAnsi="Amiri" w:eastAsia="Amiri" w:cs="Amiri"/>
          <w:color w:val="111111"/>
          <w:sz w:val="28"/>
          <w:sz w:val="28"/>
          <w:szCs w:val="28"/>
          <w:rtl w:val="true"/>
          <w:lang w:bidi="ar-SA"/>
        </w:rPr>
        <w:t>خَيرٌ من النوم</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لكراهته بصحيح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التثويب الذي يكون بين الأذان والإقامة‌؟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كونه من الأذان لا كراهته، ولو لم يأتِ به بعنوان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 إشارةً إلى ردّ ما عن أبي حنيفة من 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والتثويب في الإقامة من السُنّة</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فمجملٌ‌، ويحتمل أنْ يكون المراد بالتثويب فيه، تكرار الفصول زيادةً على الموظّف بقصد الإشعار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أذان الفجر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حَيّ على خير العمل، وقُل بعد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في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الأذان</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فمحمولٌ على التقيّة، كما عن الشيخ رحمه الله التصريح به، أو مطروحٌ لإجماع الطائفة على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الحمل على التقيّة، اشتماله على التهليل في آخر الأذان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324"/>
      </w:r>
      <w:r>
        <w:rPr>
          <w:rFonts w:ascii="Amiri" w:hAnsi="Amiri" w:eastAsia="Amiri" w:cs="Amiri"/>
          <w:color w:val="111111"/>
          <w:sz w:val="28"/>
          <w:sz w:val="28"/>
          <w:szCs w:val="28"/>
          <w:rtl w:val="true"/>
          <w:lang w:bidi="ar-SA"/>
        </w:rPr>
        <w:t>إنّه لاشتماله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غير واحدٍ</w:t>
      </w:r>
      <w:r>
        <w:rPr>
          <w:rStyle w:val="FootnoteAnchor"/>
          <w:rtl w:val="true"/>
        </w:rPr>
        <w:footnoteReference w:id="1325"/>
      </w:r>
      <w:r>
        <w:rPr>
          <w:rFonts w:ascii="Amiri" w:hAnsi="Amiri" w:eastAsia="Amiri" w:cs="Amiri"/>
          <w:color w:val="111111"/>
          <w:sz w:val="28"/>
          <w:sz w:val="28"/>
          <w:szCs w:val="28"/>
          <w:rtl w:val="true"/>
          <w:lang w:bidi="ar-SA"/>
        </w:rPr>
        <w:t>من أنّه يحتمل قويّاً معهوديّة الإتيان به لدى الشيعة سرّاً من باب التقيّة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55" w:name="pg11799_136394"/>
    </w:p>
    <w:p>
      <w:pPr>
        <w:pStyle w:val="Heading5"/>
        <w:numPr>
          <w:ilvl w:val="4"/>
          <w:numId w:val="1"/>
        </w:numPr>
        <w:rPr/>
      </w:pPr>
      <w:bookmarkStart w:id="656" w:name="__RefHeading___Toc10444806_73709187"/>
      <w:bookmarkStart w:id="657" w:name="_Toc250"/>
      <w:bookmarkEnd w:id="655"/>
      <w:bookmarkEnd w:id="656"/>
      <w:r>
        <w:rPr>
          <w:rtl w:val="true"/>
        </w:rPr>
        <w:t>أحكام الأذان والإقامة</w:t>
      </w:r>
      <w:bookmarkEnd w:id="657"/>
    </w:p>
    <w:p>
      <w:pPr>
        <w:pStyle w:val="Heading6"/>
        <w:numPr>
          <w:ilvl w:val="5"/>
          <w:numId w:val="1"/>
        </w:numPr>
        <w:rPr/>
      </w:pPr>
      <w:bookmarkStart w:id="658" w:name="__RefHeading___Toc10444808_73709187"/>
      <w:bookmarkStart w:id="659" w:name="_Toc25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ترك الأذان والإقامة نسياناً</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المواضع التي يقع النظر فيها في أحكام الأذان والإقامة، وفيه مسائل وقد تقدّم بعضها</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0444810_73709187"/>
      <w:bookmarkStart w:id="661" w:name="_Toc252"/>
      <w:bookmarkEnd w:id="660"/>
      <w:r>
        <w:rPr>
          <w:rtl w:val="true"/>
        </w:rPr>
        <w:t>ترك الأذان والإقامة نسياناً</w:t>
      </w:r>
      <w:bookmarkEnd w:id="66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الأذان والإقامة نسياناً حتّى أحرم للصَّلاة، جاز له القطع ما لم يركع، كما هو المشهور على ما نُسِب إليهم</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فنسيتَ أن تؤذّن وتُقيم، ثمّ ذكرت قبل أن تركع، فانصرف وأذّن وأقِم واستفتح الصَّلاة، وإنْ كنت قد رَكَعتَ فأتمّ على صلاتك</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تعارضه 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الأذان والإقامة حتّى يُكبِّر؟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ولا يُعيد</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داود،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الأذان والإقامة حتّى دخل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إطلاقها، عدم جواز الرجوع من أوّل الدخول في الصَّلاة، لكنّها تقيّد بالصحيح، وتُحمل على ما بعد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جواز الرجوع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أباالحسن عليه السلام عن الرّجل ينسى أن يُقيم الصَّلاة، وقد افتتح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إنْكان قد فرغ من صلاته فقد تمّت صلاته، وإنْ لم يكن قد فرغ من صلاته فليعد</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 وبين الصحيح، بتقييد إطلاقه بما قبل الركوع، غير تامّ‌، كما لايخفى على من 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التعارض بالالتزام باختلاف مراتب الاستحباب، كما عن الشيخ رحمه الله</w:t>
      </w:r>
      <w:r>
        <w:rPr>
          <w:rStyle w:val="FootnoteAnchor"/>
          <w:rtl w:val="true"/>
        </w:rPr>
        <w:footnoteReference w:id="1331"/>
      </w:r>
      <w:r>
        <w:rPr>
          <w:rFonts w:ascii="Amiri" w:hAnsi="Amiri" w:eastAsia="Amiri" w:cs="Amiri"/>
          <w:color w:val="111111"/>
          <w:sz w:val="28"/>
          <w:sz w:val="28"/>
          <w:szCs w:val="28"/>
          <w:rtl w:val="true"/>
          <w:lang w:bidi="ar-SA"/>
        </w:rPr>
        <w:t>وإنْ كان متيناً، إلّاأنّه لإعراض الأصحاب عن صحيح ابن يقطين، لعدم القائل بالإعادة بعد الركوع،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أنّه لو تذكّر قبل أنْ يقرأ رجع، وإلّا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ينسى الأذان والإقامة حتّى يدخل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 قبل أنْ يقرأ فليصلِّ على النبيّ صلى الله عليه و آله وليُقم، وإنْ كان قد قرأ فليتمّ على صلاته</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بينها وبين الصحيح، بحملها على ما بعد الركوع، أو الجمع بحمل الصحيح على ما قبل القراءة، ليس من الجمع المرضيّ عند العرف، كما لا يخفى‌، فلابدّ من حملها على جواز المُضيّ‌، لصراحة الصحيح في جواز الرجوع بعد الدخول في القراءة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من كان من نيّته أن يُؤذِّن ويُقيم فنسي، يَمضي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نعمان الرّازي،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وسأله أبو عُبيدة الحَذّاء عن رجلٍ نَسي أن يؤذّن ويُقيم، حتّى كبّر ودخَل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المسجد ومن نيّته أن يؤذّن ويُقيم، فليمض في صلاته ولا ينصرف</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وإنْ كان أخصّ من الصحيح، إلّاأنّه لا يصلح لتقييده، لأنّه يلزم حمله وحمل سائر أخبار الجواز على فردٍ نادر، وهو ما إذا لم يسبقه العزم على الفعل، فيتعيّن طرحه، أو تنزيل ما فيه من التفصيل على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كفاية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كخبر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في صلاتي فذكرتُ في الركعة الثانية وأنا في القراءة إنّي لم أقم، فكيف أصنع‌؟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موضع قراءتك،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في قراءتك وصلاتك، قد تمّت صلاتك</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ينافي الصحيح، لإختصاصه بما قبل ركوع الركعة الأولى، وهذا الخبر مختصٌّ بالركعة الثانية، ويدلّ على حصول الفضل بالقول المزبور في مورده، ولا يدلّ على حصوله به حتّى في موردٍ يجوز القطع للإتيان بالأذان والإقامة، إلّاأنّ الخبر في نفسه قاصرٌ عن إثبات الحكم المذكور، لضعف سنده، وعدم العمل به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الصحيح والفتاوى، عدم الفرق في جواز القطع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المنفرد وغيره، وما عن المحقّق رحمه الله</w:t>
      </w:r>
      <w:r>
        <w:rPr>
          <w:rStyle w:val="FootnoteAnchor"/>
          <w:rtl w:val="true"/>
        </w:rPr>
        <w:footnoteReference w:id="1335"/>
      </w:r>
      <w:r>
        <w:rPr>
          <w:rFonts w:ascii="Amiri" w:hAnsi="Amiri" w:eastAsia="Amiri" w:cs="Amiri"/>
          <w:color w:val="111111"/>
          <w:sz w:val="28"/>
          <w:sz w:val="28"/>
          <w:szCs w:val="28"/>
          <w:rtl w:val="true"/>
          <w:lang w:bidi="ar-SA"/>
        </w:rPr>
        <w:t>والشيخ</w:t>
      </w:r>
      <w:r>
        <w:rPr>
          <w:rStyle w:val="FootnoteAnchor"/>
          <w:rtl w:val="true"/>
        </w:rPr>
        <w:footnoteReference w:id="1336"/>
      </w:r>
      <w:r>
        <w:rPr>
          <w:rFonts w:ascii="Amiri" w:hAnsi="Amiri" w:eastAsia="Amiri" w:cs="Amiri"/>
          <w:color w:val="111111"/>
          <w:sz w:val="28"/>
          <w:sz w:val="28"/>
          <w:szCs w:val="28"/>
          <w:rtl w:val="true"/>
          <w:lang w:bidi="ar-SA"/>
        </w:rPr>
        <w:t>وغيرهما</w:t>
      </w:r>
      <w:r>
        <w:rPr>
          <w:rStyle w:val="FootnoteAnchor"/>
          <w:rtl w:val="true"/>
        </w:rPr>
        <w:footnoteReference w:id="1337"/>
      </w:r>
      <w:r>
        <w:rPr>
          <w:rFonts w:ascii="Amiri" w:hAnsi="Amiri" w:eastAsia="Amiri" w:cs="Amiri"/>
          <w:color w:val="111111"/>
          <w:sz w:val="28"/>
          <w:sz w:val="28"/>
          <w:szCs w:val="28"/>
          <w:rtl w:val="true"/>
          <w:lang w:bidi="ar-SA"/>
        </w:rPr>
        <w:t>من التقييد بالمنفرد،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الإطلاق عدم الفرق بين ما إذا عَزَم على الترك زماناً معتدّاً به، ثمّ أراد الرجوع،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من التخصيص بالثاني،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المنسي أحدهما، فهل يجوز القطع والإتيان به، أو لا يجوز؟</w:t>
      </w:r>
    </w:p>
    <w:p>
      <w:pPr>
        <w:pStyle w:val="BookText"/>
        <w:rPr/>
      </w:pPr>
      <w:r>
        <w:rPr>
          <w:rFonts w:ascii="Amiri" w:hAnsi="Amiri" w:eastAsia="Amiri" w:cs="Amiri"/>
          <w:color w:val="111111"/>
          <w:sz w:val="28"/>
          <w:sz w:val="28"/>
          <w:szCs w:val="28"/>
          <w:rtl w:val="true"/>
          <w:lang w:bidi="ar-SA"/>
        </w:rPr>
        <w:t>أو يفصّل بين الأذان والإقامة، فلا يجوز في الأوّل‌؟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الأوّل، لما سيأتي في محلّه من إنّ عمدة المستند لحرمة قطع الصَّلاة الإجماع، والقدر المتيقّن منه غير المقام، ومقتضى الأصل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دلَّ على الجواز في الإقامة، وهو حسن حسين بن أبي العلاء،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يستفتح صلاته المكتوبة، ثمّ يذكر إنّه لم يقم‌؟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إنّه لم يُقم قبل أنْ يقرأ، فليُسلِّم على النبيّ صلى الله عليه و آله ثمّ يُقيم ويُصلّي، وإنْ ذكر بعدما قرأ بعض السّورة، فليتمّ على صلاته</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اختصّ بما قبل ما قرأ، إلّاإنّه لعدم الفصل يجوز بعد القراءة قبل الركوع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2" w:name="pg11799_136398"/>
    </w:p>
    <w:p>
      <w:pPr>
        <w:pStyle w:val="Heading6"/>
        <w:numPr>
          <w:ilvl w:val="5"/>
          <w:numId w:val="1"/>
        </w:numPr>
        <w:rPr/>
      </w:pPr>
      <w:bookmarkStart w:id="663" w:name="__RefHeading___Toc10444812_73709187"/>
      <w:bookmarkStart w:id="664" w:name="_Toc253"/>
      <w:bookmarkEnd w:id="662"/>
      <w:bookmarkEnd w:id="663"/>
      <w:r>
        <w:rPr>
          <w:rtl w:val="true"/>
        </w:rPr>
        <w:t>استحباب حكاية الأذان عند سماعه</w:t>
      </w:r>
      <w:bookmarkEnd w:id="66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حكاية الأذان عند سماعه، بلا خلافٍ‌، بل عن جماعة كثيرة</w:t>
      </w:r>
      <w:r>
        <w:rPr>
          <w:rStyle w:val="FootnoteAnchor"/>
          <w:rtl w:val="true"/>
        </w:rPr>
        <w:footnoteReference w:id="134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سمع المؤذّن يؤذِّن، قال مثل ما يقول في كلّ شيء</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لا تَدَعنَّ ذكر اللّه عَزّ وجَلّ على كلّ حال، ولو سمعت المنادي ينادي بالأذان، وأنتَ على الخلاء فاذكر اللّه عزّ وجلّ‌، وقُل كما يقول المؤذّن</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مقاتل،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أن يقول كما يقول المؤذّن، وإنْ كان على البول والغائط؟</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يزيدُ في الرزق</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بالحكاية أن يقول مثل ما يقول المؤذّن، كما صرّح به 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فمضافاً إلى عدم اعتبار الإسرار، يستحبُّ رفع صوته كالمؤذّن، فما عن جماعةٍ من المحقّقين</w:t>
      </w:r>
      <w:r>
        <w:rPr>
          <w:rStyle w:val="FootnoteAnchor"/>
          <w:rtl w:val="true"/>
        </w:rPr>
        <w:footnoteReference w:id="1344"/>
      </w:r>
      <w:r>
        <w:rPr>
          <w:rFonts w:ascii="Amiri" w:hAnsi="Amiri" w:eastAsia="Amiri" w:cs="Amiri"/>
          <w:color w:val="111111"/>
          <w:sz w:val="28"/>
          <w:sz w:val="28"/>
          <w:szCs w:val="28"/>
          <w:rtl w:val="true"/>
          <w:lang w:bidi="ar-SA"/>
        </w:rPr>
        <w:t>من أنّه يستحبّ ان يحكيه مع نفسه،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ما عن المحقّق الكركي</w:t>
      </w:r>
      <w:r>
        <w:rPr>
          <w:rStyle w:val="FootnoteAnchor"/>
          <w:rtl w:val="true"/>
        </w:rPr>
        <w:footnoteReference w:id="1345"/>
      </w:r>
      <w:r>
        <w:rPr>
          <w:rFonts w:ascii="Amiri" w:hAnsi="Amiri" w:eastAsia="Amiri" w:cs="Amiri"/>
          <w:color w:val="111111"/>
          <w:sz w:val="28"/>
          <w:sz w:val="28"/>
          <w:szCs w:val="28"/>
          <w:rtl w:val="true"/>
          <w:lang w:bidi="ar-SA"/>
        </w:rPr>
        <w:t>من تفسير الحكاية بأنْ لا يرفع صوته كالمؤذن،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النصوص، استحباب الحكاية وهو في الصَّلاة، ولكن ذلك لا يقتضي عدم بطلان الصَّلاة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بالأذان، لأنّه من الذِّكر، كما يُشير إليه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لاشتماله على الحيّعلات الّتي هي من كلام الآدميين المُبطل، يوجب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ما دلَّ على استحباب الحكاية، وما دلَّ على كون كلام الآدميين مبطلاً، عمومٌ من وجه، فيتعارضان ويتساقطان، والمرجع هو الأصل، وهو يقتضي عدم البطلان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ولا تعارض بينهما، كي يتساقطان، إذ كلٌّ منهما متكفّلٌ لجهةٍ لاربط لها بما يكون الآخر متضمّناًله، فلاحظ وتدبّر، بل هذه النصوص لا تُعارض مادلَّ على حرمة الإبطال، بل تُقدَّم عليها ذلك، لكونه متعرّضاً للحكم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بالعنوان الثانوي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تجوز الحكاية في مورد حرمة الإبطال، وأمّا في غيره فتستحب، ولكنّه لابدَّ من إعادة الصَّلاة بعدها</w:t>
      </w:r>
      <w:r>
        <w:rPr>
          <w:rFonts w:eastAsia="Amiri" w:cs="Amiri" w:ascii="Amiri" w:hAnsi="Amiri"/>
          <w:color w:val="111111"/>
          <w:sz w:val="28"/>
          <w:szCs w:val="28"/>
          <w:rtl w:val="true"/>
          <w:lang w:bidi="ar-SA"/>
        </w:rPr>
        <w:t>.</w:t>
      </w:r>
      <w:bookmarkStart w:id="665" w:name="pg11799_136401"/>
    </w:p>
    <w:p>
      <w:pPr>
        <w:pStyle w:val="Heading6"/>
        <w:numPr>
          <w:ilvl w:val="5"/>
          <w:numId w:val="1"/>
        </w:numPr>
        <w:rPr/>
      </w:pPr>
      <w:bookmarkStart w:id="666" w:name="__RefHeading___Toc10444814_73709187"/>
      <w:bookmarkStart w:id="667" w:name="_Toc254"/>
      <w:bookmarkEnd w:id="665"/>
      <w:bookmarkEnd w:id="666"/>
      <w:r>
        <w:rPr>
          <w:rtl w:val="true"/>
        </w:rPr>
        <w:t>أخذ الاُجرة على الأذان</w:t>
      </w:r>
      <w:bookmarkEnd w:id="66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أذان الصَّلاة، كما هو المنسوب إلى المشهور</w:t>
      </w:r>
      <w:r>
        <w:rPr>
          <w:rStyle w:val="FootnoteAnchor"/>
          <w:rtl w:val="true"/>
        </w:rPr>
        <w:footnoteReference w:id="1346"/>
      </w:r>
      <w:r>
        <w:rPr>
          <w:rFonts w:ascii="Amiri" w:hAnsi="Amiri" w:eastAsia="Amiri" w:cs="Amiri"/>
          <w:color w:val="111111"/>
          <w:sz w:val="28"/>
          <w:sz w:val="28"/>
          <w:szCs w:val="28"/>
          <w:rtl w:val="true"/>
          <w:lang w:bidi="ar-SA"/>
        </w:rPr>
        <w:t xml:space="preserve">، بل هو مذهب الأصحاب إلّامن شَذَّ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وقيل</w:t>
      </w:r>
      <w:r>
        <w:rPr>
          <w:rStyle w:val="FootnoteAnchor"/>
          <w:rtl w:val="true"/>
        </w:rPr>
        <w:footnoteReference w:id="1348"/>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عليه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فصلِّ صلاة أضعف مِنْ خلفك، ولا تتّخذن مؤذّناً يأخذ على أذانه أجراً</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عن اتّخاذ المؤذّن الذي يأخذ الاُجرة أعمٌّ من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جائزاً، لما كان وجهٌ للمنع عن اتّخاذ ذلك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حمران الوارد في فساد الدُّنيا، واضمحلال الدين، وفيه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الأذان بالاُجرة</w:t>
      </w:r>
      <w:r>
        <w:rPr>
          <w:rStyle w:val="FootnoteAnchor"/>
          <w:rtl w:val="true"/>
        </w:rPr>
        <w:footnoteReference w:id="1350"/>
      </w:r>
      <w:r>
        <w:rPr>
          <w:rFonts w:ascii="Amiri" w:hAnsi="Amiri" w:eastAsia="Amiri" w:cs="Amiri"/>
          <w:color w:val="111111"/>
          <w:sz w:val="28"/>
          <w:sz w:val="28"/>
          <w:szCs w:val="28"/>
          <w:rtl w:val="true"/>
          <w:lang w:bidi="ar-SA"/>
        </w:rPr>
        <w:t>، والصَّلاة بالأجر</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وظهوره في الحرمة، لا يُنكر، وسنده لا يكون ضعيفاً، إذا الظاهر إنّه حسنٌ بأبي هاشم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المرويّ في كتاب الشهادات، وفيه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خَلف من </w:t>
      </w:r>
    </w:p>
    <w:p>
      <w:pPr>
        <w:pStyle w:val="BookText"/>
        <w:rPr/>
      </w:pPr>
      <w:r>
        <w:rPr>
          <w:rFonts w:ascii="Amiri" w:hAnsi="Amiri" w:eastAsia="Amiri" w:cs="Amiri"/>
          <w:color w:val="111111"/>
          <w:sz w:val="28"/>
          <w:sz w:val="28"/>
          <w:szCs w:val="28"/>
          <w:rtl w:val="true"/>
          <w:lang w:bidi="ar-SA"/>
        </w:rPr>
        <w:t>يبتغي على الأذان والصَّلاة بالناس أجراً، ولا تُقبل شهادته</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أجر المؤذّن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إطلاقها عدم الفرق بين أذان الإعلام، وأذان الصَّلاة، لو ثبت القسمان في الأذان، كما هو المشهور، وإنْ كان الصحيح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ضعيف التقسيم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الحكم فيها بعدم الفصل، والأولويّة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للمنع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أذان الصَّلاة، وكذا إقامتها ممّا يتوقّف فائدته للغير على وقوعه طاعةً للّه، فينا في مع إيقاعه للغير عوضاً عمّا يأخذه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وقوع الفعل عبادةً كون قصد القربة غاية الغايات، بل يكفي كون الدّاعي إلى الفعل ذلك، ولو كان داعي الدّاعي غيره، بل الغالب في عبادات أكثر الناس، كون الدّاعي إلى قصد القربة، دخول الجنة ونحوه، وعليه فلو كان أخذ الاُجرة في طول قصد الأمر، لم ينافِ عباديّة العبادة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العصر</w:t>
      </w:r>
      <w:r>
        <w:rPr>
          <w:rStyle w:val="FootnoteAnchor"/>
          <w:rtl w:val="true"/>
        </w:rPr>
        <w:footnoteReference w:id="1355"/>
      </w:r>
      <w:r>
        <w:rPr>
          <w:rFonts w:ascii="Amiri" w:hAnsi="Amiri" w:eastAsia="Amiri" w:cs="Amiri"/>
          <w:color w:val="111111"/>
          <w:sz w:val="28"/>
          <w:sz w:val="28"/>
          <w:szCs w:val="28"/>
          <w:rtl w:val="true"/>
          <w:lang w:bidi="ar-SA"/>
        </w:rPr>
        <w:t>وهو أنّه كما لا يمكن اجتماع المِلْكين واجتماع الطلبين، كذلك يمتنع اجتماع طلبٍ مع الملكيّة، فإذا فرضنا تعلّق الطلب الشرعي بشيءٍ كالأذان، فلا يجوز صيرورته مِلْكاً للغير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فيما إذا كانا في عرض واحد، وأمّا إذا كانا طوليين، فلا محذور في الاجتماع حتّى في الطلبين، كأن يأمر الوالد بشيءٍ ويأمر الوالدة بإطاعة أمره،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بما إنّ ملكيّة المستأجر وتسلّطه عليه إنّما تكون في طول الطلب الشرعي،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 على المتاجر</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من عدم إمكان تعلّق الأمر الاجاري بما يعتبر فيه الخلوص، إذ تعلّقه يقتضي إمكان جعله داعياً، ولا يمكن ذلك مع التحفّظ على الإخلاص المعتبر في متعلّقه، ومع عدم إمكان تعلّق الأمر المعاملي، لا معنى لصحّة المعاملة، وعليه فاعتبار قصد الخلوص في متعلّق الإجارة، مانعٌ بنفسه من صحّتها، لصيرورة متعلّقها ممتنعاً، وعليه فأخذ الاُجرة على الأذان الصلاتي لاعتبار القربة فيه، لا ينبغي الإشكال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للخلوص هو أن تكون الاُجرة داعي العمل، وهو لا يكون معتبراً في صحّة الإجارة، إذ المعتبر في تعلّق الأمر الإجاري كسائر الأوامر، إمكان جعل الأمر داعياً، وهو لا ينافي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بالإجارة توصّلي، فلا يكون قصده موجباً لإتّصاف العمل بالعبادة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التوصّلي لا يتوقّف سقوطه على إتيان العمل بقصد الامتثال، ولكن لو أتى به بقصد الامتثال، فإنّه لا شبهة في وقوعه عبادة، مع أنّ 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بالوفاء بالإجارة توصّليّاً مطلقاً ممنوع، بل الظاهر إنّه تابعٌ لمتعلّقه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357"/>
      </w:r>
      <w:r>
        <w:rPr>
          <w:rFonts w:ascii="Amiri" w:hAnsi="Amiri" w:eastAsia="Amiri" w:cs="Amiri"/>
          <w:color w:val="111111"/>
          <w:sz w:val="28"/>
          <w:sz w:val="28"/>
          <w:szCs w:val="28"/>
          <w:rtl w:val="true"/>
          <w:lang w:bidi="ar-SA"/>
        </w:rPr>
        <w:t>من أنّ الظاهر من أدلّته اعتبار المباشرة فيه، كسائر الأجزاء الصلاتيّة، فلا تصحّ الإجارة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يقتضي عدم جريان النيابة فيه، وأمّا وقوع الإجارة على الأذان الذي يأتي به المكلّف لصلاة نفسه، لغرضٍ مترتّبٍ عليه كالاكتفاء بأذانه ونحوه، فلا يدلّ ذلك على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ممّا ذُكر في وجه المنع عن أخذ الاُجرة عليه لا يتمّ‌،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في المقام، جواز إعطاء الاُجرة على الأذان من بيت المال المُعدّ لمصالح المسلمين، والظاهر أنّ مرادهم ليس أخذ الاُجرة والعوض، إذ ما دلَّ على المنع من أخذ الاُجرة عليه، لا يختصّ بأخذه من غير بيت المال، بل المراد الارتزاق من بيت المال، والدليل عليه حينئذٍ أنّ بيت المال معدّ لمصالح المسلمين، ومنها الأذان، فالمؤذِّن كالقاضي ونحوه ممّن وظّفتهم الدولة لتمشية مصالح المسلمين، فله أن يرتزق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السادس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السابع إنْ شاء اللّه تعالى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1799_136406"/>
      <w:bookmarkStart w:id="669" w:name="pg11799_136406"/>
      <w:bookmarkEnd w:id="669"/>
    </w:p>
    <w:p>
      <w:pPr>
        <w:pStyle w:val="Heading2"/>
        <w:numPr>
          <w:ilvl w:val="1"/>
          <w:numId w:val="1"/>
        </w:numPr>
        <w:rPr/>
      </w:pPr>
      <w:bookmarkStart w:id="670" w:name="pg11799_136406"/>
      <w:bookmarkStart w:id="671" w:name="__RefHeading___Toc10444816_73709187"/>
      <w:bookmarkStart w:id="672" w:name="_Toc255"/>
      <w:bookmarkEnd w:id="670"/>
      <w:bookmarkEnd w:id="671"/>
      <w:r>
        <w:rPr>
          <w:rtl w:val="true"/>
        </w:rPr>
        <w:t>فهرس الموضوعات</w:t>
      </w:r>
      <w:bookmarkEnd w:id="672"/>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أعداد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تنبيهات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صَلاة الغُفيلة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صلاة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سقوط نوافل الظهرين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وقت الظهرين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اختصاص أوّل الوقت بالظهر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آخر وقت الظُّهرين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اختصاص آخر الوقت بالعَصر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أوّل وقت المغرب والعشاء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آخر وقت العشائين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اختصاص أوّل الوقت بالمغرب وآخره بالعشاء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أوّل وقت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آخر وقت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وقت نافلة الظهرين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وقتُ نافلة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نافلة الوتيرة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نافلة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وقت نافلة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تُصلّى الفريضة في كلّ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التطوّع في وقت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التطوّعُ لمن عليه 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كراهة النّوافل في خمسة 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قاعدة مَنْ أدركَ‌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حكم الصَّبي المتطوّع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أمارات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الظنون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الظنّ بالوقت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لو شكّ بعد الصّلاة في وقوعها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مواجهة البعيد نفس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حكم المُصلّي في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الصّلاة على سطح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كيفيّة اتجاه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أمارات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الظنّ بالقبلة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الجهل بالقبلة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فروع بحث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أحكام الخلل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الانحراف إلى الاستدبار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زوال الظنّ بالقبلة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فيما يُستقبل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شرطيّة الاستقبال لصَّلاة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لا يعتبر الإستقبال في حال المشي في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الصّلاة على 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الاضطرار إلى ترك بعض الأجزاء والشرائط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ووجوبِ 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هل التستّر شَرطٌ ذُكْرِيّ‌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لا يجب سَتر الحجم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ما به يتحقّق السّتر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الصَّلاة في الخَزّ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حُكم الخَزّ الموجود في زمان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حُكم الخَزّ الموجود في عصرنا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حكم الصَّلاة في وَبَر الخَزّ المغشوش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الصَّلاة في الصّوف والشعر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الصَّلاة في جلد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الشكّ في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الصَّلاة فيما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اختصاص هذا الحكم بالسِّباع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اختصاص الحكم بالملابس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حكم الصَّلاة فيما لا تتمّ فيه من غير 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حكم الصَّلاة في أجزاء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عدم اختصاص الحكم بما له نفسٌ سائلة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عدم شمول الحكم ما لا لحم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المستثنيات عن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الصَّلاة في ما يشكّ أنّه 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المجعول هي الشرطيّة أو 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ما يستفاد من الأدلّة في مقام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أقسام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مركز القيد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المانع هو عنوان محرّم الأكل أو معروضه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الاستدلال للجواز بالأدلّة الاجتهاديّة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جريان الاستصحاب في الأعدام الأزليّة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أصالة عدم لبس غير 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استصحاب عدم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استصحاب العدم النعتي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أصالة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أصالة الحِلّ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للجواز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البراءة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جريان البراءة في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تميّيز موارد البراءة والإشتغال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تقريب جريان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مدارك سائر الأقوال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وقوع الصَّلاة في غير المأكول جهلاً أو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الصَّلاة في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لبس الحَرير في حال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تنبيهات قماش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الصَّلاة في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الصَّلاة في ما يستر ظَهر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ما يُكره من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تحديد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المستثنيات من وجوب السَّتر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في صلاة العاري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صفة صلاة العاري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صفة جماعة العُراة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صلاة العاري في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لو وجد السّاتر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البحث عن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الصَّلاة في المكان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السَّبق في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حال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طهارة محلّ وضع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لو تعذّر تحصيل الأرض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استحباب أداء الفرائض في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الأمكنة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كراه الصَّلاة بين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الصَّلاة قُدّام قبر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جملة من الأمكنة الّتي تُكره فيها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محاذاة المرأة للرجل أو تقدّمها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إذا تعاقبت الصَّلاتان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الصَّلاة إلى باب مفتوح أو إلى نار مُضرَمة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مسجد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السّجود على الثمار غير المأكولة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السّجود على القير والجِصّ وما 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السّجود على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البحث عن شروط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ما يُسجَد عليه عند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السّجود على ما لا تتمكّن الجبهة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في مراتب فضل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الأذان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الأذان لصلاة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البحث عن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أدلّة وجوب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موارد سقوط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موارد سقوط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كيفيّة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شرائط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حكم المخالف للترتيب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ما يستحبُّ في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استحباب الطهارة في الأذان واعتبارها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استحباب القيام في الأذان، واعتباره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بقيّة ما يستحبّ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ما يُكره في الأذان ويعتبر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ترك الأذان والإقامة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استحباب حكاية الأذان عند سماعه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أخذ الاُجرة على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فضل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وجوب الصّلوات الخمس، وعدم وجوب صلاة سادسة في كلّ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وجوب خمس صلوات في خمس مواقيت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وادّعى الإجماع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وما يناسبها،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المسنون من الصّلوات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بدل محمّد بن أبي حمزة، وكذلك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الفرائض ح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الفرائض ح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 الفضيل بدل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الفرائض ح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اللّمعة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مفتاح الفلاح كما حكاه عنه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وأحكامه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ح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ح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 السّكوني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الصوات ح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وعبارته خالية من التفريق، وما ذكر في المتن محصّل كلامه قدس سره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وقد تقدّم في الصفحة السابقة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وحكاه المحقّق النجفي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4567</w:t>
      </w:r>
      <w:r>
        <w:rPr>
          <w:rFonts w:ascii="IRNazanin" w:hAnsi="IRNazanin" w:eastAsia="IRNazanin"/>
          <w:b w:val="false"/>
          <w:b w:val="false"/>
          <w:bCs w:val="false"/>
          <w:i w:val="false"/>
          <w:i w:val="false"/>
          <w:iCs w:val="false"/>
          <w:color w:val="333333"/>
          <w:sz w:val="20"/>
          <w:sz w:val="20"/>
          <w:szCs w:val="20"/>
          <w:rtl w:val="true"/>
        </w:rPr>
        <w:t xml:space="preserve">، إلّاأنّه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أربع ركعات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عبد اللّه بن سنان وموثّق أبي بصير في الصفحة السابقة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الجعفريّة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العامّين من وجه لا يتساقطان، بل يرجع فيهما إلى أخبار الترجيح والتخيير، والترجيح مع أدلّة السقوط لكونها أشهر، وما ذكرناه أوّلاً يرد عليه أنّه لا محذور في تقديم جميع تلك الأدلّة إذا كان الدليل مقتضياً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وحكاه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العبّاس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هذا قوي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الخلاف في ذلك السيّد المرتضى في الناصريات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وحكاه عنهم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باب الكاف والدالّ واللّام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المواقيت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سنان المذكور آنفاً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رضا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المؤسّسة الجعفريّة لإحياء التراث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المتقدّمان في الصفحتين السابقتين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من علمائنا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 متأخّري المتأخّرين، 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من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من كتاب الصوم ح </w:t>
      </w:r>
      <w:r>
        <w:rPr>
          <w:rFonts w:eastAsia="IRNazanin" w:cs="IRNazanin"/>
          <w:b w:val="false"/>
          <w:bCs w:val="false"/>
          <w:i w:val="false"/>
          <w:iCs w:val="false"/>
          <w:color w:val="333333"/>
          <w:sz w:val="20"/>
          <w:szCs w:val="20"/>
        </w:rPr>
        <w:t>13016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أخّروها وأدخلوها في المساء،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أبي الخّطاب يمسون بالمغرب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يؤخّرونها حتّيتشتبك 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مادّة م 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 قدس سره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وفي طبعة المؤسّسة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المحدّث البحراني للمشهور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وراجع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ونسبه العلّامة إلى بعض علمائنا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وقال به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في التذكرة عن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والصدوق في الهداية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النصوص في بداية هذا المبحث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وفي طبعة المؤسّسة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وفيه نهر سُوَري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وفي طبعة المؤسّسة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ومحكي حاشية المدارك كمافي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الغنية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العاملي عن جامع المقاصد، 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صدر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حائط مسجد رسول اللّه صلى الله عليه و آله كان قامة، وكان إذا مضى من فيئه ذراع صلّى الظهر، وإذامضى من فيئه ذراعان صلّى العصر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علي بن حنظلة،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الفراض ونوافلها ح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5009</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 آنفاً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المدارك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له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من كتاب الحجّ ح </w:t>
      </w:r>
      <w:r>
        <w:rPr>
          <w:rFonts w:eastAsia="IRNazanin" w:cs="IRNazanin"/>
          <w:b w:val="false"/>
          <w:bCs w:val="false"/>
          <w:i w:val="false"/>
          <w:iCs w:val="false"/>
          <w:color w:val="333333"/>
          <w:sz w:val="20"/>
          <w:szCs w:val="20"/>
        </w:rPr>
        <w:t>18472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ذكرنا في الصفحة السابقة، ومنهم 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وقد ورد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أدركَ ركعةً من الصّلاة فقد أدرك الصّلاة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وظاهر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5055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5097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آخر اللّيل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والغنية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5030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وذكره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التطوّع في وقت الفريضة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صاحب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وصاحب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الاستدلال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10576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في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على رادٍّ لهذا الخبر من حيث توهّم القدح في العصمة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التحقيق وجوب قبولها في الدلالة على جواز التنفّل لمَن عليه فريضة، وإنْ لم يجز قبولها في الدلالة على نومه صلى الله عليه و آله عن الصّلاة المخالف لاُصول المذهب، وأنّ نومه من الشيطان الذي دلّ على فساده العقل والكتاب والأخبار كما عن الوحيد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تعرّض واستوفى الكلام الشيخ الأنصاري رحمه الله في رسائل فقهيّة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وراجع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غياث سلطان الورى لابن طاووس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بعضهم في أوّل هذه المسألة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حكاه السيّد العاملي عن جماعة من علمائنا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5020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إكمال الدِّين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9454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18462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أدرك العصر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4960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القاعدة في تعارض العامين من وجه هو الرجوع إلى أخبار الترجيح والتخيير، وفي المقام حيثُ لامرجّح لأحدهما فيحكم بالتخيير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حفظه المولى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البغداديّة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والإقامة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من كتاب التجارة ح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عليه ما ذكرناه في كتاب الطهارة من عدم دلالة الموثّق على ذلك،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الوجه الثاني تامّ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حفظه المولى‌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حجيّة خبر الواحد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بداية هذه المسألة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بداية هذه المسألة،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والإقامة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خبر الواحد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من كتاب الصوم، ح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13013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رسالة المحكم والمتشابه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وقد تقدّم مراراً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عبارة ابن زُهرة في الغنية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والمحكيّ عن شرح الشيخ نجيب الدِّين، وحاشية المدارك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وأبي الفتوح الرازي في تفسير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والعلّامة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القبلة،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أبواب القبلة ح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القبلة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يقصد به المحقّق السيِّد الخوئي قدس سره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وحكاه عنه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وأحمد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العاملي في 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من علمائنا نسبوها إلى الأصحاب والمشهور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كلمات السيّد المرتضى في الناصريّات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ونسبه إلى الأصحاب السيّدالطباطبائي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السيّد في الناصريّات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بداية البحث عن الموضع الثالث</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البحث عن الموضع الثالث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المؤسّسة الجعفريّة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8343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العلّامة في التذكرة إلى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وانظر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ومفتاح الكرامة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روايةٌ 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عليّبن جعفر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السّفر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الأوجه هو الرجوع إلى المرجّحات في العامين من وجه مطلقاً، وفي المقام حيث أنّه ليس شيء من المرجّحات مع أحد الطرفين، فيحكم بالتخيير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حفظه المولى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والمطاردة ح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ج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المنذري الشوكاني في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وسيأتي الحديث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الخَزّ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الخَزّ،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الطريحي رحمه الله عن الفقيه الحنفي ابن فرشته، 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ورواه أحمد في مسنده عن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وأبو داوود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خبر البزنطي عن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بن الحسين عليه السلام يلبس الجُبّة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العلل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والموجود 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الصَّلاة في شعر ووَبَر ما لا يؤكل لحمه لأنّ أكثرها 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24/180</w:t>
      </w:r>
      <w:r>
        <w:rPr>
          <w:rFonts w:ascii="IRNazanin" w:hAnsi="IRNazanin" w:eastAsia="IRNazanin"/>
          <w:b w:val="false"/>
          <w:b w:val="false"/>
          <w:bCs w:val="false"/>
          <w:i w:val="false"/>
          <w:i w:val="false"/>
          <w:iCs w:val="false"/>
          <w:color w:val="333333"/>
          <w:sz w:val="20"/>
          <w:sz w:val="20"/>
          <w:szCs w:val="20"/>
          <w:rtl w:val="true"/>
        </w:rPr>
        <w:t xml:space="preserve">، 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وهو مذهب الستّة من العامّة وأتباعهم وبه قال ابن الجنيد رحمه الله محتجّاً بما رواه الحسن بن زرارة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جلد شاة ميتة يدبغ ويُصبّ فيه اللّبن، أشرب وأتوضّأ؟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يُدبغ وينتفع به ولا يُصلّي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أيضاً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خبر أنس بن محمّد في الفقية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علي بن حمزة الواردة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كمرفوعة محمّد بن إسماعيل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 الصَّلاة في شعر ووَبَر ما لا يؤكل لحمه، لأنّ أكثرها 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 صاحب المحقّق النجفي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الفاضل الهندي عن إصباح الشيعة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ابن بكير المتقدّم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الصَّلاة فيه من اللّباس،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المحدِّث البحراني رحمه الله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زرارة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سأله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يسقط سنّه فيأخذ سنّ إنسان ميّت فيجعله مكانه‌؟ قال 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بن الريّان،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1/265/816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الحسين بن علوان، عن الصادق، عن أبيه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البزاق يصيب الثّوب،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إختار الاختصاص بميتة ذي النفس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والشهيدالأوّل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الصَّلاة في جلد الخَزّ ووَبَره الخالص</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اليزدي عن الشهيد الثاني،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 عن الشهيد أنّ جميع الحيوانات البحريّة ليس لها دمٌ سائل إلّا التمساح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ظاهر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وصريح نسبته إلى المتأخّرين عن 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إختار الكراهة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لابنه، نقلها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في الفَنَك والسّمور والسّنجاب،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بشير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عليه السلام صَلِّ في السّنجاب والحواصل الخوارزميّة ولا تصلِّ في الثعالب ولا السّمور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صحيحة الحلبي المتقدّمة في نفي البأس عن الفراء، وراجع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موثّقة ابن بكير المتقدّمة في الخَزّ والوَبَر ورواية بشير، وراجع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لباس المُصلّي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حوصل، وهو طيرٌ كبير له حوصلة عظيمة، يتّخذ منها الفرو، قيل وهذا الطائر يكون بمصركثيراً، كما حكاه المحدِّث البحراني قدس سره عن حياة الحيوان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الإصباح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إطلاق ما دلَّ على حليّة ما له حوصلة، كما عن سيِّد المستمسك قدس سره أورده احتمالا،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الهمداني قدس سره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وكما استظهره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ذكره الطهراني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اللّباس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الأرقام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اللّباس المشكوك، الملحقة بكتاب المكاسب والبيع للنائيني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للنائيني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الكاظمي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صحح الصَّلاة السيّد الحيدري في اُصول الاستنباط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 لها مفصّلاً أيضاً السيّد الخوئي 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استظهار ذلك من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الى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مشروطة بستر العورة بمايؤكل لحمه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يستظهر ذلك من المحقّق العراقي في روائع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6/278</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الامر و النهى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الصَّلاة في شعر ووَبَر ما لا يؤكل لحمه لأنّ أكثرها 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كلامه في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أحال تفصيل ذلك على رسالته حول اللّباس المشكوك، وأشار إلى جملة منها 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للنائيني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الجلّال فللمنع عن شمول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بحث بيان حقيقة الوضع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النائيني قدس سره في كتاب الصَّلاة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النائيني قدس سره كتاب الصَّلاة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أل البيت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السيّد الخوئي قدس سره في دراسات في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الأمر السادس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وتوهّم أنّ قصر الحكم على البقيّة بالتخصيص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حاشيته على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قدس سره في دراسات في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جريان أصالة الإباحة في مشتبه الحكم، يتوقّف على عدم وجود أصل موضوعي حاكم عليه فلو شكّ في حليّة أكل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الصَّلاة للكاظمي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فالشبهة أيضاً مندرجة في مجاري البراءة، ضرورة أنّه بناءً على السلب الكلّي وإنْ كان النهي واحداً والقيد فارداً، إلّاأنّه لا إشكال في اتّساع دائرة متعلّق النهي والقيد حسب سعة ما يوجد من أفراد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المقدار يكفي في اندراج الشبهة في مجاري البراءة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 في دوران الأمر بين الأقلّ والأكثر الارتباطيين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دوران الأمر بين الأقلّ والأكثر في الأجزاء في متعلّق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البجنوردي وهو مستفاد من العلمين المحقّق العراقي والعلّامة النائيني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الأمر الرابع من مباحث العلم الإجمالي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اللباس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رسالة منفصلة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منها المصنّف دام ظله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ثم ادرجها في هذا الكتاب لعلاقتها بموضوع الكتاب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الصدوق عن أبي الجارود، 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تلبس الحرير فيحرق اللّه جلدك يوم تلقاه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كظاهر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وصريح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المحقّق الهمداني قدس سره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الجعفريّة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المحدِّث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83/241</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الجنيد، حكاه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وأبو الصّلاح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وسيِّد المدارك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والمحدِّث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83/241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التفاح، وهو ما على وسط النصارى والمجوس، وتزنّروا شدّوا الزّنار على وسطهم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وظاهر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وصريح المحقق في المعتبرج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رواية إسماعيل بن الفضل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للرجل أن يلبس الحرير إلّافي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والشهيد 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الدعوى هو المحدِّث البحراني قدس سره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رواية ابن بكير عن بعض أصحابه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 يلبسن الحرير والدّيباج إلّافي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ذيل الخبر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والبهائي في الحبل المتين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المتوقّف هو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البحراني قدس سره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يرجع إلى أخبار الترجيح وهي تقتضي تقديم تلك النصوص للأشهريّة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المؤلِّف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السيّد الحكيم قدس سره في المستمك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النراقى فى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وحكاه صاحب الجواهر عن جماعة، لاحظ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بالإطلاق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واستدلّ بخبر عمّار الفاضل الهندي في كشف اللّثام 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والحلبي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المحدِّث المجلسي رحمه الله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80/279</w:t>
      </w:r>
      <w:r>
        <w:rPr>
          <w:rFonts w:ascii="IRNazanin" w:hAnsi="IRNazanin" w:eastAsia="IRNazanin"/>
          <w:b w:val="false"/>
          <w:b w:val="false"/>
          <w:bCs w:val="false"/>
          <w:i w:val="false"/>
          <w:i w:val="false"/>
          <w:iCs w:val="false"/>
          <w:color w:val="333333"/>
          <w:sz w:val="20"/>
          <w:sz w:val="20"/>
          <w:szCs w:val="20"/>
          <w:rtl w:val="true"/>
        </w:rPr>
        <w:t>، وأصل النسبة ما نقله الكليني رحمه الله عن الفضل بن شاذان في مقام الرّد على المخالفين في جواب من قاس صحّة الطلاق في الحيض بصحّة العدّة مع خروج المعتدّة أو إخراجها من بيت زوجها، 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النزاع في جميع أنواع الأمر والنهي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والمحقّق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السيّد المرتضى في الناصريّات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اقتضاء الأمر بالشيء للنهي عن الضدّ العام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أنّ القائل هو الشيخ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8/294</w:t>
      </w:r>
      <w:r>
        <w:rPr>
          <w:rFonts w:ascii="IRNazanin" w:hAnsi="IRNazanin" w:eastAsia="IRNazanin"/>
          <w:b w:val="false"/>
          <w:b w:val="false"/>
          <w:bCs w:val="false"/>
          <w:i w:val="false"/>
          <w:i w:val="false"/>
          <w:iCs w:val="false"/>
          <w:color w:val="333333"/>
          <w:sz w:val="20"/>
          <w:sz w:val="20"/>
          <w:szCs w:val="20"/>
          <w:rtl w:val="true"/>
        </w:rPr>
        <w:t xml:space="preserve">، وحكى القول السيّد الحكيم رحمه الله في المستمسك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أوّل من ذكر هذا الحديث بهذا اللّفظ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ويشبهه تعبير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يسقط عن هؤلاء الصَّلاة بحال، وهو مستفادٌ بحسب الظاهر ممّا رواه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لا تدع الصَّلاة على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أبي عبد اللّه عليه السلام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ونسبه المحقّق الكركي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كبراء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ونسبه لأكثر المتأخّرين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الحديث علي بن حمزة الطوسي قدس سره، 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وبماعن العلّامة في المختلف وغيره عن ابن حمزة أنّه روي أنّ الصَّلاة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علي بن مهزيار،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أبا جعفر عليه السلام صَلّى حين زالت الشمس يوم التروية ست ركعات خلف المقام، وعليه نعلاه لم ينزعهما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في نفس الباب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تفسيره الشيخ الحُرّ رحمه الله في ذيل نفس الخبر المزبور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وظاهر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المحدِّث البحراني إلى المشهور،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عمّار الساباطي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الرّجل يُصلّي وعليه خاتم من حديد؟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يتختّم به الرّجل، لأنّه من لباس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نفس الباب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علي بن أبي حمزة عن أبي عبد اللّه عليه السلام، الوارد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قدس سره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وكراهة استصحاب الحديد البارز في الصَّلاة، قول أكثرالأصحاب، وقال الشيخ قدس سره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الصَّلاة إذا كان مع الإنسان شيءٌ من الحديد مشتهر مثل السكّين والسيف، وإن كان في غمد فلا بأس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ذيل حديث النميري المتقدّم آنفاً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والشهيد 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والعاملي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أبواب لباس العرب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يقرأ الرّجل في صلاته وثوبه على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إذا سمع الهمهمة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في نفس الباب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الشهيد الأوّل في البيان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المحدِّث المجلسي بعد نقله لكلام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العامّة أنّ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يُصلّي أحدكم وهو محزّم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شدّ 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80/208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والشهيد 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معاني الأخبار عن محمّد بن هارون الزنجاني، عن علي بن عبد العزيز، عن القاسم بن سلام، رفعه 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نهى عن لبستين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 الصّماء، وأن يحتبي الرّجل بثوب ليس بين فرجه وبين السماء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التحاف الصّماء هو أن يُدخل الرّجل رداءه تحت إبطه، ثمّ يجعل طرفيه على منكبٍ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السّاتر المغصوب، 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المغصوب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إختاره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بشير النبّال عن الإمام أبي جعفر عليه السلام،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عن حاشية الإرشاد للكركي،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النجاشي في رجاله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والعاملي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والاقتصاد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روي في أمّالي الطوسي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 عيّ وعورات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الجعفريّة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صحيحة محمّد بن مسلم، عن أبي جعفر عليه السلام قال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والمرأة تُصلّي في الدرع والمقنعة إذا كان الدرع كثيفاً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ظاهر الأصحاب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وجوب ستر الاُذنين والشَّعر من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والألفيّة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حيث اعتبر ستر الشَّعر للخُنثى أولى‌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أبي البختري عن جعفر بن محمّد عن أبيه عن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حاضت الجارية فلا تُصلّي إلّابخمار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والمحقّق القمّي في غنائم الأيّام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كظاهر الشيخ في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وظاهر أبو الصّلاح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والعلّامة في 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وعن المحقّق مثله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عبد الرحمن بن الحجّاج عن أبي الحسن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الإماء أن يتقنّعن في الصَّلاة، ولا ينبغي للمراة أن تُصلّي إلّافي ثوبين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في نفس الباب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ونسبه لغير واحد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 بناء العقلاء على حجيّة خبر الواحد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الجعفريّة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المرجع إلى أخبار الترجيح والتخيير وحيث لا مرجّح لشيء منهما يحكم بالتخيير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يستقرّ عليه المُصلّي ولو بوسائط، وما يلاقي بدنه وثيابه، ومايتخلّل بين مواضع الملاقاة من موضع الصَّلاة كما يلاقي مساجده ويحاذي بطنه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المحقّق الكركي في جامع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الفراغ الذي يشغله بدن المُصلّي أو يستقرّ عليه ولو بوسائط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روي عن صاحب الأمر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خبره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عنده أمّانة فليؤدّها إلى من ائتمنه عليها، فإنّه لا يحلّ دم إمرئٍ مسلم ولا ماله إلّابطيبة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اقتضاء الأمر بالشيء للنهي عن ضدّه وعدمه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برواية الصدوق في آخر صفحة السابقة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الصَّلاة في المغصوب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 الحديث عن أحقّيّة من سبق إلى مكان من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ذلك جرت به عادة أهل الأعصار، يفعلون ذلك ولا ينكره أحد، وغيره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وإنْ لم يصرّح بالإجماع، إلّاأنّ الأغلب أرسله إرسال المسلّمات، مع الاختلاف ببعض التفاصيل، وبعضهم عبّر بالمشهور كصاحب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إشكال ولا خلاف في أنّ من سبق إلى مكانٍ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أحقّ به ما دام جالساً فيه، بل يمكن تحصيل الإجماع أو الضرورة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صاحب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ونسب إلى مفتاح الكرامة الإجماع المحصّل على ذلك بل كاد أنْ يكون ضروريّاً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أزعجه أحد وقعد مكانه فعل حراماً، وصار به أولى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نصّه، وقريبٌ منه في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المؤلّف هو ما حكاه صاحب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اعتبار طهارة موضع الجبهة فللإجماع، فإنّ كلّ من اعتبر الطهارة في الصَّلاة اعتبر طهارة موضع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إجماعاً 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الذال، ثياب غلاظ مضربة تعمل باليمن، 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وحكي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الكاشاني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الذي ينام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آخرين أنّها حصيرٌ صغير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عليه السلام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عليه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الشيخ عبد الكريم الحائري في كتاب الصَّلاة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المُصلّي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الشيخ عبدالكريم الحائري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المُصلّي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ascii="IRNazanin" w:hAnsi="IRNazanin" w:eastAsia="IRNazanin"/>
          <w:b w:val="false"/>
          <w:b w:val="false"/>
          <w:bCs w:val="false"/>
          <w:i w:val="false"/>
          <w:i w:val="false"/>
          <w:iCs w:val="false"/>
          <w:color w:val="333333"/>
          <w:sz w:val="20"/>
          <w:sz w:val="20"/>
          <w:szCs w:val="20"/>
          <w:rtl w:val="true"/>
        </w:rPr>
        <w:t>، والمحقّق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جوادّ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والعبارة ساقطة من النسخ الموجودة، حكاها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80/315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مفاتيح الكاشاني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والسيّد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للبعض دون تسميته صاحب الحدائق قدس سره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وفيه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رقم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رحمه الله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والزبيدي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الطريحي رحمه الله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وحكى نفس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الثعالبي في فقه اللّغة، وعن الميداني النيسابوري في السامي في الأسامي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 ترابها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ظاهر عبارة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اختصاص الكراهة بمواضع عبادة النيران، لأنّها ليست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السيّد المرتضى قدس سره الشيخ قدس سره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كالمحدِّث البحراني قدس سره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المحدِّث البحراني قدس سره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الأوّل في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الحِلّي في المختصر النافع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ونسبه إلى الصيمري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والفاضل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المحدِّث البحراني رحمه الله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وحكاه عنه سيِّد المدارك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رحمه الله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كظاهر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الاستقلال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كصريح 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وقال الفقيه النجفي قدس سره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وغيره يعلم أنّ ترك ذكره في النهاية والخلاف والوسيلة والغنية والسرائر وكذا المقنعة والمبسوط على ما حكي عن البعض ليس للخلاف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المحقّق النراقي قدس سره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ونسبه صريحاً للأكثر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تعذّر تحصيل الأرض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صفحات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القول للوضع بالأعمّ‌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وظاهر 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ومحكي تلخيص المرام 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الصيمري في كشف الالتباس</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كلام المحقّق النجفي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والسيّد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الذكرى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بيوت النّار من الأماكن التي لا يجوز الصَّلاة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وابن زُهرة الحلبي في الغنية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والشهيد 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كشف اللّثام أنّ المقنع صريح في كون الطبري ممّا لا يلبس، وعن مولانا مراده أنّ الطبري هو الحصير الذي يصنعه أهل 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مايسجد عليه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مايسجد عليه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الصاروج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المحدِّث البحراني قدس سره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مبحث الاستحالة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الفقيه النجفي قدس سره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والفتاوى مطلقة لا تقييد في شيءٍ منها بالمتّخذ من النبات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السّجود على القرطاس إذا اتّخذ من جنس ما يجوزالسّجود عليه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المُصلّي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مخطوط، مكتبة المرعشي 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حاشية الإرشاد والعزية، كما حكاه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إطلاق علمائنا محمولٌ على ذلك</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المجلّد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وتبعه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ونسبه الميرزا القمّي في غنائمه إلى المشهور،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صاحب الجواهر 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واستدلّ بقاعدة الميسور السيّد الحكيم قدس سره في مستمسك العروة الوثقى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والبهائي في الحبل المتين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والمحقّق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أنت أذّنت وأقمت صَلّى خلفك صفّان من الملائكة، وإن أقمت إقامة بغير أذان صَلّى خلفك صفٌّ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ولإقامة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عقيل العماني، وتقدّم تخريجه أوّل البحث</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رحمه الله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والشهيد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والفاضل الإصبهاني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ونسبه إلى المشهور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بهذه الصيغة الشيخ الطوسي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والخبر هو خبر حريز كماأورده نفسه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فاتته صلاة من صلاة السَّفر فذكرها في الحَضَر،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ما فاته كما 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نبويّاً ابن أبي جمهور في 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رحمه الله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أنت أذّنت وأقمت صَلّى خلفك صفّان من الملائكة، وإنْ أقمتَ إقامة بغير أذان صَلّى خلفك صفٌّ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 الصَّلاة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 زرارة عن الإمام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 ما يجزي من الأذان أن تفتتح اللّيل بأذان وإقامة، وتفتتح النهار بأذان وإقامة، ويجزيك في سائر الصلوات إقامة بغير 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الهمداني قدس سره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زيد الشحّام أنّه سأل أبا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نسي الأذان والإقامة حتّى دخل في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ذكر قبل أن يقرأ فليصلِّ على النبيّ وآله وليقم، وإنْ كان قد دخل في القراءة فليتمّ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الهمداني قدس سره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كالطهارة مثلاً، ففي الخبر المرويّ عن قرب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المؤمن يَحْدُث في أذانه وفي إقامته‌؟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الحَدَث في الأذان فلا بأس، وإنْ كان في إقامته فليتوضّأ وليقم 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هو خبر يونس الشيباني،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أقمت الصَّلاة فقم مترسّلاً فإنّك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يُقيم أحدكم الصَّلاة وهو ماش ولا راكب ولا مضطجع إلّاأن يكون مريضاً وليتمكّن في الإقامة كما يتمكّن في الصَّلاة، فإنّه إذا أخذ في الإقامة فهو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جمع بين الظهر والعصر بأذان وإقامتين، وجمع بين المغرب والعشاء في الحَضَر من غير علّة بأذان وإقامتين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ما استفاده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السيّد الحكيم قدس سره في المستمك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محسن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وتبعه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81/171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كان فقد يقوى كون هذا السقوط على الحرمة، وإن قلَّ القائل به صريحاً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المسجد وغيره وذكره في الرواية بناءً على الأغلب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الإجماع السيّد ابن زُهرة في الغنية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7/398</w:t>
      </w:r>
      <w:r>
        <w:rPr>
          <w:rFonts w:ascii="IRNazanin" w:hAnsi="IRNazanin" w:eastAsia="IRNazanin"/>
          <w:b w:val="false"/>
          <w:b w:val="false"/>
          <w:bCs w:val="false"/>
          <w:i w:val="false"/>
          <w:i w:val="false"/>
          <w:iCs w:val="false"/>
          <w:color w:val="333333"/>
          <w:sz w:val="20"/>
          <w:sz w:val="20"/>
          <w:szCs w:val="20"/>
          <w:rtl w:val="true"/>
        </w:rPr>
        <w:t>، ونسبه إلى علمائنا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وإلى عمل الأصحاب الشهيد في الذكرى على ما 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والإقامة مثلها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الجُنيد، 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ascii="IRNazanin" w:hAnsi="IRNazanin" w:eastAsia="IRNazanin"/>
          <w:b w:val="false"/>
          <w:b w:val="false"/>
          <w:bCs w:val="false"/>
          <w:i w:val="false"/>
          <w:i w:val="false"/>
          <w:iCs w:val="false"/>
          <w:color w:val="333333"/>
          <w:sz w:val="20"/>
          <w:sz w:val="20"/>
          <w:szCs w:val="20"/>
          <w:rtl w:val="true"/>
        </w:rPr>
        <w:t>، ونسبه السبزواري إلى المشهور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والعلّامة في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والشهيدالثاني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دعوى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يقتضيه الأصل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التعبّدي والتوصّلي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فالمختار فيه أنّ الأصل يقتضي كون الواجب توصّليّاً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والشهيد 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والفاضل الاصبهاني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والجواهري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والجواهري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ابن أُمّ مكتوم يؤذّن باللّيل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به السيّد في الناصريّات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وحكاه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جمهور في غوالي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والجواهري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الرّجل نسي من الأذان حرفاً فذكره حين فرغ من الأذان والإقامة‌؟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الى الحرف الذي نسيه فليقله، وليقل من ذلك الحرف الى آخره، ولا يعيد الأذان كلّه ولا 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العلّامة في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والشهيدالثاني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والسيّد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بالأمن من الغلط، وفي فتوى الأصحاب 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وبالأوّل العلّامة في المنتهى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والسيّد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تؤذّن إلّامتطهّراً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صاحب الجواهر عن كتب الفروع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المحدِّث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العلّامة الحِلّي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يؤذّن الرّجل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المنفرد فيخطو اتّجاه القبلة خطوة برجله اليمنى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التثويب عندنا بدعة، وهو قول الصَّلاة خَيرٌ من النوم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بالصَّلاة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وعنه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الخلوة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الحِلّي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والمحقّق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ألى المشهور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الجواز على كراهة السيّد المرتضى حكاه عنه المحقّق، وذهب إليه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والشهيد في الذاكرى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المدارك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بالأجر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 للسيّد الحكيم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السيّد محمّد بحر العلوم في 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الإجاري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يتنافى مع كونه عبادة يعتبر فيه الخلوص والتقرّب إلى اللّه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72316</Words>
  <Characters>326360</Characters>
  <CharactersWithSpaces>395146</CharactersWithSpaces>
  <Paragraphs>3931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2026-08-22T07:48:31Z</dcterms:created>
  <dc:creator>ghaemiyeh.com</dc:creator>
  <dc:description/>
  <dc:language>en-US</dc:language>
  <cp:lastModifiedBy/>
  <dcterms:modified xsi:type="dcterms:W3CDTF">2026-08-22T11:18:51Z</dcterms:modified>
  <cp:revision>1</cp:revision>
  <dc:subject/>
  <dc:title>فقه الصادق علیه السلام جلد 6</dc:title>
</cp:coreProperties>
</file>

<file path=docProps/custom.xml><?xml version="1.0" encoding="utf-8"?>
<Properties xmlns="http://schemas.openxmlformats.org/officeDocument/2006/custom-properties" xmlns:vt="http://schemas.openxmlformats.org/officeDocument/2006/docPropsVTypes"/>
</file>