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3.xml" ContentType="application/vnd.openxmlformats-officedocument.wordprocessingml.footer+xml"/>
  <Override PartName="/word/footer98.xml" ContentType="application/vnd.openxmlformats-officedocument.wordprocessingml.footer+xml"/>
  <Override PartName="/word/footer61.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62.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پژوهش های اعتقادی جلد </w:t>
      </w:r>
      <w:r>
        <w:rPr/>
        <w:t>27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42774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842776_73709187">
            <w:r>
              <w:rPr>
                <w:webHidden/>
                <w:rStyle w:val="IndexLink"/>
                <w:rtl w:val="true"/>
              </w:rPr>
              <w:t>سرآغاز …</w:t>
            </w:r>
            <w:r>
              <w:rPr>
                <w:rStyle w:val="IndexLink"/>
                <w:rtl w:val="true"/>
              </w:rPr>
              <w:tab/>
            </w:r>
            <w:r>
              <w:rPr>
                <w:rStyle w:val="IndexLink"/>
              </w:rPr>
              <w:t>5</w:t>
            </w:r>
          </w:hyperlink>
        </w:p>
        <w:p>
          <w:pPr>
            <w:pStyle w:val="Contents2"/>
            <w:tabs>
              <w:tab w:val="clear" w:pos="8743"/>
              <w:tab w:val="right" w:pos="9026" w:leader="dot"/>
            </w:tabs>
            <w:rPr/>
          </w:pPr>
          <w:hyperlink w:anchor="__RefHeading___Toc9842778_73709187">
            <w:r>
              <w:rPr>
                <w:webHidden/>
                <w:rStyle w:val="IndexLink"/>
                <w:rtl w:val="true"/>
              </w:rPr>
              <w:t>پیش‌گفتار …</w:t>
            </w:r>
            <w:r>
              <w:rPr>
                <w:rStyle w:val="IndexLink"/>
                <w:rtl w:val="true"/>
              </w:rPr>
              <w:tab/>
            </w:r>
            <w:r>
              <w:rPr>
                <w:rStyle w:val="IndexLink"/>
              </w:rPr>
              <w:t>9</w:t>
            </w:r>
          </w:hyperlink>
        </w:p>
        <w:p>
          <w:pPr>
            <w:pStyle w:val="Contents2"/>
            <w:tabs>
              <w:tab w:val="clear" w:pos="8743"/>
              <w:tab w:val="right" w:pos="9026" w:leader="dot"/>
            </w:tabs>
            <w:rPr/>
          </w:pPr>
          <w:hyperlink w:anchor="__RefHeading___Toc9842780_73709187">
            <w:r>
              <w:rPr>
                <w:webHidden/>
                <w:rStyle w:val="IndexLink"/>
                <w:rtl w:val="true"/>
              </w:rPr>
              <w:t>بخش‌یکم نگاهی به‌علم جدل …</w:t>
            </w:r>
            <w:r>
              <w:rPr>
                <w:rStyle w:val="IndexLink"/>
                <w:rtl w:val="true"/>
              </w:rPr>
              <w:tab/>
            </w:r>
            <w:r>
              <w:rPr>
                <w:rStyle w:val="IndexLink"/>
              </w:rPr>
              <w:t>11</w:t>
            </w:r>
          </w:hyperlink>
        </w:p>
        <w:p>
          <w:pPr>
            <w:pStyle w:val="Contents3"/>
            <w:tabs>
              <w:tab w:val="clear" w:pos="8459"/>
              <w:tab w:val="right" w:pos="9026" w:leader="dot"/>
            </w:tabs>
            <w:rPr/>
          </w:pPr>
          <w:hyperlink w:anchor="__RefHeading___Toc9842782_73709187">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9842784_73709187">
            <w:r>
              <w:rPr>
                <w:webHidden/>
                <w:rStyle w:val="IndexLink"/>
                <w:rtl w:val="true"/>
              </w:rPr>
              <w:t>جدال در لغت …</w:t>
            </w:r>
            <w:r>
              <w:rPr>
                <w:rStyle w:val="IndexLink"/>
                <w:rtl w:val="true"/>
              </w:rPr>
              <w:tab/>
            </w:r>
            <w:r>
              <w:rPr>
                <w:rStyle w:val="IndexLink"/>
              </w:rPr>
              <w:t>11</w:t>
            </w:r>
          </w:hyperlink>
        </w:p>
        <w:p>
          <w:pPr>
            <w:pStyle w:val="Contents3"/>
            <w:tabs>
              <w:tab w:val="clear" w:pos="8459"/>
              <w:tab w:val="right" w:pos="9026" w:leader="dot"/>
            </w:tabs>
            <w:rPr/>
          </w:pPr>
          <w:hyperlink w:anchor="__RefHeading___Toc9842786_73709187">
            <w:r>
              <w:rPr>
                <w:webHidden/>
                <w:rStyle w:val="IndexLink"/>
                <w:rtl w:val="true"/>
              </w:rPr>
              <w:t>جدال در قرآن …</w:t>
            </w:r>
            <w:r>
              <w:rPr>
                <w:rStyle w:val="IndexLink"/>
                <w:rtl w:val="true"/>
              </w:rPr>
              <w:tab/>
            </w:r>
            <w:r>
              <w:rPr>
                <w:rStyle w:val="IndexLink"/>
              </w:rPr>
              <w:t>12</w:t>
            </w:r>
          </w:hyperlink>
        </w:p>
        <w:p>
          <w:pPr>
            <w:pStyle w:val="Contents4"/>
            <w:tabs>
              <w:tab w:val="clear" w:pos="8176"/>
              <w:tab w:val="right" w:pos="9026" w:leader="dot"/>
            </w:tabs>
            <w:rPr/>
          </w:pPr>
          <w:hyperlink w:anchor="__RefHeading___Toc9842788_73709187">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9842790_73709187">
            <w:r>
              <w:rPr>
                <w:webHidden/>
                <w:rStyle w:val="IndexLink"/>
                <w:rtl w:val="true"/>
              </w:rPr>
              <w:t>قرآن کریم و تعلیم روش استدلال …</w:t>
            </w:r>
            <w:r>
              <w:rPr>
                <w:rStyle w:val="IndexLink"/>
                <w:rtl w:val="true"/>
              </w:rPr>
              <w:tab/>
            </w:r>
            <w:r>
              <w:rPr>
                <w:rStyle w:val="IndexLink"/>
              </w:rPr>
              <w:t>15</w:t>
            </w:r>
          </w:hyperlink>
        </w:p>
        <w:p>
          <w:pPr>
            <w:pStyle w:val="Contents4"/>
            <w:tabs>
              <w:tab w:val="clear" w:pos="8176"/>
              <w:tab w:val="right" w:pos="9026" w:leader="dot"/>
            </w:tabs>
            <w:rPr/>
          </w:pPr>
          <w:hyperlink w:anchor="__RefHeading___Toc9842792_73709187">
            <w:r>
              <w:rPr>
                <w:webHidden/>
                <w:rStyle w:val="IndexLink"/>
                <w:rtl w:val="true"/>
              </w:rPr>
              <w:t>قرآن کریم و استدلال‌های پیامبران پیشین …</w:t>
            </w:r>
            <w:r>
              <w:rPr>
                <w:rStyle w:val="IndexLink"/>
                <w:rtl w:val="true"/>
              </w:rPr>
              <w:tab/>
            </w:r>
            <w:r>
              <w:rPr>
                <w:rStyle w:val="IndexLink"/>
              </w:rPr>
              <w:t>18</w:t>
            </w:r>
          </w:hyperlink>
        </w:p>
        <w:p>
          <w:pPr>
            <w:pStyle w:val="Contents4"/>
            <w:tabs>
              <w:tab w:val="clear" w:pos="8176"/>
              <w:tab w:val="right" w:pos="9026" w:leader="dot"/>
            </w:tabs>
            <w:rPr/>
          </w:pPr>
          <w:hyperlink w:anchor="__RefHeading___Toc9842794_73709187">
            <w:r>
              <w:rPr>
                <w:webHidden/>
                <w:rStyle w:val="IndexLink"/>
                <w:rtl w:val="true"/>
              </w:rPr>
              <w:t>جدل حق</w:t>
            </w:r>
            <w:r>
              <w:rPr>
                <w:rStyle w:val="IndexLink"/>
                <w:rtl w:val="true"/>
              </w:rPr>
              <w:t xml:space="preserve">: </w:t>
            </w:r>
            <w:r>
              <w:rPr>
                <w:rStyle w:val="IndexLink"/>
                <w:rtl w:val="true"/>
              </w:rPr>
              <w:t>استفاده از حجّت معتبر …</w:t>
            </w:r>
            <w:r>
              <w:rPr>
                <w:rStyle w:val="IndexLink"/>
                <w:rtl w:val="true"/>
              </w:rPr>
              <w:tab/>
            </w:r>
            <w:r>
              <w:rPr>
                <w:rStyle w:val="IndexLink"/>
              </w:rPr>
              <w:t>22</w:t>
            </w:r>
          </w:hyperlink>
        </w:p>
        <w:p>
          <w:pPr>
            <w:pStyle w:val="Contents4"/>
            <w:tabs>
              <w:tab w:val="clear" w:pos="8176"/>
              <w:tab w:val="right" w:pos="9026" w:leader="dot"/>
            </w:tabs>
            <w:rPr/>
          </w:pPr>
          <w:hyperlink w:anchor="__RefHeading___Toc9842796_73709187">
            <w:r>
              <w:rPr>
                <w:webHidden/>
                <w:rStyle w:val="IndexLink"/>
                <w:rtl w:val="true"/>
              </w:rPr>
              <w:t>حجّت معتبر</w:t>
            </w:r>
            <w:r>
              <w:rPr>
                <w:rStyle w:val="IndexLink"/>
                <w:rtl w:val="true"/>
              </w:rPr>
              <w:t xml:space="preserve">: </w:t>
            </w:r>
            <w:r>
              <w:rPr>
                <w:rStyle w:val="IndexLink"/>
                <w:rtl w:val="true"/>
              </w:rPr>
              <w:t>کتاب و سنّت …</w:t>
            </w:r>
            <w:r>
              <w:rPr>
                <w:rStyle w:val="IndexLink"/>
                <w:rtl w:val="true"/>
              </w:rPr>
              <w:tab/>
            </w:r>
            <w:r>
              <w:rPr>
                <w:rStyle w:val="IndexLink"/>
              </w:rPr>
              <w:t>24</w:t>
            </w:r>
          </w:hyperlink>
        </w:p>
        <w:p>
          <w:pPr>
            <w:pStyle w:val="Contents3"/>
            <w:tabs>
              <w:tab w:val="clear" w:pos="8459"/>
              <w:tab w:val="right" w:pos="9026" w:leader="dot"/>
            </w:tabs>
            <w:rPr/>
          </w:pPr>
          <w:hyperlink w:anchor="__RefHeading___Toc9842798_73709187">
            <w:r>
              <w:rPr>
                <w:webHidden/>
                <w:rStyle w:val="IndexLink"/>
                <w:rtl w:val="true"/>
              </w:rPr>
              <w:t>نگاهی به آداب مناظره و جدل …</w:t>
            </w:r>
            <w:r>
              <w:rPr>
                <w:rStyle w:val="IndexLink"/>
                <w:rtl w:val="true"/>
              </w:rPr>
              <w:tab/>
            </w:r>
            <w:r>
              <w:rPr>
                <w:rStyle w:val="IndexLink"/>
              </w:rPr>
              <w:t>29</w:t>
            </w:r>
          </w:hyperlink>
        </w:p>
        <w:p>
          <w:pPr>
            <w:pStyle w:val="Contents2"/>
            <w:tabs>
              <w:tab w:val="clear" w:pos="8743"/>
              <w:tab w:val="right" w:pos="9026" w:leader="dot"/>
            </w:tabs>
            <w:rPr/>
          </w:pPr>
          <w:hyperlink w:anchor="__RefHeading___Toc9842800_73709187">
            <w:r>
              <w:rPr>
                <w:webHidden/>
                <w:rStyle w:val="IndexLink"/>
                <w:rtl w:val="true"/>
              </w:rPr>
              <w:t>بخش دوم جدل‌در علم کلام …</w:t>
            </w:r>
            <w:r>
              <w:rPr>
                <w:rStyle w:val="IndexLink"/>
                <w:rtl w:val="true"/>
              </w:rPr>
              <w:tab/>
            </w:r>
            <w:r>
              <w:rPr>
                <w:rStyle w:val="IndexLink"/>
              </w:rPr>
              <w:t>31</w:t>
            </w:r>
          </w:hyperlink>
        </w:p>
        <w:p>
          <w:pPr>
            <w:pStyle w:val="Contents3"/>
            <w:tabs>
              <w:tab w:val="clear" w:pos="8459"/>
              <w:tab w:val="right" w:pos="9026" w:leader="dot"/>
            </w:tabs>
            <w:rPr/>
          </w:pPr>
          <w:hyperlink w:anchor="__RefHeading___Toc9842802_73709187">
            <w:r>
              <w:rPr>
                <w:webHidden/>
                <w:rStyle w:val="IndexLink"/>
                <w:rtl w:val="true"/>
              </w:rPr>
              <w:t>دانشمندان اسلامی و تعریف علم کلام …</w:t>
            </w:r>
            <w:r>
              <w:rPr>
                <w:rStyle w:val="IndexLink"/>
                <w:rtl w:val="true"/>
              </w:rPr>
              <w:tab/>
            </w:r>
            <w:r>
              <w:rPr>
                <w:rStyle w:val="IndexLink"/>
              </w:rPr>
              <w:t>31</w:t>
            </w:r>
          </w:hyperlink>
        </w:p>
        <w:p>
          <w:pPr>
            <w:pStyle w:val="Contents4"/>
            <w:tabs>
              <w:tab w:val="clear" w:pos="8176"/>
              <w:tab w:val="right" w:pos="9026" w:leader="dot"/>
            </w:tabs>
            <w:rPr/>
          </w:pPr>
          <w:hyperlink w:anchor="__RefHeading___Toc9842804_73709187">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9842806_73709187">
            <w:r>
              <w:rPr>
                <w:webHidden/>
                <w:rStyle w:val="IndexLink"/>
                <w:rtl w:val="true"/>
              </w:rPr>
              <w:t>قاضی ایجی …</w:t>
            </w:r>
            <w:r>
              <w:rPr>
                <w:rStyle w:val="IndexLink"/>
                <w:rtl w:val="true"/>
              </w:rPr>
              <w:tab/>
            </w:r>
            <w:r>
              <w:rPr>
                <w:rStyle w:val="IndexLink"/>
              </w:rPr>
              <w:t>32</w:t>
            </w:r>
          </w:hyperlink>
        </w:p>
        <w:p>
          <w:pPr>
            <w:pStyle w:val="Contents4"/>
            <w:tabs>
              <w:tab w:val="clear" w:pos="8176"/>
              <w:tab w:val="right" w:pos="9026" w:leader="dot"/>
            </w:tabs>
            <w:rPr/>
          </w:pPr>
          <w:hyperlink w:anchor="__RefHeading___Toc9842808_73709187">
            <w:r>
              <w:rPr>
                <w:webHidden/>
                <w:rStyle w:val="IndexLink"/>
                <w:rtl w:val="true"/>
              </w:rPr>
              <w:t xml:space="preserve">سعدالدین تفتازانی </w:t>
            </w:r>
            <w:r>
              <w:rPr>
                <w:rStyle w:val="IndexLink"/>
                <w:rtl w:val="true"/>
              </w:rPr>
              <w:t>(</w:t>
            </w:r>
            <w:r>
              <w:rPr>
                <w:rStyle w:val="IndexLink"/>
              </w:rPr>
              <w:t>2</w:t>
            </w:r>
            <w:r>
              <w:rPr>
                <w:rStyle w:val="IndexLink"/>
                <w:rtl w:val="true"/>
              </w:rPr>
              <w:t>) …</w:t>
              <w:tab/>
            </w:r>
            <w:r>
              <w:rPr>
                <w:rStyle w:val="IndexLink"/>
              </w:rPr>
              <w:t>33</w:t>
            </w:r>
          </w:hyperlink>
        </w:p>
        <w:p>
          <w:pPr>
            <w:pStyle w:val="Contents4"/>
            <w:tabs>
              <w:tab w:val="clear" w:pos="8176"/>
              <w:tab w:val="right" w:pos="9026" w:leader="dot"/>
            </w:tabs>
            <w:rPr/>
          </w:pPr>
          <w:hyperlink w:anchor="__RefHeading___Toc9842810_73709187">
            <w:r>
              <w:rPr>
                <w:webHidden/>
                <w:rStyle w:val="IndexLink"/>
                <w:rtl w:val="true"/>
              </w:rPr>
              <w:t xml:space="preserve">فیاض لاهیجی </w:t>
            </w:r>
            <w:r>
              <w:rPr>
                <w:rStyle w:val="IndexLink"/>
                <w:rtl w:val="true"/>
              </w:rPr>
              <w:t>(</w:t>
            </w:r>
            <w:r>
              <w:rPr>
                <w:rStyle w:val="IndexLink"/>
              </w:rPr>
              <w:t>2</w:t>
            </w:r>
            <w:r>
              <w:rPr>
                <w:rStyle w:val="IndexLink"/>
                <w:rtl w:val="true"/>
              </w:rPr>
              <w:t>) …</w:t>
              <w:tab/>
            </w:r>
            <w:r>
              <w:rPr>
                <w:rStyle w:val="IndexLink"/>
              </w:rPr>
              <w:t>34</w:t>
            </w:r>
          </w:hyperlink>
        </w:p>
        <w:p>
          <w:pPr>
            <w:pStyle w:val="Contents3"/>
            <w:tabs>
              <w:tab w:val="clear" w:pos="8459"/>
              <w:tab w:val="right" w:pos="9026" w:leader="dot"/>
            </w:tabs>
            <w:rPr/>
          </w:pPr>
          <w:hyperlink w:anchor="__RefHeading___Toc9842812_73709187">
            <w:r>
              <w:rPr>
                <w:webHidden/>
                <w:rStyle w:val="IndexLink"/>
                <w:rtl w:val="true"/>
              </w:rPr>
              <w:t>اصول دین و کتاب‌های امامیه …</w:t>
            </w:r>
            <w:r>
              <w:rPr>
                <w:rStyle w:val="IndexLink"/>
                <w:rtl w:val="true"/>
              </w:rPr>
              <w:tab/>
            </w:r>
            <w:r>
              <w:rPr>
                <w:rStyle w:val="IndexLink"/>
              </w:rPr>
              <w:t>36</w:t>
            </w:r>
          </w:hyperlink>
        </w:p>
        <w:p>
          <w:pPr>
            <w:pStyle w:val="Contents3"/>
            <w:tabs>
              <w:tab w:val="clear" w:pos="8459"/>
              <w:tab w:val="right" w:pos="9026" w:leader="dot"/>
            </w:tabs>
            <w:rPr/>
          </w:pPr>
          <w:hyperlink w:anchor="__RefHeading___Toc9842814_73709187">
            <w:r>
              <w:rPr>
                <w:webHidden/>
                <w:rStyle w:val="IndexLink"/>
                <w:rtl w:val="true"/>
              </w:rPr>
              <w:t>اصول دین و کتاب‌های اهل سنّت …</w:t>
            </w:r>
            <w:r>
              <w:rPr>
                <w:rStyle w:val="IndexLink"/>
                <w:rtl w:val="true"/>
              </w:rPr>
              <w:tab/>
            </w:r>
            <w:r>
              <w:rPr>
                <w:rStyle w:val="IndexLink"/>
              </w:rPr>
              <w:t>37</w:t>
            </w:r>
          </w:hyperlink>
        </w:p>
        <w:p>
          <w:pPr>
            <w:pStyle w:val="Contents3"/>
            <w:tabs>
              <w:tab w:val="clear" w:pos="8459"/>
              <w:tab w:val="right" w:pos="9026" w:leader="dot"/>
            </w:tabs>
            <w:rPr/>
          </w:pPr>
          <w:hyperlink w:anchor="__RefHeading___Toc9842816_73709187">
            <w:r>
              <w:rPr>
                <w:webHidden/>
                <w:rStyle w:val="IndexLink"/>
                <w:rtl w:val="true"/>
              </w:rPr>
              <w:t>موضوعات کتاب‌های اصول دین …</w:t>
            </w:r>
            <w:r>
              <w:rPr>
                <w:rStyle w:val="IndexLink"/>
                <w:rtl w:val="true"/>
              </w:rPr>
              <w:tab/>
            </w:r>
            <w:r>
              <w:rPr>
                <w:rStyle w:val="IndexLink"/>
              </w:rPr>
              <w:t>38</w:t>
            </w:r>
          </w:hyperlink>
        </w:p>
        <w:p>
          <w:pPr>
            <w:pStyle w:val="Contents4"/>
            <w:tabs>
              <w:tab w:val="clear" w:pos="8176"/>
              <w:tab w:val="right" w:pos="9026" w:leader="dot"/>
            </w:tabs>
            <w:rPr/>
          </w:pPr>
          <w:hyperlink w:anchor="__RefHeading___Toc9842818_73709187">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9842820_73709187">
            <w:r>
              <w:rPr>
                <w:webHidden/>
                <w:rStyle w:val="IndexLink"/>
                <w:rtl w:val="true"/>
              </w:rPr>
              <w:t>آیا علم کلام از عوامل شکست‌های ماست؟ …</w:t>
            </w:r>
            <w:r>
              <w:rPr>
                <w:rStyle w:val="IndexLink"/>
                <w:rtl w:val="true"/>
              </w:rPr>
              <w:tab/>
            </w:r>
            <w:r>
              <w:rPr>
                <w:rStyle w:val="IndexLink"/>
              </w:rPr>
              <w:t>40</w:t>
            </w:r>
          </w:hyperlink>
        </w:p>
        <w:p>
          <w:pPr>
            <w:pStyle w:val="Contents4"/>
            <w:tabs>
              <w:tab w:val="clear" w:pos="8176"/>
              <w:tab w:val="right" w:pos="9026" w:leader="dot"/>
            </w:tabs>
            <w:rPr/>
          </w:pPr>
          <w:hyperlink w:anchor="__RefHeading___Toc9842822_73709187">
            <w:r>
              <w:rPr>
                <w:webHidden/>
                <w:rStyle w:val="IndexLink"/>
                <w:rtl w:val="true"/>
              </w:rPr>
              <w:t>تأثیر علم کلام در گرایش به تشیّع …</w:t>
            </w:r>
            <w:r>
              <w:rPr>
                <w:rStyle w:val="IndexLink"/>
                <w:rtl w:val="true"/>
              </w:rPr>
              <w:tab/>
            </w:r>
            <w:r>
              <w:rPr>
                <w:rStyle w:val="IndexLink"/>
              </w:rPr>
              <w:t>43</w:t>
            </w:r>
          </w:hyperlink>
        </w:p>
        <w:p>
          <w:pPr>
            <w:pStyle w:val="Contents4"/>
            <w:tabs>
              <w:tab w:val="clear" w:pos="8176"/>
              <w:tab w:val="right" w:pos="9026" w:leader="dot"/>
            </w:tabs>
            <w:rPr/>
          </w:pPr>
          <w:hyperlink w:anchor="__RefHeading___Toc9842824_73709187">
            <w:r>
              <w:rPr>
                <w:webHidden/>
                <w:rStyle w:val="IndexLink"/>
                <w:rtl w:val="true"/>
              </w:rPr>
              <w:t>برخی مسائل اختلافی در علم کلام …</w:t>
            </w:r>
            <w:r>
              <w:rPr>
                <w:rStyle w:val="IndexLink"/>
                <w:rtl w:val="true"/>
              </w:rPr>
              <w:tab/>
            </w:r>
            <w:r>
              <w:rPr>
                <w:rStyle w:val="IndexLink"/>
              </w:rPr>
              <w:t>44</w:t>
            </w:r>
          </w:hyperlink>
        </w:p>
        <w:p>
          <w:pPr>
            <w:pStyle w:val="Contents3"/>
            <w:tabs>
              <w:tab w:val="clear" w:pos="8459"/>
              <w:tab w:val="right" w:pos="9026" w:leader="dot"/>
            </w:tabs>
            <w:rPr/>
          </w:pPr>
          <w:hyperlink w:anchor="__RefHeading___Toc9842826_73709187">
            <w:r>
              <w:rPr>
                <w:webHidden/>
                <w:rStyle w:val="IndexLink"/>
                <w:rtl w:val="true"/>
              </w:rPr>
              <w:t>امامت و اصول دین …</w:t>
            </w:r>
            <w:r>
              <w:rPr>
                <w:rStyle w:val="IndexLink"/>
                <w:rtl w:val="true"/>
              </w:rPr>
              <w:tab/>
            </w:r>
            <w:r>
              <w:rPr>
                <w:rStyle w:val="IndexLink"/>
              </w:rPr>
              <w:t>46</w:t>
            </w:r>
          </w:hyperlink>
        </w:p>
        <w:p>
          <w:pPr>
            <w:pStyle w:val="Contents4"/>
            <w:tabs>
              <w:tab w:val="clear" w:pos="8176"/>
              <w:tab w:val="right" w:pos="9026" w:leader="dot"/>
            </w:tabs>
            <w:rPr/>
          </w:pPr>
          <w:hyperlink w:anchor="__RefHeading___Toc9842828_73709187">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9842830_73709187">
            <w:r>
              <w:rPr>
                <w:webHidden/>
                <w:rStyle w:val="IndexLink"/>
                <w:rtl w:val="true"/>
              </w:rPr>
              <w:t>وجوب امامت …</w:t>
            </w:r>
            <w:r>
              <w:rPr>
                <w:rStyle w:val="IndexLink"/>
                <w:rtl w:val="true"/>
              </w:rPr>
              <w:tab/>
            </w:r>
            <w:r>
              <w:rPr>
                <w:rStyle w:val="IndexLink"/>
              </w:rPr>
              <w:t>46</w:t>
            </w:r>
          </w:hyperlink>
        </w:p>
        <w:p>
          <w:pPr>
            <w:pStyle w:val="Contents4"/>
            <w:tabs>
              <w:tab w:val="clear" w:pos="8176"/>
              <w:tab w:val="right" w:pos="9026" w:leader="dot"/>
            </w:tabs>
            <w:rPr/>
          </w:pPr>
          <w:hyperlink w:anchor="__RefHeading___Toc9842832_73709187">
            <w:r>
              <w:rPr>
                <w:webHidden/>
                <w:rStyle w:val="IndexLink"/>
                <w:rtl w:val="true"/>
              </w:rPr>
              <w:t>امامت چیست؟ …</w:t>
            </w:r>
            <w:r>
              <w:rPr>
                <w:rStyle w:val="IndexLink"/>
                <w:rtl w:val="true"/>
              </w:rPr>
              <w:tab/>
            </w:r>
            <w:r>
              <w:rPr>
                <w:rStyle w:val="IndexLink"/>
              </w:rPr>
              <w:t>49</w:t>
            </w:r>
          </w:hyperlink>
        </w:p>
        <w:p>
          <w:pPr>
            <w:pStyle w:val="Contents4"/>
            <w:tabs>
              <w:tab w:val="clear" w:pos="8176"/>
              <w:tab w:val="right" w:pos="9026" w:leader="dot"/>
            </w:tabs>
            <w:rPr/>
          </w:pPr>
          <w:hyperlink w:anchor="__RefHeading___Toc9842834_73709187">
            <w:r>
              <w:rPr>
                <w:webHidden/>
                <w:rStyle w:val="IndexLink"/>
                <w:rtl w:val="true"/>
              </w:rPr>
              <w:t>امامت، جزء اصول دین است …</w:t>
            </w:r>
            <w:r>
              <w:rPr>
                <w:rStyle w:val="IndexLink"/>
                <w:rtl w:val="true"/>
              </w:rPr>
              <w:tab/>
            </w:r>
            <w:r>
              <w:rPr>
                <w:rStyle w:val="IndexLink"/>
              </w:rPr>
              <w:t>53</w:t>
            </w:r>
          </w:hyperlink>
        </w:p>
        <w:p>
          <w:pPr>
            <w:pStyle w:val="Contents4"/>
            <w:tabs>
              <w:tab w:val="clear" w:pos="8176"/>
              <w:tab w:val="right" w:pos="9026" w:leader="dot"/>
            </w:tabs>
            <w:rPr/>
          </w:pPr>
          <w:hyperlink w:anchor="__RefHeading___Toc9842836_73709187">
            <w:r>
              <w:rPr>
                <w:webHidden/>
                <w:rStyle w:val="IndexLink"/>
                <w:rtl w:val="true"/>
              </w:rPr>
              <w:t>تعیین امام با کیست؟ …</w:t>
            </w:r>
            <w:r>
              <w:rPr>
                <w:rStyle w:val="IndexLink"/>
                <w:rtl w:val="true"/>
              </w:rPr>
              <w:tab/>
            </w:r>
            <w:r>
              <w:rPr>
                <w:rStyle w:val="IndexLink"/>
              </w:rPr>
              <w:t>56</w:t>
            </w:r>
          </w:hyperlink>
        </w:p>
        <w:p>
          <w:pPr>
            <w:pStyle w:val="Contents5"/>
            <w:tabs>
              <w:tab w:val="clear" w:pos="7892"/>
              <w:tab w:val="right" w:pos="9026" w:leader="dot"/>
            </w:tabs>
            <w:rPr/>
          </w:pPr>
          <w:hyperlink w:anchor="__RefHeading___Toc9842838_73709187">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9842840_73709187">
            <w:r>
              <w:rPr>
                <w:webHidden/>
                <w:rStyle w:val="IndexLink"/>
              </w:rPr>
              <w:t>1</w:t>
            </w:r>
            <w:r>
              <w:rPr>
                <w:rStyle w:val="IndexLink"/>
                <w:rtl w:val="true"/>
              </w:rPr>
              <w:t xml:space="preserve">. </w:t>
            </w:r>
            <w:r>
              <w:rPr>
                <w:rStyle w:val="IndexLink"/>
                <w:rtl w:val="true"/>
              </w:rPr>
              <w:t>دیدگاه اهل سنّت …</w:t>
            </w:r>
            <w:r>
              <w:rPr>
                <w:rStyle w:val="IndexLink"/>
                <w:rtl w:val="true"/>
              </w:rPr>
              <w:tab/>
            </w:r>
            <w:r>
              <w:rPr>
                <w:rStyle w:val="IndexLink"/>
              </w:rPr>
              <w:t>56</w:t>
            </w:r>
          </w:hyperlink>
        </w:p>
        <w:p>
          <w:pPr>
            <w:pStyle w:val="Contents6"/>
            <w:tabs>
              <w:tab w:val="clear" w:pos="7609"/>
              <w:tab w:val="right" w:pos="9026" w:leader="dot"/>
            </w:tabs>
            <w:rPr/>
          </w:pPr>
          <w:hyperlink w:anchor="__RefHeading___Toc9842842_73709187">
            <w:r>
              <w:rPr>
                <w:webHidden/>
                <w:rStyle w:val="IndexLink"/>
                <w:rtl w:val="true"/>
              </w:rPr>
              <w:t>اشارة</w:t>
            </w:r>
            <w:r>
              <w:rPr>
                <w:rStyle w:val="IndexLink"/>
                <w:rtl w:val="true"/>
              </w:rPr>
              <w:tab/>
            </w:r>
            <w:r>
              <w:rPr>
                <w:rStyle w:val="IndexLink"/>
              </w:rPr>
              <w:t>56</w:t>
            </w:r>
          </w:hyperlink>
        </w:p>
        <w:p>
          <w:pPr>
            <w:pStyle w:val="Contents6"/>
            <w:tabs>
              <w:tab w:val="clear" w:pos="7609"/>
              <w:tab w:val="right" w:pos="9026" w:leader="dot"/>
            </w:tabs>
            <w:rPr/>
          </w:pPr>
          <w:hyperlink w:anchor="__RefHeading___Toc9842844_73709187">
            <w:r>
              <w:rPr>
                <w:webHidden/>
                <w:rStyle w:val="IndexLink"/>
                <w:rtl w:val="true"/>
              </w:rPr>
              <w:t>نقد دیدگاه اهل سنّت …</w:t>
            </w:r>
            <w:r>
              <w:rPr>
                <w:rStyle w:val="IndexLink"/>
                <w:rtl w:val="true"/>
              </w:rPr>
              <w:tab/>
            </w:r>
            <w:r>
              <w:rPr>
                <w:rStyle w:val="IndexLink"/>
              </w:rPr>
              <w:t>57</w:t>
            </w:r>
          </w:hyperlink>
        </w:p>
        <w:p>
          <w:pPr>
            <w:pStyle w:val="Contents5"/>
            <w:tabs>
              <w:tab w:val="clear" w:pos="7892"/>
              <w:tab w:val="right" w:pos="9026" w:leader="dot"/>
            </w:tabs>
            <w:rPr/>
          </w:pPr>
          <w:hyperlink w:anchor="__RefHeading___Toc9842846_73709187">
            <w:r>
              <w:rPr>
                <w:webHidden/>
                <w:rStyle w:val="IndexLink"/>
              </w:rPr>
              <w:t>2</w:t>
            </w:r>
            <w:r>
              <w:rPr>
                <w:rStyle w:val="IndexLink"/>
                <w:rtl w:val="true"/>
              </w:rPr>
              <w:t xml:space="preserve">. </w:t>
            </w:r>
            <w:r>
              <w:rPr>
                <w:rStyle w:val="IndexLink"/>
                <w:rtl w:val="true"/>
              </w:rPr>
              <w:t>دیدگاه شیعه …</w:t>
            </w:r>
            <w:r>
              <w:rPr>
                <w:rStyle w:val="IndexLink"/>
                <w:rtl w:val="true"/>
              </w:rPr>
              <w:tab/>
            </w:r>
            <w:r>
              <w:rPr>
                <w:rStyle w:val="IndexLink"/>
              </w:rPr>
              <w:t>59</w:t>
            </w:r>
          </w:hyperlink>
        </w:p>
        <w:p>
          <w:pPr>
            <w:pStyle w:val="Contents4"/>
            <w:tabs>
              <w:tab w:val="clear" w:pos="8176"/>
              <w:tab w:val="right" w:pos="9026" w:leader="dot"/>
            </w:tabs>
            <w:rPr/>
          </w:pPr>
          <w:hyperlink w:anchor="__RefHeading___Toc9842848_73709187">
            <w:r>
              <w:rPr>
                <w:webHidden/>
                <w:rStyle w:val="IndexLink"/>
                <w:rtl w:val="true"/>
              </w:rPr>
              <w:t>امام بعد از پیامبر کیست؟ …</w:t>
            </w:r>
            <w:r>
              <w:rPr>
                <w:rStyle w:val="IndexLink"/>
                <w:rtl w:val="true"/>
              </w:rPr>
              <w:tab/>
            </w:r>
            <w:r>
              <w:rPr>
                <w:rStyle w:val="IndexLink"/>
              </w:rPr>
              <w:t>62</w:t>
            </w:r>
          </w:hyperlink>
        </w:p>
        <w:p>
          <w:pPr>
            <w:pStyle w:val="Contents4"/>
            <w:tabs>
              <w:tab w:val="clear" w:pos="8176"/>
              <w:tab w:val="right" w:pos="9026" w:leader="dot"/>
            </w:tabs>
            <w:rPr/>
          </w:pPr>
          <w:hyperlink w:anchor="__RefHeading___Toc9842850_73709187">
            <w:r>
              <w:rPr>
                <w:webHidden/>
                <w:rStyle w:val="IndexLink"/>
                <w:rtl w:val="true"/>
              </w:rPr>
              <w:t>ادلّه شیعه بر امامت حضرت علی …</w:t>
            </w:r>
            <w:r>
              <w:rPr>
                <w:rStyle w:val="IndexLink"/>
                <w:rtl w:val="true"/>
              </w:rPr>
              <w:tab/>
            </w:r>
            <w:r>
              <w:rPr>
                <w:rStyle w:val="IndexLink"/>
              </w:rPr>
              <w:t>63</w:t>
            </w:r>
          </w:hyperlink>
        </w:p>
        <w:p>
          <w:pPr>
            <w:pStyle w:val="Contents4"/>
            <w:tabs>
              <w:tab w:val="clear" w:pos="8176"/>
              <w:tab w:val="right" w:pos="9026" w:leader="dot"/>
            </w:tabs>
            <w:rPr/>
          </w:pPr>
          <w:hyperlink w:anchor="__RefHeading___Toc9842852_73709187">
            <w:r>
              <w:rPr>
                <w:webHidden/>
                <w:rStyle w:val="IndexLink"/>
                <w:rtl w:val="true"/>
              </w:rPr>
              <w:t>شیعه امامیه و پایبندی به جدال احسن …</w:t>
            </w:r>
            <w:r>
              <w:rPr>
                <w:rStyle w:val="IndexLink"/>
                <w:rtl w:val="true"/>
              </w:rPr>
              <w:tab/>
            </w:r>
            <w:r>
              <w:rPr>
                <w:rStyle w:val="IndexLink"/>
              </w:rPr>
              <w:t>64</w:t>
            </w:r>
          </w:hyperlink>
        </w:p>
        <w:p>
          <w:pPr>
            <w:pStyle w:val="Contents3"/>
            <w:tabs>
              <w:tab w:val="clear" w:pos="8459"/>
              <w:tab w:val="right" w:pos="9026" w:leader="dot"/>
            </w:tabs>
            <w:rPr/>
          </w:pPr>
          <w:hyperlink w:anchor="__RefHeading___Toc9842854_73709187">
            <w:r>
              <w:rPr>
                <w:webHidden/>
                <w:rStyle w:val="IndexLink"/>
                <w:rtl w:val="true"/>
              </w:rPr>
              <w:t>نمونه‌هایی از استدلال‌های شیعه …</w:t>
            </w:r>
            <w:r>
              <w:rPr>
                <w:rStyle w:val="IndexLink"/>
                <w:rtl w:val="true"/>
              </w:rPr>
              <w:tab/>
            </w:r>
            <w:r>
              <w:rPr>
                <w:rStyle w:val="IndexLink"/>
              </w:rPr>
              <w:t>64</w:t>
            </w:r>
          </w:hyperlink>
        </w:p>
        <w:p>
          <w:pPr>
            <w:pStyle w:val="Contents4"/>
            <w:tabs>
              <w:tab w:val="clear" w:pos="8176"/>
              <w:tab w:val="right" w:pos="9026" w:leader="dot"/>
            </w:tabs>
            <w:rPr/>
          </w:pPr>
          <w:hyperlink w:anchor="__RefHeading___Toc9842856_73709187">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9842858_73709187">
            <w:r>
              <w:rPr>
                <w:webHidden/>
                <w:rStyle w:val="IndexLink"/>
                <w:rtl w:val="true"/>
              </w:rPr>
              <w:t xml:space="preserve">استدلال به حدیث </w:t>
            </w:r>
            <w:r>
              <w:rPr>
                <w:rStyle w:val="IndexLink"/>
                <w:rtl w:val="true"/>
              </w:rPr>
              <w:t>«</w:t>
            </w:r>
            <w:r>
              <w:rPr>
                <w:rStyle w:val="IndexLink"/>
                <w:rtl w:val="true"/>
              </w:rPr>
              <w:t>مدینة العلم</w:t>
            </w:r>
            <w:r>
              <w:rPr>
                <w:rStyle w:val="IndexLink"/>
                <w:rtl w:val="true"/>
              </w:rPr>
              <w:t>» …</w:t>
              <w:tab/>
            </w:r>
            <w:r>
              <w:rPr>
                <w:rStyle w:val="IndexLink"/>
              </w:rPr>
              <w:t>67</w:t>
            </w:r>
          </w:hyperlink>
        </w:p>
        <w:p>
          <w:pPr>
            <w:pStyle w:val="Contents4"/>
            <w:tabs>
              <w:tab w:val="clear" w:pos="8176"/>
              <w:tab w:val="right" w:pos="9026" w:leader="dot"/>
            </w:tabs>
            <w:rPr/>
          </w:pPr>
          <w:hyperlink w:anchor="__RefHeading___Toc9842860_73709187">
            <w:r>
              <w:rPr>
                <w:webHidden/>
                <w:rStyle w:val="IndexLink"/>
                <w:rtl w:val="true"/>
              </w:rPr>
              <w:t xml:space="preserve">استدلال به حدیث </w:t>
            </w:r>
            <w:r>
              <w:rPr>
                <w:rStyle w:val="IndexLink"/>
                <w:rtl w:val="true"/>
              </w:rPr>
              <w:t>«</w:t>
            </w:r>
            <w:r>
              <w:rPr>
                <w:rStyle w:val="IndexLink"/>
                <w:rtl w:val="true"/>
              </w:rPr>
              <w:t>طیر</w:t>
            </w:r>
            <w:r>
              <w:rPr>
                <w:rStyle w:val="IndexLink"/>
                <w:rtl w:val="true"/>
              </w:rPr>
              <w:t>» …</w:t>
              <w:tab/>
            </w:r>
            <w:r>
              <w:rPr>
                <w:rStyle w:val="IndexLink"/>
              </w:rPr>
              <w:t>69</w:t>
            </w:r>
          </w:hyperlink>
        </w:p>
        <w:p>
          <w:pPr>
            <w:pStyle w:val="Contents3"/>
            <w:tabs>
              <w:tab w:val="clear" w:pos="8459"/>
              <w:tab w:val="right" w:pos="9026" w:leader="dot"/>
            </w:tabs>
            <w:rPr/>
          </w:pPr>
          <w:hyperlink w:anchor="__RefHeading___Toc9842862_73709187">
            <w:r>
              <w:rPr>
                <w:webHidden/>
                <w:rStyle w:val="IndexLink"/>
                <w:rtl w:val="true"/>
              </w:rPr>
              <w:t>موضع شیعه در برابر هجوم مخالفان …</w:t>
            </w:r>
            <w:r>
              <w:rPr>
                <w:rStyle w:val="IndexLink"/>
                <w:rtl w:val="true"/>
              </w:rPr>
              <w:tab/>
            </w:r>
            <w:r>
              <w:rPr>
                <w:rStyle w:val="IndexLink"/>
              </w:rPr>
              <w:t>72</w:t>
            </w:r>
          </w:hyperlink>
        </w:p>
        <w:p>
          <w:pPr>
            <w:pStyle w:val="Contents4"/>
            <w:tabs>
              <w:tab w:val="clear" w:pos="8176"/>
              <w:tab w:val="right" w:pos="9026" w:leader="dot"/>
            </w:tabs>
            <w:rPr/>
          </w:pPr>
          <w:hyperlink w:anchor="__RefHeading___Toc9842864_73709187">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9842866_73709187">
            <w:r>
              <w:rPr>
                <w:webHidden/>
                <w:rStyle w:val="IndexLink"/>
              </w:rPr>
              <w:t>1</w:t>
            </w:r>
            <w:r>
              <w:rPr>
                <w:rStyle w:val="IndexLink"/>
                <w:rtl w:val="true"/>
              </w:rPr>
              <w:t xml:space="preserve">. </w:t>
            </w:r>
            <w:r>
              <w:rPr>
                <w:rStyle w:val="IndexLink"/>
                <w:rtl w:val="true"/>
              </w:rPr>
              <w:t>نگارش کتاب‌های استدلالی …</w:t>
            </w:r>
            <w:r>
              <w:rPr>
                <w:rStyle w:val="IndexLink"/>
                <w:rtl w:val="true"/>
              </w:rPr>
              <w:tab/>
            </w:r>
            <w:r>
              <w:rPr>
                <w:rStyle w:val="IndexLink"/>
              </w:rPr>
              <w:t>72</w:t>
            </w:r>
          </w:hyperlink>
        </w:p>
        <w:p>
          <w:pPr>
            <w:pStyle w:val="Contents4"/>
            <w:tabs>
              <w:tab w:val="clear" w:pos="8176"/>
              <w:tab w:val="right" w:pos="9026" w:leader="dot"/>
            </w:tabs>
            <w:rPr/>
          </w:pPr>
          <w:hyperlink w:anchor="__RefHeading___Toc9842868_73709187">
            <w:r>
              <w:rPr>
                <w:webHidden/>
                <w:rStyle w:val="IndexLink"/>
              </w:rPr>
              <w:t>2</w:t>
            </w:r>
            <w:r>
              <w:rPr>
                <w:rStyle w:val="IndexLink"/>
                <w:rtl w:val="true"/>
              </w:rPr>
              <w:t xml:space="preserve">. </w:t>
            </w:r>
            <w:r>
              <w:rPr>
                <w:rStyle w:val="IndexLink"/>
                <w:rtl w:val="true"/>
              </w:rPr>
              <w:t>نگارش کتاب‌هایی در رد مخالفان …</w:t>
            </w:r>
            <w:r>
              <w:rPr>
                <w:rStyle w:val="IndexLink"/>
                <w:rtl w:val="true"/>
              </w:rPr>
              <w:tab/>
            </w:r>
            <w:r>
              <w:rPr>
                <w:rStyle w:val="IndexLink"/>
              </w:rPr>
              <w:t>72</w:t>
            </w:r>
          </w:hyperlink>
        </w:p>
        <w:p>
          <w:pPr>
            <w:pStyle w:val="Contents4"/>
            <w:tabs>
              <w:tab w:val="clear" w:pos="8176"/>
              <w:tab w:val="right" w:pos="9026" w:leader="dot"/>
            </w:tabs>
            <w:rPr/>
          </w:pPr>
          <w:hyperlink w:anchor="__RefHeading___Toc9842870_73709187">
            <w:r>
              <w:rPr>
                <w:webHidden/>
                <w:rStyle w:val="IndexLink"/>
                <w:rtl w:val="true"/>
              </w:rPr>
              <w:t>جاحظ و سید بن طاووس …</w:t>
            </w:r>
            <w:r>
              <w:rPr>
                <w:rStyle w:val="IndexLink"/>
                <w:rtl w:val="true"/>
              </w:rPr>
              <w:tab/>
            </w:r>
            <w:r>
              <w:rPr>
                <w:rStyle w:val="IndexLink"/>
              </w:rPr>
              <w:t>77</w:t>
            </w:r>
          </w:hyperlink>
        </w:p>
        <w:p>
          <w:pPr>
            <w:pStyle w:val="Contents4"/>
            <w:tabs>
              <w:tab w:val="clear" w:pos="8176"/>
              <w:tab w:val="right" w:pos="9026" w:leader="dot"/>
            </w:tabs>
            <w:rPr/>
          </w:pPr>
          <w:hyperlink w:anchor="__RefHeading___Toc9842872_73709187">
            <w:r>
              <w:rPr>
                <w:webHidden/>
                <w:rStyle w:val="IndexLink"/>
                <w:rtl w:val="true"/>
              </w:rPr>
              <w:t>قاضی عبدالجبّار و سید مرتضی …</w:t>
            </w:r>
            <w:r>
              <w:rPr>
                <w:rStyle w:val="IndexLink"/>
                <w:rtl w:val="true"/>
              </w:rPr>
              <w:tab/>
            </w:r>
            <w:r>
              <w:rPr>
                <w:rStyle w:val="IndexLink"/>
              </w:rPr>
              <w:t>78</w:t>
            </w:r>
          </w:hyperlink>
        </w:p>
        <w:p>
          <w:pPr>
            <w:pStyle w:val="Contents4"/>
            <w:tabs>
              <w:tab w:val="clear" w:pos="8176"/>
              <w:tab w:val="right" w:pos="9026" w:leader="dot"/>
            </w:tabs>
            <w:rPr/>
          </w:pPr>
          <w:hyperlink w:anchor="__RefHeading___Toc9842874_73709187">
            <w:r>
              <w:rPr>
                <w:webHidden/>
                <w:rStyle w:val="IndexLink"/>
                <w:rtl w:val="true"/>
              </w:rPr>
              <w:t>شهاب الدین شافعی و شیخ نصیرالدین قزوینی …</w:t>
            </w:r>
            <w:r>
              <w:rPr>
                <w:rStyle w:val="IndexLink"/>
                <w:rtl w:val="true"/>
              </w:rPr>
              <w:tab/>
            </w:r>
            <w:r>
              <w:rPr>
                <w:rStyle w:val="IndexLink"/>
              </w:rPr>
              <w:t>79</w:t>
            </w:r>
          </w:hyperlink>
        </w:p>
        <w:p>
          <w:pPr>
            <w:pStyle w:val="Contents4"/>
            <w:tabs>
              <w:tab w:val="clear" w:pos="8176"/>
              <w:tab w:val="right" w:pos="9026" w:leader="dot"/>
            </w:tabs>
            <w:rPr/>
          </w:pPr>
          <w:hyperlink w:anchor="__RefHeading___Toc9842876_73709187">
            <w:r>
              <w:rPr>
                <w:webHidden/>
                <w:rStyle w:val="IndexLink"/>
                <w:rtl w:val="true"/>
              </w:rPr>
              <w:t>ابن تیمیّه حرّانی و پاسخ به دیدگاه او …</w:t>
            </w:r>
            <w:r>
              <w:rPr>
                <w:rStyle w:val="IndexLink"/>
                <w:rtl w:val="true"/>
              </w:rPr>
              <w:tab/>
            </w:r>
            <w:r>
              <w:rPr>
                <w:rStyle w:val="IndexLink"/>
              </w:rPr>
              <w:t>80</w:t>
            </w:r>
          </w:hyperlink>
        </w:p>
        <w:p>
          <w:pPr>
            <w:pStyle w:val="Contents4"/>
            <w:tabs>
              <w:tab w:val="clear" w:pos="8176"/>
              <w:tab w:val="right" w:pos="9026" w:leader="dot"/>
            </w:tabs>
            <w:rPr/>
          </w:pPr>
          <w:hyperlink w:anchor="__RefHeading___Toc9842878_73709187">
            <w:r>
              <w:rPr>
                <w:webHidden/>
                <w:rStyle w:val="IndexLink"/>
                <w:rtl w:val="true"/>
              </w:rPr>
              <w:t>یوسف اعور واسطی و شیخ عزّ الدین حلّی …</w:t>
            </w:r>
            <w:r>
              <w:rPr>
                <w:rStyle w:val="IndexLink"/>
                <w:rtl w:val="true"/>
              </w:rPr>
              <w:tab/>
            </w:r>
            <w:r>
              <w:rPr>
                <w:rStyle w:val="IndexLink"/>
              </w:rPr>
              <w:t>81</w:t>
            </w:r>
          </w:hyperlink>
        </w:p>
        <w:p>
          <w:pPr>
            <w:pStyle w:val="Contents4"/>
            <w:tabs>
              <w:tab w:val="clear" w:pos="8176"/>
              <w:tab w:val="right" w:pos="9026" w:leader="dot"/>
            </w:tabs>
            <w:rPr/>
          </w:pPr>
          <w:hyperlink w:anchor="__RefHeading___Toc9842880_73709187">
            <w:r>
              <w:rPr>
                <w:webHidden/>
                <w:rStyle w:val="IndexLink"/>
                <w:rtl w:val="true"/>
              </w:rPr>
              <w:t>ابن حجر هیتمی مکّی و قاضی نور اللَّه شوشتری …</w:t>
            </w:r>
            <w:r>
              <w:rPr>
                <w:rStyle w:val="IndexLink"/>
                <w:rtl w:val="true"/>
              </w:rPr>
              <w:tab/>
            </w:r>
            <w:r>
              <w:rPr>
                <w:rStyle w:val="IndexLink"/>
              </w:rPr>
              <w:t>81</w:t>
            </w:r>
          </w:hyperlink>
        </w:p>
        <w:p>
          <w:pPr>
            <w:pStyle w:val="Contents4"/>
            <w:tabs>
              <w:tab w:val="clear" w:pos="8176"/>
              <w:tab w:val="right" w:pos="9026" w:leader="dot"/>
            </w:tabs>
            <w:rPr/>
          </w:pPr>
          <w:hyperlink w:anchor="__RefHeading___Toc9842882_73709187">
            <w:r>
              <w:rPr>
                <w:webHidden/>
                <w:rStyle w:val="IndexLink"/>
                <w:rtl w:val="true"/>
              </w:rPr>
              <w:t>مولوی عبدالعزیز دهلوی و سید میر حامد حسین لکهنوی …</w:t>
            </w:r>
            <w:r>
              <w:rPr>
                <w:rStyle w:val="IndexLink"/>
                <w:rtl w:val="true"/>
              </w:rPr>
              <w:tab/>
            </w:r>
            <w:r>
              <w:rPr>
                <w:rStyle w:val="IndexLink"/>
              </w:rPr>
              <w:t>83</w:t>
            </w:r>
          </w:hyperlink>
        </w:p>
        <w:p>
          <w:pPr>
            <w:pStyle w:val="Contents3"/>
            <w:tabs>
              <w:tab w:val="clear" w:pos="8459"/>
              <w:tab w:val="right" w:pos="9026" w:leader="dot"/>
            </w:tabs>
            <w:rPr/>
          </w:pPr>
          <w:hyperlink w:anchor="__RefHeading___Toc9842884_73709187">
            <w:r>
              <w:rPr>
                <w:webHidden/>
                <w:rStyle w:val="IndexLink"/>
                <w:rtl w:val="true"/>
              </w:rPr>
              <w:t>نگاهی به کتاب نهج الحقّ و کشف الصّدق …</w:t>
            </w:r>
            <w:r>
              <w:rPr>
                <w:rStyle w:val="IndexLink"/>
                <w:rtl w:val="true"/>
              </w:rPr>
              <w:tab/>
            </w:r>
            <w:r>
              <w:rPr>
                <w:rStyle w:val="IndexLink"/>
              </w:rPr>
              <w:t>84</w:t>
            </w:r>
          </w:hyperlink>
        </w:p>
        <w:p>
          <w:pPr>
            <w:pStyle w:val="Contents2"/>
            <w:tabs>
              <w:tab w:val="clear" w:pos="8743"/>
              <w:tab w:val="right" w:pos="9026" w:leader="dot"/>
            </w:tabs>
            <w:rPr/>
          </w:pPr>
          <w:hyperlink w:anchor="__RefHeading___Toc9842886_73709187">
            <w:r>
              <w:rPr>
                <w:webHidden/>
                <w:rStyle w:val="IndexLink"/>
                <w:rtl w:val="true"/>
              </w:rPr>
              <w:t>کتابنامه …</w:t>
            </w:r>
            <w:r>
              <w:rPr>
                <w:rStyle w:val="IndexLink"/>
                <w:rtl w:val="true"/>
              </w:rPr>
              <w:tab/>
            </w:r>
            <w:r>
              <w:rPr>
                <w:rStyle w:val="IndexLink"/>
              </w:rPr>
              <w:t>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93_203695"/>
      <w:bookmarkStart w:id="1" w:name="pg16793_203695"/>
      <w:bookmarkEnd w:id="1"/>
    </w:p>
    <w:p>
      <w:pPr>
        <w:pStyle w:val="Heading2"/>
        <w:numPr>
          <w:ilvl w:val="1"/>
          <w:numId w:val="1"/>
        </w:numPr>
        <w:rPr/>
      </w:pPr>
      <w:bookmarkStart w:id="2" w:name="pg16793_203695"/>
      <w:bookmarkStart w:id="3" w:name="__RefHeading___Toc9842774_7370918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میلانی، 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ادب‌الحوار فی اصول‌الدین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مناظره و گفت و گو در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حسینی‌میلانی؛ ترجمه و ویرایش هیئت تحریریه انتشارات الحقایق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حقایق اسلامی،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پژوهش‌های اعتقادی؛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مذاکره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الحقائق الاسلامیه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۲۴۰۵۲۹۲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42776_73709187"/>
      <w:bookmarkStart w:id="6" w:name="_Toc2"/>
      <w:bookmarkEnd w:id="5"/>
      <w:r>
        <w:rPr>
          <w:rtl w:val="true"/>
        </w:rPr>
        <w:t>سرآغاز …</w:t>
      </w:r>
      <w:bookmarkEnd w:id="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کامل‌ترین دین الاهی با بعثت خاتم الانبیاء، حضرت محمّد مصطفی صلّی اللَّه علیه وآله به جهانیان عرضه شد و آئین و رسالت پیام رسانان الاهی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الاهی در هجدهم ذی الحجّه، در غدیر خم و به صورت علنی، از جانب خدای منّان به نخستین رادمرد عالم اسلام پس از پیامبر خدا صلّی اللَّه علیه وآله یعنی امیر مؤمنان علی علیه السلام سپرده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نعمت الاهی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برخی اطرافیان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توطئه‌هایی از پیش مهیّا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آغازین روزهای حکومتشان، با منع کتابت احادیث نبوی، جعل احادیث، القای شبهات و تدلیس و تلبیس‌های شیطانی، حقایق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آفتاب جهان‌تاب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وآله، توسّط امیر مؤمنان علی علیه السلام،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نام سپیده باورانی همچون شیخ مفید، سیّد مرتضی، شیخ طوسی، خواجه نصیر، علّامه حلّی، قاضی نوراللَّه، میر حامد حسین، سیّد شرف‌الدین، امینی و … 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واقعیّات مکتب اهل بیت علیهم السلام، با زبان و قلم، به بررسی و پاسخ‌گویی شبهات پرداخته‌اند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افتخار دارد که احیای آثار پُربار و گران سنگ آن محقّق نستوه را در دستور کار خود قرار داده و با تحقیق، ترجمه و نشر آثار معظّمٌ له، آن‌ها را در اختیار دانش 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پیش رو دارید، ترجمه یکی از آثار معظّمٌ له است که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7" w:name="pg16793_203699"/>
    </w:p>
    <w:p>
      <w:pPr>
        <w:pStyle w:val="BookText"/>
        <w:rPr/>
      </w:pPr>
      <w:bookmarkEnd w:id="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الحمد للَّه ربّ العالمین و الصّلاة و السّلام علی محمّد وآله</w:t>
      </w:r>
    </w:p>
    <w:p>
      <w:pPr>
        <w:pStyle w:val="BookText"/>
        <w:rPr/>
      </w:pPr>
      <w:r>
        <w:rPr>
          <w:rFonts w:ascii="IRNazanin" w:hAnsi="IRNazanin" w:eastAsia="IRNazanin"/>
          <w:color w:val="111111"/>
          <w:sz w:val="28"/>
          <w:sz w:val="28"/>
          <w:szCs w:val="28"/>
          <w:rtl w:val="true"/>
          <w:lang w:bidi="fa-IR"/>
        </w:rPr>
        <w:t>الطّیبین الطاهرین ولعنة اللَّه علی أعدائهم أجمعین</w:t>
      </w:r>
      <w:r>
        <w:rPr>
          <w:rFonts w:eastAsia="IRNazanin" w:cs="IRNazanin"/>
          <w:color w:val="111111"/>
          <w:sz w:val="28"/>
          <w:szCs w:val="28"/>
          <w:rtl w:val="true"/>
          <w:lang w:bidi="fa-IR"/>
        </w:rPr>
        <w:t>.</w:t>
      </w:r>
    </w:p>
    <w:p>
      <w:pPr>
        <w:pStyle w:val="Heading2"/>
        <w:numPr>
          <w:ilvl w:val="1"/>
          <w:numId w:val="1"/>
        </w:numPr>
        <w:rPr/>
      </w:pPr>
      <w:bookmarkStart w:id="8" w:name="__RefHeading___Toc9842778_73709187"/>
      <w:bookmarkStart w:id="9" w:name="_Toc3"/>
      <w:bookmarkEnd w:id="8"/>
      <w:r>
        <w:rPr>
          <w:rtl w:val="true"/>
        </w:rPr>
        <w:t>پیش‌گفتار …</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اندیشمند و صاحب ایده‌ای ترویج و تبلیغ اندیشه‌ها و عقاید خود را حقّی طبیعی می‌داند؛ پیشرفت و موفقیت در تبلیغ یک باور، به تحقق شروط معینی بسته است، آن سان که ترویج یک اندیشه نیز، ابزارهای خاص خود را می‌طلبد؛ به ویژه در شرایطی که دیدگاه‌های مختلف در برابر هم قرار گیرند و طرفداران هر دیدگاهی، به ترویج دیدگاه خود بپردازند که در این صورت، کشمکش عقیدتی و فکری روی می‌دهد؛ چرا که هر یک از طرفداران دیدگاه‌های مختلف، صحّت عقیده و حقّ را از آنِ خود می‌دانند و در صدد غلبه و سیطره فکری بر دیگران برمی‌آیند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البته اصول و ابزارهای پیروزی در میدان کشمکش عقیدتی با اصول و ابزارهای حاکم بر میدان جنگ و رویارویی نظامی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پیش رو، قواعد بحث و آداب مناظره و گفت و گو میان دانشمندان اسلام، پیرامون اصول دین؛ به ویژه بحث‌های امامت و خلافت را به صورت مختصر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قواعد و آداب مناظره از کتاب، سنّت و حکم عقل سلیم، استنباط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برای محققان این عرصه از علم سودمند باشد و توفیق همه از خداوند است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حسینی میلانی</w:t>
      </w:r>
      <w:bookmarkStart w:id="10" w:name="pg16793_203701"/>
    </w:p>
    <w:p>
      <w:pPr>
        <w:pStyle w:val="BookText"/>
        <w:rPr/>
      </w:pPr>
      <w:bookmarkEnd w:id="1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Heading2"/>
        <w:numPr>
          <w:ilvl w:val="1"/>
          <w:numId w:val="1"/>
        </w:numPr>
        <w:rPr/>
      </w:pPr>
      <w:bookmarkStart w:id="11" w:name="__RefHeading___Toc9842780_73709187"/>
      <w:bookmarkStart w:id="12" w:name="_Toc4"/>
      <w:bookmarkEnd w:id="11"/>
      <w:r>
        <w:rPr>
          <w:rtl w:val="true"/>
        </w:rPr>
        <w:t>بخش‌یکم نگاهی به‌علم جدل …</w:t>
      </w:r>
      <w:bookmarkEnd w:id="12"/>
    </w:p>
    <w:p>
      <w:pPr>
        <w:pStyle w:val="Heading3"/>
        <w:numPr>
          <w:ilvl w:val="2"/>
          <w:numId w:val="1"/>
        </w:numPr>
        <w:rPr/>
      </w:pPr>
      <w:bookmarkStart w:id="13" w:name="__RefHeading___Toc9842782_73709187"/>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 xml:space="preserve">عُقلا به عنوان اصحاب نظر و اندیشه، برای کشمکش در این عرصه، مرزهای خاصی را تعیین نموده و برای پیروزی در آن، اصولی را بنیان نهاده‌اند که معیار و ملاک پذیرش یا ردّ اندیشه‌های دیگر به شمار می‌آید … روش‌ها و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کتاب‌های منطق، مورد بررسی و بازنگری قرار می‌گیرد، در اثر تلاش‌های عقلا بنیان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علم یا صنعت، خوش سلیقگی عقلا را نمایان می‌سازد؛ چرا که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پیوندی مستحکم با مقصود منطقی آن دارد</w:t>
      </w:r>
      <w:r>
        <w:rPr>
          <w:rFonts w:eastAsia="IRNazanin" w:cs="IRNazanin"/>
          <w:color w:val="111111"/>
          <w:sz w:val="28"/>
          <w:szCs w:val="28"/>
          <w:rtl w:val="true"/>
          <w:lang w:bidi="fa-IR"/>
        </w:rPr>
        <w:t>.</w:t>
      </w:r>
    </w:p>
    <w:p>
      <w:pPr>
        <w:pStyle w:val="Heading3"/>
        <w:numPr>
          <w:ilvl w:val="2"/>
          <w:numId w:val="1"/>
        </w:numPr>
        <w:rPr/>
      </w:pPr>
      <w:bookmarkStart w:id="15" w:name="__RefHeading___Toc9842784_73709187"/>
      <w:bookmarkStart w:id="16" w:name="_Toc6"/>
      <w:bookmarkEnd w:id="15"/>
      <w:r>
        <w:rPr>
          <w:rtl w:val="true"/>
        </w:rPr>
        <w:t>جدال در لغت …</w:t>
      </w:r>
      <w:bookmarkEnd w:id="16"/>
    </w:p>
    <w:p>
      <w:pPr>
        <w:pStyle w:val="BookText"/>
        <w:rPr/>
      </w:pPr>
      <w:r>
        <w:rPr>
          <w:rFonts w:ascii="IRNazanin" w:hAnsi="IRNazanin" w:eastAsia="IRNazanin"/>
          <w:color w:val="111111"/>
          <w:sz w:val="28"/>
          <w:sz w:val="28"/>
          <w:szCs w:val="28"/>
          <w:rtl w:val="true"/>
          <w:lang w:bidi="fa-IR"/>
        </w:rPr>
        <w:t>راغب اصفهانی در واژه جدل می‌گوید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المفاوضة علی سبیل المنازعة والمغالبة وأصله من جدلت الحبل،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أحکمت فتله، ومنه الجدیل، وجدلت البناء أحکمته، ودرع مجدولة، والأجدل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الصقر الحکم البنیة</w:t>
      </w:r>
      <w:bookmarkStart w:id="17" w:name="pg16793_203702"/>
    </w:p>
    <w:p>
      <w:pPr>
        <w:pStyle w:val="BookText"/>
        <w:rPr/>
      </w:pPr>
      <w:bookmarkEnd w:id="1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والمجدل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القصر المحکم البناء ومنه الجدال، فکأنّ المتجادلین یفتل کلّ واحدٍ الآخر عن رأیه؛</w:t>
      </w:r>
    </w:p>
    <w:p>
      <w:pPr>
        <w:pStyle w:val="BookText"/>
        <w:rPr/>
      </w:pPr>
      <w:r>
        <w:rPr>
          <w:rFonts w:ascii="IRNazanin" w:hAnsi="IRNazanin" w:eastAsia="IRNazanin"/>
          <w:color w:val="111111"/>
          <w:sz w:val="28"/>
          <w:sz w:val="28"/>
          <w:szCs w:val="28"/>
          <w:rtl w:val="true"/>
          <w:lang w:bidi="fa-IR"/>
        </w:rPr>
        <w:t>جدال به معنای مباحثه مبتنی بر نزاع و برتری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جَدَلتُ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تابیدن محکم 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طناب تابیده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برگرفته از همین ریشه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جَدَلتُ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ساختمان را مستحکم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دِرعٌ مجدولَة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زره مستحکم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باز شکاری و قوی پنجه اطلاق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کاخ مستحکم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شده و بدین معناست که هر یک از دو طرف مجادله، هم‌دیگر را از دیدگاه‌های سابق خود، منصرف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 ادامه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جدال، کشمکش و مبارزه است که طی آن یکی از دو طرف، دیگری را بر روی جداله؛ یعنی زمین سخت، می‌اندازد</w:t>
      </w:r>
      <w:r>
        <w:rPr>
          <w:rFonts w:eastAsia="IRNazanin" w:cs="IRNazanin"/>
          <w:color w:val="111111"/>
          <w:sz w:val="28"/>
          <w:szCs w:val="28"/>
          <w:rtl w:val="true"/>
          <w:lang w:bidi="fa-IR"/>
        </w:rPr>
        <w:t xml:space="preserve">. </w:t>
      </w:r>
      <w:r>
        <w:rPr>
          <w:rStyle w:val="FootnoteAnchor"/>
          <w:rtl w:val="true"/>
        </w:rPr>
        <w:footnoteReference w:id="2"/>
      </w:r>
    </w:p>
    <w:p>
      <w:pPr>
        <w:pStyle w:val="Heading3"/>
        <w:numPr>
          <w:ilvl w:val="2"/>
          <w:numId w:val="1"/>
        </w:numPr>
        <w:rPr/>
      </w:pPr>
      <w:bookmarkStart w:id="18" w:name="__RefHeading___Toc9842786_73709187"/>
      <w:bookmarkStart w:id="19" w:name="_Toc7"/>
      <w:bookmarkEnd w:id="18"/>
      <w:r>
        <w:rPr>
          <w:rtl w:val="true"/>
        </w:rPr>
        <w:t>جدال در قرآن …</w:t>
      </w:r>
      <w:bookmarkEnd w:id="19"/>
    </w:p>
    <w:p>
      <w:pPr>
        <w:pStyle w:val="Heading4"/>
        <w:numPr>
          <w:ilvl w:val="3"/>
          <w:numId w:val="1"/>
        </w:numPr>
        <w:rPr/>
      </w:pPr>
      <w:bookmarkStart w:id="20" w:name="__RefHeading___Toc9842788_73709187"/>
      <w:bookmarkStart w:id="21" w:name="_Toc8"/>
      <w:bookmarkEnd w:id="20"/>
      <w:r>
        <w:rPr>
          <w:rtl w:val="true"/>
        </w:rPr>
        <w:t>اشارة</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ادیان آسمانی، اسلوب جدال را پذیرفته‌اند و پیامبران پیشین،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جدال را به عنوان یکی از روش‌های تبلیغی به کار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جدال پیامبران، در قرآن آمده است که در ادامه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پیامبر اسلام صلی اللَّه علیه وآله به پیامبری مبعوث شد از سوی خدای متعال این گونه مورد خطاب قرار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 أَرْسَلْناکَ شاهِدًا وَمُبَشِّرًا وَنَذیرًا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وَداعِیًا إِلَی اللَّهِ بِإِذْنِهِ وَسِراجًا مُنیرًا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مژده دهنده و بیم دهنده فرستادیم و تو را دعوت کننده به سوی خدا به فرمان او و چراغی روشنی بخش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خدای متعال چگونگی و ابزار دعوت را برای پیامبر صلی اللَّه علیه وآله مشخص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وَالْمَوْعِظَةِ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حکمت و برهان و موعظه نیکو به راه خدا فرا خوان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ادامه به پیامبر صلی اللَّه علیه وآله دستور می‌دهد که در صورت مجادله مشرکان، با آن‌ها به جدال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وَجادِلْهُمْ بِالَّتی هِیَ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با آن‌ها به بهترین طریق، مجادله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 نخستین وظیفه پیامبر صلی اللَّه علیه وآله همان ابلاغ پیام و دعوت به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صورتی که کسی باشد که حکمت در او تأثیر کند، باید از آن بهره گیرد و اگر از عموم مردم باشد، باید او را از طریق نصیحت و موعظه نیکو به اسلام فرا خواند و اگر در میان مردم، افرادی باشند که در مقابل پیامبر خدا صلی اللَّه علیه وآله بایستند و در صدد غلبه بر آن حضرت برآیند، ناگزیر باید راه جدال در پیش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می‌رود که آیه مذکور، اهل کتاب را نشانه رفته باشد، چنان که در آیه دیگری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تُجادِلُوا أَهْلَ الْکِتابِ إِلّا بِالَّتی هِیَ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با اهل کتاب، جز به نیکوترین روش مجادله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 چه گذشت، روشن می‌شود که جدال، گاه حق و گاه باطل است، چنان که خداوند متعال می‌فرماید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وَیُجادِلُ الَّذینَ کَفَرُوا بِالْباطِلِ لِیُدْحِضُوا بِهِ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
      </w:r>
      <w:bookmarkStart w:id="22" w:name="pg16793_203705"/>
    </w:p>
    <w:p>
      <w:pPr>
        <w:pStyle w:val="BookText"/>
        <w:rPr/>
      </w:pPr>
      <w:bookmarkEnd w:id="2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کفرورزان با سخنان بیهوده و باطل مجادله می‌کنند تا حق را به وسیله آن پایمال کنند</w:t>
      </w:r>
      <w:r>
        <w:rPr>
          <w:rFonts w:eastAsia="IRNazanin" w:cs="IRNazanin"/>
          <w:color w:val="111111"/>
          <w:sz w:val="28"/>
          <w:szCs w:val="28"/>
          <w:rtl w:val="true"/>
          <w:lang w:bidi="fa-IR"/>
        </w:rPr>
        <w:t>.</w:t>
      </w:r>
    </w:p>
    <w:p>
      <w:pPr>
        <w:pStyle w:val="Heading4"/>
        <w:numPr>
          <w:ilvl w:val="3"/>
          <w:numId w:val="1"/>
        </w:numPr>
        <w:rPr/>
      </w:pPr>
      <w:bookmarkStart w:id="23" w:name="__RefHeading___Toc9842790_73709187"/>
      <w:bookmarkStart w:id="24" w:name="_Toc9"/>
      <w:bookmarkEnd w:id="23"/>
      <w:r>
        <w:rPr>
          <w:rtl w:val="true"/>
        </w:rPr>
        <w:t>قرآن کریم و تعلیم روش استدلال …</w:t>
      </w:r>
      <w:bookmarkEnd w:id="24"/>
    </w:p>
    <w:p>
      <w:pPr>
        <w:pStyle w:val="BookText"/>
        <w:rPr/>
      </w:pPr>
      <w:r>
        <w:rPr>
          <w:rFonts w:ascii="IRNazanin" w:hAnsi="IRNazanin" w:eastAsia="IRNazanin"/>
          <w:color w:val="111111"/>
          <w:sz w:val="28"/>
          <w:sz w:val="28"/>
          <w:szCs w:val="28"/>
          <w:rtl w:val="true"/>
          <w:lang w:bidi="fa-IR"/>
        </w:rPr>
        <w:t>خداوند متعال در برخی آیات قرآن، روش استدلال را به پیامبر اکرم صلی اللَّه علیه وآله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سوره یس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لَنا مَثَلًا وَنَسِیَ خَلْقَهُ قالَ مَنْ یُحْیِ الْعِظامَ وَهِیَ رَمیمٌ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 وَهُوَ بِکُلِّ خَلْقٍ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مِنَ الشَّجَرِ اْلأَخْضَرِ نارًا فَإِذا أَنْتُمْ مِنْهُ تُوقِدُونَ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وَلَیْسَ الَّذی خَلَقَ السَّماواتِ وَاْلأَرْضَ بِقادِرٍ عَلی أَنْ یَخْلُقَ مِثْلَهُمْ بَلی وَهُوَ الْخَلّاقُ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الَّذی بِیَدِهِ مَلَکُوتُ کُلِّ شَیْ‌ءٍ وَإِلَیْهِ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ما مَثَلی زد و آفرینش خود را از یاد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که این استخوان‌های پوسیده را زنده می‌کند؟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آن‌ها را زنده می‌کند که نخستین بار آن‌ها را حیات بخشید و او به هر آفرینشی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برای شما از درخت سبز آتش قرار داد تا وقتی بخواهید از آن آتش بیفروزید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آسمان‌ها و زمین را آفریده، قادر نیست همانند آنان را بیافریند؟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آری، البته قادر است و او آفریننده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چنین است که هر گاه چیزی را اراده کند به محض این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پاک و منزّه است خدایی که مالکیّت هر موجودی به دست قدرت اوست و به سوی او باز گردانده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بقره نیز این گونه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لَنْ یَدْخُلَ الْجَنَّةَ إِلّا مَنْ کانَ هُودًا أَوْ نَصاری تِلْکَ أَمانِیُّهُمْ قُلْ هاتُوا بُرْهانَکُمْ إِنْ کُنْتُمْ 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جز یهود و نصارا به بهشت داخل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برهان خود را بیاورید، اگر راست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از سوره بقره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کانَتْ لَکُمُ الدَّارُ اْلآخِرَةُ عِنْدَ اللَّهِ خالِصَةً مِنْ دُونِ النَّاسِ فَتَمَنَّوُا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سرای آخرت را تنها برای شما اختصاص داده نه به دیگر مردم، پس تمنّای مرگ کنید اگر راست می‌گویید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مائده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کَفَرَ الَّذینَ قالُوا إِنَّ اللَّهَ هُوَ الْمَسیحُ ابْنُ مَرْیَمَ قُلْ فَمَنْ یَمْلِکُ مِنَ اللَّهِ شَیْئًا إِنْ أَرادَ أَنْ یُهْلِکَ الْمَسیحَ ابْنَ مَرْیَمَ وَأُمَّهُ وَمَنْ فِی اْلأَرْضِ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مُلْکُ السَّماواتِ وَاْلأَرْضِ وَما بَیْنَهُما یَخْلُقُ ما یَشاءُ وَاللَّهُ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همانا کافر شدند آن‌هایی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همان مسیح بن مریم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قدرت می‌تواند کسی را از قهر و قدرت خدا نگه دارد، اگر بخواهد عیسی بن مریم و نیز مادرش مریم و هر که در روی زمین است همه را هلاک گرداند؟ آسمان‌ها و زمین و هر چه در بین آن‌هاست همه ملک خداست و هرچه را بخواهد می‌آفریند و خدا بر هر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از سوره مائده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الْیَهُودُ وَالنَّصاری نَحْنُ أَبْناءُ اللَّهِ وَأَحِبَّاؤُهُ قُلْ فَلِمَ یُعَذِّبُکُمْ بِذُنُوبِکُمْ بَلْ أَنْتُمْ بَشَرٌ مِمَّنْ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و نصارا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پسران خدا و دوستان او هستیم؛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پس چرا شما را به گناهانتان عذاب می‌کند؛ بلکه شما بشری هستید از آفریدگان او …</w:t>
      </w:r>
      <w:bookmarkStart w:id="25" w:name="pg16793_203708"/>
    </w:p>
    <w:p>
      <w:pPr>
        <w:pStyle w:val="BookText"/>
        <w:rPr/>
      </w:pPr>
      <w:bookmarkEnd w:id="2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در سوره انعام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نَدْعُوا مِنْ دُونِ اللَّهِ ما لایَنْفَعُنا وَلا یَضُرُّنا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خدا، چیزی را بخوانیم که نه سودی به حال ما دارد و نه زیانی به ما می‌رساند؟</w:t>
      </w:r>
    </w:p>
    <w:p>
      <w:pPr>
        <w:pStyle w:val="BookText"/>
        <w:rPr/>
      </w:pPr>
      <w:r>
        <w:rPr>
          <w:rFonts w:ascii="IRNazanin" w:hAnsi="IRNazanin" w:eastAsia="IRNazanin"/>
          <w:color w:val="111111"/>
          <w:sz w:val="28"/>
          <w:sz w:val="28"/>
          <w:szCs w:val="28"/>
          <w:rtl w:val="true"/>
          <w:lang w:bidi="fa-IR"/>
        </w:rPr>
        <w:t>در سوره انبیا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آلِهَةً مِنَ اْلأَرْضِ هُمْ یُنْشِرُونَ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فیهِما آلِهَةٌ إِلَّا اللَّهُ لَفَسَدَتا … أَمِ اتَّخَذُوا مِنْ دُونِهِ آلِهَةً قُلْ هاتُوا بُرْهانَکُمْ هذا ذِکْرُ مَنْ مَعِیَ وَذِکْرُ مَنْ قَبْلی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آیا آن‌ها معبودهایی از همین زمین برگزیدند و آن‌ها را جان آفرین پندارند که اگر در آسمان و زمین جز خدای یکتا، خدایان دیگری بود همانا نظام جهان هستی به هم می‌خورد …</w:t>
      </w:r>
    </w:p>
    <w:p>
      <w:pPr>
        <w:pStyle w:val="BookText"/>
        <w:rPr/>
      </w:pPr>
      <w:r>
        <w:rPr>
          <w:rFonts w:ascii="IRNazanin" w:hAnsi="IRNazanin" w:eastAsia="IRNazanin"/>
          <w:color w:val="111111"/>
          <w:sz w:val="28"/>
          <w:sz w:val="28"/>
          <w:szCs w:val="28"/>
          <w:rtl w:val="true"/>
          <w:lang w:bidi="fa-IR"/>
        </w:rPr>
        <w:t>آیا آن‌ها معبودهایی جز او برگزیدند؟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برهانتان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همراهان من و سخن کسانی است که پیش از من بودند …</w:t>
      </w:r>
    </w:p>
    <w:p>
      <w:pPr>
        <w:pStyle w:val="Heading4"/>
        <w:numPr>
          <w:ilvl w:val="3"/>
          <w:numId w:val="1"/>
        </w:numPr>
        <w:rPr/>
      </w:pPr>
      <w:bookmarkStart w:id="26" w:name="__RefHeading___Toc9842792_73709187"/>
      <w:bookmarkStart w:id="27" w:name="_Toc10"/>
      <w:bookmarkEnd w:id="26"/>
      <w:r>
        <w:rPr>
          <w:rtl w:val="true"/>
        </w:rPr>
        <w:t>قرآن کریم و استدلال‌های پیامبران پیشین …</w:t>
      </w:r>
      <w:bookmarkEnd w:id="2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موارد بسیاری از مجادلات و استدلال‌های پیامبران پیشین، در قرآن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خدای متعال درباره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سرگذشت حضرت ابراهیم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 حَاجَّ إِبْراهیمَ فی رَبِّهِ أَنْ آتاهُ اللَّهُ الْمُلْکَ إِذْ قالَ إِبْراهیمُ رَبِّیَ الَّذی یُحْیی وَیُمیتُ قالَ أَنَا أُحْیی وَأُمیتُ قالَ إِبْراهیمُ فَإِنَّ اللَّهَ یَأْتی بِالشَّمْسِ مِنَ الْمَشْرِقِ فَأْتِ بِها مِنَ الْمَغْرِبِ فَبُهِتَ الَّذی کَفَرَ وَاللَّهُ لایَهْدِی الْقَوْمَ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آیا ندیدی کسی که خدا حکومتی به او داده بود با ابراهیم درباره پروردگارش جدل و گفت و گو کرد؛ آن گاه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کسی است که زنده می‌کند و می‌میراند؛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زنده می‌کنم و می‌میرانم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خورشید را از طرف مشرق می‌آورد، تو آن را از مغرب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کافر، بهت زده از پاسخ واماند و خداوند ستمکاران را راهنمایی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جای دیگری می‌فرماید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وَحاجَّهُ قَوْمُهُ قالَ أَ تُحاجُّونّی فِی اللَّهِ وَقَدْ هَدانِ وَلا أَخافُ ما تُشْرِکُونَ بِهِ إِلّا أَنْ یَشاءَ رَبّی شَیْئًا وَسِعَ رَبّی کُلَّ شَیْ‌ءٍ عِلْمًا أَ فَلا تَتَذَکَّرُونَ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و 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به گفت و گو و ستیز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من درباره خدا گفت و گو می‌کنید؟ و حال آن که به واقع خدا مرا هدایت کرده و از آن چه شما شریک او می‌خوانید هیچ بیمی ندارم مگر آن که پروردگارم چیزی بخواهد، آگاهی پروردگار من همه چیز را دربرمی‌گیرد؛ آیا شما متذکر این حقیقت نمی‌شوید؟</w:t>
      </w:r>
    </w:p>
    <w:p>
      <w:pPr>
        <w:pStyle w:val="BookText"/>
        <w:rPr/>
      </w:pPr>
      <w:r>
        <w:rPr>
          <w:rFonts w:ascii="IRNazanin" w:hAnsi="IRNazanin" w:eastAsia="IRNazanin"/>
          <w:color w:val="111111"/>
          <w:sz w:val="28"/>
          <w:sz w:val="28"/>
          <w:szCs w:val="28"/>
          <w:rtl w:val="true"/>
          <w:lang w:bidi="fa-IR"/>
        </w:rPr>
        <w:t>در سوره انبیا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ءَ أَنْتَ فَعَلْتَ هذا بِآلِهَتِنا 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فَعَلَهُ کَبیرُهُمْ هذا فَسْئَلُوهُمْ إِنْ کانُوا یَنْطِقُونَ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إِلی أَنْفُسِهِمْ فَقالُوا إِنَّکُمْ أَنْتُمُ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نُکِسُوا عَلی رُؤُسِهِمْ لَقَدْ عَلِمْتَ ما هؤُلاءِ یَنْطِقُونَ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فَتَعْبُدُونَ مِنْ دُونِ اللَّهِ ما لایَنْفَعُکُمْ شَیْئًا وَلا یَضُرُّکُمْ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لَکُمْ وَلِما تَعْبُدُونَ مِنْ دُونِ اللَّهِ أَ 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این کار را با خدایان ما چنین کرده‌ای؟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کار را بزرگ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بپرسید اگر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خود فکر کردند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شما ستمکارید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همه سر به زیر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این‌ها سخن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خدای یکتا چیزی را می‌پرستید که نه سودی برای شما دارد و نه زیانی به شما می‌رساند؟ اف بر شما و بر آن چه جز خدای یکتا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نمی‌اندیشید؟</w:t>
      </w:r>
    </w:p>
    <w:p>
      <w:pPr>
        <w:pStyle w:val="BookText"/>
        <w:rPr/>
      </w:pPr>
      <w:r>
        <w:rPr>
          <w:rFonts w:ascii="IRNazanin" w:hAnsi="IRNazanin" w:eastAsia="IRNazanin"/>
          <w:color w:val="111111"/>
          <w:sz w:val="28"/>
          <w:sz w:val="28"/>
          <w:szCs w:val="28"/>
          <w:rtl w:val="true"/>
          <w:lang w:bidi="fa-IR"/>
        </w:rPr>
        <w:t>هم‌چنین در مورد حضرت نوح علیه السلام در قرآن کریم این گونه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قَوْمِ أَ رَأَیْتُمْ إِنْ کُنْتُ عَلی بَیِّنَةٍ مِنْ رَبّی وَآتانی رَحْمَةً مِنْ عِنْدِهِ فَعُمِّیَتْ عَلَیْکُمْ أَ نُلْزِمُکُمُوها وَأَنْتُمْ لَها کارِهُونَ … قالُوا یا نُوحُ قَدْ جادَلْتَنا فَأَکْثَرْتَ جِدالَنا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روشنی از پروردگار داشته باشم و از نزد خود حجتی به من داده باشد و بر شما پوشیده مانده، آیا ما می‌توانیم شما را به پذیرش آن مجبور سازیم با این که شما کراهت دارید؟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ما گفت و گو و جدل بسیار کردی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درباره دیگر پیامبران نیز، آیات مشابهی در قرآن کریم یافت می‌شود</w:t>
      </w:r>
      <w:r>
        <w:rPr>
          <w:rFonts w:eastAsia="IRNazanin" w:cs="IRNazanin"/>
          <w:color w:val="111111"/>
          <w:sz w:val="28"/>
          <w:szCs w:val="28"/>
          <w:rtl w:val="true"/>
          <w:lang w:bidi="fa-IR"/>
        </w:rPr>
        <w:t>.</w:t>
      </w:r>
      <w:bookmarkStart w:id="28" w:name="pg16793_203712"/>
    </w:p>
    <w:p>
      <w:pPr>
        <w:pStyle w:val="BookText"/>
        <w:rPr/>
      </w:pPr>
      <w:bookmarkEnd w:id="2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Heading4"/>
        <w:numPr>
          <w:ilvl w:val="3"/>
          <w:numId w:val="1"/>
        </w:numPr>
        <w:rPr/>
      </w:pPr>
      <w:bookmarkStart w:id="29" w:name="__RefHeading___Toc9842794_73709187"/>
      <w:bookmarkStart w:id="30" w:name="_Toc11"/>
      <w:bookmarkEnd w:id="29"/>
      <w:r>
        <w:rPr>
          <w:rtl w:val="true"/>
        </w:rPr>
        <w:t>جدل حق</w:t>
      </w:r>
      <w:r>
        <w:rPr>
          <w:rtl w:val="true"/>
        </w:rPr>
        <w:t xml:space="preserve">: </w:t>
      </w:r>
      <w:r>
        <w:rPr>
          <w:rtl w:val="true"/>
        </w:rPr>
        <w:t>استفاده از حجّت معتبر …</w:t>
      </w:r>
      <w:bookmarkEnd w:id="30"/>
    </w:p>
    <w:p>
      <w:pPr>
        <w:pStyle w:val="BookText"/>
        <w:rPr/>
      </w:pPr>
      <w:r>
        <w:rPr>
          <w:rFonts w:ascii="IRNazanin" w:hAnsi="IRNazanin" w:eastAsia="IRNazanin"/>
          <w:color w:val="111111"/>
          <w:sz w:val="28"/>
          <w:sz w:val="28"/>
          <w:szCs w:val="28"/>
          <w:rtl w:val="true"/>
          <w:lang w:bidi="fa-IR"/>
        </w:rPr>
        <w:t xml:space="preserve">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عاری از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یُجادِلُونَ فی آیاتِ اللَّهِ بِغَیْرِ سُلْطانٍ أَتاهُمْ إِنْ فی صُدُورِهِمْ إِلّا کِبْرٌ ما هُمْ بِبالِغیهِ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آنان که در آیات خدا بدون دلیل و برهانی که برای آن‌ها آمده باشد، ستیزه جویی می‌کنند جز تکبّر، چیزی در دل ندارند که به خواسته دل خود نخواهند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حجّت، دل‌ها را به سیطره و تسلّط خود وامی‌دارد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از آن چه گذشت، روشن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باید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صورتی دل‌ها را تسخیر می‌کند که به تعبیر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بِالَّتی هِیَ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بهترین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به همین جهت است که خداوند، استفاده از نیکوترین روش را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توصیه می‌کند و همین طریق، به آداب بحث، مناظره و جدل اشاره دارد …</w:t>
      </w:r>
    </w:p>
    <w:p>
      <w:pPr>
        <w:pStyle w:val="BookText"/>
        <w:rPr/>
      </w:pPr>
      <w:r>
        <w:rPr>
          <w:rFonts w:ascii="IRNazanin" w:hAnsi="IRNazanin" w:eastAsia="IRNazanin"/>
          <w:color w:val="111111"/>
          <w:sz w:val="28"/>
          <w:sz w:val="28"/>
          <w:szCs w:val="28"/>
          <w:rtl w:val="true"/>
          <w:lang w:bidi="fa-IR"/>
        </w:rPr>
        <w:t xml:space="preserve">گفتنی است که در منابع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نیکوترین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تفسیر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روشی که نتیجه بخش‌تر و سودمندتر باشد … </w:t>
      </w:r>
      <w:r>
        <w:rPr>
          <w:rStyle w:val="FootnoteAnchor"/>
          <w:rtl w:val="true"/>
        </w:rPr>
        <w:footnoteReference w:id="22"/>
      </w:r>
      <w:r>
        <w:rPr>
          <w:rFonts w:ascii="IRNazanin" w:hAnsi="IRNazanin" w:eastAsia="IRNazanin"/>
          <w:color w:val="111111"/>
          <w:sz w:val="28"/>
          <w:sz w:val="28"/>
          <w:szCs w:val="28"/>
          <w:rtl w:val="true"/>
          <w:lang w:bidi="fa-IR"/>
        </w:rPr>
        <w:t xml:space="preserve">و این تفسیر، تفسیری صحیح است که با موارد استعمال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نیکوترین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تناسب دارد، چنان که در موردی این واژه به همین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جایی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الْیَتیمِ إِلّا بِالَّتی هِیَ أَحْسَنُ حَتَّی یَبْلُغَ أَشُدَّهُ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به مال یتیم، نزدیک نشوید مگر به نیکوترین روش تا آن که به حدّ بلوغ برسد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معنا که باید به گونه‌ای، به مال یتیم نزدیک شوید که برای او سودمندتر باشد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در سوره اسراء نیز به همین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می‌فرماید</w:t>
      </w:r>
      <w:r>
        <w:rPr>
          <w:rFonts w:eastAsia="IRNazanin" w:cs="IRNazanin"/>
          <w:color w:val="111111"/>
          <w:sz w:val="28"/>
          <w:szCs w:val="28"/>
          <w:rtl w:val="true"/>
          <w:lang w:bidi="fa-IR"/>
        </w:rPr>
        <w:t>:</w:t>
      </w:r>
      <w:bookmarkStart w:id="31" w:name="pg16793_203714"/>
    </w:p>
    <w:p>
      <w:pPr>
        <w:pStyle w:val="BookText"/>
        <w:rPr/>
      </w:pPr>
      <w:bookmarkEnd w:id="3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لِعِبادی یَقُولُوا الَّتی هِیَ أَحْسَنُ إِنَّ الشَّیْطانَ یَنْزَغُ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به بندگانم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سخن بهتر را بر زبان آرند؛ چرا که شیطان میان آن‌ها فتنه و فساد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معنا که مؤمنان باید به گونه‌ای با مشرکان سخن بگویند که اهداف شیطان مبنی بر وقوع درگیری میان مؤمنان و مشرکان، محقّق نشود … </w:t>
      </w:r>
      <w:r>
        <w:rPr>
          <w:rStyle w:val="FootnoteAnchor"/>
          <w:rtl w:val="true"/>
        </w:rPr>
        <w:footnoteReference w:id="26"/>
      </w:r>
      <w:r>
        <w:rPr>
          <w:rFonts w:ascii="IRNazanin" w:hAnsi="IRNazanin" w:eastAsia="IRNazanin"/>
          <w:color w:val="111111"/>
          <w:sz w:val="28"/>
          <w:sz w:val="28"/>
          <w:szCs w:val="28"/>
          <w:rtl w:val="true"/>
          <w:lang w:bidi="fa-IR"/>
        </w:rPr>
        <w:t>بنابراین، خداوند متعال از مؤمنان می‌خواهد که جدال خود را به اموری مجهّز کنند که آنان را در استدلال، قانع کردن دشمنان و پیروزی حق بر باطل،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 شرع و عقل، جدالی را می‌پذیرند که با حجّت معتبر و رعایت آداب مجادله باشد …</w:t>
      </w:r>
    </w:p>
    <w:p>
      <w:pPr>
        <w:pStyle w:val="Heading4"/>
        <w:numPr>
          <w:ilvl w:val="3"/>
          <w:numId w:val="1"/>
        </w:numPr>
        <w:rPr/>
      </w:pPr>
      <w:bookmarkStart w:id="32" w:name="__RefHeading___Toc9842796_73709187"/>
      <w:bookmarkStart w:id="33" w:name="_Toc12"/>
      <w:bookmarkEnd w:id="32"/>
      <w:r>
        <w:rPr>
          <w:rtl w:val="true"/>
        </w:rPr>
        <w:t>حجّت معتبر</w:t>
      </w:r>
      <w:r>
        <w:rPr>
          <w:rtl w:val="true"/>
        </w:rPr>
        <w:t xml:space="preserve">: </w:t>
      </w:r>
      <w:r>
        <w:rPr>
          <w:rtl w:val="true"/>
        </w:rPr>
        <w:t>کتاب و سنّت …</w:t>
      </w:r>
      <w:bookmarkEnd w:id="3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معتبر می‌دانند؛ به گونه‌ای که مسلمانان در همه مسائل اختلافی و بحث برانگیز، به کتاب و سنّت، رجوع می‌کنند؛ این روش عمل به دستور خداوند متعال است، آن 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فی شَیْ‌ءٍ فَرُدُّوهُ إِلَی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در امری نزاع داشتید، حکم آن را به خدا و رسول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وَرَبِّکَ لایُؤْمِنُونَ حَتَّی یُحَکِّمُوکَ فیما شَجَرَ بَیْنَهُمْ ثُمَّ لا یَجِدُوا فی أَنْفُسِهِمْ حَرَجًا مِمَّا قَضَیْتَ وَیُسَلِّمُوا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به پروردگارت سوگند که آن‌ها ایمان نخواهند آورد مگر این که در خصومت و نزاعشان تنها تو را به داوری طلبند و آن گاه از داوری تو هیچ گونه اعتراضی در دل نداشته باشند و به طور کامل تسلیم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از قرآن کریم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هیچ مرد و زن مؤمنی حق ندارد آن گاه که خدا و رسول او به امری حکم کنند اختیاری داشته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امّت اسلامی باید تمامی نزاع‌ها و اختلافات خود را به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دهند و هیچ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کاری که خدا و رسول او حکم کنند، اراده و اختیاری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فراتر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پیامبر را داور قرار دهند و درباره حکم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گونه اعتراضی در دل نداشته باشند و به طور کامل، تسلیم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رجوع به قرآن کریم، آن چنان روشن است که نمی‌توان در مورد آن تردیدی به دل راه داد؛ چرا که به تعبیر قرآن، این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عَرَبِیٌّ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عربی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در صورت امکانِ فهم معانی الفاظ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طریق مراجعه به فرهنگ‌های لغت و کتاب‌های مخصوص شرح معانی الفاظ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قرآن رجوع نمود و هم‌چنین، باید سنّت پیامبر اکرم صلی اللَّه علیه وآله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هدایت امّت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عمل قرار داد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مسلمانان به سنّت معتبر نبوی، نیازمند هستند؛ چرا که سنّت نبوی، دومین منبع حقّ و حقیقت به شمار می‌آید و برای فهم الفاظ مبهم قرآنی، شناخت قیود یک عبارت مطلق، یا تخصیص زننده‌هایی که در مورد آیات در ظاهر عام وجود دارند و …،</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باید به سنّت نبوی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جدال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هیچ تردیدی در حجّیت کتاب وجود ندارد و مسلمانان در تصدیق کتاب و احتجاج به آن در اختلافات،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حجّیت سنّت و لزوم تصدیق و احتجاج به آن در همه مسائل، مورد اجماع و اتفاق نظر مسلمانان است، اما همان گونه که روشن است مسلمانان در شیوه اثبات سنّت، با یک‌دیگر اختلاف دارند …</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بخش از سنّت نبوی احتجاج نماید که برای طرف مقابل، حجیّت داشته باشد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سخن دیگر، احتجاج مسلمانان با یک‌دیگر در بیشتر موارد با محوریت قرآن و سنّت،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قرآن، مورد اجماع و اتفاق نظر همه مسلمانان است، امّا در مورد سنّت، این چنین نیست؛ به گونه‌ای که بخش‌هایی از سنّت، مورد تصدیق همه مسلمانان است و مرجع حل اختلافات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بخش‌های دیگری از سنّت، محل اختلاف است که در این حالت، هر یک از فرقه‌های اسلامی باید به بخش‌های مورد تأیید طرف مقابل، احتجاج نمایند؛ چرا که در غیر این صورت احتجاج آنان، حجّت معتبر، تلقّی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آری، همه مسلمانان به این مسأله اذعان دارند که در این جا به ذکر اظهارات یکی از علمای مشهور،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اندلسی درباره احتجاج اهل سنّت علیه امامیّه می‌نوسید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در احتجاج علیه شیعیان از روایات اهل سنّت، استفاده نمود؛ چرا که آنان، روایات ما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احتجاج شیعیان علیه ما در پرتو روایات شیعی، معنایی ندارد؛ زیرا که ما روایات آنان را قبول نداریم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طرف‌های منازعه باید به اموری احتجاج کنند که طرف مقابل، آن را قبول داشته باشد؛ خواه خود احتجاج کننده، آن امور را باور داشته و خواه، باور نداشته باشد؛ زیرا لازمه تصدیق یک امر، باور داشتن آن یا باور داشتن به امری است که علم یقینی آن را موجب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تمسّک یک فرد به اعتقادات باطل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پذیرش نادرستی باور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لجاجت و افسار گسیختگی وی محسوب می‌گردد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بنابراین،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معتبری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w:t>
      </w:r>
      <w:r>
        <w:rPr>
          <w:rFonts w:eastAsia="IRNazanin" w:cs="IRNazanin"/>
          <w:color w:val="111111"/>
          <w:sz w:val="28"/>
          <w:szCs w:val="28"/>
          <w:rtl w:val="true"/>
          <w:lang w:bidi="fa-IR"/>
        </w:rPr>
        <w:t>.</w:t>
      </w:r>
      <w:bookmarkStart w:id="34" w:name="pg16793_203719"/>
    </w:p>
    <w:p>
      <w:pPr>
        <w:pStyle w:val="BookText"/>
        <w:rPr/>
      </w:pPr>
      <w:bookmarkEnd w:id="3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Heading3"/>
        <w:numPr>
          <w:ilvl w:val="2"/>
          <w:numId w:val="1"/>
        </w:numPr>
        <w:rPr/>
      </w:pPr>
      <w:bookmarkStart w:id="35" w:name="__RefHeading___Toc9842798_73709187"/>
      <w:bookmarkStart w:id="36" w:name="_Toc13"/>
      <w:bookmarkEnd w:id="35"/>
      <w:r>
        <w:rPr>
          <w:rtl w:val="true"/>
        </w:rPr>
        <w:t>نگاهی به آداب مناظره و جدل …</w:t>
      </w:r>
      <w:bookmarkEnd w:id="36"/>
    </w:p>
    <w:p>
      <w:pPr>
        <w:pStyle w:val="BookText"/>
        <w:rPr/>
      </w:pPr>
      <w:r>
        <w:rPr>
          <w:rFonts w:ascii="IRNazanin" w:hAnsi="IRNazanin" w:eastAsia="IRNazanin"/>
          <w:color w:val="111111"/>
          <w:sz w:val="28"/>
          <w:sz w:val="28"/>
          <w:szCs w:val="28"/>
          <w:rtl w:val="true"/>
          <w:lang w:bidi="fa-IR"/>
        </w:rPr>
        <w:t>در جدلِ مبتنی بر حقیقت کاوی و حق طلبی، هر دو طرف منازعه علاوه بر استفاده از حجّت معتبر، باید آداب مناظره و جدل را مراعات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مهم‌ترین آداب مناظره را که در قرآن کریم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بِالَّتی هِیَ أَحْسَنُ</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بدان اشاره شده، بیان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بحث و جدل نوشتاری باشد رعایت آداب ذیل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طرف، باید با رعایت کامل مدارا، آرامش و وقار، دیدگاه و حجّت معتبر خود را ارائه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طرف، بایستی از الفاظ روشن و عبارات زیبا برای بیان مقصود خود استفاده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طرف، بایستی ازبد گویی و دشنام بپرهیزند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طرف، باید از روش‌های پیچیده و خروج از موضوع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سازمان فکری طرف مقابل را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طرف، باید از افزودن یا کاستن از سخنان طرف مقابل، بپرهیزند و از انتساب باورها یا حجّت های موهوم به وی،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امّا در صورت گفتاری بودن بحث و جدل، آداب دیگری نیز بدان افزوده می‌گردد از جمله این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طرفین مناظره نباید سخن یک‌دیگر را قطع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طرفین نباید صدای خود را بیش از حدّ معمول بالا ببرند و …</w:t>
      </w:r>
    </w:p>
    <w:p>
      <w:pPr>
        <w:pStyle w:val="BookText"/>
        <w:rPr/>
      </w:pPr>
      <w:r>
        <w:rPr>
          <w:rFonts w:ascii="IRNazanin" w:hAnsi="IRNazanin" w:eastAsia="IRNazanin"/>
          <w:color w:val="111111"/>
          <w:sz w:val="28"/>
          <w:sz w:val="28"/>
          <w:szCs w:val="28"/>
          <w:rtl w:val="true"/>
          <w:lang w:bidi="fa-IR"/>
        </w:rPr>
        <w:t>از آن چه که گذشت، روشن می‌شود که جدل به دو نوع حق و باطل، تقسیم می‌شود و جدل حق، بدین معناست که ضمن رعایت آداب و اخلاق والای نیکو، از حجّت معتبر و مورد قبول دو طرف یا طرف مقابل نیز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پرسش‌ها مطرح‌اند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علمِ جدل، همان علم مناظره است؟</w:t>
      </w:r>
    </w:p>
    <w:p>
      <w:pPr>
        <w:pStyle w:val="BookText"/>
        <w:rPr/>
      </w:pPr>
      <w:r>
        <w:rPr>
          <w:rFonts w:ascii="IRNazanin" w:hAnsi="IRNazanin" w:eastAsia="IRNazanin"/>
          <w:color w:val="111111"/>
          <w:sz w:val="28"/>
          <w:sz w:val="28"/>
          <w:szCs w:val="28"/>
          <w:rtl w:val="true"/>
          <w:lang w:bidi="fa-IR"/>
        </w:rPr>
        <w:t>آیا علمِ جدل، در پی کشف راه‌های ابطال و نقض استدلال‌های رقیب است؟</w:t>
      </w:r>
    </w:p>
    <w:p>
      <w:pPr>
        <w:pStyle w:val="BookText"/>
        <w:rPr/>
      </w:pPr>
      <w:r>
        <w:rPr>
          <w:rFonts w:ascii="IRNazanin" w:hAnsi="IRNazanin" w:eastAsia="IRNazanin"/>
          <w:color w:val="111111"/>
          <w:sz w:val="28"/>
          <w:sz w:val="28"/>
          <w:szCs w:val="28"/>
          <w:rtl w:val="true"/>
          <w:lang w:bidi="fa-IR"/>
        </w:rPr>
        <w:t>و آیا علمِ جدل، آداب بحث و مناظره را مورد بحث و بررسی قرار می‌دهد؟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درباره این مسائل، اختلاف نظر دارند، البته ما در آغاز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مبتنی بر آیات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پاسخ گویی به این پرسش‌ها نبوده‌ایم؛ هم‌چنین ما در مباحث این کتاب، تفاوتی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نیستیم و خوانندگان محترم نیز نباید این موضوع را نادیده بگیرند</w:t>
      </w:r>
      <w:r>
        <w:rPr>
          <w:rFonts w:eastAsia="IRNazanin" w:cs="IRNazanin"/>
          <w:color w:val="111111"/>
          <w:sz w:val="28"/>
          <w:szCs w:val="28"/>
          <w:rtl w:val="true"/>
          <w:lang w:bidi="fa-IR"/>
        </w:rPr>
        <w:t>.</w:t>
      </w:r>
      <w:bookmarkStart w:id="37" w:name="pg16793_203721"/>
    </w:p>
    <w:p>
      <w:pPr>
        <w:pStyle w:val="BookText"/>
        <w:rPr/>
      </w:pPr>
      <w:bookmarkEnd w:id="3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Heading2"/>
        <w:numPr>
          <w:ilvl w:val="1"/>
          <w:numId w:val="1"/>
        </w:numPr>
        <w:rPr/>
      </w:pPr>
      <w:bookmarkStart w:id="38" w:name="__RefHeading___Toc9842800_73709187"/>
      <w:bookmarkStart w:id="39" w:name="_Toc14"/>
      <w:bookmarkEnd w:id="38"/>
      <w:r>
        <w:rPr>
          <w:rtl w:val="true"/>
        </w:rPr>
        <w:t>بخش دوم جدل‌در علم کلام …</w:t>
      </w:r>
      <w:bookmarkEnd w:id="39"/>
    </w:p>
    <w:p>
      <w:pPr>
        <w:pStyle w:val="Heading3"/>
        <w:numPr>
          <w:ilvl w:val="2"/>
          <w:numId w:val="1"/>
        </w:numPr>
        <w:rPr/>
      </w:pPr>
      <w:bookmarkStart w:id="40" w:name="__RefHeading___Toc9842802_73709187"/>
      <w:bookmarkStart w:id="41" w:name="_Toc15"/>
      <w:bookmarkEnd w:id="40"/>
      <w:r>
        <w:rPr>
          <w:rtl w:val="true"/>
        </w:rPr>
        <w:t>دانشمندان اسلامی و تعریف علم کلام …</w:t>
      </w:r>
      <w:bookmarkEnd w:id="41"/>
    </w:p>
    <w:p>
      <w:pPr>
        <w:pStyle w:val="Heading4"/>
        <w:numPr>
          <w:ilvl w:val="3"/>
          <w:numId w:val="1"/>
        </w:numPr>
        <w:rPr/>
      </w:pPr>
      <w:bookmarkStart w:id="42" w:name="__RefHeading___Toc9842804_73709187"/>
      <w:bookmarkStart w:id="43" w:name="_Toc16"/>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همان گونه که اشاره شد، علمِ جدل به موضوع یا مطلب معیّنی، اختصاص ندارد؛ بلکه در انواع موضوعات اختلافی همانند فقه، حدیث، فلسفه، اقتصاد، سیاست و دیگر علوم، به کار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که هر دو صاحب نظر، برای اثبات ادعا یا دیدگاه خود، حجّت معتبری را ذکر می‌کنند و آن گاه بر اساس قواعد و اصول موضوعه، به مناظره با یک‌دیگر می‌پردازند تا حق از باطل و درست از غلط، مشخص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علومی است که مجادلات فراوانی پیرامون مسائل آن، صورت پذیرفته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علما در تعریف و فایده علم کلام و نیز هدف از پایه گذاری آن، اختلاف نظر عمده‌ای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دیدگاه چند تن از دانشمندان اشاره می‌نماییم</w:t>
      </w:r>
      <w:r>
        <w:rPr>
          <w:rFonts w:eastAsia="IRNazanin" w:cs="IRNazanin"/>
          <w:color w:val="111111"/>
          <w:sz w:val="28"/>
          <w:szCs w:val="28"/>
          <w:rtl w:val="true"/>
          <w:lang w:bidi="fa-IR"/>
        </w:rPr>
        <w:t>.</w:t>
      </w:r>
      <w:bookmarkStart w:id="44" w:name="pg16793_203722"/>
    </w:p>
    <w:p>
      <w:pPr>
        <w:pStyle w:val="BookText"/>
        <w:rPr/>
      </w:pPr>
      <w:bookmarkEnd w:id="4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Heading4"/>
        <w:numPr>
          <w:ilvl w:val="3"/>
          <w:numId w:val="1"/>
        </w:numPr>
        <w:rPr/>
      </w:pPr>
      <w:bookmarkStart w:id="45" w:name="__RefHeading___Toc9842806_73709187"/>
      <w:bookmarkStart w:id="46" w:name="_Toc17"/>
      <w:bookmarkEnd w:id="45"/>
      <w:r>
        <w:rPr>
          <w:rtl w:val="true"/>
        </w:rPr>
        <w:t>قاضی ایجی …</w:t>
      </w:r>
      <w:bookmarkEnd w:id="46"/>
    </w:p>
    <w:p>
      <w:pPr>
        <w:pStyle w:val="BookText"/>
        <w:rPr/>
      </w:pPr>
      <w:r>
        <w:rPr>
          <w:rFonts w:ascii="IRNazanin" w:hAnsi="IRNazanin" w:eastAsia="IRNazanin"/>
          <w:color w:val="111111"/>
          <w:sz w:val="28"/>
          <w:sz w:val="28"/>
          <w:szCs w:val="28"/>
          <w:rtl w:val="true"/>
          <w:lang w:bidi="fa-IR"/>
        </w:rPr>
        <w:t xml:space="preserve">قاضی عضدالدین ایجی </w:t>
      </w:r>
      <w:r>
        <w:rPr>
          <w:rStyle w:val="FootnoteAnchor"/>
          <w:rtl w:val="true"/>
        </w:rPr>
        <w:footnoteReference w:id="33"/>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علمی است که از طریق احتجاج و دفع شبهات، اثبات عقاید دینی را میسّر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علم کلام،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رهایی از بند تقلید و دستیابی به اوج یقین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راهنمایی هدایت جویان از طریق آشکار نمودن مسیر، و مجبور کردن معاندان به ارائه برهان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 داری از اصول دین در برابر شبهات دروغگویان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 نهادن علوم شرعی بر پایه علم کلام؛ چرا که این علم، پایه</w:t>
      </w:r>
      <w:bookmarkStart w:id="47" w:name="pg16793_203723"/>
    </w:p>
    <w:p>
      <w:pPr>
        <w:pStyle w:val="BookText"/>
        <w:rPr/>
      </w:pPr>
      <w:bookmarkEnd w:id="4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و اساس علوم شرعی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نیّت‌ها و عقیده‌هایی که پذیرش اعمال، به آن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نهایی از این موارد نیل به سعادت دنیا و جهان آخرت است</w:t>
      </w:r>
      <w:r>
        <w:rPr>
          <w:rFonts w:eastAsia="IRNazanin" w:cs="IRNazanin"/>
          <w:color w:val="111111"/>
          <w:sz w:val="28"/>
          <w:szCs w:val="28"/>
          <w:rtl w:val="true"/>
          <w:lang w:bidi="fa-IR"/>
        </w:rPr>
        <w:t xml:space="preserve">. </w:t>
      </w:r>
      <w:r>
        <w:rPr>
          <w:rStyle w:val="FootnoteAnchor"/>
          <w:rtl w:val="true"/>
        </w:rPr>
        <w:footnoteReference w:id="34"/>
      </w:r>
    </w:p>
    <w:p>
      <w:pPr>
        <w:pStyle w:val="Heading4"/>
        <w:numPr>
          <w:ilvl w:val="3"/>
          <w:numId w:val="1"/>
        </w:numPr>
        <w:rPr/>
      </w:pPr>
      <w:bookmarkStart w:id="48" w:name="__RefHeading___Toc9842808_73709187"/>
      <w:bookmarkStart w:id="49" w:name="_Toc18"/>
      <w:bookmarkEnd w:id="48"/>
      <w:r>
        <w:rPr>
          <w:rtl w:val="true"/>
        </w:rPr>
        <w:t xml:space="preserve">سعدالدین تفتازانی </w:t>
      </w:r>
      <w:r>
        <w:rPr>
          <w:rtl w:val="true"/>
        </w:rPr>
        <w:t>(</w:t>
      </w:r>
      <w:r>
        <w:rPr/>
        <w:t>2</w:t>
      </w:r>
      <w:r>
        <w:rPr>
          <w:rtl w:val="true"/>
        </w:rPr>
        <w:t>) …</w:t>
      </w:r>
      <w:bookmarkEnd w:id="49"/>
    </w:p>
    <w:p>
      <w:pPr>
        <w:pStyle w:val="BookText"/>
        <w:rPr/>
      </w:pPr>
      <w:r>
        <w:rPr>
          <w:rFonts w:ascii="IRNazanin" w:hAnsi="IRNazanin" w:eastAsia="IRNazanin"/>
          <w:color w:val="111111"/>
          <w:sz w:val="28"/>
          <w:sz w:val="28"/>
          <w:szCs w:val="28"/>
          <w:rtl w:val="true"/>
          <w:lang w:bidi="fa-IR"/>
        </w:rPr>
        <w:t>سعدالدین تفتازانی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عقاید دینی بر اساس ادلّه یقینی را علم کلام می‌نامند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این علم، آراسته کردن ایمان به یقین است و دستیابی به شیوه</w:t>
      </w:r>
      <w:bookmarkStart w:id="50" w:name="pg16793_203724"/>
    </w:p>
    <w:p>
      <w:pPr>
        <w:pStyle w:val="BookText"/>
        <w:rPr/>
      </w:pPr>
      <w:bookmarkEnd w:id="5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زندگی و نجات از عذاب اخروی، فایده این علم محسوب می‌شود</w:t>
      </w:r>
      <w:r>
        <w:rPr>
          <w:rFonts w:eastAsia="IRNazanin" w:cs="IRNazanin"/>
          <w:color w:val="111111"/>
          <w:sz w:val="28"/>
          <w:szCs w:val="28"/>
          <w:rtl w:val="true"/>
          <w:lang w:bidi="fa-IR"/>
        </w:rPr>
        <w:t xml:space="preserve">. </w:t>
      </w:r>
      <w:r>
        <w:rPr>
          <w:rStyle w:val="FootnoteAnchor"/>
          <w:rtl w:val="true"/>
        </w:rPr>
        <w:footnoteReference w:id="35"/>
      </w:r>
    </w:p>
    <w:p>
      <w:pPr>
        <w:pStyle w:val="Heading4"/>
        <w:numPr>
          <w:ilvl w:val="3"/>
          <w:numId w:val="1"/>
        </w:numPr>
        <w:rPr/>
      </w:pPr>
      <w:bookmarkStart w:id="51" w:name="__RefHeading___Toc9842810_73709187"/>
      <w:bookmarkStart w:id="52" w:name="_Toc19"/>
      <w:bookmarkEnd w:id="51"/>
      <w:r>
        <w:rPr>
          <w:rtl w:val="true"/>
        </w:rPr>
        <w:t xml:space="preserve">فیاض لاهیجی </w:t>
      </w:r>
      <w:r>
        <w:rPr>
          <w:rtl w:val="true"/>
        </w:rPr>
        <w:t>(</w:t>
      </w:r>
      <w:r>
        <w:rPr/>
        <w:t>2</w:t>
      </w:r>
      <w:r>
        <w:rPr>
          <w:rtl w:val="true"/>
        </w:rPr>
        <w:t>) …</w:t>
      </w:r>
      <w:bookmarkEnd w:id="5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فیّاض لاهیجی از علمای شیعه و شارح التجرید در کتاب شوارق الإلهام فی شرح تجرید الکلام، هر دو تعریف فوق را ذکر می‌کند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بنابراین، هدف علمای اسلام از تأسیس علم کلام این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نیکوترین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اثبات اصول دین از طریق ارائه حجّت معتبر عقلی و نقلی، بپردازند تا هدایت جویان را راهنمایی کنند، معاندین را محکوم نمایند و از قواعد دینی در برابر شبهات دروغگویان، پاسداری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کنند؛ چرا که عقاید دینی، پایه و اساس علوم شرعی و احکام عملی به شمار می‌آید و به همین جهت، صحّت عقاید دینی موجب قبولی اعمالی شرعی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اعمال مبتنی بر عقاید باطل و نیز اعمال آنان که به دین خود شک دارند، مورد قبول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موضوع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علوم ضروری برای امّت اسلامی محسوب می‌شود؛ چرا که این علم، واجبات اعتقادی مکلّفین را روشن می‌سازد؛ درست همان گونه که علم فقه، واجبات و منهیّات عملی مکلّفین را در اختیار آنان می‌گذارد؛ با این تفاوت که تقلید در فقه جایز است، امّا در کلام،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همان گونه که بقای احکام فرعی شریعت مقدّس اسلام، در گرو علم فقه و تلاش‌های فقهاست، پاسداشت اصول اعتقادی نیز از رهگذر علم کلام و آثار متکلّمان، حاصل می‌شود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واضح است که آگاهی انسان از دلیل‌ها و برهان‌های مرتبط با اعتقادات صحیح و به حق، موجبات دفاع از این عقاید و پاسخ گویی به شبهات مطرح شده پیرامون آن را فراهم می‌آورد و بالاتر این که، ترویج نوشتاری و گفتاری عقاید مذکور را نیز میسّر می‌سازد …</w:t>
      </w:r>
      <w:bookmarkStart w:id="53" w:name="pg16793_203726"/>
    </w:p>
    <w:p>
      <w:pPr>
        <w:pStyle w:val="BookText"/>
        <w:rPr/>
      </w:pPr>
      <w:bookmarkEnd w:id="5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Heading3"/>
        <w:numPr>
          <w:ilvl w:val="2"/>
          <w:numId w:val="1"/>
        </w:numPr>
        <w:rPr/>
      </w:pPr>
      <w:bookmarkStart w:id="54" w:name="__RefHeading___Toc9842812_73709187"/>
      <w:bookmarkStart w:id="55" w:name="_Toc20"/>
      <w:bookmarkEnd w:id="54"/>
      <w:r>
        <w:rPr>
          <w:rtl w:val="true"/>
        </w:rPr>
        <w:t>اصول دین و کتاب‌های امامیه …</w:t>
      </w:r>
      <w:bookmarkEnd w:id="55"/>
    </w:p>
    <w:p>
      <w:pPr>
        <w:pStyle w:val="BookText"/>
        <w:rPr/>
      </w:pPr>
      <w:r>
        <w:rPr>
          <w:rFonts w:ascii="IRNazanin" w:hAnsi="IRNazanin" w:eastAsia="IRNazanin"/>
          <w:color w:val="111111"/>
          <w:sz w:val="28"/>
          <w:sz w:val="28"/>
          <w:szCs w:val="28"/>
          <w:rtl w:val="true"/>
          <w:lang w:bidi="fa-IR"/>
        </w:rPr>
        <w:t>گفتنی است که توجّه فراوان علما به علم کلام، از ضرورت فوق نشأت می‌گیرد؛ به گونه‌ای که مذاهب مختلف اسلامی، کتاب‌های بسیاری را با محوریت علم کلام به رشته تحریر درآورده‌اند …</w:t>
      </w:r>
    </w:p>
    <w:p>
      <w:pPr>
        <w:pStyle w:val="BookText"/>
        <w:rPr/>
      </w:pPr>
      <w:r>
        <w:rPr>
          <w:rFonts w:ascii="IRNazanin" w:hAnsi="IRNazanin" w:eastAsia="IRNazanin"/>
          <w:color w:val="111111"/>
          <w:sz w:val="28"/>
          <w:sz w:val="28"/>
          <w:szCs w:val="28"/>
          <w:rtl w:val="true"/>
          <w:lang w:bidi="fa-IR"/>
        </w:rPr>
        <w:t>اکنون برخی کتاب‌های علمای امامیه درباره اصول 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سده‌های مختلف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شیخ ابوعبداللَّه محمّد بن محمّد بن نعمان بغدادی، ملقّب به مفید، متوفّای سال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الذخیرة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سیّد مرتضی علم الهدی علی بن حسین موسوی بغدادی، متوفّای سال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شیخ ابوصلاح تقی الدّین حلبی، متوفّای سال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شیخ ابوالفتح کراجکی، متوفّای سال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الاعتقاد الهادی إلی طریق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ابوجعفر طوسی، متوفّای سال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الاعتصام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شیخ زین الدین علی بن عبدالجلیل بیاضی از دانشمندان قرن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المنقذ من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شیخ سدیدالدین محمود حمصی رازی از</w:t>
      </w:r>
      <w:bookmarkStart w:id="56" w:name="pg16793_203727"/>
    </w:p>
    <w:p>
      <w:pPr>
        <w:pStyle w:val="BookText"/>
        <w:rPr/>
      </w:pPr>
      <w:bookmarkEnd w:id="5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علمای قرن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نصیرالدّین محمّد بن محمّد طوسی، درگذشته سال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المسلک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شیخ نجم الدّین ابوالقاسم جعفر بن حسن، محقّق حلّی، متوفّای </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المرام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شیخ کمال الدین میثم بن علی بن میثم بحرانی، متوفّای سال </w:t>
      </w:r>
      <w:r>
        <w:rPr>
          <w:rFonts w:eastAsia="IRNazanin" w:cs="IRNazanin"/>
          <w:color w:val="111111"/>
          <w:sz w:val="28"/>
          <w:szCs w:val="28"/>
          <w:lang w:bidi="fa-IR"/>
        </w:rPr>
        <w:t>679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مناهج الیقین فی أصول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المراد فی شرح تجرید الاعتقاد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الحقّ وکشف الصّدق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المسترشدین فی أصول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الحادی عشر فی اصول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کتاب اخیر، اثر شیخ ابومنصور حسن بن یوسف بن مطهّر حلّی درگذشته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علاوه بر آن، کتاب‌های دیگری را نیز درباره اصول دین به رشته تحریر درآورده است</w:t>
      </w:r>
      <w:r>
        <w:rPr>
          <w:rFonts w:eastAsia="IRNazanin" w:cs="IRNazanin"/>
          <w:color w:val="111111"/>
          <w:sz w:val="28"/>
          <w:szCs w:val="28"/>
          <w:rtl w:val="true"/>
          <w:lang w:bidi="fa-IR"/>
        </w:rPr>
        <w:t>.</w:t>
      </w:r>
    </w:p>
    <w:p>
      <w:pPr>
        <w:pStyle w:val="Heading3"/>
        <w:numPr>
          <w:ilvl w:val="2"/>
          <w:numId w:val="1"/>
        </w:numPr>
        <w:rPr/>
      </w:pPr>
      <w:bookmarkStart w:id="57" w:name="__RefHeading___Toc9842814_73709187"/>
      <w:bookmarkStart w:id="58" w:name="_Toc21"/>
      <w:bookmarkEnd w:id="57"/>
      <w:r>
        <w:rPr>
          <w:rtl w:val="true"/>
        </w:rPr>
        <w:t>اصول دین و کتاب‌های اهل سنّت …</w:t>
      </w:r>
      <w:bookmarkEnd w:id="5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مشهورترین کتاب‌های اهل سنّت درباره اصول دین، می‌توان به کتاب‌های ذیل اشاره نمود</w:t>
      </w:r>
      <w:r>
        <w:rPr>
          <w:rFonts w:eastAsia="IRNazanin" w:cs="IRNazanin"/>
          <w:color w:val="111111"/>
          <w:sz w:val="28"/>
          <w:szCs w:val="28"/>
          <w:rtl w:val="true"/>
          <w:lang w:bidi="fa-IR"/>
        </w:rPr>
        <w:t>:</w:t>
      </w:r>
      <w:bookmarkStart w:id="59" w:name="pg16793_203728"/>
    </w:p>
    <w:p>
      <w:pPr>
        <w:pStyle w:val="BookText"/>
        <w:rPr/>
      </w:pPr>
      <w:bookmarkEnd w:id="5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تمهید 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باقلانی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الأربعین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فخر 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نسفی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العقائد النسفیة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تفتازانی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المواقف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شریف جرجانی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تفتازانی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الإبانة عن أصول الدیانة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اشعری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نسفی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سمرقندی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طوالع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بیضاوی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زبدة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صفی الدین هندی ارموی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أبکار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عبدالقادر بغدادی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علاء قوشجی</w:t>
      </w:r>
      <w:r>
        <w:rPr>
          <w:rFonts w:eastAsia="IRNazanin" w:cs="IRNazanin"/>
          <w:color w:val="111111"/>
          <w:sz w:val="28"/>
          <w:szCs w:val="28"/>
          <w:rtl w:val="true"/>
          <w:lang w:bidi="fa-IR"/>
        </w:rPr>
        <w:t>.</w:t>
      </w:r>
    </w:p>
    <w:p>
      <w:pPr>
        <w:pStyle w:val="Heading3"/>
        <w:numPr>
          <w:ilvl w:val="2"/>
          <w:numId w:val="1"/>
        </w:numPr>
        <w:rPr/>
      </w:pPr>
      <w:bookmarkStart w:id="60" w:name="__RefHeading___Toc9842816_73709187"/>
      <w:bookmarkStart w:id="61" w:name="_Toc22"/>
      <w:bookmarkEnd w:id="60"/>
      <w:r>
        <w:rPr>
          <w:rtl w:val="true"/>
        </w:rPr>
        <w:t>موضوعات کتاب‌های اصول دین …</w:t>
      </w:r>
      <w:bookmarkEnd w:id="61"/>
    </w:p>
    <w:p>
      <w:pPr>
        <w:pStyle w:val="Heading4"/>
        <w:numPr>
          <w:ilvl w:val="3"/>
          <w:numId w:val="1"/>
        </w:numPr>
        <w:rPr/>
      </w:pPr>
      <w:bookmarkStart w:id="62" w:name="__RefHeading___Toc9842818_73709187"/>
      <w:bookmarkStart w:id="63" w:name="_Toc23"/>
      <w:bookmarkEnd w:id="62"/>
      <w:r>
        <w:rPr>
          <w:rtl w:val="true"/>
        </w:rPr>
        <w:t>اشارة</w:t>
      </w:r>
      <w:bookmarkEnd w:id="6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موضوعات کتاب‌های اصول دین، در اصل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آفریدگار و صفات او، مسائل مربوط به عدل، نبوّت، امامت و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هر چند متکلّمان در کتاب‌های خود درباره اصول دین، شیوه‌های متفاوتی را در پیش گرفته‌اند، امّا روش متعارف آنان، این است که ابتدا برخی مسائل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مقدّمه، ذکر نموده و آن را به موجود و معدوم، تقسیم می‌کنند؛</w:t>
      </w:r>
    </w:p>
    <w:p>
      <w:pPr>
        <w:pStyle w:val="BookText"/>
        <w:rPr/>
      </w:pPr>
      <w:r>
        <w:rPr>
          <w:rFonts w:ascii="IRNazanin" w:hAnsi="IRNazanin" w:eastAsia="IRNazanin"/>
          <w:color w:val="111111"/>
          <w:sz w:val="28"/>
          <w:sz w:val="28"/>
          <w:szCs w:val="28"/>
          <w:rtl w:val="true"/>
          <w:lang w:bidi="fa-IR"/>
        </w:rPr>
        <w:t>آن گاه موجود را به ممکن و واجب، و ممکن را به جوهر و عرض، تقسیم می‌نمایند و احکام و اقسام جوهر و عرض را بیان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در مرحله بعد به اثبات واجب الوجود می‌پردازند و آن گاه صفات واجب الوجود همانند قدرت، علم، حیات، اراده، ادراک، تکلّم و … و نیز صفات ممتنع وی را هم‌چون همانندی با غیر، مرکّب بودن، مکان داشتن، ظهور امور حادث در وی، محال بودن رؤیت او از سوی غیر و … بحث و بررسی می‌کنند …</w:t>
      </w:r>
    </w:p>
    <w:p>
      <w:pPr>
        <w:pStyle w:val="BookText"/>
        <w:rPr/>
      </w:pPr>
      <w:r>
        <w:rPr>
          <w:rFonts w:ascii="IRNazanin" w:hAnsi="IRNazanin" w:eastAsia="IRNazanin"/>
          <w:color w:val="111111"/>
          <w:sz w:val="28"/>
          <w:sz w:val="28"/>
          <w:szCs w:val="28"/>
          <w:rtl w:val="true"/>
          <w:lang w:bidi="fa-IR"/>
        </w:rPr>
        <w:t>متکلّمان در ادامه وارد مسائل مربوط به عدل می‌شوند و به بررسی مسأله حُسن و قُبح عقلی، جبر و اختیار و … می‌پردازند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نوبت به مباحث نبوّت و صفات پیامبر هم‌چون عصمت و نظیر آن می‌رسد و آن گاه مسأله امامت را بررسی می‌نمایند؛ این جاست که همه مسائل اختلافی پیرامون امامت و امام پس از رسول خدا صلی اللَّه علیه وآله مطرح می‌شود</w:t>
      </w:r>
      <w:r>
        <w:rPr>
          <w:rFonts w:eastAsia="IRNazanin" w:cs="IRNazanin"/>
          <w:color w:val="111111"/>
          <w:sz w:val="28"/>
          <w:szCs w:val="28"/>
          <w:rtl w:val="true"/>
          <w:lang w:bidi="fa-IR"/>
        </w:rPr>
        <w:t>.</w:t>
      </w:r>
      <w:bookmarkStart w:id="64" w:name="pg16793_203730"/>
    </w:p>
    <w:p>
      <w:pPr>
        <w:pStyle w:val="BookText"/>
        <w:rPr/>
      </w:pPr>
      <w:bookmarkEnd w:id="6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متکلّمان در مرحله بعد، موضوع معاد و مسائل فراوان آن را مورد بحث و بررسی قرار می‌دهند …</w:t>
      </w:r>
    </w:p>
    <w:p>
      <w:pPr>
        <w:pStyle w:val="Heading4"/>
        <w:numPr>
          <w:ilvl w:val="3"/>
          <w:numId w:val="1"/>
        </w:numPr>
        <w:rPr/>
      </w:pPr>
      <w:bookmarkStart w:id="65" w:name="__RefHeading___Toc9842820_73709187"/>
      <w:bookmarkStart w:id="66" w:name="_Toc24"/>
      <w:bookmarkEnd w:id="65"/>
      <w:r>
        <w:rPr>
          <w:rtl w:val="true"/>
        </w:rPr>
        <w:t>آیا علم کلام از عوامل شکست‌های ماست؟ …</w:t>
      </w:r>
      <w:bookmarkEnd w:id="66"/>
    </w:p>
    <w:p>
      <w:pPr>
        <w:pStyle w:val="BookText"/>
        <w:rPr/>
      </w:pPr>
      <w:r>
        <w:rPr>
          <w:rFonts w:ascii="IRNazanin" w:hAnsi="IRNazanin" w:eastAsia="IRNazanin"/>
          <w:color w:val="111111"/>
          <w:sz w:val="28"/>
          <w:sz w:val="28"/>
          <w:szCs w:val="28"/>
          <w:rtl w:val="true"/>
          <w:lang w:bidi="fa-IR"/>
        </w:rPr>
        <w:t>با عنایت به جایگاه علم کلام در اسلام و میزان تأثیر آن در پاسداشت دین و شریعت مقدّس اسلامی ضرورت یادگیری، تحوّل و گسترش این علم،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پرسش مطرح است که با این اوصاف چگونه می‌توان گفت علم کلام از عوامل شکست‌های مسلمانان در برابر دشمنان اسلام،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کلام می‌تواند در شمار بهترین عوامل وحدت اسلامی و پایداری و مقاومت در برابر دشمنان قرار گیرد به شرط آن که اصول اعتقادی بر پایه حقّ، کتاب، سنّت صحیح و عقل سلیم بنا نهاده شود، بحث در زمینه همه مسائل اعتقادی مورد اختلاف، با هدف دستیابی به حقیقت و واقعیت، انجام پذیرد و طرف‌های 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مرحله اقامه برهان علیه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عدالت، انصاف، اخلاق فاضله و اصول مناظره و مباحثه، پایبند باشند؛ خداوند نیز در اشاره به همین اصول و رفتارهاست که مجادله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تأکید قرار می‌دهد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بر رقبا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به قیمت فحش و ناسزا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عنوان هدف علم کلام و به کارگیری آن، روشی بیهوده تلقی می‌شود که پراکندگی صفوف مسلمانان و شکست در برابر دشمنان را به ارمغان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اعتقاد بی‌قید و شرط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اسلوب علم کلام از گذشته تا حال ناکام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علم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عوامل شکست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علم کلام در زمره علوم اساسی اسلامی قرار می‌گیرد و این علم هیچ گاه به عنوان عامل ضعف و شکست مسلمانان عمل نکرده است؛ بلکه به عکس، هر گاه علم کلام با رعایت همه شرایط و روش‌های درست آن، مورد استفاده قرار گرفته، وحدت، یکپارچگی و پایداری مسلمانان در برابر دشمنان را موجب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نمی‌توان این موضوع را انکار نمود که برخی متکلّمان، علم کلام را به عنوان ابزار توجیه عقاید باطل و اندیشه‌های فاسد خود، به کار بسته‌اند، امّا باید توجّه داشت که این امر به علم کلام مختص نیست و دیگر علوم اسلامی نیز به عنوان دستاویزی برای تحقّق اهداف و اغراض ناهمگون با حق و دین، مورد استفاده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بنابراین، استفاده نابه جای برخی متکلّمان از علم کلام، گردی بر دامن این علم نمی‌نشاند؛ بلکه مردم می‌بایست میان متکلّمان، تفاوت قائل شوند؛ به گونه‌ای که با شناخت متکلّمانِ حقّ مدار، به تبعیّت از آن‌ها بپردازند و با کشف متکلّمانِ مغرض، راه خود را از آن‌ها جدا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قطعی ما بر این است که طرح مسائل مورد اختلاف علما، ارزیابی آن بر اساس کتاب، سنّت، عقل سلیم و منطق صحیح و مورد پذیرش عقلا و نیز استناد به ادله استوار و حجّت‌های معتبر، از بهترین روش‌های تحقّق وحدت در میان مسلمانان به شمار می‌آید …</w:t>
      </w:r>
    </w:p>
    <w:p>
      <w:pPr>
        <w:pStyle w:val="BookText"/>
        <w:rPr/>
      </w:pPr>
      <w:r>
        <w:rPr>
          <w:rFonts w:ascii="IRNazanin" w:hAnsi="IRNazanin" w:eastAsia="IRNazanin"/>
          <w:color w:val="111111"/>
          <w:sz w:val="28"/>
          <w:sz w:val="28"/>
          <w:szCs w:val="28"/>
          <w:rtl w:val="true"/>
          <w:lang w:bidi="fa-IR"/>
        </w:rPr>
        <w:t>علم کلام نیز دقیقاً به همین منظور، بنیان نهاده شده است؛ چرا که این علم، در واقع، وحدت و همگرایی را ترویج می‌کند و مسلمانان را از تفرقه و خصومت، برحذر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علم کلام نه تنها منافاتی با وحدت مسلمانان ندارد؛ بلکه در صورت استفاده صحیح از این علم و به کارگیری آن در جهت دستیابی به حق و راستی، زمینه ساز وحدت مسلمانان نیز می‌شود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توفیق همه از خداست</w:t>
      </w:r>
      <w:r>
        <w:rPr>
          <w:rFonts w:eastAsia="IRNazanin" w:cs="IRNazanin"/>
          <w:color w:val="111111"/>
          <w:sz w:val="28"/>
          <w:szCs w:val="28"/>
          <w:rtl w:val="true"/>
          <w:lang w:bidi="fa-IR"/>
        </w:rPr>
        <w:t>.</w:t>
      </w:r>
      <w:bookmarkStart w:id="67" w:name="pg16793_203733"/>
    </w:p>
    <w:p>
      <w:pPr>
        <w:pStyle w:val="BookText"/>
        <w:rPr/>
      </w:pPr>
      <w:bookmarkEnd w:id="6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Heading4"/>
        <w:numPr>
          <w:ilvl w:val="3"/>
          <w:numId w:val="1"/>
        </w:numPr>
        <w:rPr/>
      </w:pPr>
      <w:bookmarkStart w:id="68" w:name="__RefHeading___Toc9842822_73709187"/>
      <w:bookmarkStart w:id="69" w:name="_Toc25"/>
      <w:bookmarkEnd w:id="68"/>
      <w:r>
        <w:rPr>
          <w:rtl w:val="true"/>
        </w:rPr>
        <w:t>تأثیر علم کلام در گرایش به تشیّع …</w:t>
      </w:r>
      <w:bookmarkEnd w:id="69"/>
    </w:p>
    <w:p>
      <w:pPr>
        <w:pStyle w:val="BookText"/>
        <w:rPr/>
      </w:pPr>
      <w:r>
        <w:rPr>
          <w:rFonts w:ascii="IRNazanin" w:hAnsi="IRNazanin" w:eastAsia="IRNazanin"/>
          <w:color w:val="111111"/>
          <w:sz w:val="28"/>
          <w:sz w:val="28"/>
          <w:szCs w:val="28"/>
          <w:rtl w:val="true"/>
          <w:lang w:bidi="fa-IR"/>
        </w:rPr>
        <w:t>همان گونه که گذشت، دل های حقّ طلب و دوست‌دار خیر و رستگاری، بی‌تردید تحت تأثیر استدلال‌های منطقی، مباحثات سالم و ادله متّکی بر 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چاره‌ای جز پذیرش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می‌گیرند و در واقع، راز تأکید قرآن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باید در همین نکته جست و جو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روش‌های پیامبران، اوصیا و دیگر مصلحان برای هدایت بشر به صراط مستقیم،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مذهب امامیّه و گرایش ملت‌ها به تشیّع نیز مرهون علم کلام و جدال صحیحِ مبتنی بر کتاب، سنّت، عقل و حجّت‌های معتبر و مقبول، بوده است …</w:t>
      </w:r>
    </w:p>
    <w:p>
      <w:pPr>
        <w:pStyle w:val="BookText"/>
        <w:rPr/>
      </w:pPr>
      <w:r>
        <w:rPr>
          <w:rFonts w:ascii="IRNazanin" w:hAnsi="IRNazanin" w:eastAsia="IRNazanin"/>
          <w:color w:val="111111"/>
          <w:sz w:val="28"/>
          <w:sz w:val="28"/>
          <w:szCs w:val="28"/>
          <w:rtl w:val="true"/>
          <w:lang w:bidi="fa-IR"/>
        </w:rPr>
        <w:t>برای مثال، صدها تن از مردم کشورهای مختلف جهان به برکت کتاب المراجعات اثر آیت اللَّه سیّد عبدالحسین شرف الدین قدّس سرّه به شیعه گرویده‌اند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تک مناظره علّامه حلّی رحمه اللَّه با علمای بزرگ اهل سنّت در ایران موجب شد که همه مردم آن روز ایران، شیعه شوند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نقل علمای بزرگ منطقه جبل عامل، گسترش تشیّع در</w:t>
      </w:r>
      <w:bookmarkStart w:id="70" w:name="pg16793_203734"/>
    </w:p>
    <w:p>
      <w:pPr>
        <w:pStyle w:val="BookText"/>
        <w:rPr/>
      </w:pPr>
      <w:bookmarkEnd w:id="7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این منطقه توسّط ابوذر غفاری رضی اللَّه عنه، صورت گرفته است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یکی از علمای اهل سنّت در ضمن حمله به علم کلام، خاطر نشان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شدن اهل سنّت، تنها به صورت فردی و گرایش شخصی، صورت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امّا با توضیحات کوتاه فوق، بطلان ادّعای این عالم اهل سنّت روشن می‌شود</w:t>
      </w:r>
      <w:r>
        <w:rPr>
          <w:rFonts w:eastAsia="IRNazanin" w:cs="IRNazanin"/>
          <w:color w:val="111111"/>
          <w:sz w:val="28"/>
          <w:szCs w:val="28"/>
          <w:rtl w:val="true"/>
          <w:lang w:bidi="fa-IR"/>
        </w:rPr>
        <w:t>.</w:t>
      </w:r>
    </w:p>
    <w:p>
      <w:pPr>
        <w:pStyle w:val="Heading4"/>
        <w:numPr>
          <w:ilvl w:val="3"/>
          <w:numId w:val="1"/>
        </w:numPr>
        <w:rPr/>
      </w:pPr>
      <w:bookmarkStart w:id="71" w:name="__RefHeading___Toc9842824_73709187"/>
      <w:bookmarkStart w:id="72" w:name="_Toc26"/>
      <w:bookmarkEnd w:id="71"/>
      <w:r>
        <w:rPr>
          <w:rtl w:val="true"/>
        </w:rPr>
        <w:t>برخی مسائل اختلافی در علم کلام …</w:t>
      </w:r>
      <w:bookmarkEnd w:id="72"/>
    </w:p>
    <w:p>
      <w:pPr>
        <w:pStyle w:val="BookText"/>
        <w:rPr/>
      </w:pPr>
      <w:r>
        <w:rPr>
          <w:rFonts w:ascii="IRNazanin" w:hAnsi="IRNazanin" w:eastAsia="IRNazanin"/>
          <w:color w:val="111111"/>
          <w:sz w:val="28"/>
          <w:sz w:val="28"/>
          <w:szCs w:val="28"/>
          <w:rtl w:val="true"/>
          <w:lang w:bidi="fa-IR"/>
        </w:rPr>
        <w:t>به نظر می‌رسد مهم‌ترین مسائل مورد اختلاف شیعه اثنا عشری و دیگر فرقه‌های اسلامی در مسائل ذیل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باری تعالی و عین ذات بودن یا زائد بر ذات بودن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بر این باور است که صفات حق تعالی، عین ذات اوست و زاید بر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جسم پنداری خداوند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امامیه، جسم بودن خداوند را نفی می‌کند و اعتقاد بدان را کفر می‌داند، امّا برخی فرقه‌های اسلامی معتقدند که خداوند، دست و پا دارد، بالا و پایین می‌رود و … باید گفت که خداوند متعال از چنین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صفاتی، کاملًا پاک و منزّه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حادث بودن و دیگران قدیم بودن قرآن را خاطر نشان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جریانات و حوادثی پیرامون این مسأله رخ داده است که می‌توان با مراجعه به کتاب‌های سیره و تاریخ، به مطالعه آن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فرقه‌ها، به جبر و برخی دیگر به 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هستند، امّا امامیه به هیچ یک از این دو مقوله قائل نیست و به امری بین جبر و تفویض اعتقاد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مربوط به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بر آن است که خداوند فعل قبیح را انجام نمی‌دهد و خواستار اطاعت است، گناهان را نمی‌پسندد، از افعال خود غرض و حکمتی دارد، جز به اندازه توان، تکلیف نمی‌کند و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و خلافت پس از رسول خدا صلی اللَّه علیه وآله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امامیّه معتقد است که بر اساس نصّ و سخن آشکار خدا و رسول اکرم صلی اللَّه علیه وآله، علی بن ابی‌طالب علیهما السلام خلیفه مسلمانان پس از رسول خداست، امّا اهل سنّت، بر مبنای انتخاب مردم، ابوبکر فرزند ابوقحافه را خلیفه رسول خدا صلی اللَّه علیه وآله می‌دانند</w:t>
      </w:r>
      <w:r>
        <w:rPr>
          <w:rFonts w:eastAsia="IRNazanin" w:cs="IRNazanin"/>
          <w:color w:val="111111"/>
          <w:sz w:val="28"/>
          <w:szCs w:val="28"/>
          <w:rtl w:val="true"/>
          <w:lang w:bidi="fa-IR"/>
        </w:rPr>
        <w:t>.</w:t>
      </w:r>
      <w:bookmarkStart w:id="73" w:name="pg16793_203736"/>
    </w:p>
    <w:p>
      <w:pPr>
        <w:pStyle w:val="BookText"/>
        <w:rPr/>
      </w:pPr>
      <w:bookmarkEnd w:id="7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Heading3"/>
        <w:numPr>
          <w:ilvl w:val="2"/>
          <w:numId w:val="1"/>
        </w:numPr>
        <w:rPr/>
      </w:pPr>
      <w:bookmarkStart w:id="74" w:name="__RefHeading___Toc9842826_73709187"/>
      <w:bookmarkStart w:id="75" w:name="_Toc27"/>
      <w:bookmarkEnd w:id="74"/>
      <w:r>
        <w:rPr>
          <w:rtl w:val="true"/>
        </w:rPr>
        <w:t>امامت و اصول دین …</w:t>
      </w:r>
      <w:bookmarkEnd w:id="75"/>
    </w:p>
    <w:p>
      <w:pPr>
        <w:pStyle w:val="Heading4"/>
        <w:numPr>
          <w:ilvl w:val="3"/>
          <w:numId w:val="1"/>
        </w:numPr>
        <w:rPr/>
      </w:pPr>
      <w:bookmarkStart w:id="76" w:name="__RefHeading___Toc9842828_73709187"/>
      <w:bookmarkStart w:id="77" w:name="_Toc28"/>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امامت، حساس‌ترین و مهم‌ترین بحث و مسأله اختلافی در میان مباحث اصول دین بوده است تا جایی که به لحاظ جایگاه و زمان از دیگر بحث‌ها، پیشی گرفته است؛ به همین جهت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أعظم خلاف بین الامّة خلاف الإمامة، إذ ما سُلّ سیف فی الإسلام علی قاعدة دینیة مثل ما سُلّ علی الإمامة فی کلّ زمان؛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مسأله امامت، بزرگ‌ترین مسأله اختلافی مسلمانان است؛ چرا که بر هیچ یک از اصول دین در هیچ عصری، به اندازه مسأله امامت، چالش نشده و شمشیر کشیده نشده است</w:t>
      </w:r>
      <w:r>
        <w:rPr>
          <w:rFonts w:eastAsia="IRNazanin" w:cs="IRNazanin"/>
          <w:color w:val="111111"/>
          <w:sz w:val="28"/>
          <w:szCs w:val="28"/>
          <w:rtl w:val="true"/>
          <w:lang w:bidi="fa-IR"/>
        </w:rPr>
        <w:t>.</w:t>
      </w:r>
    </w:p>
    <w:p>
      <w:pPr>
        <w:pStyle w:val="Heading4"/>
        <w:numPr>
          <w:ilvl w:val="3"/>
          <w:numId w:val="1"/>
        </w:numPr>
        <w:rPr/>
      </w:pPr>
      <w:bookmarkStart w:id="78" w:name="__RefHeading___Toc9842830_73709187"/>
      <w:bookmarkStart w:id="79" w:name="_Toc29"/>
      <w:bookmarkEnd w:id="78"/>
      <w:r>
        <w:rPr>
          <w:rtl w:val="true"/>
        </w:rPr>
        <w:t>وجوب امامت …</w:t>
      </w:r>
      <w:bookmarkEnd w:id="79"/>
    </w:p>
    <w:p>
      <w:pPr>
        <w:pStyle w:val="BookText"/>
        <w:rPr/>
      </w:pPr>
      <w:r>
        <w:rPr>
          <w:rFonts w:ascii="IRNazanin" w:hAnsi="IRNazanin" w:eastAsia="IRNazanin"/>
          <w:color w:val="111111"/>
          <w:sz w:val="28"/>
          <w:sz w:val="28"/>
          <w:szCs w:val="28"/>
          <w:rtl w:val="true"/>
          <w:lang w:bidi="fa-IR"/>
        </w:rPr>
        <w:t>اصل امامت نه تنها مورد اختلاف مسلمانان نیست؛ بلکه محلّ اجماع و اتفاق نظر آنان است و علمای بزرگ شیعه و سنّی، این اصل را مورد تأکید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اندلسی در این باره می‌گوید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جمیع أهل السنّة وجمیع المرجئة وجمیع المعتزلة</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وجمیع الشیعة وجمیع الخوارج علی وجوب الإمامة، وأنّ الامّة فرض واجب علیها الإنقیاد لإمام عادل یقیم فیهم أحکام اللَّه، ویسوسهم بأحکام الشریعة الّتی أتی بها رسول اللَّه صلّی اللَّه علیه وآله … والقرآن والسنة قد وردا بإیجاب الإمام …؛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فرد فرد اهل سنّت، مرجئه، معتزله، شیعه و خوارج، در وجوب امامت، اتّفاق نظر دارند و معتقدند که اطاعت از امام دادگر، مجری احکام الاهی و شریعت نبوی بر همه آحاد امّت اسلامی، واجب است … قرآن و سنّت نیز وجوب امام را مورد تصریح قرار داده‌اند …</w:t>
      </w:r>
    </w:p>
    <w:p>
      <w:pPr>
        <w:pStyle w:val="BookText"/>
        <w:rPr/>
      </w:pPr>
      <w:r>
        <w:rPr>
          <w:rFonts w:ascii="IRNazanin" w:hAnsi="IRNazanin" w:eastAsia="IRNazanin"/>
          <w:color w:val="111111"/>
          <w:sz w:val="28"/>
          <w:sz w:val="28"/>
          <w:szCs w:val="28"/>
          <w:rtl w:val="true"/>
          <w:lang w:bidi="fa-IR"/>
        </w:rPr>
        <w:t>همان گونه که خواهد آمد شیعه اثناعشری، مسأله امامت را جزء لا ینفکّ اصول دین می‌دانند و به همین جهت توجه فراوانی به آن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ائمه شیعه علیهم السلام، درباره امامت 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الإمامة اسّ الإسلام النامی وفرعه السامی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الإمامة زمام الدین ونظام المسلمین وصلاح الدنیا وعزّ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المؤمنین؛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امامت، پایه رو به رشد اسلام و شاخه بلند آن است …</w:t>
      </w:r>
    </w:p>
    <w:p>
      <w:pPr>
        <w:pStyle w:val="BookText"/>
        <w:rPr/>
      </w:pPr>
      <w:r>
        <w:rPr>
          <w:rFonts w:ascii="IRNazanin" w:hAnsi="IRNazanin" w:eastAsia="IRNazanin"/>
          <w:color w:val="111111"/>
          <w:sz w:val="28"/>
          <w:sz w:val="28"/>
          <w:szCs w:val="28"/>
          <w:rtl w:val="true"/>
          <w:lang w:bidi="fa-IR"/>
        </w:rPr>
        <w:t>امامت، زمام دین، نظم دهنده مسلمانان، صلاح دنیا و عزّت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شیعه علیهم السلام درباره امام نیز چنین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بالإمام تمام الصلاة والزکاة والصیام والحج والجهاد وتوفیر الفی‌ء والصدقات وإمضاء الحدود والأحکام ومنع الثغور والأطراف؛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تکمیل نماز، زکات، روزه، حج و جهاد، جمع آوری غنایم و صدقات، اجرای حدود و احکام و دفاع از مرزها و اقصی نقاط سرزمین اسلام، تنها و تنها به وسیله امام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رحمه اللَّه در مقدمه کتاب منهاج الکرامة فی معرفة الإمامة می‌نویسد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رسالة شریفة، ومقالة لطیفة، اشتملت علی أهمّ المطالب فی أحکام الدین، وأشرف مسائل المسلمین، وهی مسألة الإمامة، الّتی یحصل بسبب إدراکها نیل درجة</w:t>
      </w:r>
      <w:bookmarkStart w:id="80" w:name="pg16793_203739"/>
    </w:p>
    <w:p>
      <w:pPr>
        <w:pStyle w:val="BookText"/>
        <w:rPr/>
      </w:pPr>
      <w:bookmarkEnd w:id="8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الکرامة، وهی أحد أرکان الإیمان المستحقّ بسببه الخلود فی الجنان والتخلص من غصب الرحمان؛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این رساله و کتاب نغز به بررسی مهم‌ترین حکم دینی و گران قدرترین مسأله مسلمانان؛ یعنی مسأله امامت می‌پردازد که ادراک آن، موجبات نیل به مرتبه کرامت را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یکی از ارکان دین است که شناخت آن، جاودانگی در بهشت و رهایی از خشم پروردگار را به ارمغان می‌آورد</w:t>
      </w:r>
      <w:r>
        <w:rPr>
          <w:rFonts w:eastAsia="IRNazanin" w:cs="IRNazanin"/>
          <w:color w:val="111111"/>
          <w:sz w:val="28"/>
          <w:szCs w:val="28"/>
          <w:rtl w:val="true"/>
          <w:lang w:bidi="fa-IR"/>
        </w:rPr>
        <w:t>.</w:t>
      </w:r>
    </w:p>
    <w:p>
      <w:pPr>
        <w:pStyle w:val="Heading4"/>
        <w:numPr>
          <w:ilvl w:val="3"/>
          <w:numId w:val="1"/>
        </w:numPr>
        <w:rPr/>
      </w:pPr>
      <w:bookmarkStart w:id="81" w:name="__RefHeading___Toc9842832_73709187"/>
      <w:bookmarkStart w:id="82" w:name="_Toc30"/>
      <w:bookmarkEnd w:id="81"/>
      <w:r>
        <w:rPr>
          <w:rtl w:val="true"/>
        </w:rPr>
        <w:t>امامت چیست؟ …</w:t>
      </w:r>
      <w:bookmarkEnd w:id="82"/>
    </w:p>
    <w:p>
      <w:pPr>
        <w:pStyle w:val="BookText"/>
        <w:rPr/>
      </w:pPr>
      <w:r>
        <w:rPr>
          <w:rFonts w:ascii="IRNazanin" w:hAnsi="IRNazanin" w:eastAsia="IRNazanin"/>
          <w:color w:val="111111"/>
          <w:sz w:val="28"/>
          <w:sz w:val="28"/>
          <w:szCs w:val="28"/>
          <w:rtl w:val="true"/>
          <w:lang w:bidi="fa-IR"/>
        </w:rPr>
        <w:t>تعریف یکسان مسلمانان از امامت، اهمیّت و عظمت آن را نمایان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مواردی از تعریف دانشمندان اسلامی اشاره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ایجی می‌گوید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ریاست عامّ در امور دین و دنیا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تعریف جامع و مانع نیست و نبوّت را نیز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معنای خلافت رسول خدا صلی اللَّه علیه وآله در برپایی دین است؛ به گونه‌ای که اطاعت از آن بر همه امّت،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سعدالدین تفتازانی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به معنای ریاست عامّ در امر دین و دنیاست که به جانشینی از پیامبر صورت می‌گیرد … </w:t>
      </w:r>
      <w:r>
        <w:rPr>
          <w:rStyle w:val="FootnoteAnchor"/>
          <w:rtl w:val="true"/>
        </w:rPr>
        <w:footnoteReference w:id="46"/>
      </w:r>
      <w:r>
        <w:rPr>
          <w:rFonts w:ascii="IRNazanin" w:hAnsi="IRNazanin" w:eastAsia="IRNazanin"/>
          <w:color w:val="111111"/>
          <w:sz w:val="28"/>
          <w:sz w:val="28"/>
          <w:szCs w:val="28"/>
          <w:rtl w:val="true"/>
          <w:lang w:bidi="fa-IR"/>
        </w:rPr>
        <w:t>علّامه حلّی رحمه اللَّه در تعریف امامت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به معنای ریاست عامّ یک فرد در امور دین و دنیاست که به جانشینی از پیامبر صلی اللَّه علیه وآله، صورت می‌پذیرد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دانشمند فاضل، مقداد سیوری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سیوری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 سال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نجف اشرف دیده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از شرح حال او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 طبقات أعلام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معجم المؤلّفین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17200</w:t>
      </w:r>
      <w:r>
        <w:rPr>
          <w:rFonts w:ascii="IRNazanin" w:hAnsi="IRNazanin" w:eastAsia="IRNazanin"/>
          <w:color w:val="111111"/>
          <w:sz w:val="28"/>
          <w:sz w:val="28"/>
          <w:szCs w:val="28"/>
          <w:rtl w:val="true"/>
          <w:lang w:bidi="fa-IR"/>
        </w:rPr>
        <w:t>، 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امامت به معنای ریاست عامّ یک فرد انسانی در امور دین و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ریاست، جنس قریب است و انتساب امامت به یک شخص، جنس بعید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بودن امامت نیز فصل تعریف است که باعث می‌شود این مفهوم از ولایت قُضات و نمایندگان، جدا گردد و آنان را دربرنگیرد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دین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عرصه امامت و دائره ریاست آن است؛ به گونه‌ای که دین و دنیا را به طور مساوی دربرمی‌گیرد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استفاده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فرد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دو مسأله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شایسته امامت، باید شخصی منتصب از جانب خدا و رسول او باشد، نه هر شخصی که اتّفاق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زمان واحد، فقط یک شخص، شایستگی امامت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دانشمندان قید اصالت را نیز افزوده و در تعریف امامت می‌گویند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به معنای ریاست عامّ یک فرد انسانی در امور دین و دنیا، به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اصالت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امامت نیابی را شامل نمی‌شود که امام، عموم ولایت را به او تفویض کرده است؛ زیرا که ریاست نایب امام، عامّ است، امّا اصالتی در ریاست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تعریف مذکور، ریاست عامّ را از نایب امام سلب می‌کند؛ چرا که نایب مذکور، هیچ ریاستی بر امام خود ندارد و به همین جهت، ریاست او، عامّ تلقّی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تعریف مذکور، نبوّت را نیز دربرمی‌گیرد؛ به همین دلیل این قید نیز افزوده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با حق نیابت از پیامبر صلی اللَّه علیه وآله یا به واسطه یک انسان، صورت می‌پذیرد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فیّاض لاهیجی در شرح التجرید، هر دو تعریف ایجی و تفتازانی را آورده و پسندیده 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این نشان می‌دهد که اختلاف الفاظ و تنوّع تعاریف، به هدف مشترک خدشه‌ای وارد نمی‌آورد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نکته شایان توجه در موضوع مورد بحث، این است که علمای شیعه و سنّی در تعریف امامت، اختلافی با هم ندارند</w:t>
      </w:r>
      <w:r>
        <w:rPr>
          <w:rFonts w:eastAsia="IRNazanin" w:cs="IRNazanin"/>
          <w:color w:val="111111"/>
          <w:sz w:val="28"/>
          <w:szCs w:val="28"/>
          <w:rtl w:val="true"/>
          <w:lang w:bidi="fa-IR"/>
        </w:rPr>
        <w:t>.</w:t>
      </w:r>
      <w:bookmarkStart w:id="83" w:name="pg16793_203743"/>
    </w:p>
    <w:p>
      <w:pPr>
        <w:pStyle w:val="BookText"/>
        <w:rPr/>
      </w:pPr>
      <w:bookmarkEnd w:id="8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Heading4"/>
        <w:numPr>
          <w:ilvl w:val="3"/>
          <w:numId w:val="1"/>
        </w:numPr>
        <w:rPr/>
      </w:pPr>
      <w:bookmarkStart w:id="84" w:name="__RefHeading___Toc9842834_73709187"/>
      <w:bookmarkStart w:id="85" w:name="_Toc31"/>
      <w:bookmarkEnd w:id="84"/>
      <w:r>
        <w:rPr>
          <w:rtl w:val="true"/>
        </w:rPr>
        <w:t>امامت، جزء اصول دین است …</w:t>
      </w:r>
      <w:bookmarkEnd w:id="85"/>
    </w:p>
    <w:p>
      <w:pPr>
        <w:pStyle w:val="BookText"/>
        <w:rPr/>
      </w:pPr>
      <w:r>
        <w:rPr>
          <w:rFonts w:ascii="IRNazanin" w:hAnsi="IRNazanin" w:eastAsia="IRNazanin"/>
          <w:color w:val="111111"/>
          <w:sz w:val="28"/>
          <w:sz w:val="28"/>
          <w:szCs w:val="28"/>
          <w:rtl w:val="true"/>
          <w:lang w:bidi="fa-IR"/>
        </w:rPr>
        <w:t>از این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و سنّی در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می‌شود که امامت، از اصول دین است، نه از فروع دین؛ چرا که امامت، در جایگاه نیابت پیامبر صلی اللَّه علیه وآله قرار می‌گیرد و به همین جهت جزء شؤون و متعلّقات نبوّت،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احادیثی درباره امامت وجود دارد که مورد اتّفاق نظر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رسول خدا صلی اللَّه علیه 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ولم یعرف إمام زمانه مات میتة جاهلیة؛</w:t>
      </w:r>
    </w:p>
    <w:p>
      <w:pPr>
        <w:pStyle w:val="BookText"/>
        <w:rPr/>
      </w:pPr>
      <w:r>
        <w:rPr>
          <w:rFonts w:ascii="IRNazanin" w:hAnsi="IRNazanin" w:eastAsia="IRNazanin"/>
          <w:color w:val="111111"/>
          <w:sz w:val="28"/>
          <w:sz w:val="28"/>
          <w:szCs w:val="28"/>
          <w:rtl w:val="true"/>
          <w:lang w:bidi="fa-IR"/>
        </w:rPr>
        <w:t>هر کس بمیرد و امام عصر خویش را نشناسد به مرگ دوران جاهلی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که این حدیث با عبارات متفاوتی نقل شده، امّا مراد همه این عبارات، یکی است و همگی آن‌ها بر معانی واژه‌های همین روایت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همین الفاظ در بسیاری از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شرح المقاصد </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مسند احمد و برخی دیگر از کتاب‌ها، چنین آمده است که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من مات بغیر إمام مات میتة جاهلیة؛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هر کس بدون امام، بمیرد به مرگ دوران جاهلی مرده است …</w:t>
      </w:r>
    </w:p>
    <w:p>
      <w:pPr>
        <w:pStyle w:val="BookText"/>
        <w:rPr/>
      </w:pPr>
      <w:r>
        <w:rPr>
          <w:rFonts w:ascii="IRNazanin" w:hAnsi="IRNazanin" w:eastAsia="IRNazanin"/>
          <w:color w:val="111111"/>
          <w:sz w:val="28"/>
          <w:sz w:val="28"/>
          <w:szCs w:val="28"/>
          <w:rtl w:val="true"/>
          <w:lang w:bidi="fa-IR"/>
        </w:rPr>
        <w:t>در برخی کتاب‌ها نیز 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مات ولیس فی عنقه بیعة مات میتة جاهلیة؛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هر کس بمیرد و بیعتی بر ذمّه او نباشد به مرگ دوران جاهلی مرده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این حدیث به صورت‌های دیگری نیز نقل شده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بنابراین، حدیث مذکور به صراحت، نشان می‌دهد که شناخت امام، پیروی و اطاعت از او و اعتقاد به ولایت الاهی وی، واجب است و هر کس امام را نشناسد، یا او را انکار کند، در حال کفر می‌میرد؛ درست همانند کسی که از شناخت نبوّت پیامبر صلی اللَّه علیه وآله باز می‌ماند و آن را انکار می‌کند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چه که گفته شد، به ذکر ادله دیگری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از برخی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قاضی 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آن‌ها همانند امامیّه، امامت را جزء اصول دین دانسته‌اند؛ </w:t>
      </w:r>
      <w:r>
        <w:rPr>
          <w:rStyle w:val="FootnoteAnchor"/>
          <w:rtl w:val="true"/>
        </w:rPr>
        <w:footnoteReference w:id="55"/>
      </w:r>
      <w:r>
        <w:rPr>
          <w:rFonts w:ascii="IRNazanin" w:hAnsi="IRNazanin" w:eastAsia="IRNazanin"/>
          <w:color w:val="111111"/>
          <w:sz w:val="28"/>
          <w:sz w:val="28"/>
          <w:szCs w:val="28"/>
          <w:rtl w:val="true"/>
          <w:lang w:bidi="fa-IR"/>
        </w:rPr>
        <w:t>امّا برخی دیگر همانند سعدالدین تفتازانی ترجیح داده‌اند که امامت را در زمره فروع دین قرار دهند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مشهور این است که بیشتر علمای اهل سنّت، امامت را جزء مسائل فرعی به شمار می‌آورند</w:t>
      </w:r>
      <w:r>
        <w:rPr>
          <w:rFonts w:eastAsia="IRNazanin" w:cs="IRNazanin"/>
          <w:color w:val="111111"/>
          <w:sz w:val="28"/>
          <w:szCs w:val="28"/>
          <w:rtl w:val="true"/>
          <w:lang w:bidi="fa-IR"/>
        </w:rPr>
        <w:t>.</w:t>
      </w:r>
      <w:bookmarkStart w:id="86" w:name="pg16793_203746"/>
    </w:p>
    <w:p>
      <w:pPr>
        <w:pStyle w:val="BookText"/>
        <w:rPr/>
      </w:pPr>
      <w:bookmarkEnd w:id="8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Heading4"/>
        <w:numPr>
          <w:ilvl w:val="3"/>
          <w:numId w:val="1"/>
        </w:numPr>
        <w:rPr/>
      </w:pPr>
      <w:bookmarkStart w:id="87" w:name="__RefHeading___Toc9842836_73709187"/>
      <w:bookmarkStart w:id="88" w:name="_Toc32"/>
      <w:bookmarkEnd w:id="87"/>
      <w:r>
        <w:rPr>
          <w:rtl w:val="true"/>
        </w:rPr>
        <w:t>تعیین امام با کیست؟ …</w:t>
      </w:r>
      <w:bookmarkEnd w:id="88"/>
    </w:p>
    <w:p>
      <w:pPr>
        <w:pStyle w:val="Heading5"/>
        <w:numPr>
          <w:ilvl w:val="4"/>
          <w:numId w:val="1"/>
        </w:numPr>
        <w:rPr/>
      </w:pPr>
      <w:bookmarkStart w:id="89" w:name="__RefHeading___Toc9842838_73709187"/>
      <w:bookmarkStart w:id="90" w:name="_Toc33"/>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در پاسخ این پرسش که تعیین امام با کیست؟ دیدگاه شیعه و اهل سنّت را بیان می‌کنیم</w:t>
      </w:r>
      <w:r>
        <w:rPr>
          <w:rFonts w:eastAsia="IRNazanin" w:cs="IRNazanin"/>
          <w:color w:val="111111"/>
          <w:sz w:val="28"/>
          <w:szCs w:val="28"/>
          <w:rtl w:val="true"/>
          <w:lang w:bidi="fa-IR"/>
        </w:rPr>
        <w:t>.</w:t>
      </w:r>
    </w:p>
    <w:p>
      <w:pPr>
        <w:pStyle w:val="Heading5"/>
        <w:numPr>
          <w:ilvl w:val="4"/>
          <w:numId w:val="1"/>
        </w:numPr>
        <w:rPr/>
      </w:pPr>
      <w:bookmarkStart w:id="91" w:name="__RefHeading___Toc9842840_73709187"/>
      <w:bookmarkStart w:id="92" w:name="_Toc34"/>
      <w:bookmarkEnd w:id="91"/>
      <w:r>
        <w:rPr/>
        <w:t>1</w:t>
      </w:r>
      <w:r>
        <w:rPr>
          <w:rtl w:val="true"/>
        </w:rPr>
        <w:t xml:space="preserve">. </w:t>
      </w:r>
      <w:r>
        <w:rPr>
          <w:rtl w:val="true"/>
        </w:rPr>
        <w:t>دیدگاه اهل سنّت …</w:t>
      </w:r>
      <w:bookmarkEnd w:id="92"/>
    </w:p>
    <w:p>
      <w:pPr>
        <w:pStyle w:val="Heading6"/>
        <w:numPr>
          <w:ilvl w:val="5"/>
          <w:numId w:val="1"/>
        </w:numPr>
        <w:rPr/>
      </w:pPr>
      <w:bookmarkStart w:id="93" w:name="__RefHeading___Toc9842842_73709187"/>
      <w:bookmarkStart w:id="94" w:name="_Toc35"/>
      <w:bookmarkEnd w:id="93"/>
      <w:r>
        <w:rPr>
          <w:rtl w:val="true"/>
        </w:rPr>
        <w:t>اشارة</w:t>
      </w:r>
      <w:bookmarkEnd w:id="94"/>
    </w:p>
    <w:p>
      <w:pPr>
        <w:pStyle w:val="BookText"/>
        <w:rPr/>
      </w:pPr>
      <w:r>
        <w:rPr>
          <w:rFonts w:ascii="IRNazanin" w:hAnsi="IRNazanin" w:eastAsia="IRNazanin"/>
          <w:color w:val="111111"/>
          <w:sz w:val="28"/>
          <w:sz w:val="28"/>
          <w:szCs w:val="28"/>
          <w:rtl w:val="true"/>
          <w:lang w:bidi="fa-IR"/>
        </w:rPr>
        <w:t>گفتیم که بیشتر علمای اهل سنّت، امامت را جزء فروعِ مرتبط با اعمال مکلّفین می‌دانند؛ گویی مقصود این دیدگاه این است که نصب امام، بر امّت واجب است نه 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تفتازانی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ما و عموم معتزله، نصب امام از سوی مردم واجب نقلی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معتزله، نصب امام از سوی مردم را واجب عقلی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معتقدند که نصب امام بر خداوند، واجب است … ما برای اثبات اعتقاد خود، مستندات و دلایلی داریم …</w:t>
      </w:r>
    </w:p>
    <w:p>
      <w:pPr>
        <w:pStyle w:val="BookText"/>
        <w:rPr/>
      </w:pPr>
      <w:r>
        <w:rPr>
          <w:rFonts w:ascii="IRNazanin" w:hAnsi="IRNazanin" w:eastAsia="IRNazanin"/>
          <w:color w:val="111111"/>
          <w:sz w:val="28"/>
          <w:sz w:val="28"/>
          <w:szCs w:val="28"/>
          <w:rtl w:val="true"/>
          <w:lang w:bidi="fa-IR"/>
        </w:rPr>
        <w:t xml:space="preserve">نخستین و عمده دلیل ما اجماع و اتفاق نظر صحابه است تا جایی که نصب امام را از مهم‌ترین واجبات دانسته و به جای دفن رسول خدا صلی اللَّه علیه وآله به نصب امام پرداختند … </w:t>
      </w:r>
      <w:r>
        <w:rPr>
          <w:rStyle w:val="FootnoteAnchor"/>
          <w:rtl w:val="true"/>
        </w:rPr>
        <w:footnoteReference w:id="57"/>
      </w:r>
      <w:r>
        <w:rPr>
          <w:rFonts w:ascii="IRNazanin" w:hAnsi="IRNazanin" w:eastAsia="IRNazanin"/>
          <w:color w:val="111111"/>
          <w:sz w:val="28"/>
          <w:sz w:val="28"/>
          <w:szCs w:val="28"/>
          <w:rtl w:val="true"/>
          <w:lang w:bidi="fa-IR"/>
        </w:rPr>
        <w:t>جای شگفتی است که اهل سنّت، نصب امام را واجب می‌دانند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معتقدند که پیامبر خدا صلی اللَّه علیه وآله بی‌هیچ وصیّتی در این زمینه، به</w:t>
      </w:r>
      <w:bookmarkStart w:id="95" w:name="pg16793_203747"/>
    </w:p>
    <w:p>
      <w:pPr>
        <w:pStyle w:val="BookText"/>
        <w:rPr/>
      </w:pPr>
      <w:bookmarkEnd w:id="9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سوی رفیق اعلی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که هیچ نصّ و سخن آشکاری یا تعیینی درباره امامتِ فردی مشخّص، از خدا و رسول او صادر نشده است …</w:t>
      </w:r>
    </w:p>
    <w:p>
      <w:pPr>
        <w:pStyle w:val="BookText"/>
        <w:rPr/>
      </w:pPr>
      <w:r>
        <w:rPr>
          <w:rFonts w:ascii="IRNazanin" w:hAnsi="IRNazanin" w:eastAsia="IRNazanin"/>
          <w:color w:val="111111"/>
          <w:sz w:val="28"/>
          <w:sz w:val="28"/>
          <w:szCs w:val="28"/>
          <w:rtl w:val="true"/>
          <w:lang w:bidi="fa-IR"/>
        </w:rPr>
        <w:t>و به همین جهت وجوب نصب امام، از وظایف مکلّفین به شمار می‌رود</w:t>
      </w:r>
      <w:r>
        <w:rPr>
          <w:rFonts w:eastAsia="IRNazanin" w:cs="IRNazanin"/>
          <w:color w:val="111111"/>
          <w:sz w:val="28"/>
          <w:szCs w:val="28"/>
          <w:rtl w:val="true"/>
          <w:lang w:bidi="fa-IR"/>
        </w:rPr>
        <w:t xml:space="preserve">. </w:t>
      </w:r>
      <w:r>
        <w:rPr>
          <w:rStyle w:val="FootnoteAnchor"/>
          <w:rtl w:val="true"/>
        </w:rPr>
        <w:footnoteReference w:id="58"/>
      </w:r>
    </w:p>
    <w:p>
      <w:pPr>
        <w:pStyle w:val="Heading6"/>
        <w:numPr>
          <w:ilvl w:val="5"/>
          <w:numId w:val="1"/>
        </w:numPr>
        <w:rPr/>
      </w:pPr>
      <w:bookmarkStart w:id="96" w:name="__RefHeading___Toc9842844_73709187"/>
      <w:bookmarkStart w:id="97" w:name="_Toc36"/>
      <w:bookmarkEnd w:id="96"/>
      <w:r>
        <w:rPr>
          <w:rtl w:val="true"/>
        </w:rPr>
        <w:t>نقد دیدگاه اهل سنّت …</w:t>
      </w:r>
      <w:bookmarkEnd w:id="97"/>
    </w:p>
    <w:p>
      <w:pPr>
        <w:pStyle w:val="BookText"/>
        <w:rPr/>
      </w:pPr>
      <w:r>
        <w:rPr>
          <w:rFonts w:ascii="IRNazanin" w:hAnsi="IRNazanin" w:eastAsia="IRNazanin"/>
          <w:color w:val="111111"/>
          <w:sz w:val="28"/>
          <w:sz w:val="28"/>
          <w:szCs w:val="28"/>
          <w:rtl w:val="true"/>
          <w:lang w:bidi="fa-IR"/>
        </w:rPr>
        <w:t>آری، اهل سنّت عمده دلیل اعتقاد خود را اجماع صحابه می‌دانند تا جایی که صحابه، نصب امام را از مهم‌ترین واجبات به شمار آورده و به جای دفن رسول خدا صلی اللَّه علیه وآله به نصب امام پرداختند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عمده دلیل اهل سنّت، اجماع صحابه باشد، قضیه به راحتی حلّ و فصل می‌شود؛ چرا که این دلیل از چند صورت، قابل نقد است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یکی از آن دلیل‌ها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اجماع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ابوبکر، عمر و عدّه‌ای دیگر پیکر رسول خدا صلی اللَّه علیه وآله را بر روی زمین رها کردند و به سوی سقیفه بنی ساعده شتافتند؛ جایی که برخی انصار برای بررسی موضوع خلافت، گرد آمده بودند … این دسته از انصار پس از انتخاب ابوبکر، به نزد بنی هاشم و دیگر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جنازه پیامبر را رها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خواستار بیعت آنان با ابوبکر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تنها گروهی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امام را از مهم‌ترین واجبات دانسته و آن را بر دفن پیامبر اکرم صلی اللَّه علیه وآله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است که اجتماع انصار در سقیفه، به منظور بحث و گفت و گو پیرامون خلافت صورت گرفته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علّت اجتماع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برخی دیدگاه‌ها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رایزنی پیرامون برخی مسائل خاص و دستیابی به اتحاد و هم‌رأیی خویش در رویارویی با مهاجران و … بدانیم، مسأله روشن‌تر خواهد بود</w:t>
      </w:r>
      <w:r>
        <w:rPr>
          <w:rFonts w:eastAsia="IRNazanin" w:cs="IRNazanin"/>
          <w:color w:val="111111"/>
          <w:sz w:val="28"/>
          <w:szCs w:val="28"/>
          <w:rtl w:val="true"/>
          <w:lang w:bidi="fa-IR"/>
        </w:rPr>
        <w:t>.</w:t>
      </w:r>
      <w:bookmarkStart w:id="98" w:name="pg16793_203749"/>
    </w:p>
    <w:p>
      <w:pPr>
        <w:pStyle w:val="BookText"/>
        <w:rPr/>
      </w:pPr>
      <w:bookmarkEnd w:id="9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Heading5"/>
        <w:numPr>
          <w:ilvl w:val="4"/>
          <w:numId w:val="1"/>
        </w:numPr>
        <w:rPr/>
      </w:pPr>
      <w:bookmarkStart w:id="99" w:name="__RefHeading___Toc9842846_73709187"/>
      <w:bookmarkStart w:id="100" w:name="_Toc37"/>
      <w:bookmarkEnd w:id="99"/>
      <w:r>
        <w:rPr/>
        <w:t>2</w:t>
      </w:r>
      <w:r>
        <w:rPr>
          <w:rtl w:val="true"/>
        </w:rPr>
        <w:t xml:space="preserve">. </w:t>
      </w:r>
      <w:r>
        <w:rPr>
          <w:rtl w:val="true"/>
        </w:rPr>
        <w:t>دیدگاه شیعه …</w:t>
      </w:r>
      <w:bookmarkEnd w:id="100"/>
    </w:p>
    <w:p>
      <w:pPr>
        <w:pStyle w:val="BookText"/>
        <w:rPr/>
      </w:pPr>
      <w:r>
        <w:rPr>
          <w:rFonts w:ascii="IRNazanin" w:hAnsi="IRNazanin" w:eastAsia="IRNazanin"/>
          <w:color w:val="111111"/>
          <w:sz w:val="28"/>
          <w:sz w:val="28"/>
          <w:szCs w:val="28"/>
          <w:rtl w:val="true"/>
          <w:lang w:bidi="fa-IR"/>
        </w:rPr>
        <w:t>درباره تعیین امام، شیعه بر این باور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امامت به دست خدای متعال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امام بر خداوند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امام را نصب کرده است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در توضیح این سه موضوع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بیان‌گر این مطلب است که امر امامت در دست قدرت الاهی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نویسان مطلبی را نقل کرده‌اند که از گویاترین دلایل سنّت در این امر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خود را به یکی از تیره‌های قبایل کنده و کلب به نام بنی عبداللَّه، معرفی کرد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 نیکویی برای پدر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وآله در حدیثی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محبوب‌ترین نام‌ها در پیشگاه خدای عزّوجلّ، عبداللَّه و عبدالرّحمان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آن گاه پیامبر صلی اللَّه علیه وآله به بنی عبداللَّه پیشنهاد داد تا اسلام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پیشنهاد وی را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همین پیشنهاد را به بنی حنیفه و بنی عامر بن صعصعه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از میان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امر با تو بیعت کنیم و آن گاه خداوند تو را بر مخالفان، پیروز گرداند، آیا بعد از تو،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می‌شود؟</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إلی اللَّه یضعه حیث شاء؛</w:t>
      </w:r>
    </w:p>
    <w:p>
      <w:pPr>
        <w:pStyle w:val="BookText"/>
        <w:rPr/>
      </w:pPr>
      <w:r>
        <w:rPr>
          <w:rFonts w:ascii="IRNazanin" w:hAnsi="IRNazanin" w:eastAsia="IRNazanin"/>
          <w:color w:val="111111"/>
          <w:sz w:val="28"/>
          <w:sz w:val="28"/>
          <w:szCs w:val="28"/>
          <w:rtl w:val="true"/>
          <w:lang w:bidi="fa-IR"/>
        </w:rPr>
        <w:t>این امر با خداست و آن را به هر که خواهد عطا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حمایت از تو با اعراب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روایت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سینه خود را آماج تیرهای اعراب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خداوند تو را پیروز گرداند،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امر تو نیازی نیست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قبایل مذکور از پذیرش اسلام، سر باز زدند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همان گونه که ملاحظه می‌کنید، این حدیث، شایان توجه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رسول خدا صلی اللَّه علیه وآله به هنگام ورود خود به قبیله مذکور و دعوت آنان به توحید، در سخت‌ترین شرایط قرار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خواست تا به او ایمان آورده و او را از مکر و اذیّت شرک ورزان، در امان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آن‌ها به دعوت پیامبر اکرم صلی اللَّه علیه وآله بسیار زشت و زننده بود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عشیره تو از حقیقت تو آگاه‌ترند؛ که از تو پیروی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پیامبر صلی اللَّه علیه وآله اهمیّت داشت که حتّی یک فرد، ایمان بیاورد، از او اطاعت نماید و آزار و اذیت قریش و دیگران را از آن حضرت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هنگامی که قبیله مذکور از او خواستند تا در صورت پیروزی بر مخالفان، ریاست را به آنان واگذار نماید، با صراحت تمام و بدون هیچ تردیدی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إلی اللَّه یضعه حیث شاء؛</w:t>
      </w:r>
    </w:p>
    <w:p>
      <w:pPr>
        <w:pStyle w:val="BookText"/>
        <w:rPr/>
      </w:pPr>
      <w:r>
        <w:rPr>
          <w:rFonts w:ascii="IRNazanin" w:hAnsi="IRNazanin" w:eastAsia="IRNazanin"/>
          <w:color w:val="111111"/>
          <w:sz w:val="28"/>
          <w:sz w:val="28"/>
          <w:szCs w:val="28"/>
          <w:rtl w:val="true"/>
          <w:lang w:bidi="fa-IR"/>
        </w:rPr>
        <w:t>این امر با خداست و آن را به هرکه بخواهد عطا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پس از پیامبر صلی اللَّه علیه وآله در اختیار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نبوّت نیز به اختیار ایشان نبوده است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حادثه تاریخی از محکم‌ترین دلایل سمعی است که نشان می‌دهد</w:t>
      </w:r>
      <w:bookmarkStart w:id="101" w:name="pg16793_203752"/>
    </w:p>
    <w:p>
      <w:pPr>
        <w:pStyle w:val="BookText"/>
        <w:rPr/>
      </w:pPr>
      <w:bookmarkEnd w:id="10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نصب امام، در اختیار خدای سبحان است و پیامبر اکرم صلی اللَّه علیه وآله نه تنها نمی‌تواند تعیین امام را به مردم واگذارد که حتی خود ایشان نیز اجازه نصب امام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وجوب نصب امام بر خداوند متعال دلایلی وجود دارد که وجوب لطف الاهی از جمله دلایل آن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این که خداوند متعال امام را نصب کرده است آیات فراوان قرآن کریم و احادیث قطعی پیامبر اکرم صلی اللَّه علیه وآله نشان می‌دهد که خداوند، تکلیف امامت را پس از رسول خدا صلی اللَّه علیه وآله روشن نموده و امام را تعیین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امامیّه نیز در کتاب‌های امامت خود، به این آیات و احادیث، استناد کرده‌اند</w:t>
      </w:r>
      <w:r>
        <w:rPr>
          <w:rFonts w:eastAsia="IRNazanin" w:cs="IRNazanin"/>
          <w:color w:val="111111"/>
          <w:sz w:val="28"/>
          <w:szCs w:val="28"/>
          <w:rtl w:val="true"/>
          <w:lang w:bidi="fa-IR"/>
        </w:rPr>
        <w:t>.</w:t>
      </w:r>
    </w:p>
    <w:p>
      <w:pPr>
        <w:pStyle w:val="Heading4"/>
        <w:numPr>
          <w:ilvl w:val="3"/>
          <w:numId w:val="1"/>
        </w:numPr>
        <w:rPr/>
      </w:pPr>
      <w:bookmarkStart w:id="102" w:name="__RefHeading___Toc9842848_73709187"/>
      <w:bookmarkStart w:id="103" w:name="_Toc38"/>
      <w:bookmarkEnd w:id="102"/>
      <w:r>
        <w:rPr>
          <w:rtl w:val="true"/>
        </w:rPr>
        <w:t>امام بعد از پیامبر کیست؟ …</w:t>
      </w:r>
      <w:bookmarkEnd w:id="103"/>
    </w:p>
    <w:p>
      <w:pPr>
        <w:pStyle w:val="BookText"/>
        <w:rPr/>
      </w:pPr>
      <w:r>
        <w:rPr>
          <w:rFonts w:ascii="IRNazanin" w:hAnsi="IRNazanin" w:eastAsia="IRNazanin"/>
          <w:color w:val="111111"/>
          <w:sz w:val="28"/>
          <w:sz w:val="28"/>
          <w:szCs w:val="28"/>
          <w:rtl w:val="true"/>
          <w:lang w:bidi="fa-IR"/>
        </w:rPr>
        <w:t>اکنون این پرسش مطرح است که پس از پیامبر خدا صلی اللَّه علیه وآله، امامت بر عهده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معتقد است که خدای سبحان و پیامبر او، حضرت علی علیه السلام را تعیین نموده و او را به عنوان خلیفه مسلمانان پس از رسول خدا صلی اللَّه علیه وآله، منصوب کرده‌اند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بر آنند که خلافت پس از رسول خدا صلی اللَّه علیه وآله از آنِ ابوبکر بوده که به واسطه رأی مردم، صورت پذیرفته است</w:t>
      </w:r>
      <w:r>
        <w:rPr>
          <w:rFonts w:eastAsia="IRNazanin" w:cs="IRNazanin"/>
          <w:color w:val="111111"/>
          <w:sz w:val="28"/>
          <w:szCs w:val="28"/>
          <w:rtl w:val="true"/>
          <w:lang w:bidi="fa-IR"/>
        </w:rPr>
        <w:t>.</w:t>
      </w:r>
      <w:bookmarkStart w:id="104" w:name="pg16793_203753"/>
    </w:p>
    <w:p>
      <w:pPr>
        <w:pStyle w:val="BookText"/>
        <w:rPr/>
      </w:pPr>
      <w:bookmarkEnd w:id="10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Heading4"/>
        <w:numPr>
          <w:ilvl w:val="3"/>
          <w:numId w:val="1"/>
        </w:numPr>
        <w:rPr/>
      </w:pPr>
      <w:bookmarkStart w:id="105" w:name="__RefHeading___Toc9842850_73709187"/>
      <w:bookmarkStart w:id="106" w:name="_Toc39"/>
      <w:bookmarkEnd w:id="105"/>
      <w:r>
        <w:rPr>
          <w:rtl w:val="true"/>
        </w:rPr>
        <w:t>ادلّه شیعه بر امامت حضرت علی …</w:t>
      </w:r>
      <w:bookmarkEnd w:id="106"/>
    </w:p>
    <w:p>
      <w:pPr>
        <w:pStyle w:val="BookText"/>
        <w:rPr/>
      </w:pP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شیعه امامیّه برای اثبات امامت حضرت علی علیه السلام پس از رسول خدا صلی اللَّه علیه وآله، استدلال‌های خود را به سه بخش تقسیم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دلیل‌هایی از کتاب و سنّت</w:t>
      </w:r>
    </w:p>
    <w:p>
      <w:pPr>
        <w:pStyle w:val="BookText"/>
        <w:rPr/>
      </w:pPr>
      <w:r>
        <w:rPr>
          <w:rFonts w:ascii="IRNazanin" w:hAnsi="IRNazanin" w:eastAsia="IRNazanin"/>
          <w:color w:val="111111"/>
          <w:sz w:val="28"/>
          <w:sz w:val="28"/>
          <w:szCs w:val="28"/>
          <w:rtl w:val="true"/>
          <w:lang w:bidi="fa-IR"/>
        </w:rPr>
        <w:t>در این بخش ادلّه امامت حضرت علی علیه السلام را از کتاب و سنّت ارائه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عقلی</w:t>
      </w:r>
    </w:p>
    <w:p>
      <w:pPr>
        <w:pStyle w:val="BookText"/>
        <w:rPr/>
      </w:pPr>
      <w:r>
        <w:rPr>
          <w:rFonts w:ascii="IRNazanin" w:hAnsi="IRNazanin" w:eastAsia="IRNazanin"/>
          <w:color w:val="111111"/>
          <w:sz w:val="28"/>
          <w:sz w:val="28"/>
          <w:szCs w:val="28"/>
          <w:rtl w:val="true"/>
          <w:lang w:bidi="fa-IR"/>
        </w:rPr>
        <w:t xml:space="preserve">دلیل عقلی بر امامت حضرت علی علیه السلام از قیاسی منطقی تشکیل می‌شود که حدیث، سیره و تاریخ، صغرای آن محسوب می‌شود؛ یعنی علی علیه السلام پس از پیامبر، برترین مردم بود؛ کبرای این قیاس برگرفته از عقل است به این معنا که تقدّم مفضول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مقامش پایین‌تر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مقامش از همگان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و زشت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امامت خلفای سه گانه</w:t>
      </w:r>
    </w:p>
    <w:p>
      <w:pPr>
        <w:pStyle w:val="BookText"/>
        <w:rPr/>
      </w:pPr>
      <w:r>
        <w:rPr>
          <w:rFonts w:ascii="IRNazanin" w:hAnsi="IRNazanin" w:eastAsia="IRNazanin"/>
          <w:color w:val="111111"/>
          <w:sz w:val="28"/>
          <w:sz w:val="28"/>
          <w:szCs w:val="28"/>
          <w:rtl w:val="true"/>
          <w:lang w:bidi="fa-IR"/>
        </w:rPr>
        <w:t>با توجه به تعریف و هدف امامت، شروط قطعی امام و … امامت ابوبکر، عمر و عثمان، جایز نیست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شیعه امامیّه، حجّت های معتبر خود را در سه بخش مذکور؛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بِالَّتی هِیَ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بهترین 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ارائه نموده‌اند</w:t>
      </w:r>
      <w:r>
        <w:rPr>
          <w:rFonts w:eastAsia="Amiri" w:cs="Amiri" w:ascii="Amiri" w:hAnsi="Amiri"/>
          <w:color w:val="111111"/>
          <w:sz w:val="28"/>
          <w:szCs w:val="28"/>
          <w:rtl w:val="true"/>
          <w:lang w:bidi="ar-SA"/>
        </w:rPr>
        <w:t>.</w:t>
      </w:r>
      <w:bookmarkStart w:id="107" w:name="pg16793_203754"/>
    </w:p>
    <w:p>
      <w:pPr>
        <w:pStyle w:val="BookText"/>
        <w:rPr/>
      </w:pPr>
      <w:bookmarkEnd w:id="10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Heading4"/>
        <w:numPr>
          <w:ilvl w:val="3"/>
          <w:numId w:val="1"/>
        </w:numPr>
        <w:rPr/>
      </w:pPr>
      <w:bookmarkStart w:id="108" w:name="__RefHeading___Toc9842852_73709187"/>
      <w:bookmarkStart w:id="109" w:name="_Toc40"/>
      <w:bookmarkEnd w:id="108"/>
      <w:r>
        <w:rPr>
          <w:rtl w:val="true"/>
        </w:rPr>
        <w:t>شیعه امامیه و پایبندی به جدال احسن …</w:t>
      </w:r>
      <w:bookmarkEnd w:id="109"/>
    </w:p>
    <w:p>
      <w:pPr>
        <w:pStyle w:val="BookText"/>
        <w:rPr/>
      </w:pPr>
      <w:r>
        <w:rPr>
          <w:rFonts w:ascii="IRNazanin" w:hAnsi="IRNazanin" w:eastAsia="IRNazanin"/>
          <w:color w:val="111111"/>
          <w:sz w:val="28"/>
          <w:sz w:val="28"/>
          <w:szCs w:val="28"/>
          <w:rtl w:val="true"/>
          <w:lang w:bidi="fa-IR"/>
        </w:rPr>
        <w:t>شیعه امامیّه بر اساس اصلی‌ترین قاعده مناظره، برای ردّ ادعای امامت ابوبکر از استدلال‌ها و برهان‌های مورد تأیید اهل سنّت، بهره می‌گیرند و به کتاب‌ها و گفته‌های علمای آنان، استناد می‌نمایند</w:t>
      </w:r>
      <w:r>
        <w:rPr>
          <w:rFonts w:eastAsia="IRNazanin" w:cs="IRNazanin"/>
          <w:color w:val="111111"/>
          <w:sz w:val="28"/>
          <w:szCs w:val="28"/>
          <w:rtl w:val="true"/>
          <w:lang w:bidi="fa-IR"/>
        </w:rPr>
        <w:t>.</w:t>
      </w:r>
    </w:p>
    <w:p>
      <w:pPr>
        <w:pStyle w:val="Heading3"/>
        <w:numPr>
          <w:ilvl w:val="2"/>
          <w:numId w:val="1"/>
        </w:numPr>
        <w:rPr/>
      </w:pPr>
      <w:bookmarkStart w:id="110" w:name="__RefHeading___Toc9842854_73709187"/>
      <w:bookmarkStart w:id="111" w:name="_Toc41"/>
      <w:bookmarkEnd w:id="110"/>
      <w:r>
        <w:rPr>
          <w:rtl w:val="true"/>
        </w:rPr>
        <w:t>نمونه‌هایی از استدلال‌های شیعه …</w:t>
      </w:r>
      <w:bookmarkEnd w:id="111"/>
    </w:p>
    <w:p>
      <w:pPr>
        <w:pStyle w:val="Heading4"/>
        <w:numPr>
          <w:ilvl w:val="3"/>
          <w:numId w:val="1"/>
        </w:numPr>
        <w:rPr/>
      </w:pPr>
      <w:bookmarkStart w:id="112" w:name="__RefHeading___Toc9842856_73709187"/>
      <w:bookmarkStart w:id="113" w:name="_Toc42"/>
      <w:bookmarkEnd w:id="112"/>
      <w:r>
        <w:rPr>
          <w:rtl w:val="true"/>
        </w:rPr>
        <w:t>اشارة</w:t>
      </w:r>
      <w:bookmarkEnd w:id="113"/>
    </w:p>
    <w:p>
      <w:pPr>
        <w:pStyle w:val="BookText"/>
        <w:rPr/>
      </w:pPr>
      <w:r>
        <w:rPr>
          <w:rFonts w:ascii="IRNazanin" w:hAnsi="IRNazanin" w:eastAsia="IRNazanin"/>
          <w:color w:val="111111"/>
          <w:sz w:val="28"/>
          <w:sz w:val="28"/>
          <w:szCs w:val="28"/>
          <w:rtl w:val="true"/>
          <w:lang w:bidi="fa-IR"/>
        </w:rPr>
        <w:t>برای مثال، استدلال به حدیث غدیر خم برای اثبات امامت امیر مؤمنان علی علیه السلام چنین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 أولی بالمؤمنین من أنفسهم؟</w:t>
      </w:r>
    </w:p>
    <w:p>
      <w:pPr>
        <w:pStyle w:val="BookText"/>
        <w:rPr/>
      </w:pPr>
      <w:r>
        <w:rPr>
          <w:rFonts w:ascii="IRNazanin" w:hAnsi="IRNazanin" w:eastAsia="IRNazanin"/>
          <w:color w:val="111111"/>
          <w:sz w:val="28"/>
          <w:sz w:val="28"/>
          <w:szCs w:val="28"/>
          <w:rtl w:val="true"/>
          <w:lang w:bidi="fa-IR"/>
        </w:rPr>
        <w:t>آیا من از مؤمنان به خودشان سزاوارتر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کنت مولاه فعلی مولاه، اللهمّ والِ من والاه، وعاد من عاداه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من مولای او هستم پس علی مولای اوست،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او را دوست و دشمنانش را دشمن بدار …</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ممکن است برخی از اهل سنّت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دروغ است </w:t>
      </w:r>
      <w:r>
        <w:rPr>
          <w:rStyle w:val="FootnoteAnchor"/>
          <w:rtl w:val="true"/>
        </w:rPr>
        <w:footnoteReference w:id="62"/>
      </w:r>
      <w:r>
        <w:rPr>
          <w:rFonts w:ascii="IRNazanin" w:hAnsi="IRNazanin" w:eastAsia="IRNazanin"/>
          <w:color w:val="111111"/>
          <w:sz w:val="28"/>
          <w:sz w:val="28"/>
          <w:szCs w:val="28"/>
          <w:rtl w:val="true"/>
          <w:lang w:bidi="fa-IR"/>
        </w:rPr>
        <w:t>و رسول خدا صلی اللَّه علیه وآله چنین سخنانی را نگفته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تن از علمای بزرگ اهل سنّت، حدیث فوق را نقل کرده‌اند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ممکن است طرف مقابل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 آن روز کجا بود؟ او در آن روز در یمن بود … </w:t>
      </w:r>
      <w:r>
        <w:rPr>
          <w:rStyle w:val="FootnoteAnchor"/>
          <w:rtl w:val="true"/>
        </w:rPr>
        <w:footnoteReference w:id="64"/>
      </w:r>
      <w:r>
        <w:rPr>
          <w:rFonts w:ascii="IRNazanin" w:hAnsi="IRNazanin" w:eastAsia="IRNazanin"/>
          <w:color w:val="111111"/>
          <w:sz w:val="28"/>
          <w:sz w:val="28"/>
          <w:szCs w:val="28"/>
          <w:rtl w:val="true"/>
          <w:lang w:bidi="fa-IR"/>
        </w:rPr>
        <w:t>شیعه ناگزیر است در پاسخ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او از یمن را فلانی و فلانی … از علمای اهل سنّت، نقل کرده‌اند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ممکن است طرف مقابل 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اساس ندارد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شیعه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فلانی و فلانی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علمای اهل سنّت نقل کرده‌اند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ممکن است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شیعه در پاسخ او، لیستی از زبان شناسان بزرگ اهل سنّت را ارائه می‌کند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69"/>
      </w:r>
      <w:bookmarkStart w:id="114" w:name="pg16793_203757"/>
    </w:p>
    <w:p>
      <w:pPr>
        <w:pStyle w:val="BookText"/>
        <w:rPr/>
      </w:pPr>
      <w:bookmarkEnd w:id="11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Heading4"/>
        <w:numPr>
          <w:ilvl w:val="3"/>
          <w:numId w:val="1"/>
        </w:numPr>
        <w:rPr/>
      </w:pPr>
      <w:bookmarkStart w:id="115" w:name="__RefHeading___Toc9842858_73709187"/>
      <w:bookmarkStart w:id="116" w:name="_Toc43"/>
      <w:bookmarkEnd w:id="115"/>
      <w:r>
        <w:rPr>
          <w:rtl w:val="true"/>
        </w:rPr>
        <w:t xml:space="preserve">استدلال به حدیث </w:t>
      </w:r>
      <w:r>
        <w:rPr>
          <w:rtl w:val="true"/>
        </w:rPr>
        <w:t>«</w:t>
      </w:r>
      <w:r>
        <w:rPr>
          <w:rtl w:val="true"/>
        </w:rPr>
        <w:t>مدینة العلم</w:t>
      </w:r>
      <w:r>
        <w:rPr>
          <w:rtl w:val="true"/>
        </w:rPr>
        <w:t>» …</w:t>
      </w:r>
      <w:bookmarkEnd w:id="116"/>
    </w:p>
    <w:p>
      <w:pPr>
        <w:pStyle w:val="BookText"/>
        <w:rPr/>
      </w:pPr>
      <w:r>
        <w:rPr>
          <w:rFonts w:ascii="IRNazanin" w:hAnsi="IRNazanin" w:eastAsia="IRNazanin"/>
          <w:color w:val="111111"/>
          <w:sz w:val="28"/>
          <w:sz w:val="28"/>
          <w:szCs w:val="28"/>
          <w:rtl w:val="true"/>
          <w:lang w:bidi="fa-IR"/>
        </w:rPr>
        <w:t>شیعه، در استدلال دیگر به این سخن رسول خدا صلی اللَّه علیه وآله استدلال می‌کند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مدینة العلم وعلی بابها، فمن أراد المدینة فلیأتها من بابها؛</w:t>
      </w:r>
    </w:p>
    <w:p>
      <w:pPr>
        <w:pStyle w:val="BookText"/>
        <w:rPr/>
      </w:pPr>
      <w:r>
        <w:rPr>
          <w:rFonts w:ascii="IRNazanin" w:hAnsi="IRNazanin" w:eastAsia="IRNazanin"/>
          <w:color w:val="111111"/>
          <w:sz w:val="28"/>
          <w:sz w:val="28"/>
          <w:szCs w:val="28"/>
          <w:rtl w:val="true"/>
          <w:lang w:bidi="fa-IR"/>
        </w:rPr>
        <w:t>من شهر علم هستم و علی دروازه آن است؛ پس هر کس بخواهد وارد این شهر شود باید از دروازه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اهل سنّت به این استدلال اعتراض می‌کنند و می‌گویند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به پیامبر خدا صلی اللَّه علیه وآله دروغ بسته‌اند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شیعه در پاسخ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و فلانی و … از برخی علمای اهل سنّت آن را نقل کرده </w:t>
      </w:r>
      <w:r>
        <w:rPr>
          <w:rStyle w:val="FootnoteAnchor"/>
          <w:rtl w:val="true"/>
        </w:rPr>
        <w:footnoteReference w:id="71"/>
      </w:r>
      <w:r>
        <w:rPr>
          <w:rFonts w:ascii="IRNazanin" w:hAnsi="IRNazanin" w:eastAsia="IRNazanin"/>
          <w:color w:val="111111"/>
          <w:sz w:val="28"/>
          <w:sz w:val="28"/>
          <w:szCs w:val="28"/>
          <w:rtl w:val="true"/>
          <w:lang w:bidi="fa-IR"/>
        </w:rPr>
        <w:t>و فلانی و فلانی و … آن را صحیح</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ممکن است طرف مقابل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 نیز دروازه‌های شهر علم هستند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اما شیعی در پاسخ او در پرتو کتاب‌های اهل سنّت جهل و نادانی ابوبکر، عمر و عثمان را ثابت می‌کند که آن‌ها از ساده‌ترین مسائل دینی</w:t>
      </w:r>
      <w:bookmarkStart w:id="117" w:name="pg16793_203759"/>
    </w:p>
    <w:p>
      <w:pPr>
        <w:pStyle w:val="BookText"/>
        <w:rPr/>
      </w:pPr>
      <w:bookmarkEnd w:id="11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نیز بی‌اطلاع بوده‌اند تا جایی که اصحابِ نادانی چون مغیرة بن شعبه و دیگران، آن‌ها را با مسائل مذکور آشنا کرده‌اند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ممکن است در این موقع برخی از اهل سنّت ناچار باشند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مذکور،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صفت دروازه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در پاسخ او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تن از علمای اهل تسنّن، دیدگاه فوق را تقبیح نموده و تعدادی نیز به تمسخر آن پرداخته‌اند … </w:t>
      </w:r>
      <w:r>
        <w:rPr>
          <w:rStyle w:val="FootnoteAnchor"/>
          <w:rtl w:val="true"/>
        </w:rPr>
        <w:footnoteReference w:id="76"/>
      </w:r>
    </w:p>
    <w:p>
      <w:pPr>
        <w:pStyle w:val="Heading4"/>
        <w:numPr>
          <w:ilvl w:val="3"/>
          <w:numId w:val="1"/>
        </w:numPr>
        <w:rPr/>
      </w:pPr>
      <w:bookmarkStart w:id="118" w:name="__RefHeading___Toc9842860_73709187"/>
      <w:bookmarkStart w:id="119" w:name="_Toc44"/>
      <w:bookmarkEnd w:id="118"/>
      <w:r>
        <w:rPr>
          <w:rtl w:val="true"/>
        </w:rPr>
        <w:t xml:space="preserve">استدلال به حدیث </w:t>
      </w:r>
      <w:r>
        <w:rPr>
          <w:rtl w:val="true"/>
        </w:rPr>
        <w:t>«</w:t>
      </w:r>
      <w:r>
        <w:rPr>
          <w:rtl w:val="true"/>
        </w:rPr>
        <w:t>طیر</w:t>
      </w:r>
      <w:r>
        <w:rPr>
          <w:rtl w:val="true"/>
        </w:rPr>
        <w:t>» …</w:t>
      </w:r>
      <w:bookmarkEnd w:id="119"/>
    </w:p>
    <w:p>
      <w:pPr>
        <w:pStyle w:val="BookText"/>
        <w:rPr/>
      </w:pPr>
      <w:r>
        <w:rPr>
          <w:rFonts w:ascii="IRNazanin" w:hAnsi="IRNazanin" w:eastAsia="IRNazanin"/>
          <w:color w:val="111111"/>
          <w:sz w:val="28"/>
          <w:sz w:val="28"/>
          <w:szCs w:val="28"/>
          <w:rtl w:val="true"/>
          <w:lang w:bidi="fa-IR"/>
        </w:rPr>
        <w:t>شیعه در استدلال دیگر، به حدیث طیر اشاره می‌کند و می‌گوید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پیامبر اکرم صلی اللَّه علیه وآله پرنده بریانی را آوردند تا میل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اللهم ائتنی بأحب خلقک إلیک وإلی رسولک یأکل معی من هذا الطیر؛</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فرد برای خود و رسولت را بفرست تا همراه من از این پرنده تناول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اندکی حضرت علی علیه السلام آمد و همراه پیامبر اکرم صلی اللَّه علیه وآله از آن پرنده 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تشویش و اضطراب بزرگان اهل سنّت در مقام پاسخ‌گویی به این استدلال شیعه توجه کنید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اهل سنّت، ادعای دروغ و جعلی بودن این حدیث را مطرح کرده است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اما باید گفت که تعدادی از پیشوایان بزرگ اهل سنّت، این حدیث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سندهای فراوان و راویان مورد اعتماد بهره می‌برد و علمای جرح و تعدیل اهل سنّت، موردِ اعتماد بودنِ آن‌ها را تأکید کرده‌اند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عالمان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این حدیث صحیح که به صراحت، برتری امیر مؤمنان علی علیه السلام را مورد تأکید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دامن احتمالات توخالی و دلایل بی‌ارزش شده و 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دعای پیامبر صلی اللَّه علیه وآله از آن رو بوده که تنهایی غذا خوردن را دوست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علی علیه السلام، تنها در تناول غذا، محبوب‌ترین فرد برای خدا و رسول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مقصود پیامبر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فرد برای خود و رسولت را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بفرست که جزء محبوب‌ترین انسان‌ها برای تو و رسولت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احتمالات ادامه می‌یابد و سرانجام احتمال آخر این گونه مطرح می‌گردد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دارد ابوبکر و عمر در آن موقع، در مدینه منوّره حضور نداشته‌اند</w:t>
      </w:r>
      <w:r>
        <w:rPr>
          <w:rFonts w:eastAsia="IRNazanin" w:cs="IRNazanin"/>
          <w:color w:val="111111"/>
          <w:sz w:val="28"/>
          <w:szCs w:val="28"/>
          <w:rtl w:val="true"/>
          <w:lang w:bidi="fa-IR"/>
        </w:rPr>
        <w:t>!!</w:t>
      </w:r>
      <w:bookmarkStart w:id="120" w:name="pg16793_203762"/>
    </w:p>
    <w:p>
      <w:pPr>
        <w:pStyle w:val="BookText"/>
        <w:rPr/>
      </w:pPr>
      <w:bookmarkEnd w:id="12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Heading3"/>
        <w:numPr>
          <w:ilvl w:val="2"/>
          <w:numId w:val="1"/>
        </w:numPr>
        <w:rPr/>
      </w:pPr>
      <w:bookmarkStart w:id="121" w:name="__RefHeading___Toc9842862_73709187"/>
      <w:bookmarkStart w:id="122" w:name="_Toc45"/>
      <w:bookmarkEnd w:id="121"/>
      <w:r>
        <w:rPr>
          <w:rtl w:val="true"/>
        </w:rPr>
        <w:t>موضع شیعه در برابر هجوم مخالفان …</w:t>
      </w:r>
      <w:bookmarkEnd w:id="122"/>
    </w:p>
    <w:p>
      <w:pPr>
        <w:pStyle w:val="Heading4"/>
        <w:numPr>
          <w:ilvl w:val="3"/>
          <w:numId w:val="1"/>
        </w:numPr>
        <w:rPr/>
      </w:pPr>
      <w:bookmarkStart w:id="123" w:name="__RefHeading___Toc9842864_73709187"/>
      <w:bookmarkStart w:id="124" w:name="_Toc46"/>
      <w:bookmarkEnd w:id="123"/>
      <w:r>
        <w:rPr>
          <w:rtl w:val="true"/>
        </w:rPr>
        <w:t>اشارة</w:t>
      </w:r>
      <w:bookmarkEnd w:id="124"/>
    </w:p>
    <w:p>
      <w:pPr>
        <w:pStyle w:val="BookText"/>
        <w:rPr/>
      </w:pPr>
      <w:r>
        <w:rPr>
          <w:rFonts w:ascii="IRNazanin" w:hAnsi="IRNazanin" w:eastAsia="IRNazanin"/>
          <w:color w:val="111111"/>
          <w:sz w:val="28"/>
          <w:sz w:val="28"/>
          <w:szCs w:val="28"/>
          <w:rtl w:val="true"/>
          <w:lang w:bidi="fa-IR"/>
        </w:rPr>
        <w:t>همان گونه که پیش‌تر اشاره شد، شیعه امامیه اثناعشریه کتاب‌هایی را در زمینه اصول دین؛ به ویژه در امامت به رشته تحریر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فعالیت علمای شیعه را در نگارش این کتاب‌ها می‌توان به دو بخش، تقسیم کرد</w:t>
      </w:r>
      <w:r>
        <w:rPr>
          <w:rFonts w:eastAsia="IRNazanin" w:cs="IRNazanin"/>
          <w:color w:val="111111"/>
          <w:sz w:val="28"/>
          <w:szCs w:val="28"/>
          <w:rtl w:val="true"/>
          <w:lang w:bidi="fa-IR"/>
        </w:rPr>
        <w:t>:</w:t>
      </w:r>
    </w:p>
    <w:p>
      <w:pPr>
        <w:pStyle w:val="Heading4"/>
        <w:numPr>
          <w:ilvl w:val="3"/>
          <w:numId w:val="1"/>
        </w:numPr>
        <w:rPr/>
      </w:pPr>
      <w:bookmarkStart w:id="125" w:name="__RefHeading___Toc9842866_73709187"/>
      <w:bookmarkStart w:id="126" w:name="_Toc47"/>
      <w:bookmarkEnd w:id="125"/>
      <w:r>
        <w:rPr/>
        <w:t>1</w:t>
      </w:r>
      <w:r>
        <w:rPr>
          <w:rtl w:val="true"/>
        </w:rPr>
        <w:t xml:space="preserve">. </w:t>
      </w:r>
      <w:r>
        <w:rPr>
          <w:rtl w:val="true"/>
        </w:rPr>
        <w:t>نگارش کتاب‌های استدلالی …</w:t>
      </w:r>
      <w:bookmarkEnd w:id="126"/>
    </w:p>
    <w:p>
      <w:pPr>
        <w:pStyle w:val="BookText"/>
        <w:rPr/>
      </w:pPr>
      <w:r>
        <w:rPr>
          <w:rFonts w:ascii="IRNazanin" w:hAnsi="IRNazanin" w:eastAsia="IRNazanin"/>
          <w:color w:val="111111"/>
          <w:sz w:val="28"/>
          <w:sz w:val="28"/>
          <w:szCs w:val="28"/>
          <w:rtl w:val="true"/>
          <w:lang w:bidi="fa-IR"/>
        </w:rPr>
        <w:t>علمای شیعه به منظور اثبات استدلالیِ اصول دین و به ویژه امامت، کتاب‌هایی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کتاب‌ها عقاید شیعه و ادلّه آن مورد اشاره قرار گرفته و گاه با عقاید دیگر فرقه‌های اسلامی، مقایسه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کتاب‌ها می‌توان به موارد ذیل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شیخ مفید بغدادی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الذخیرة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سید مرتضی موسوی بغدادی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الإقتصاد الهادی إلی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ابوجعفر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شیخ نصیرالدین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کتاب‌های علّامه حلّی رحمه اللَّه همانند کتاب نهج الحقّ وکشف الصّدق که به تفصیل درباره آن سخن خواهیم گفت</w:t>
      </w:r>
      <w:r>
        <w:rPr>
          <w:rFonts w:eastAsia="IRNazanin" w:cs="IRNazanin"/>
          <w:color w:val="111111"/>
          <w:sz w:val="28"/>
          <w:szCs w:val="28"/>
          <w:rtl w:val="true"/>
          <w:lang w:bidi="fa-IR"/>
        </w:rPr>
        <w:t>.</w:t>
      </w:r>
    </w:p>
    <w:p>
      <w:pPr>
        <w:pStyle w:val="Heading4"/>
        <w:numPr>
          <w:ilvl w:val="3"/>
          <w:numId w:val="1"/>
        </w:numPr>
        <w:rPr/>
      </w:pPr>
      <w:bookmarkStart w:id="127" w:name="__RefHeading___Toc9842868_73709187"/>
      <w:bookmarkStart w:id="128" w:name="_Toc48"/>
      <w:bookmarkEnd w:id="127"/>
      <w:r>
        <w:rPr/>
        <w:t>2</w:t>
      </w:r>
      <w:r>
        <w:rPr>
          <w:rtl w:val="true"/>
        </w:rPr>
        <w:t xml:space="preserve">. </w:t>
      </w:r>
      <w:r>
        <w:rPr>
          <w:rtl w:val="true"/>
        </w:rPr>
        <w:t>نگارش کتاب‌هایی در رد مخالفان …</w:t>
      </w:r>
      <w:bookmarkEnd w:id="12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شیعه در مقام پاسخ گویی یا نقض کتاب‌های ضدّ شیعی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مخالفان نیز کتاب‌هایی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این بخش از کتاب‌های علمای شیعه، افزون‌تر از کتاب‌های بخش نخست است؛ چرا که مخالفان شیعه از زمان‌های دور، از روی لجاجت و انکار حقایق، عقاید شیعه را با فحش و ناسزاهای خود، مورد حمله قرار داده و در این راه از هیچ تلاشی فروگذار نکرده‌اند …</w:t>
      </w:r>
    </w:p>
    <w:p>
      <w:pPr>
        <w:pStyle w:val="BookText"/>
        <w:rPr/>
      </w:pPr>
      <w:r>
        <w:rPr>
          <w:rFonts w:ascii="IRNazanin" w:hAnsi="IRNazanin" w:eastAsia="IRNazanin"/>
          <w:color w:val="111111"/>
          <w:sz w:val="28"/>
          <w:sz w:val="28"/>
          <w:szCs w:val="28"/>
          <w:rtl w:val="true"/>
          <w:lang w:bidi="fa-IR"/>
        </w:rPr>
        <w:t>برای نمونه پیامبر خدا صلی اللَّه علیه وآله در حدیثی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أهل بیتی فیکم کمثل سفینة نوح، من رکبها نجا ومن تخلّف عنها هلک؛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اهل بیت من در میان شما هم‌چون کشتی نوح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سوار آن شود نجات می‌یابد و هر کس از آن روی گرداند هلاک می‌شود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اهل سنّت به راحتی این حدیث را انکار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دروغ و جعلی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هم‌چنین پیامبر اکرم صلی اللَّه علیه وآله در حدیث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خلقت أنا وعلی من نور واحد؛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من و علی از یک نور، آفریده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اهل سنّت به آسانی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به اجماع اهل سنّت، جعلی و ساختگی است … </w:t>
      </w:r>
      <w:r>
        <w:rPr>
          <w:rStyle w:val="FootnoteAnchor"/>
          <w:rtl w:val="true"/>
        </w:rPr>
        <w:footnoteReference w:id="82"/>
      </w:r>
      <w:r>
        <w:rPr>
          <w:rFonts w:ascii="IRNazanin" w:hAnsi="IRNazanin" w:eastAsia="IRNazanin"/>
          <w:color w:val="111111"/>
          <w:sz w:val="28"/>
          <w:sz w:val="28"/>
          <w:szCs w:val="28"/>
          <w:rtl w:val="true"/>
          <w:lang w:bidi="fa-IR"/>
        </w:rPr>
        <w:t>هم‌چنین پیش‌تر گذشت که پیامبر خدا صلی اللَّه علیه وآله در حدیثی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ائتنی بأحب خلقک إلیک وإلی رسولک …؛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فرد برای تو و رسولت را بفرست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راحتی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نویسندگان صحاح این حدیث را نقل ننموده و ائمه حدیث نیز، صحّت آن را تأیید نکرده‌اند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هم‌چنین آنان به آسانی می‌توانند در مورد حدیث غدیر </w:t>
      </w:r>
      <w:r>
        <w:rPr>
          <w:rStyle w:val="FootnoteAnchor"/>
          <w:rtl w:val="true"/>
        </w:rPr>
        <w:footnoteReference w:id="85"/>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هیچ یک از ائمه،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نمونه دیگر حدیث ثقلین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ارزشمند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 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حبل ممدود من السماء إلی الأرض، وعترتی أهل بیتی، وإنّهما لن یفترقا حتّی یردا علَیَّ الحوض؛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من دو چیز گرانبها را در میان شما باقی می‌گذارم که یکی از دیگری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که هم‌چون ریسمانی از آسمان به سوی زمین کشیده شده است و عترتم اهل بیتم، این دو هیچ گاه از هم جدا نمی‌شوند تا این که در کنار حوض بر من وارد شوند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اهل سنّت به راحتی این حدیث را تغییر داده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خدا و سنّتم</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پیامبر خدا صلی اللَّه علیه وآله در حدیث بستن درها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امرت بسدّ الأبواب إلّاباب علی؛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خداوند به من فرمان داد تا همه درها را ببندم به جز در خانه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به آسانی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از آنِ ابوبکر است، امّا شیعیان آن را به نفع علی تغییر داده‌اند</w:t>
      </w:r>
      <w:r>
        <w:rPr>
          <w:rFonts w:eastAsia="IRNazanin" w:cs="IRNazanin"/>
          <w:color w:val="111111"/>
          <w:sz w:val="28"/>
          <w:szCs w:val="28"/>
          <w:rtl w:val="true"/>
          <w:lang w:bidi="fa-IR"/>
        </w:rPr>
        <w:t xml:space="preserve">! … </w:t>
      </w:r>
      <w:r>
        <w:rPr>
          <w:rStyle w:val="FootnoteAnchor"/>
          <w:rtl w:val="true"/>
        </w:rPr>
        <w:footnoteReference w:id="90"/>
      </w:r>
      <w:r>
        <w:rPr>
          <w:rFonts w:ascii="IRNazanin" w:hAnsi="IRNazanin" w:eastAsia="IRNazanin"/>
          <w:color w:val="111111"/>
          <w:sz w:val="28"/>
          <w:sz w:val="28"/>
          <w:szCs w:val="28"/>
          <w:rtl w:val="true"/>
          <w:lang w:bidi="fa-IR"/>
        </w:rPr>
        <w:t>پیامبر خدا صلی اللَّه علیه وآله در حدیث منزلت به 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ترضی أن تکون منّی بمنزلة هارون من موسی؛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آیا خشنود نیستی که برای من، هم‌چون هارون برای موسی باشی؟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اهل سنّت به راحتی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بر عموم منزلت دلالت نمی‌کند</w:t>
      </w:r>
      <w:r>
        <w:rPr>
          <w:rFonts w:eastAsia="IRNazanin" w:cs="IRNazanin"/>
          <w:color w:val="111111"/>
          <w:sz w:val="28"/>
          <w:szCs w:val="28"/>
          <w:rtl w:val="true"/>
          <w:lang w:bidi="fa-IR"/>
        </w:rPr>
        <w:t xml:space="preserve">. </w:t>
      </w:r>
      <w:r>
        <w:rPr>
          <w:rStyle w:val="FootnoteAnchor"/>
          <w:rtl w:val="true"/>
        </w:rPr>
        <w:footnoteReference w:id="92"/>
      </w:r>
      <w:bookmarkStart w:id="129" w:name="pg16793_203767"/>
    </w:p>
    <w:p>
      <w:pPr>
        <w:pStyle w:val="BookText"/>
        <w:rPr/>
      </w:pPr>
      <w:bookmarkEnd w:id="12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روشن است که هر یک از گفته‌های مذکور، از یک یا دو خطّ فراتر نمی‌رود، امّا چنان که پیداست، پاسخ گویی به آن‌ها، مباحثات فراوانی را می‌طلبد و چه بسا به یک کتاب مستقل نیاز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روست که تألیفات امامیّه در پاسخ گویی و نقض شبهات مخالفان، فراوان شده است و علمای شیعه غالباً در مقام دفاع از مبانی مذهب جعفری و اصول دین هستند و چه بسا هیچ کتابی را نیابیم که نوشتن آن به منظور حمله به مخالفان صورت گرفته باشد</w:t>
      </w:r>
      <w:r>
        <w:rPr>
          <w:rFonts w:eastAsia="IRNazanin" w:cs="IRNazanin"/>
          <w:color w:val="111111"/>
          <w:sz w:val="28"/>
          <w:szCs w:val="28"/>
          <w:rtl w:val="true"/>
          <w:lang w:bidi="fa-IR"/>
        </w:rPr>
        <w:t>.</w:t>
      </w:r>
    </w:p>
    <w:p>
      <w:pPr>
        <w:pStyle w:val="Heading4"/>
        <w:numPr>
          <w:ilvl w:val="3"/>
          <w:numId w:val="1"/>
        </w:numPr>
        <w:rPr/>
      </w:pPr>
      <w:bookmarkStart w:id="130" w:name="__RefHeading___Toc9842870_73709187"/>
      <w:bookmarkStart w:id="131" w:name="_Toc49"/>
      <w:bookmarkEnd w:id="130"/>
      <w:r>
        <w:rPr>
          <w:rtl w:val="true"/>
        </w:rPr>
        <w:t>جاحظ و سید بن طاووس …</w:t>
      </w:r>
      <w:bookmarkEnd w:id="13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جاحظ، متوفّای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کتاب عثمانیه را در حمله به شیعه تألیف کرد و آن را از دروغ، انکار ضروریّات و ردّ بدیهیات پر کرد تا جایی که کوشید شجاعت امیر مؤمنان علی علیه السلام را نیز انکار کند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مسعودی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جاحظ از نگارش این کتاب میراندن حق و مخالفت با اهل حق بود، اما خداوند نور خود را کامل می‌کند، هر چند کفرورزان را خوش نیاید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اما خود جاحظ بعدها به نقض کتاب خود پرداخت و نخستین</w:t>
      </w:r>
      <w:bookmarkStart w:id="132" w:name="pg16793_203768"/>
    </w:p>
    <w:p>
      <w:pPr>
        <w:pStyle w:val="BookText"/>
        <w:rPr/>
      </w:pPr>
      <w:bookmarkEnd w:id="13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کسی بود که در مقام پاسخ گویی به کتاب عثمانیه برآمد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پس از او گروهی از علمای امامیّه و دیگران در پاسخ به کتاب عثمانیّه، به نگارش پژوهش‌هایی پرداختند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علما می‌توان ابوجعفر اسکافی معتزلی، متوفّای سال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مسعودی نگارنده مروج الذّهب، متوفّای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جمال الدین ابن طاووس حلّی، متوفّای 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چاپ شده بناء المقالة الفاطمیه را نام برد</w:t>
      </w:r>
      <w:r>
        <w:rPr>
          <w:rFonts w:eastAsia="IRNazanin" w:cs="IRNazanin"/>
          <w:color w:val="111111"/>
          <w:sz w:val="28"/>
          <w:szCs w:val="28"/>
          <w:rtl w:val="true"/>
          <w:lang w:bidi="fa-IR"/>
        </w:rPr>
        <w:t>.</w:t>
      </w:r>
    </w:p>
    <w:p>
      <w:pPr>
        <w:pStyle w:val="Heading4"/>
        <w:numPr>
          <w:ilvl w:val="3"/>
          <w:numId w:val="1"/>
        </w:numPr>
        <w:rPr/>
      </w:pPr>
      <w:bookmarkStart w:id="133" w:name="__RefHeading___Toc9842872_73709187"/>
      <w:bookmarkStart w:id="134" w:name="_Toc50"/>
      <w:bookmarkEnd w:id="133"/>
      <w:r>
        <w:rPr>
          <w:rtl w:val="true"/>
        </w:rPr>
        <w:t>قاضی عبدالجبّار و سید مرتضی …</w:t>
      </w:r>
      <w:bookmarkEnd w:id="134"/>
    </w:p>
    <w:p>
      <w:pPr>
        <w:pStyle w:val="BookText"/>
        <w:rPr/>
      </w:pPr>
      <w:r>
        <w:rPr>
          <w:rFonts w:ascii="IRNazanin" w:hAnsi="IRNazanin" w:eastAsia="IRNazanin"/>
          <w:color w:val="111111"/>
          <w:sz w:val="28"/>
          <w:sz w:val="28"/>
          <w:szCs w:val="28"/>
          <w:rtl w:val="true"/>
          <w:lang w:bidi="fa-IR"/>
        </w:rPr>
        <w:t xml:space="preserve">قاضی عبدالجبّار بن احمد معتزلی، متوفای سال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نیز کتاب المغنی را به رشته تحریر درآورد و طی آن به ردّ و نقد عقاید امامیّه به ویژه در بخش امامت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کتاب الشافی آمده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عبدالجبّار در کتاب المغنی جمع آوری شبهات را به اوج رساند و استدلال‌های مستحکم مورد استناد شیوخ خود را نقل کرد؛ وی به اجتهاد خود، مقداری بر استدلال‌های مذکور افزود و به ابتکار</w:t>
      </w:r>
      <w:bookmarkStart w:id="135" w:name="pg16793_203769"/>
    </w:p>
    <w:p>
      <w:pPr>
        <w:pStyle w:val="BookText"/>
        <w:rPr/>
      </w:pPr>
      <w:bookmarkEnd w:id="13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خود به جرح و تعدیل برخی مواضع پرداخت</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سیّد مرتضی، متوفّای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پاسخ به قاضی عبدالجبّار، کتاب الشافی فی الإمامه را به رشته تحریر درآورد؛ بعدها شیخ ابوجعفر طوسی، شاگرد سیّد مرتضی و متوفّای سال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کتاب استادش را خلاصه نویسی کرد که این کتاب با نام تلخیص الشافی شهرت یافت</w:t>
      </w:r>
      <w:r>
        <w:rPr>
          <w:rFonts w:eastAsia="IRNazanin" w:cs="IRNazanin"/>
          <w:color w:val="111111"/>
          <w:sz w:val="28"/>
          <w:szCs w:val="28"/>
          <w:rtl w:val="true"/>
          <w:lang w:bidi="fa-IR"/>
        </w:rPr>
        <w:t>.</w:t>
      </w:r>
    </w:p>
    <w:p>
      <w:pPr>
        <w:pStyle w:val="Heading4"/>
        <w:numPr>
          <w:ilvl w:val="3"/>
          <w:numId w:val="1"/>
        </w:numPr>
        <w:rPr/>
      </w:pPr>
      <w:bookmarkStart w:id="136" w:name="__RefHeading___Toc9842874_73709187"/>
      <w:bookmarkStart w:id="137" w:name="_Toc51"/>
      <w:bookmarkEnd w:id="136"/>
      <w:r>
        <w:rPr>
          <w:rtl w:val="true"/>
        </w:rPr>
        <w:t>شهاب الدین شافعی و شیخ نصیرالدین قزوینی …</w:t>
      </w:r>
      <w:bookmarkEnd w:id="137"/>
    </w:p>
    <w:p>
      <w:pPr>
        <w:pStyle w:val="BookText"/>
        <w:rPr/>
      </w:pPr>
      <w:r>
        <w:rPr>
          <w:rFonts w:ascii="IRNazanin" w:hAnsi="IRNazanin" w:eastAsia="IRNazanin"/>
          <w:color w:val="111111"/>
          <w:sz w:val="28"/>
          <w:sz w:val="28"/>
          <w:szCs w:val="28"/>
          <w:rtl w:val="true"/>
          <w:lang w:bidi="fa-IR"/>
        </w:rPr>
        <w:t>شهاب الدین شافعی حنفی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مشّاط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کتابی به نام بعض فضائح الروافض را تألیف کرد و طی آن، تشیّع را مورد حمله قرار داد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شیخ نصیرالدین عبدالجلیل بن یوسف ابوالحسن قزوینی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عصر شهاب الدین شافعی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وی، کتاب مثالب النّواصب فی نقض بعض فضائح الروافض را به رشته تحریر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این کتاب به چاپ رسیده است</w:t>
      </w:r>
      <w:r>
        <w:rPr>
          <w:rFonts w:eastAsia="IRNazanin" w:cs="IRNazanin"/>
          <w:color w:val="111111"/>
          <w:sz w:val="28"/>
          <w:szCs w:val="28"/>
          <w:rtl w:val="true"/>
          <w:lang w:bidi="fa-IR"/>
        </w:rPr>
        <w:t>.</w:t>
      </w:r>
      <w:bookmarkStart w:id="138" w:name="pg16793_203770"/>
    </w:p>
    <w:p>
      <w:pPr>
        <w:pStyle w:val="BookText"/>
        <w:rPr/>
      </w:pPr>
      <w:bookmarkEnd w:id="13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Heading4"/>
        <w:numPr>
          <w:ilvl w:val="3"/>
          <w:numId w:val="1"/>
        </w:numPr>
        <w:rPr/>
      </w:pPr>
      <w:bookmarkStart w:id="139" w:name="__RefHeading___Toc9842876_73709187"/>
      <w:bookmarkStart w:id="140" w:name="_Toc52"/>
      <w:bookmarkEnd w:id="139"/>
      <w:r>
        <w:rPr>
          <w:rtl w:val="true"/>
        </w:rPr>
        <w:t>ابن تیمیّه حرّانی و پاسخ به دیدگاه او …</w:t>
      </w:r>
      <w:bookmarkEnd w:id="140"/>
    </w:p>
    <w:p>
      <w:pPr>
        <w:pStyle w:val="BookText"/>
        <w:rPr/>
      </w:pPr>
      <w:r>
        <w:rPr>
          <w:rFonts w:ascii="IRNazanin" w:hAnsi="IRNazanin" w:eastAsia="IRNazanin"/>
          <w:color w:val="111111"/>
          <w:sz w:val="28"/>
          <w:sz w:val="28"/>
          <w:szCs w:val="28"/>
          <w:rtl w:val="true"/>
          <w:lang w:bidi="fa-IR"/>
        </w:rPr>
        <w:t>بعدها احمد بن عبدالحلیم حرّانی ابن تیمیّه، کتاب منهاج السُنّه را تألیف و ادّعا نمود که این کتاب را در پاسخ به کتاب منهاج الکرامه اثر علّامه حلّی رحمه اللَّه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گفت که کتاب ابن تیمیّه از آغاز تا پایان، از ناسزا و افترا مملو است و در مجموع، دشمنی با امیر مؤمنان علی علیه السلام و اهل بیت علیهم السلام در آن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معاصرین ابن تیمیّه در پاسخ به او، کتاب الإنصاف والإنتصاف لأهل الحقّ من أهل الإسراف را به سال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مهدی قزوینی، درگذشته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نیز کتاب منهاج الشریعه را در پاسخ به کتاب ابن تیمیّه تألیف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نیز در این زمینه، کتاب دراسات فی منهاج السنّة را نگاشته‌ام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وزین به چاپ رسیده است و در کشورهای دیگر در دست‌رس همگان قرار 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کتاب شرح منهاج الکرامة را نیز در پاسخ به منهاج السنّة به رشته تحریر درآورده‌ام که جلد اوّل آن به چاپ رسیده است</w:t>
      </w:r>
      <w:r>
        <w:rPr>
          <w:rFonts w:eastAsia="IRNazanin" w:cs="IRNazanin"/>
          <w:color w:val="111111"/>
          <w:sz w:val="28"/>
          <w:szCs w:val="28"/>
          <w:rtl w:val="true"/>
          <w:lang w:bidi="fa-IR"/>
        </w:rPr>
        <w:t>.</w:t>
      </w:r>
      <w:bookmarkStart w:id="141" w:name="pg16793_203771"/>
    </w:p>
    <w:p>
      <w:pPr>
        <w:pStyle w:val="BookText"/>
        <w:rPr/>
      </w:pPr>
      <w:bookmarkEnd w:id="14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Heading4"/>
        <w:numPr>
          <w:ilvl w:val="3"/>
          <w:numId w:val="1"/>
        </w:numPr>
        <w:rPr/>
      </w:pPr>
      <w:bookmarkStart w:id="142" w:name="__RefHeading___Toc9842878_73709187"/>
      <w:bookmarkStart w:id="143" w:name="_Toc53"/>
      <w:bookmarkEnd w:id="142"/>
      <w:r>
        <w:rPr>
          <w:rtl w:val="true"/>
        </w:rPr>
        <w:t>یوسف اعور واسطی و شیخ عزّ الدین حلّی …</w:t>
      </w:r>
      <w:bookmarkEnd w:id="143"/>
    </w:p>
    <w:p>
      <w:pPr>
        <w:pStyle w:val="BookText"/>
        <w:rPr/>
      </w:pPr>
      <w:r>
        <w:rPr>
          <w:rFonts w:ascii="IRNazanin" w:hAnsi="IRNazanin" w:eastAsia="IRNazanin"/>
          <w:color w:val="111111"/>
          <w:sz w:val="28"/>
          <w:sz w:val="28"/>
          <w:szCs w:val="28"/>
          <w:rtl w:val="true"/>
          <w:lang w:bidi="fa-IR"/>
        </w:rPr>
        <w:t>یوسف اعور واسطی شافعی نیز کتاب الرّسالة المعارضة فی الرّد علی الرافضه را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عزّ الدین حسن بن شمس الدّین مهلّبی حلّی در سال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 کتاب الأنوار البدریة فی کشف شبه القدریه را در پاسخ به کتاب یوسف اعور،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این کتاب، تنها به آن بخش از احادیث نبوی استناد کرده‌ام که توسّط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ثبوت رسیده است و از روش بحث و شیوه این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الرّسالة المعارضة فی الرّد علی الرافضه پرهیز نموده‌ام</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شیخ نجم الدّین خضر بن محمّد حبلرودی رازی نیز در پاسخ به کتاب یوسف اعور، کتاب التوضیح الأنور فی دفع شبه الأعور را به سال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حلّه عراق، به رشته تحریر درآورده است</w:t>
      </w:r>
      <w:r>
        <w:rPr>
          <w:rFonts w:eastAsia="IRNazanin" w:cs="IRNazanin"/>
          <w:color w:val="111111"/>
          <w:sz w:val="28"/>
          <w:szCs w:val="28"/>
          <w:rtl w:val="true"/>
          <w:lang w:bidi="fa-IR"/>
        </w:rPr>
        <w:t>.</w:t>
      </w:r>
    </w:p>
    <w:p>
      <w:pPr>
        <w:pStyle w:val="Heading4"/>
        <w:numPr>
          <w:ilvl w:val="3"/>
          <w:numId w:val="1"/>
        </w:numPr>
        <w:rPr/>
      </w:pPr>
      <w:bookmarkStart w:id="144" w:name="__RefHeading___Toc9842880_73709187"/>
      <w:bookmarkStart w:id="145" w:name="_Toc54"/>
      <w:bookmarkEnd w:id="144"/>
      <w:r>
        <w:rPr>
          <w:rtl w:val="true"/>
        </w:rPr>
        <w:t>ابن حجر هیتمی مکّی و قاضی نور اللَّه شوشتری …</w:t>
      </w:r>
      <w:bookmarkEnd w:id="14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هیتمی مکّی، متوفای سال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کتاب الصواعق المحرقة فی الرّد علی أهل البدع والزندقه را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این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کتاب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از من خواستند تا کتابی در اثبات صحّت خلافت ابوبکر صدّیق و امارت عمر بن خطّاب، بنویسم؛ من نیز در راستای خدمت‌گزاری هر چه سریع‌تر به ایشان، به این درخواست پاسخ دادم و به حمد اللَّه، کتابی را تألیف کردم که الگویی دلنشین، روشی گران قدر و راهی استوار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من خواستند تا به جهت فزونی شیعیان، رافضی‌ها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در مکّه مکرّمه گران قدرترین سرزمین اسلامی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فوق را در رمضان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قرائت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درخواست آن‌ها را اجابت نمودم به این امید که برخی گمراه شدگان از روشن‌ترین راه، هدایت یابند … </w:t>
      </w:r>
      <w:r>
        <w:rPr>
          <w:rStyle w:val="FootnoteAnchor"/>
          <w:rtl w:val="true"/>
        </w:rPr>
        <w:footnoteReference w:id="99"/>
      </w:r>
      <w:r>
        <w:rPr>
          <w:rFonts w:ascii="IRNazanin" w:hAnsi="IRNazanin" w:eastAsia="IRNazanin"/>
          <w:color w:val="111111"/>
          <w:sz w:val="28"/>
          <w:sz w:val="28"/>
          <w:szCs w:val="28"/>
          <w:rtl w:val="true"/>
          <w:lang w:bidi="fa-IR"/>
        </w:rPr>
        <w:t xml:space="preserve">قاضی نور اللَّه شوشتری که به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به شهادت رسید در مقام پاسخ گویی به ابن حجر، کتاب الصوارم المهرقة فی الردّ علی الصواعق المحرقه را تألیف نمود که تا کنون چندین بار به چاپ رسیده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به نام محمّد نصر اللَّه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ناشناخته و احتمال دارد مستعار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الصواقع الموبقة را به رشته تحریر درآورد</w:t>
      </w:r>
      <w:r>
        <w:rPr>
          <w:rFonts w:eastAsia="IRNazanin" w:cs="IRNazanin"/>
          <w:color w:val="111111"/>
          <w:sz w:val="28"/>
          <w:szCs w:val="28"/>
          <w:rtl w:val="true"/>
          <w:lang w:bidi="fa-IR"/>
        </w:rPr>
        <w:t>.</w:t>
      </w:r>
      <w:bookmarkStart w:id="146" w:name="pg16793_203773"/>
    </w:p>
    <w:p>
      <w:pPr>
        <w:pStyle w:val="BookText"/>
        <w:rPr/>
      </w:pPr>
      <w:bookmarkEnd w:id="14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Heading4"/>
        <w:numPr>
          <w:ilvl w:val="3"/>
          <w:numId w:val="1"/>
        </w:numPr>
        <w:rPr/>
      </w:pPr>
      <w:bookmarkStart w:id="147" w:name="__RefHeading___Toc9842882_73709187"/>
      <w:bookmarkStart w:id="148" w:name="_Toc55"/>
      <w:bookmarkEnd w:id="147"/>
      <w:r>
        <w:rPr>
          <w:rtl w:val="true"/>
        </w:rPr>
        <w:t>مولوی عبدالعزیز دهلوی و سید میر حامد حسین لکهنوی …</w:t>
      </w:r>
      <w:bookmarkEnd w:id="148"/>
    </w:p>
    <w:p>
      <w:pPr>
        <w:pStyle w:val="BookText"/>
        <w:rPr/>
      </w:pPr>
      <w:r>
        <w:rPr>
          <w:rFonts w:ascii="IRNazanin" w:hAnsi="IRNazanin" w:eastAsia="IRNazanin"/>
          <w:color w:val="111111"/>
          <w:sz w:val="28"/>
          <w:sz w:val="28"/>
          <w:szCs w:val="28"/>
          <w:rtl w:val="true"/>
          <w:lang w:bidi="fa-IR"/>
        </w:rPr>
        <w:t xml:space="preserve">آن گاه مولوی عبدالعزیز دهلوی، درگذشته سال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مطالب محمّد نصر اللَّه کابلی را اقتباس نمود و در کتاب خود به نام تحفه اثنا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زبان فارسی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وی را در پیش گرفته است … این کتاب، شیعه اثنا عشری را در زمینه های اصول، فقه و … آماج هجوم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آلوسی بغدادی، چکیده کتاب مذکور را به زبان عربی و با نام مختصر التحفة الإثنا عشریه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پیروان بنی امیّه و دشمنان دین اسلام، دروغ‌ها و یاوه‌گویی‌های خود را در قالب حواشی به این کتاب افزود و دست‌های گنهکار که از دنباله روان کفر جهانی بودند، چندین بار آن را به چاپ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بزرگ شیعه در هندوستان، کتاب‌های فراوانی را در پاسخ به ابواب مختلف تحفه اثنا عشریه به رشته تحریر در آوردند، همه ادّعاها و تحریفات این کتاب را تکذیب نموده و سخنان باطل آن را برملا ساختند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میر حامد حسین نیشابوری لکهنوی، متوفّای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بزرگ عبقات الأنوار فی إثبات إمامة الأئمّة الأطهار، به بخش امامت تحفه اثنا عشریه پاسخ داد و به بررسی و نقد آن پرداخت</w:t>
      </w:r>
      <w:r>
        <w:rPr>
          <w:rFonts w:eastAsia="IRNazanin" w:cs="IRNazanin"/>
          <w:color w:val="111111"/>
          <w:sz w:val="28"/>
          <w:szCs w:val="28"/>
          <w:rtl w:val="true"/>
          <w:lang w:bidi="fa-IR"/>
        </w:rPr>
        <w:t>.</w:t>
      </w:r>
      <w:bookmarkStart w:id="149" w:name="pg16793_203774"/>
    </w:p>
    <w:p>
      <w:pPr>
        <w:pStyle w:val="BookText"/>
        <w:rPr/>
      </w:pPr>
      <w:bookmarkEnd w:id="14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البته کتاب‌های دیگری نیز در پاسخ به مختصر التحفه به نگارش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اطلاع از جزئیات کتاب عبقات الأنوار و دیگر نقدها بر کتاب تحفه اثنا عشریه می‌توانید به کتاب دراسات فی کتاب العبقات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تألیف نگارنده، 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نگارش کتاب‌های ضد شیعی تا زمان معاصر ادامه یافته و حتی رو به فزونی نیز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سنّت هم‌چنان به تکرار ناسزاگویی‌ها، دروغ‌ها، تهمت‌ها و سخنان باطل گذشتگان خود ادامه می‌دهند و علمای امامیّه نیز به نیکویی در مقام پاسخ گویی به تهمت‌ها و دروغ‌های آنان برمی‌آیند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امامیّه هم‌چنان در موضع دفاع از مذهب خود قرار دارند و هجوم تبلیغاتی کشورهای مختلف را پاسخ می‌گویند</w:t>
      </w:r>
      <w:r>
        <w:rPr>
          <w:rFonts w:eastAsia="IRNazanin" w:cs="IRNazanin"/>
          <w:color w:val="111111"/>
          <w:sz w:val="28"/>
          <w:szCs w:val="28"/>
          <w:rtl w:val="true"/>
          <w:lang w:bidi="fa-IR"/>
        </w:rPr>
        <w:t>.</w:t>
      </w:r>
    </w:p>
    <w:p>
      <w:pPr>
        <w:pStyle w:val="Heading3"/>
        <w:numPr>
          <w:ilvl w:val="2"/>
          <w:numId w:val="1"/>
        </w:numPr>
        <w:rPr/>
      </w:pPr>
      <w:bookmarkStart w:id="150" w:name="__RefHeading___Toc9842884_73709187"/>
      <w:bookmarkStart w:id="151" w:name="_Toc56"/>
      <w:bookmarkEnd w:id="150"/>
      <w:r>
        <w:rPr>
          <w:rtl w:val="true"/>
        </w:rPr>
        <w:t>نگاهی به کتاب نهج الحقّ و کشف الصّدق …</w:t>
      </w:r>
      <w:bookmarkEnd w:id="15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پیش‌تر اشاره شد کتاب نهج الحقّ وکشف الصّدق، نوشته علّامه حلّی رحمه اللَّه، از کتاب‌های شیعی در زمینه اصول دین به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معرّفی اجمالی این کتاب می‌پردازیم تا از این طریق با موضوعات کتاب‌های شیعه و شیوه‌های علمای امامیّه در پرداختن به اصول دین،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رحمه اللَّه این کتاب را به بررسی اصولین و فقه،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مذکور، دیدگاه‌های شیعه پیرامون این علوم سه گانه را با نظرات مخالفان، مقایسه نموده است و یکی از بهترین کتاب‌های تطبیقی در میان کتاب‌های اسلامی به شمار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حلّی رحمه اللَّه در مقدّمه این کتاب می‌نویسد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این کتاب که نهج الحقّ وکشف الصّدق نام دارد، به اختصار سخن گفته و از پرگویی پرهیز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بررسی معدودی مسائل آشکار و واضح اکتفا کرده و برای مقلّدانِ وابسته به فرقه‌های ضدّ شیعی روشن ساخته‌ایم که رؤسا و مجتهدان آن‌ها، قضایای بدیهی را انکار می‌کنند، در مشاهدات حسی، لجاجت می‌ورزند، در زمره فرق سوفسطایی جای می‌گیرند و احکامی را صادر می‌کنند که هیچ عاقل اندیشمندی آن را نمی‌پسندد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آن جهت مقلدان مذکور را مورد خطاب قرار می‌دهیم که می‌دانیم منصفان آن‌ها در صورت آگاهی از مکتب مراجع تقلید خود،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از آن‌ها بیزاری جسته و راه خود را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مقلدان در صورت کسب آگاهی، به اشتباه و لغزش خود پی می‌برند و مخالفت قول و عمل خود با حق را در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توده مردم به انصاف تن در دهند، لجاجت و مخالفت را رها کنند، به اذهان سالم و خصلت پاک خود باز گردند و تقلید از نیاکان و اتّکا به سخن رؤسای دنیا طلب، لذّت پرست و بی‌اعتنا به سختی‌های جهان آخرت دست بردارند، به عدالت دست می‌یابند، به اخلاص نزدیک می‌شوند و بالاترین بهره از نجات و رهایی را از آنِ خود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توده مردم، تنها و تنها بر تقلید خود اصرار ورزند خود را به آتش دوزخ خواهند افکند و مصداق این آیه خواهند شد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تَبَرَّأَ الَّذینَ اتُّبِعُوا مِنَ الَّذینَ اتَّبَعُوا وَرَأَوُا الْعَذابَ وَتَقَطَّعَتْ بِهِمُ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هنگام پیشوایان باطل از پیروان خود بیزاری جویند؛ و عذاب خدا را مشاهده کنند و هر گونه وسیله و اسباب از آن‌ها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ما این کتاب را برای خدا، کسب ثواب و رهایی از عذاب دردناک دوزخ، به رشته تحریر در آوردیم؛ چرا که کتمان حق و ترک راهنمایی مردم، عذاب دوزخ را به ارمغان می‌آورد … </w:t>
      </w:r>
      <w:r>
        <w:rPr>
          <w:rStyle w:val="FootnoteAnchor"/>
          <w:rtl w:val="true"/>
        </w:rPr>
        <w:footnoteReference w:id="102"/>
      </w:r>
      <w:r>
        <w:rPr>
          <w:rFonts w:ascii="IRNazanin" w:hAnsi="IRNazanin" w:eastAsia="IRNazanin"/>
          <w:color w:val="111111"/>
          <w:sz w:val="28"/>
          <w:sz w:val="28"/>
          <w:szCs w:val="28"/>
          <w:rtl w:val="true"/>
          <w:lang w:bidi="fa-IR"/>
        </w:rPr>
        <w:t>عناوین مسائل کتاب نهج الحقّ وکشف الصدق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باری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مربوط به فقه</w:t>
      </w:r>
    </w:p>
    <w:p>
      <w:pPr>
        <w:pStyle w:val="BookText"/>
        <w:rPr/>
      </w:pPr>
      <w:r>
        <w:rPr>
          <w:rFonts w:ascii="IRNazanin" w:hAnsi="IRNazanin" w:eastAsia="IRNazanin"/>
          <w:color w:val="111111"/>
          <w:sz w:val="28"/>
          <w:sz w:val="28"/>
          <w:szCs w:val="28"/>
          <w:rtl w:val="true"/>
          <w:lang w:bidi="fa-IR"/>
        </w:rPr>
        <w:t>علّامه حلّی رحمه اللَّه در هر یک از فروع این مسائل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معتقدند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استدلال‌ها و نقل دیدگاه‌های دیگران، به مشهورترین و محکم‌ترین کتاب‌های اهل سنّت استناد می‌کند 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صحاح ششگانه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الجمع بین الصحیحین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الأم، شافعی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 بیهقی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مصابیح السنّة، بغوی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المغازی، واقدی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طبری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 بلاذری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الاستیعاب، ابن عبدالبرّ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إحیاءُ علوم الدین، غزّالی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قاضی عبدالجبّار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الکشّاف، زمخشری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الکبیر، رازی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رحمه اللَّه در اغلب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یا چند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و طرفداران دیگر مذاهب را مورد وعظ و نصیحت قرار می‌دهد؛ برای مثال در یکی از قسمت‌های کتاب وی این گونه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خواننده خردمند باید هر دو سخن و مذهب را نیک بنگرد، در ترجیح یکی بر دیگری انصاف به خرج دهد، دلیل واضح و صحیح را مورد استناد قرار دهد، تقلید نیاکان و شیوخ هوسران و شیفته زندگی دنیا را رها سازد، خود را نصیحت نماید و به دیگران اتّکا نکند؛ چرا که در روز قیامت عذرهایی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فلان شیخ تقلید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 نیاکانم را بر این اعتقاد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پذیرفته نیست و سودی به حال انسان نخواهد داشت؛ همان گونه که خدای تعالی در قرآن کریم تصریح می‌کند که در روز قیامت پیشوایان از پیروان خود بیزاری جسته و از آن‌ها می‌گریزند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شنوا و دل‌های آگاه کجا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عاقلی درمورد صحّت یکی از دو دیدگاه مذکور تردیدی به دل راه می‌دهد؟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شکّی وجود دارد که دیدگاه امامیّه، بهترین و شبیه‌ترین دیدگاه به دین است؟</w:t>
      </w:r>
      <w:r>
        <w:rPr>
          <w:rFonts w:eastAsia="IRNazanin" w:cs="IRNazanin"/>
          <w:color w:val="111111"/>
          <w:sz w:val="28"/>
          <w:szCs w:val="28"/>
          <w:rtl w:val="true"/>
          <w:lang w:bidi="fa-IR"/>
        </w:rPr>
        <w:t xml:space="preserve">! … </w:t>
      </w:r>
      <w:r>
        <w:rPr>
          <w:rStyle w:val="FootnoteAnchor"/>
          <w:rtl w:val="true"/>
        </w:rPr>
        <w:footnoteReference w:id="103"/>
      </w:r>
      <w:r>
        <w:rPr>
          <w:rFonts w:ascii="IRNazanin" w:hAnsi="IRNazanin" w:eastAsia="IRNazanin"/>
          <w:color w:val="111111"/>
          <w:sz w:val="28"/>
          <w:sz w:val="28"/>
          <w:szCs w:val="28"/>
          <w:rtl w:val="true"/>
          <w:lang w:bidi="fa-IR"/>
        </w:rPr>
        <w:t>هم‌چنین علّامه حلّی رحمه اللَّه در جای دیگری از این کتاب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خردمندان منصف، باید این مسأله را به عقل خود ارجاع دهند، حکم عقل را بپذیرند و از دنباله روی خطاکارانی که در این مسأله به گمراهی رفته‌اند، بپرهیزند؛ چرا که در روز قیامت چنین عذرهایی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خردمندان منصف، نباید خود را در گروهی جای دهند که خدای تعالی درباره آن‌ها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یَتَحاجُّونَ فِی النَّارِ فَیَقُولُ الضُّعَفاءُ لِلَّذینَ اسْتَکْبَرُوا إِنَّا کُنَّا لَکُمْ تَبَعًا فَهَلْ أَنْتُمْ مُغْنُونَ عَنَّا نَصیبًا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به خاطر بیاور هنگامی را که در آتش دوزخ چون با هم‌دیگر به احتجاج و مجادله برآیند و ضعیفان به مستکبران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شما پیروی کردیم، آیا می‌توانید امروز شما نیز به عوض آن، سهمی از آتش را به جای ما بپذیرید؟ </w:t>
      </w:r>
      <w:r>
        <w:rPr>
          <w:rStyle w:val="FootnoteAnchor"/>
          <w:rtl w:val="true"/>
        </w:rPr>
        <w:footnoteReference w:id="105"/>
      </w:r>
      <w:r>
        <w:rPr>
          <w:rFonts w:ascii="IRNazanin" w:hAnsi="IRNazanin" w:eastAsia="IRNazanin"/>
          <w:color w:val="111111"/>
          <w:sz w:val="28"/>
          <w:sz w:val="28"/>
          <w:szCs w:val="28"/>
          <w:rtl w:val="true"/>
          <w:lang w:bidi="fa-IR"/>
        </w:rPr>
        <w:t>عبارات فوق بیان‌گر روش علامه حلّی رحمه اللَّه در این کتاب و نیز روش همه علمای امامیّه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دعوانا أن الحمد للَّه ربّ العالمین</w:t>
      </w:r>
      <w:r>
        <w:rPr>
          <w:rFonts w:eastAsia="IRNazanin" w:cs="IRNazanin"/>
          <w:color w:val="111111"/>
          <w:sz w:val="28"/>
          <w:szCs w:val="28"/>
          <w:rtl w:val="true"/>
          <w:lang w:bidi="fa-IR"/>
        </w:rPr>
        <w:t>.</w:t>
      </w:r>
      <w:bookmarkStart w:id="152" w:name="pg16793_203781"/>
    </w:p>
    <w:p>
      <w:pPr>
        <w:pStyle w:val="BookText"/>
        <w:rPr/>
      </w:pPr>
      <w:bookmarkEnd w:id="15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Heading2"/>
        <w:numPr>
          <w:ilvl w:val="1"/>
          <w:numId w:val="1"/>
        </w:numPr>
        <w:rPr/>
      </w:pPr>
      <w:bookmarkStart w:id="153" w:name="__RefHeading___Toc9842886_73709187"/>
      <w:bookmarkStart w:id="154" w:name="_Toc57"/>
      <w:bookmarkEnd w:id="153"/>
      <w:r>
        <w:rPr>
          <w:rtl w:val="true"/>
        </w:rPr>
        <w:t>کتابنامه …</w:t>
      </w:r>
      <w:bookmarkEnd w:id="1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الابتهاج بتخریج أحادیث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الصدیق بن احمد حسنی ادریسی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اتحاف السادة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زبیدی،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الاحسان بترتیب 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بلبان فارسی 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الأربعین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رازی، مکتبه کلیات الأزهر، قاهره، مصر، چاپ یکم،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إلی قواطع الأدلّة فی اصول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ابوالمعالی عبدالملک بن یوسف، معروف به امام الحرمین جوینی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الإستیعاب فی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زرکلی، دار العلم للملایین، بیروت، لبنان،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الإفصاح فی إمامة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محمّد بن نعمان عکبری بغدادی، ملقب به شیخ مفید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إکمال الدین وإتمام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بن حسین بن بابویه قمی، معروف به شیخ صدوق رحمه اللَّه، مکتبه صدوق، تهران، سال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الألفین فی إمامة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حسن بن یوسف مطهّر حلّی، مکتبة الألفین، کویت،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امین، دار التعارف، بیروت، لبنان،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أمل الآمل فی علماء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حسن حرّ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ابومنصور حسن بن یوسف بن مطهّر حلّی، مرکز نشر الکتاب،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الأسانید فی صحاح المسانید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حسن بن احمد سمرقندی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 المحیط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ابوحیّان محمّد بن یوسف بن علی بن یوسف بن حیّان اندلسی جیانی، دار احیاء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البدر الطالع بمحاسن من بعد القرن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محمّد شوکانی، دار المعرفه،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الشیعة لعلوم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صدر، از منشورات اعلمی،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بخاری جعفی، دار الفکر،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خطیب بغدادی، دار الکتب علمیّه، بیروت، لبنان، چاپ یکم،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ابوالقاسم علی بن حسن، معروف به ابن عساکر، دار احیاء التراث العربی، بیروت، لبنان، چاپ یکم،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تثبیت الإمامة وترتیب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احمد بن عبداللَّه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تحفة إثنا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عبدالعزیز دهلوی، نورانی، کتابخانه، پیشاور، پاکستان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بن علی هندی فتنی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دار الفکر، بیروت، لبنان،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جاراللَّه محمود بن عمر زمخشری، شرکت مکتبه و مطبعه مصطفی بابی حلبی، مصر،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دار احیاء التراث العربی، بیروت،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تمهید الأوائل وتلخیص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ابوبکر محمد بن طیب باقلانی، مؤسسة الکتاب الثقافیه،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تنویر المقباس من تفسیر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ابوطاهر محمّد بن یعقوب 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مطبعه مدنی، مؤسسه السعودیه، مصر، سال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الفکر، بیروت،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احمد بن عبداللَّه اصفهانی، دار الکتب علمیّه، بیروت، لبنان، چاپ یکم،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الدرر الکامنة فی أعیان المائة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بن حجر عسقلانی، دار الجیل،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الذریعة إلی تصانیف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آقا بزرگ تهرانی، دار الأضواء، بیروت، لبنان،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الذرّیة الطاهره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انصاری رازی دولابی، تحقیق سیّد محمّد جواد حسینی جلالی، مؤسّسه نشر اسلامی، قم، ایران،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العلماء وحیاض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افندی اصفهانی، کتابخانه آیت اللَّه مرعشی نجفی، قم،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زوائد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بن حنبل شیبانی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 الفتی فی شرح سورة 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عاصمی، دار الکتب علمیّه، بیروت، لبنان،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یزید قزوینی، مشهور به ابن ماجه، دار الفکر،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داوود سلیمان بن اشعث سجستانی، دار الکتب علمیّه، بیروت، لبنان، چاپ یکم،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حسین بیهقی، دار الکتب علمیّه، بیروت، لبنان،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شعیب نسائی، دار الکتب علمیّه، بیروت، لبنان،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سوره تِرمذی، دار الفکر، بیروت، لبنان،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عمر دارقطنی،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رحمان دارمی،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عاصم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برهان الدین حلبی، مکتبة التجاریة الکبری، قاهره، مصر،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هشام حمیری، قاهره، مصر، سال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الشافی فی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علی بن حسین موسوی، اسماعیلیان، قم، چاپ دوم،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المختصر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عمر بن حاجب مالکی، مکتبه امیریه، مصر، چاپ یکم، سال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المقاصد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سعدالدین بن مسعود بن عمر تفتازانی، از منشورات شریف رضی، قم، ایران، چاپ یکم،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منهاج الکرامة فی معرفة الإمامه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حسینی میلانی، نشر الحقائق، چاپ یکم، سال </w:t>
      </w:r>
      <w:r>
        <w:rPr>
          <w:rFonts w:eastAsia="IRNazanin" w:cs="IRNazanin"/>
          <w:color w:val="111111"/>
          <w:sz w:val="28"/>
          <w:szCs w:val="28"/>
          <w:lang w:bidi="fa-IR"/>
        </w:rPr>
        <w:t>1428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عبدالحمید بن ابی الحدید معتزلی، دار احیاء التراث العربی، بیروت، لبنان، چاپ دوم،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حبان، مؤسسه الرساله،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بُخاری جُعفی، دار ابن کثیر، دمشق، بیروت، یمامه، چاپ پنجم،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نیشابوری، مؤسسه عز الدین و دار الفکر، بیروت، لبنان، چاپ یکم،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محمّد بن علی بن حجر هیتمی مکّی، تحقیق عبدالرحمان بن عبداللَّه ترکی و کامل محمّد خرّاط، مؤسسه رسالت، بیروت، لبنان، چاپ یکم،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آقابزرگ تهرانی، دار الکتاب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طبقات الشافعیّه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عبدالوهاب بن تقی الدین سُبکی، دار احیاء الکتب العربیّه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ابوعثمان عمرو بن بحر بن محبوب لیثی بصری، ملقّب به جاحظ، دار الکتاب،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المرام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الدین ابوالحسن علی بن ابوعلی آمدی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عبدالحسین احمد امینی، مرکز الغدیر، قم، ایران، چاپ یکم،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غیاث الأمم فی التیاث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ابوالمعالی عبدالملک بن عبداللَّه جوینی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الفتاوی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عبدالحلیم مشهور به ابن تیمیه حرّانی،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الملک العلی بصحة حدیث باب مدینة العلم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صدیق عماری مغربی، کتابخانه عمومی امام امیرالمؤمنین علیه السلام، اصفهان،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فردوس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شیرویه بن شهردار بن شیرویه دیلمی، دار الفکر، بیروت، لبنان،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فی الأهواء والملل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اندلسی، دار الکتب علمیّه، بیروت، لبنان، چاپ یکم،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شیبانی، جامعة امّ القری، مرکز بحث العلم واحیاء التراث الاسلامی، مکه، عربستان سعودی، چاپ یکم،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وراق بن ندیم، دار المعرفه،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فی شرح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عبدالرؤوف مَناوی،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رحمه اللَّه، دار صعب، دار التعارف، بیروت، لبنان، چاپ سوم،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متّقی بن حسام الدین هندی، دار الکتب علمیّه، بیروت، لبنان، چاپ یکم،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الاسلام ابوعلی فضل بن الحسن طبرسی، دار احیاء التراث العربی، بیروت، لبنان،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علی بن ابی‌بکر هیثمی، دار الفکر، بیروت، لبنان،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مسعودی، دار المعرفه،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الکتب علمیّه، بیروت، لبنان، چاپ یکم،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یعلی احمد بن علی بن مثنی تمیمی موصلی، دار المأمون للتراث،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شیبانی، دار احیاء التراث العربی و دار صادر، بیروت،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عمرو بن عبدالخالق عتکی البزّار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الشامیّین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سلیمان بن احمد بن ایوب لخمی طبرانی، مؤسسه الرساله،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داوود طیالسی، دار المعرفه،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معروف به خطیب تبریزی، دار الفکر، بیروت، لبنان، چاپ یکم،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مصابیح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مسعود بغوی، دار المعرفه، بیروت، لبنان، چاپ یکم،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 شیبه کوفی، دار الفکر، بیروت، چاپ یکم،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عبداللَّه بن مسلم بن قُتَیْبَه، دار الکتب علمیّه، بیروت، لبنان، چاپ یکم،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بن موسی بن بابویه قمی، معروف به شیخ صدوق، مکتبه، صدوق، تهران، سال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احمد بن ایّوب لخمی طبرانی، دار الحرمین،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یاقوت حموی، دار الکتب علمیّه، بیروت، لبنان، چاپ یکم،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سلیمان بن احمد بن ایوب لخمی طبرانی، دار احیاء التراث، چاپ دوم،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رضا کحاله، دار احیاء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حسین بن محمّد، معروف به راغب اصفهانی، دار القلم، دمشق،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فی الإمامه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عبیداللَّه بن عبداللَّه اسدآبادی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محمد بن عبدالکریم بن ابی بکر احمد شهرستانی، دار السرور، بیروت، لبنان، چاپ یکم، سال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محمد بن مغازلی شافعی، دار الاضواء،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بن احمد بکری مکّی حنفی خوارزمی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المنح المکیّة فی شرح القصیدة الهمزیه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احمد بن حجر هیتمی مکّی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السنّه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عبدالحلیم، مشهور به ابن تیمیّه حرّانی، مکتبة ابن تیمیّه، قاهره، مصر، چاپ دوم،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الوصول فی معرفة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بیضاوی، چاپ شده با الابتهاج بتخریج أحادیث المنهاج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المواقف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عضدالدین عبدالرحمان بن احمد ایجی، عالم الکتب،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علی بن محمد بن جوزی بکری بغدادی،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انس، دار احیاء التراث العربی، بیروت، لبنان،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الإعتدال فی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احمد بن عثمان ذهبی، دار المعرفه و دار الکتب علمیّه، بیروت، لبنان، چاپ یکم،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النافع یوم الحشر فی شرح 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فاضل مقداد سیوری، دار الاضواء، بیروت، لبنان، چاپ دوم،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الأزهار فی خلاصة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حسینی میلانی، قم، نشر الحقایق، چاپ دوم، سال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الحقّ وکشف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حسن بن یوسف بن مطهر حلّی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عبارات نزدیک به این عبارت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تفسیر البحرالمحیط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تفسیر 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فی الملل والأهواء والنحل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معنی لاحتجاجنا علیهم بروایاتنا، فهم لا یصدّقونها، ولا معنی لاحتجاجهم علینا بروایاتهم، فنحن لا نصدّقها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کامل او عضدالدین ابوالفضل عبدالرحمان بن احمد بن عبدالغفّار بن احمد ایجی‌شیرازی شافعی است که به منصب قضاوت، اشتغال داشت، وی پس از سال هفتصد هجری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توابع شیراز به دنیا آمد و در علم اصول، معانی، بیان، نحو، فقه و کلام تبحّر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تألیفات وی می‌توان به الرسالة العضدیة فی الوضع، جواهر الکلام، الفوائد الغیاثیه، شرح مختصر ابن الحاجب و المواقف فی علم الکلام، اشاره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ایجی به سال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 حالی که در قلعه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دریمیان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زندانی بود،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سبکی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الدرر الکامنه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معجم المؤلّفین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6756</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فی علم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فی علم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شوارق الإلهام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فی علماء جبل عامل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تأسیس الشیعة لعلوم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های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فی الملل والأهواء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إکمال الدین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منهاج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فی علم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الحادی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کامل وی شرف الدّین ابوعبداللَّه مقداد بن عبداللَّه بن عبداللَّه بن محمّد بن حسین سیوری حلّی اسدی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زمره علما، فضلا، متکلّمان، محقّقان و اهل دقّت و نظر قرار داشت و از شاگردان شهید اوّل شیخ محمّد بن مکّی عاملی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سیوری می‌توان به شرح نهج المسترشدین فی أصول الدّین، کنز العرفان فی فقه القرآن، شرح مبادئ الأصول، تجوید البراعة فی شرح تجرید البلاغة و النافع یوم الحشر فی شرح الباب الحادی عشر، اشاره نمود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یوم الحشر فی شرح الباب الحادی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شوارق الالهام فی شرح تجرید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شرح العقائد النسفیه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مسند طیالسی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المعجم الکبیر، 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مسند الشامیّین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1654</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ابونعیم اصفهانی پس از نقل این حدیث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صحیح و ثابت شده است و مسلم بن حجّاج در صحیح خود، آن را از عمرو بن علی، از ابن مهدی، از هشام بن سعد، از زید،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مذکور، پیش از این نیز نقل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الأحادیث،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23116</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14863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المعجم الکبیر، 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إتحاف السادة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ابن ابوعاصم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مسند ابویعلی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7375</w:t>
      </w:r>
      <w:r>
        <w:rPr>
          <w:rFonts w:ascii="IRNazanin" w:hAnsi="IRNazanin" w:eastAsia="IRNazanin"/>
          <w:b w:val="false"/>
          <w:b w:val="false"/>
          <w:bCs w:val="false"/>
          <w:i w:val="false"/>
          <w:i w:val="false"/>
          <w:iCs w:val="false"/>
          <w:color w:val="333333"/>
          <w:sz w:val="20"/>
          <w:sz w:val="20"/>
          <w:szCs w:val="20"/>
          <w:rtl w:val="true"/>
        </w:rPr>
        <w:t>، المعجم الکبیر، 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10687</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5820</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الإحسان بترتیب صحیح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4554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جامع الأحادیث،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23113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الوصول فی معرفة علم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همراه کتاب الابتهاج بتخریج أحادیث المنهاج به چاپ‌رسیده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تثبیت الإمامة، ابونعیم اصفهانی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غیاث الأمم، جوینی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الأربعین فی أصول الدین،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نصب امام پس از پیامبر صلی اللَّه علیه وآله را از مهم‌ترین واجبات می‌دانند تاجایی که برخی صحابه جنازه پیامبر صلی اللَّه علیه وآله را بر روی زمین رها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خود موجب وهن اسلام و پیامبر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تعیین خلیفه و امام پرداختند؛ اگر ادعای اهل سنّت درست باشد باید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خود پیامبر صلی اللَّه علیه وآله این مهم‌ترین واجبات را ترک نمود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سان که آنان می‌پندارند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مسلمانان را در معرض هواهای نفسانی قرار داد؟</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الإفصاح فی إمامة أمیر المؤمنین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المقنع فی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الألفین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ابن تیمیّه در 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السنن الکبری،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8397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چندین جای دیگر، مصنّف ابن ابی شیبه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چندین جای دیگر، التاریخ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السنّة، ابن ابوعاصم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طرق گوناگون، زوائد عبداللَّه بن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الذرّیة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مسند 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چندین جای دیگر، مسند ابی 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6892</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چندین جای دیگر،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چندین جای دیگر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ایجی در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السنن الکبری،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تفتازانی در 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راویان صدر حدیث مذکور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جاهای دیگر، مصنّف ابن ابی شیبه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 جای دیگر، السنّه، ابن ابی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 جای دیگر، مسند 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 جای دیگر، مسند ابی 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و چندین موضع از معاجم سه گانه طبرانی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باقلانی در تمهید 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آمدی در غایة المرام فی علم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دهلوی در تحفة إثنا عشریه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معنا از کلبی، زجّاج، فرّاء و ابوعبیده در تفسیر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هم‌چنین برای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تنویر المقباس من تفسیر ابن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ابن جوزی در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تیمیّه در الفتاوی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ناقلان این حدیث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معین در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احمد بن حنبل در فضائل الصّحابه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دار الحکمة وعلی بابُها؛ من خانه حکمتم و علی درِ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ترمذی در 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الفضائل، طبرانی در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11061</w:t>
      </w:r>
      <w:r>
        <w:rPr>
          <w:rFonts w:ascii="IRNazanin" w:hAnsi="IRNazanin" w:eastAsia="IRNazanin"/>
          <w:b w:val="false"/>
          <w:b w:val="false"/>
          <w:bCs w:val="false"/>
          <w:i w:val="false"/>
          <w:i w:val="false"/>
          <w:iCs w:val="false"/>
          <w:color w:val="333333"/>
          <w:sz w:val="20"/>
          <w:sz w:val="20"/>
          <w:szCs w:val="20"/>
          <w:rtl w:val="true"/>
        </w:rPr>
        <w:t>، حاکم نیشابوری در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حدیث‌های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4639</w:t>
      </w:r>
      <w:r>
        <w:rPr>
          <w:rFonts w:ascii="IRNazanin" w:hAnsi="IRNazanin" w:eastAsia="IRNazanin"/>
          <w:b w:val="false"/>
          <w:b w:val="false"/>
          <w:bCs w:val="false"/>
          <w:i w:val="false"/>
          <w:i w:val="false"/>
          <w:iCs w:val="false"/>
          <w:color w:val="333333"/>
          <w:sz w:val="20"/>
          <w:sz w:val="20"/>
          <w:szCs w:val="20"/>
          <w:rtl w:val="true"/>
        </w:rPr>
        <w:t>، ابونعیم اصفهانی در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ابن عبدالبرّ در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خطیب بغدادی در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ابن مغازلی در مناقب الإمام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حدیث‌های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دیلمی در فردوس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بغوی در مصابیح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tl w:val="true"/>
        </w:rPr>
        <w:t>، ابن عساکر در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کسانی که این حدیث را صحیح دانسته‌اند می‌توان به این علما اشاره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معین در نقل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36464</w:t>
      </w:r>
      <w:r>
        <w:rPr>
          <w:rFonts w:ascii="IRNazanin" w:hAnsi="IRNazanin" w:eastAsia="IRNazanin"/>
          <w:b w:val="false"/>
          <w:b w:val="false"/>
          <w:bCs w:val="false"/>
          <w:i w:val="false"/>
          <w:i w:val="false"/>
          <w:iCs w:val="false"/>
          <w:color w:val="333333"/>
          <w:sz w:val="20"/>
          <w:sz w:val="20"/>
          <w:szCs w:val="20"/>
          <w:rtl w:val="true"/>
        </w:rPr>
        <w:t>، ابن جریر طبری در تهذیب الآثار به نقل از فتح الملک العلی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حاکم نیشابوری و خطیب بغدادی که در پاورقی قبل اشاره شد، حافظ ابومحمّد حسن بن احمد سمرقندی در بحر الأسانید فی صحاح المسانید به نقل از فتح الملک العلی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جلال الدین سیوطی در جمع الجوامع به نقل از فتح الملک العلی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متّقی هندی در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احمد بن محمّد بن صدّیق غماری در فتح الملک العلی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فوق برگرفته از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أصحابی کالنجوم …؛ اصحاب من مثل ستارگانند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این روایت دیلمی است که در فردوس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مدینة العلم وأبوبکر أساسها، عمر حیطانها و عثمان سقفها …؛ من شهر علم هستم، ابوبکر پی آن، عمر دیوارهای آن و عثمان سقف آن را تشکیل می‌دهند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 مسائل می‌توان به مسأله کلاله، واژه أبّ، چگونگی تیمّم و مسأله ارث و مهریه زنان اشاره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الغدیر اثر علّامه امینی قدّس سرّه جلدهای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خوارج و برخی دیگر، این ادّعا را مطرح کرده‌اند،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الفتی فی شرح سورة هل أتی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ابن حجر مکّی در المنح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القصیدة الهمزیّة، و مناوی در فیض الغدیر شرح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کتاب‌های دیگر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السّنن الکبری،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8398</w:t>
      </w:r>
      <w:r>
        <w:rPr>
          <w:rFonts w:ascii="IRNazanin" w:hAnsi="IRNazanin" w:eastAsia="IRNazanin"/>
          <w:b w:val="false"/>
          <w:b w:val="false"/>
          <w:bCs w:val="false"/>
          <w:i w:val="false"/>
          <w:i w:val="false"/>
          <w:iCs w:val="false"/>
          <w:color w:val="333333"/>
          <w:sz w:val="20"/>
          <w:sz w:val="20"/>
          <w:szCs w:val="20"/>
          <w:rtl w:val="true"/>
        </w:rPr>
        <w:t>، مسند ابی 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6561</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ابن قتیبه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شرح حال ابوذر غفاری، المعجم الکبیر، 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5870</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4720</w:t>
      </w:r>
      <w:r>
        <w:rPr>
          <w:rFonts w:ascii="IRNazanin" w:hAnsi="IRNazanin" w:eastAsia="IRNazanin"/>
          <w:b w:val="false"/>
          <w:b w:val="false"/>
          <w:bCs w:val="false"/>
          <w:i w:val="false"/>
          <w:i w:val="false"/>
          <w:iCs w:val="false"/>
          <w:color w:val="333333"/>
          <w:sz w:val="20"/>
          <w:sz w:val="20"/>
          <w:szCs w:val="20"/>
          <w:rtl w:val="true"/>
        </w:rPr>
        <w:t>، 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احمد بن حنبل،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مسلم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در 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مفضّل بن صالح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کشتی نوح، بسیار ناشناخته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الصّحابه،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المناقب،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فردوس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4884</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إثنا عشریه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صفحه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سنن درامی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4577</w:t>
      </w:r>
      <w:r>
        <w:rPr>
          <w:rFonts w:ascii="IRNazanin" w:hAnsi="IRNazanin" w:eastAsia="IRNazanin"/>
          <w:b w:val="false"/>
          <w:b w:val="false"/>
          <w:bCs w:val="false"/>
          <w:i w:val="false"/>
          <w:i w:val="false"/>
          <w:iCs w:val="false"/>
          <w:color w:val="333333"/>
          <w:sz w:val="20"/>
          <w:sz w:val="20"/>
          <w:szCs w:val="20"/>
          <w:rtl w:val="true"/>
        </w:rPr>
        <w:t>، السنن الکبری،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سنن دارقطنی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 السنن الکبری،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8425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مسند ابی 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12594</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تذکرة الموضوعات، فتنی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السنن الکبری،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8138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مسند 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مفهوم این سخن در الإرشاد، جوینی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ابن 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 فی الإمامه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سال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در قید حیات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6558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هم به طور مستقل و هم در مقدمه جلد نخست نفحات الأزهار فی خلاصة عبقات‌الأنوار به چاپ رسیده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وکشف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وکشف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کشف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image" Target="media/image2.jpeg"/><Relationship Id="rId104" Type="http://schemas.openxmlformats.org/officeDocument/2006/relationships/image" Target="media/image2.jpeg"/><Relationship Id="rId105" Type="http://schemas.openxmlformats.org/officeDocument/2006/relationships/footer" Target="footer98.xml"/><Relationship Id="rId106" Type="http://schemas.openxmlformats.org/officeDocument/2006/relationships/footnotes" Target="footnotes.xml"/><Relationship Id="rId107" Type="http://schemas.openxmlformats.org/officeDocument/2006/relationships/numbering" Target="numbering.xml"/><Relationship Id="rId108" Type="http://schemas.openxmlformats.org/officeDocument/2006/relationships/fontTable" Target="fontTable.xml"/><Relationship Id="rId109" Type="http://schemas.openxmlformats.org/officeDocument/2006/relationships/settings" Target="settings.xml"/><Relationship Id="rId1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Pages>
  <Words>17369</Words>
  <Characters>68698</Characters>
  <CharactersWithSpaces>84882</CharactersWithSpaces>
  <Paragraphs>1348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2026-08-22T07:23:09Z</dcterms:created>
  <dc:creator>ghaemiyeh.com</dc:creator>
  <dc:description/>
  <dc:language>en-US</dc:language>
  <cp:lastModifiedBy/>
  <dcterms:modified xsi:type="dcterms:W3CDTF">2026-08-22T10:53:12Z</dcterms:modified>
  <cp:revision>1</cp:revision>
  <dc:subject/>
  <dc:title>سلسله پژوهش های اعتقادی جلد 27</dc:title>
</cp:coreProperties>
</file>

<file path=docProps/custom.xml><?xml version="1.0" encoding="utf-8"?>
<Properties xmlns="http://schemas.openxmlformats.org/officeDocument/2006/custom-properties" xmlns:vt="http://schemas.openxmlformats.org/officeDocument/2006/docPropsVTypes"/>
</file>