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8047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58804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88051_73709187">
            <w:r>
              <w:rPr>
                <w:webHidden/>
                <w:rStyle w:val="IndexLink"/>
                <w:rtl w:val="true"/>
              </w:rPr>
              <w:t xml:space="preserve">الفصل الثالث </w:t>
            </w:r>
            <w:r>
              <w:rPr>
                <w:rStyle w:val="IndexLink"/>
                <w:rtl w:val="true"/>
              </w:rPr>
              <w:t xml:space="preserve">: </w:t>
            </w:r>
            <w:r>
              <w:rPr>
                <w:rStyle w:val="IndexLink"/>
                <w:rtl w:val="true"/>
              </w:rPr>
              <w:t>في غسل الاستحاضة</w:t>
            </w:r>
            <w:r>
              <w:rPr>
                <w:rStyle w:val="IndexLink"/>
                <w:rtl w:val="true"/>
              </w:rPr>
              <w:tab/>
            </w:r>
            <w:r>
              <w:rPr>
                <w:rStyle w:val="IndexLink"/>
              </w:rPr>
              <w:t>10</w:t>
            </w:r>
          </w:hyperlink>
        </w:p>
        <w:p>
          <w:pPr>
            <w:pStyle w:val="Contents3"/>
            <w:tabs>
              <w:tab w:val="clear" w:pos="8459"/>
              <w:tab w:val="right" w:pos="9026" w:leader="dot"/>
            </w:tabs>
            <w:rPr/>
          </w:pPr>
          <w:hyperlink w:anchor="__RefHeading___Toc5588053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588055_73709187">
            <w:r>
              <w:rPr>
                <w:webHidden/>
                <w:rStyle w:val="IndexLink"/>
                <w:rtl w:val="true"/>
              </w:rPr>
              <w:t xml:space="preserve">البحث الأول </w:t>
            </w:r>
            <w:r>
              <w:rPr>
                <w:rStyle w:val="IndexLink"/>
                <w:rtl w:val="true"/>
              </w:rPr>
              <w:t xml:space="preserve">: </w:t>
            </w:r>
            <w:r>
              <w:rPr>
                <w:rStyle w:val="IndexLink"/>
                <w:rtl w:val="true"/>
              </w:rPr>
              <w:t>في معرفة الاستحاضة والمستحاضة</w:t>
            </w:r>
            <w:r>
              <w:rPr>
                <w:rStyle w:val="IndexLink"/>
                <w:rtl w:val="true"/>
              </w:rPr>
              <w:tab/>
            </w:r>
            <w:r>
              <w:rPr>
                <w:rStyle w:val="IndexLink"/>
              </w:rPr>
              <w:t>10</w:t>
            </w:r>
          </w:hyperlink>
        </w:p>
        <w:p>
          <w:pPr>
            <w:pStyle w:val="Contents3"/>
            <w:tabs>
              <w:tab w:val="clear" w:pos="8459"/>
              <w:tab w:val="right" w:pos="9026" w:leader="dot"/>
            </w:tabs>
            <w:rPr/>
          </w:pPr>
          <w:hyperlink w:anchor="__RefHeading___Toc5588057_73709187">
            <w:r>
              <w:rPr>
                <w:webHidden/>
                <w:rStyle w:val="IndexLink"/>
                <w:rtl w:val="true"/>
              </w:rPr>
              <w:t xml:space="preserve">البحث الثاني </w:t>
            </w:r>
            <w:r>
              <w:rPr>
                <w:rStyle w:val="IndexLink"/>
                <w:rtl w:val="true"/>
              </w:rPr>
              <w:t xml:space="preserve">: </w:t>
            </w:r>
            <w:r>
              <w:rPr>
                <w:rStyle w:val="IndexLink"/>
                <w:rtl w:val="true"/>
              </w:rPr>
              <w:t>في أحكام المستحاضة</w:t>
            </w:r>
            <w:r>
              <w:rPr>
                <w:rStyle w:val="IndexLink"/>
                <w:rtl w:val="true"/>
              </w:rPr>
              <w:tab/>
            </w:r>
            <w:r>
              <w:rPr>
                <w:rStyle w:val="IndexLink"/>
              </w:rPr>
              <w:t>17</w:t>
            </w:r>
          </w:hyperlink>
        </w:p>
        <w:p>
          <w:pPr>
            <w:pStyle w:val="Contents4"/>
            <w:tabs>
              <w:tab w:val="clear" w:pos="8176"/>
              <w:tab w:val="right" w:pos="9026" w:leader="dot"/>
            </w:tabs>
            <w:rPr/>
          </w:pPr>
          <w:hyperlink w:anchor="__RefHeading___Toc5588059_7370918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5588061_73709187">
            <w:r>
              <w:rPr>
                <w:webHidden/>
                <w:rStyle w:val="IndexLink"/>
                <w:rtl w:val="true"/>
              </w:rPr>
              <w:t xml:space="preserve">فروع </w:t>
            </w:r>
            <w:r>
              <w:rPr>
                <w:rStyle w:val="IndexLink"/>
                <w:rtl w:val="true"/>
              </w:rPr>
              <w:t>:</w:t>
              <w:tab/>
            </w:r>
            <w:r>
              <w:rPr>
                <w:rStyle w:val="IndexLink"/>
              </w:rPr>
              <w:t>28</w:t>
            </w:r>
          </w:hyperlink>
        </w:p>
        <w:p>
          <w:pPr>
            <w:pStyle w:val="Contents2"/>
            <w:tabs>
              <w:tab w:val="clear" w:pos="8743"/>
              <w:tab w:val="right" w:pos="9026" w:leader="dot"/>
            </w:tabs>
            <w:rPr/>
          </w:pPr>
          <w:hyperlink w:anchor="__RefHeading___Toc5588063_73709187">
            <w:r>
              <w:rPr>
                <w:webHidden/>
                <w:rStyle w:val="IndexLink"/>
                <w:rtl w:val="true"/>
              </w:rPr>
              <w:t xml:space="preserve">الفصل الرابع </w:t>
            </w:r>
            <w:r>
              <w:rPr>
                <w:rStyle w:val="IndexLink"/>
                <w:rtl w:val="true"/>
              </w:rPr>
              <w:t xml:space="preserve">: </w:t>
            </w:r>
            <w:r>
              <w:rPr>
                <w:rStyle w:val="IndexLink"/>
                <w:rtl w:val="true"/>
              </w:rPr>
              <w:t>في غسل النفاس</w:t>
            </w:r>
            <w:r>
              <w:rPr>
                <w:rStyle w:val="IndexLink"/>
                <w:rtl w:val="true"/>
              </w:rPr>
              <w:tab/>
            </w:r>
            <w:r>
              <w:rPr>
                <w:rStyle w:val="IndexLink"/>
              </w:rPr>
              <w:t>48</w:t>
            </w:r>
          </w:hyperlink>
        </w:p>
        <w:p>
          <w:pPr>
            <w:pStyle w:val="Contents3"/>
            <w:tabs>
              <w:tab w:val="clear" w:pos="8459"/>
              <w:tab w:val="right" w:pos="9026" w:leader="dot"/>
            </w:tabs>
            <w:rPr/>
          </w:pPr>
          <w:hyperlink w:anchor="__RefHeading___Toc5588065_7370918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5588067_73709187">
            <w:r>
              <w:rPr>
                <w:webHidden/>
                <w:rStyle w:val="IndexLink"/>
                <w:rtl w:val="true"/>
              </w:rPr>
              <w:t xml:space="preserve">البحث الأول </w:t>
            </w:r>
            <w:r>
              <w:rPr>
                <w:rStyle w:val="IndexLink"/>
                <w:rtl w:val="true"/>
              </w:rPr>
              <w:t xml:space="preserve">: </w:t>
            </w:r>
            <w:r>
              <w:rPr>
                <w:rStyle w:val="IndexLink"/>
                <w:rtl w:val="true"/>
              </w:rPr>
              <w:t>في تعيينه</w:t>
            </w:r>
            <w:r>
              <w:rPr>
                <w:rStyle w:val="IndexLink"/>
                <w:rtl w:val="true"/>
              </w:rPr>
              <w:tab/>
            </w:r>
            <w:r>
              <w:rPr>
                <w:rStyle w:val="IndexLink"/>
              </w:rPr>
              <w:t>48</w:t>
            </w:r>
          </w:hyperlink>
        </w:p>
        <w:p>
          <w:pPr>
            <w:pStyle w:val="Contents3"/>
            <w:tabs>
              <w:tab w:val="clear" w:pos="8459"/>
              <w:tab w:val="right" w:pos="9026" w:leader="dot"/>
            </w:tabs>
            <w:rPr/>
          </w:pPr>
          <w:hyperlink w:anchor="__RefHeading___Toc5588069_73709187">
            <w:r>
              <w:rPr>
                <w:webHidden/>
                <w:rStyle w:val="IndexLink"/>
                <w:rtl w:val="true"/>
              </w:rPr>
              <w:t xml:space="preserve">البحث الثاني </w:t>
            </w:r>
            <w:r>
              <w:rPr>
                <w:rStyle w:val="IndexLink"/>
                <w:rtl w:val="true"/>
              </w:rPr>
              <w:t xml:space="preserve">: </w:t>
            </w:r>
            <w:r>
              <w:rPr>
                <w:rStyle w:val="IndexLink"/>
                <w:rtl w:val="true"/>
              </w:rPr>
              <w:t>في أحكامه</w:t>
            </w:r>
            <w:r>
              <w:rPr>
                <w:rStyle w:val="IndexLink"/>
                <w:rtl w:val="true"/>
              </w:rPr>
              <w:tab/>
            </w:r>
            <w:r>
              <w:rPr>
                <w:rStyle w:val="IndexLink"/>
              </w:rPr>
              <w:t>63</w:t>
            </w:r>
          </w:hyperlink>
        </w:p>
        <w:p>
          <w:pPr>
            <w:pStyle w:val="Contents2"/>
            <w:tabs>
              <w:tab w:val="clear" w:pos="8743"/>
              <w:tab w:val="right" w:pos="9026" w:leader="dot"/>
            </w:tabs>
            <w:rPr/>
          </w:pPr>
          <w:hyperlink w:anchor="__RefHeading___Toc5588071_73709187">
            <w:r>
              <w:rPr>
                <w:webHidden/>
                <w:rStyle w:val="IndexLink"/>
                <w:rtl w:val="true"/>
              </w:rPr>
              <w:t xml:space="preserve">الفصل الخامس </w:t>
            </w:r>
            <w:r>
              <w:rPr>
                <w:rStyle w:val="IndexLink"/>
                <w:rtl w:val="true"/>
              </w:rPr>
              <w:t xml:space="preserve">: </w:t>
            </w:r>
            <w:r>
              <w:rPr>
                <w:rStyle w:val="IndexLink"/>
                <w:rtl w:val="true"/>
              </w:rPr>
              <w:t>في غسل المس</w:t>
            </w:r>
            <w:r>
              <w:rPr>
                <w:rStyle w:val="IndexLink"/>
                <w:rtl w:val="true"/>
              </w:rPr>
              <w:tab/>
            </w:r>
            <w:r>
              <w:rPr>
                <w:rStyle w:val="IndexLink"/>
              </w:rPr>
              <w:t>65</w:t>
            </w:r>
          </w:hyperlink>
        </w:p>
        <w:p>
          <w:pPr>
            <w:pStyle w:val="Contents3"/>
            <w:tabs>
              <w:tab w:val="clear" w:pos="8459"/>
              <w:tab w:val="right" w:pos="9026" w:leader="dot"/>
            </w:tabs>
            <w:rPr/>
          </w:pPr>
          <w:hyperlink w:anchor="__RefHeading___Toc5588073_7370918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5588075_73709187">
            <w:r>
              <w:rPr>
                <w:webHidden/>
                <w:rStyle w:val="IndexLink"/>
                <w:rtl w:val="true"/>
              </w:rPr>
              <w:t xml:space="preserve">فروع </w:t>
            </w:r>
            <w:r>
              <w:rPr>
                <w:rStyle w:val="IndexLink"/>
                <w:rtl w:val="true"/>
              </w:rPr>
              <w:t>:</w:t>
              <w:tab/>
            </w:r>
            <w:r>
              <w:rPr>
                <w:rStyle w:val="IndexLink"/>
              </w:rPr>
              <w:t>69</w:t>
            </w:r>
          </w:hyperlink>
        </w:p>
        <w:p>
          <w:pPr>
            <w:pStyle w:val="Contents2"/>
            <w:tabs>
              <w:tab w:val="clear" w:pos="8743"/>
              <w:tab w:val="right" w:pos="9026" w:leader="dot"/>
            </w:tabs>
            <w:rPr/>
          </w:pPr>
          <w:hyperlink w:anchor="__RefHeading___Toc5588077_73709187">
            <w:r>
              <w:rPr>
                <w:webHidden/>
                <w:rStyle w:val="IndexLink"/>
                <w:rtl w:val="true"/>
              </w:rPr>
              <w:t xml:space="preserve">الفصل السادس </w:t>
            </w:r>
            <w:r>
              <w:rPr>
                <w:rStyle w:val="IndexLink"/>
                <w:rtl w:val="true"/>
              </w:rPr>
              <w:t xml:space="preserve">: </w:t>
            </w:r>
            <w:r>
              <w:rPr>
                <w:rStyle w:val="IndexLink"/>
                <w:rtl w:val="true"/>
              </w:rPr>
              <w:t>في غسل الأموات</w:t>
            </w:r>
            <w:r>
              <w:rPr>
                <w:rStyle w:val="IndexLink"/>
                <w:rtl w:val="true"/>
              </w:rPr>
              <w:tab/>
            </w:r>
            <w:r>
              <w:rPr>
                <w:rStyle w:val="IndexLink"/>
              </w:rPr>
              <w:t>74</w:t>
            </w:r>
          </w:hyperlink>
        </w:p>
        <w:p>
          <w:pPr>
            <w:pStyle w:val="Contents3"/>
            <w:tabs>
              <w:tab w:val="clear" w:pos="8459"/>
              <w:tab w:val="right" w:pos="9026" w:leader="dot"/>
            </w:tabs>
            <w:rPr/>
          </w:pPr>
          <w:hyperlink w:anchor="__RefHeading___Toc5588079_73709187">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5588081_73709187">
            <w:r>
              <w:rPr>
                <w:webHidden/>
                <w:rStyle w:val="IndexLink"/>
                <w:rtl w:val="true"/>
              </w:rPr>
              <w:t xml:space="preserve">البحث الأول </w:t>
            </w:r>
            <w:r>
              <w:rPr>
                <w:rStyle w:val="IndexLink"/>
                <w:rtl w:val="true"/>
              </w:rPr>
              <w:t xml:space="preserve">: </w:t>
            </w:r>
            <w:r>
              <w:rPr>
                <w:rStyle w:val="IndexLink"/>
                <w:rtl w:val="true"/>
              </w:rPr>
              <w:t>في أحكام الاحتضار وما بعده قبل الغسل</w:t>
            </w:r>
            <w:r>
              <w:rPr>
                <w:rStyle w:val="IndexLink"/>
                <w:rtl w:val="true"/>
              </w:rPr>
              <w:tab/>
            </w:r>
            <w:r>
              <w:rPr>
                <w:rStyle w:val="IndexLink"/>
              </w:rPr>
              <w:t>74</w:t>
            </w:r>
          </w:hyperlink>
        </w:p>
        <w:p>
          <w:pPr>
            <w:pStyle w:val="Contents4"/>
            <w:tabs>
              <w:tab w:val="clear" w:pos="8176"/>
              <w:tab w:val="right" w:pos="9026" w:leader="dot"/>
            </w:tabs>
            <w:rPr/>
          </w:pPr>
          <w:hyperlink w:anchor="__RefHeading___Toc5588083_7370918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588085_73709187">
            <w:r>
              <w:rPr>
                <w:webHidden/>
                <w:rStyle w:val="IndexLink"/>
                <w:rtl w:val="true"/>
              </w:rPr>
              <w:t xml:space="preserve">وأما الثاني فأمور </w:t>
            </w:r>
            <w:r>
              <w:rPr>
                <w:rStyle w:val="IndexLink"/>
                <w:rtl w:val="true"/>
              </w:rPr>
              <w:t>:</w:t>
              <w:tab/>
            </w:r>
            <w:r>
              <w:rPr>
                <w:rStyle w:val="IndexLink"/>
              </w:rPr>
              <w:t>77</w:t>
            </w:r>
          </w:hyperlink>
        </w:p>
        <w:p>
          <w:pPr>
            <w:pStyle w:val="Contents3"/>
            <w:tabs>
              <w:tab w:val="clear" w:pos="8459"/>
              <w:tab w:val="right" w:pos="9026" w:leader="dot"/>
            </w:tabs>
            <w:rPr/>
          </w:pPr>
          <w:hyperlink w:anchor="__RefHeading___Toc5588087_73709187">
            <w:r>
              <w:rPr>
                <w:webHidden/>
                <w:rStyle w:val="IndexLink"/>
                <w:rtl w:val="true"/>
              </w:rPr>
              <w:t xml:space="preserve">البحث الثاني </w:t>
            </w:r>
            <w:r>
              <w:rPr>
                <w:rStyle w:val="IndexLink"/>
                <w:rtl w:val="true"/>
              </w:rPr>
              <w:t xml:space="preserve">: </w:t>
            </w:r>
            <w:r>
              <w:rPr>
                <w:rStyle w:val="IndexLink"/>
                <w:rtl w:val="true"/>
              </w:rPr>
              <w:t>في التغسيل</w:t>
            </w:r>
            <w:r>
              <w:rPr>
                <w:rStyle w:val="IndexLink"/>
                <w:rtl w:val="true"/>
              </w:rPr>
              <w:tab/>
            </w:r>
            <w:r>
              <w:rPr>
                <w:rStyle w:val="IndexLink"/>
              </w:rPr>
              <w:t>91</w:t>
            </w:r>
          </w:hyperlink>
        </w:p>
        <w:p>
          <w:pPr>
            <w:pStyle w:val="Contents4"/>
            <w:tabs>
              <w:tab w:val="clear" w:pos="8176"/>
              <w:tab w:val="right" w:pos="9026" w:leader="dot"/>
            </w:tabs>
            <w:rPr/>
          </w:pPr>
          <w:hyperlink w:anchor="__RefHeading___Toc5588089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5588091_73709187">
            <w:r>
              <w:rPr>
                <w:webHidden/>
                <w:rStyle w:val="IndexLink"/>
                <w:rtl w:val="true"/>
              </w:rPr>
              <w:t xml:space="preserve">الفصل الأول </w:t>
            </w:r>
            <w:r>
              <w:rPr>
                <w:rStyle w:val="IndexLink"/>
                <w:rtl w:val="true"/>
              </w:rPr>
              <w:t xml:space="preserve">: </w:t>
            </w:r>
            <w:r>
              <w:rPr>
                <w:rStyle w:val="IndexLink"/>
                <w:rtl w:val="true"/>
              </w:rPr>
              <w:t>في الغاسل</w:t>
            </w:r>
            <w:r>
              <w:rPr>
                <w:rStyle w:val="IndexLink"/>
                <w:rtl w:val="true"/>
              </w:rPr>
              <w:tab/>
            </w:r>
            <w:r>
              <w:rPr>
                <w:rStyle w:val="IndexLink"/>
              </w:rPr>
              <w:t>91</w:t>
            </w:r>
          </w:hyperlink>
        </w:p>
        <w:p>
          <w:pPr>
            <w:pStyle w:val="Contents4"/>
            <w:tabs>
              <w:tab w:val="clear" w:pos="8176"/>
              <w:tab w:val="right" w:pos="9026" w:leader="dot"/>
            </w:tabs>
            <w:rPr/>
          </w:pPr>
          <w:hyperlink w:anchor="__RefHeading___Toc5588093_73709187">
            <w:r>
              <w:rPr>
                <w:webHidden/>
                <w:rStyle w:val="IndexLink"/>
                <w:rtl w:val="true"/>
              </w:rPr>
              <w:t xml:space="preserve">الفصل الثاني </w:t>
            </w:r>
            <w:r>
              <w:rPr>
                <w:rStyle w:val="IndexLink"/>
                <w:rtl w:val="true"/>
              </w:rPr>
              <w:t xml:space="preserve">: </w:t>
            </w:r>
            <w:r>
              <w:rPr>
                <w:rStyle w:val="IndexLink"/>
                <w:rtl w:val="true"/>
              </w:rPr>
              <w:t>في المغسول</w:t>
            </w:r>
            <w:r>
              <w:rPr>
                <w:rStyle w:val="IndexLink"/>
                <w:rtl w:val="true"/>
              </w:rPr>
              <w:tab/>
            </w:r>
            <w:r>
              <w:rPr>
                <w:rStyle w:val="IndexLink"/>
              </w:rPr>
              <w:t>116</w:t>
            </w:r>
          </w:hyperlink>
        </w:p>
        <w:p>
          <w:pPr>
            <w:pStyle w:val="Contents4"/>
            <w:tabs>
              <w:tab w:val="clear" w:pos="8176"/>
              <w:tab w:val="right" w:pos="9026" w:leader="dot"/>
            </w:tabs>
            <w:rPr/>
          </w:pPr>
          <w:hyperlink w:anchor="__RefHeading___Toc5588095_73709187">
            <w:r>
              <w:rPr>
                <w:webHidden/>
                <w:rStyle w:val="IndexLink"/>
                <w:rtl w:val="true"/>
              </w:rPr>
              <w:t xml:space="preserve">الفصل الثالث </w:t>
            </w:r>
            <w:r>
              <w:rPr>
                <w:rStyle w:val="IndexLink"/>
                <w:rtl w:val="true"/>
              </w:rPr>
              <w:t xml:space="preserve">: </w:t>
            </w:r>
            <w:r>
              <w:rPr>
                <w:rStyle w:val="IndexLink"/>
                <w:rtl w:val="true"/>
              </w:rPr>
              <w:t>في الغسل</w:t>
            </w:r>
            <w:r>
              <w:rPr>
                <w:rStyle w:val="IndexLink"/>
                <w:rtl w:val="true"/>
              </w:rPr>
              <w:tab/>
            </w:r>
            <w:r>
              <w:rPr>
                <w:rStyle w:val="IndexLink"/>
              </w:rPr>
              <w:t>133</w:t>
            </w:r>
          </w:hyperlink>
        </w:p>
        <w:p>
          <w:pPr>
            <w:pStyle w:val="Contents5"/>
            <w:tabs>
              <w:tab w:val="clear" w:pos="7892"/>
              <w:tab w:val="right" w:pos="9026" w:leader="dot"/>
            </w:tabs>
            <w:rPr/>
          </w:pPr>
          <w:hyperlink w:anchor="__RefHeading___Toc5588097_7370918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5588099_73709187">
            <w:r>
              <w:rPr>
                <w:webHidden/>
                <w:rStyle w:val="IndexLink"/>
                <w:rtl w:val="true"/>
              </w:rPr>
              <w:t xml:space="preserve">المقام الأول </w:t>
            </w:r>
            <w:r>
              <w:rPr>
                <w:rStyle w:val="IndexLink"/>
                <w:rtl w:val="true"/>
              </w:rPr>
              <w:t xml:space="preserve">: </w:t>
            </w:r>
            <w:r>
              <w:rPr>
                <w:rStyle w:val="IndexLink"/>
                <w:rtl w:val="true"/>
              </w:rPr>
              <w:t>في واجباته</w:t>
            </w:r>
            <w:r>
              <w:rPr>
                <w:rStyle w:val="IndexLink"/>
                <w:rtl w:val="true"/>
              </w:rPr>
              <w:tab/>
            </w:r>
            <w:r>
              <w:rPr>
                <w:rStyle w:val="IndexLink"/>
              </w:rPr>
              <w:t>133</w:t>
            </w:r>
          </w:hyperlink>
        </w:p>
        <w:p>
          <w:pPr>
            <w:pStyle w:val="Contents6"/>
            <w:tabs>
              <w:tab w:val="clear" w:pos="7609"/>
              <w:tab w:val="right" w:pos="9026" w:leader="dot"/>
            </w:tabs>
            <w:rPr/>
          </w:pPr>
          <w:hyperlink w:anchor="__RefHeading___Toc5588101_73709187">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5588103_73709187">
            <w:r>
              <w:rPr>
                <w:webHidden/>
                <w:rStyle w:val="IndexLink"/>
                <w:rtl w:val="true"/>
              </w:rPr>
              <w:t xml:space="preserve">فروع </w:t>
            </w:r>
            <w:r>
              <w:rPr>
                <w:rStyle w:val="IndexLink"/>
                <w:rtl w:val="true"/>
              </w:rPr>
              <w:t>:</w:t>
              <w:tab/>
            </w:r>
            <w:r>
              <w:rPr>
                <w:rStyle w:val="IndexLink"/>
              </w:rPr>
              <w:t>142</w:t>
            </w:r>
          </w:hyperlink>
        </w:p>
        <w:p>
          <w:pPr>
            <w:pStyle w:val="Contents5"/>
            <w:tabs>
              <w:tab w:val="clear" w:pos="7892"/>
              <w:tab w:val="right" w:pos="9026" w:leader="dot"/>
            </w:tabs>
            <w:rPr/>
          </w:pPr>
          <w:hyperlink w:anchor="__RefHeading___Toc5588105_73709187">
            <w:r>
              <w:rPr>
                <w:webHidden/>
                <w:rStyle w:val="IndexLink"/>
                <w:rtl w:val="true"/>
              </w:rPr>
              <w:t xml:space="preserve">المقام الثاني </w:t>
            </w:r>
            <w:r>
              <w:rPr>
                <w:rStyle w:val="IndexLink"/>
                <w:rtl w:val="true"/>
              </w:rPr>
              <w:t xml:space="preserve">: </w:t>
            </w:r>
            <w:r>
              <w:rPr>
                <w:rStyle w:val="IndexLink"/>
                <w:rtl w:val="true"/>
              </w:rPr>
              <w:t>في مستحباته ومكروهاته</w:t>
            </w:r>
            <w:r>
              <w:rPr>
                <w:rStyle w:val="IndexLink"/>
                <w:rtl w:val="true"/>
              </w:rPr>
              <w:tab/>
            </w:r>
            <w:r>
              <w:rPr>
                <w:rStyle w:val="IndexLink"/>
              </w:rPr>
              <w:t>150</w:t>
            </w:r>
          </w:hyperlink>
        </w:p>
        <w:p>
          <w:pPr>
            <w:pStyle w:val="Contents5"/>
            <w:tabs>
              <w:tab w:val="clear" w:pos="7892"/>
              <w:tab w:val="right" w:pos="9026" w:leader="dot"/>
            </w:tabs>
            <w:rPr/>
          </w:pPr>
          <w:hyperlink w:anchor="__RefHeading___Toc5588107_73709187">
            <w:r>
              <w:rPr>
                <w:webHidden/>
                <w:rStyle w:val="IndexLink"/>
                <w:rtl w:val="true"/>
              </w:rPr>
              <w:t xml:space="preserve">المقام الثالث </w:t>
            </w:r>
            <w:r>
              <w:rPr>
                <w:rStyle w:val="IndexLink"/>
                <w:rtl w:val="true"/>
              </w:rPr>
              <w:t xml:space="preserve">: </w:t>
            </w:r>
            <w:r>
              <w:rPr>
                <w:rStyle w:val="IndexLink"/>
                <w:rtl w:val="true"/>
              </w:rPr>
              <w:t>في الأحكام</w:t>
            </w:r>
            <w:r>
              <w:rPr>
                <w:rStyle w:val="IndexLink"/>
                <w:rtl w:val="true"/>
              </w:rPr>
              <w:tab/>
            </w:r>
            <w:r>
              <w:rPr>
                <w:rStyle w:val="IndexLink"/>
              </w:rPr>
              <w:t>174</w:t>
            </w:r>
          </w:hyperlink>
        </w:p>
        <w:p>
          <w:pPr>
            <w:pStyle w:val="Contents3"/>
            <w:tabs>
              <w:tab w:val="clear" w:pos="8459"/>
              <w:tab w:val="right" w:pos="9026" w:leader="dot"/>
            </w:tabs>
            <w:rPr/>
          </w:pPr>
          <w:hyperlink w:anchor="__RefHeading___Toc5588109_73709187">
            <w:r>
              <w:rPr>
                <w:webHidden/>
                <w:rStyle w:val="IndexLink"/>
                <w:rtl w:val="true"/>
              </w:rPr>
              <w:t xml:space="preserve">البحث الثالث </w:t>
            </w:r>
            <w:r>
              <w:rPr>
                <w:rStyle w:val="IndexLink"/>
                <w:rtl w:val="true"/>
              </w:rPr>
              <w:t xml:space="preserve">: </w:t>
            </w:r>
            <w:r>
              <w:rPr>
                <w:rStyle w:val="IndexLink"/>
                <w:rtl w:val="true"/>
              </w:rPr>
              <w:t>في التكفين</w:t>
            </w:r>
            <w:r>
              <w:rPr>
                <w:rStyle w:val="IndexLink"/>
                <w:rtl w:val="true"/>
              </w:rPr>
              <w:tab/>
            </w:r>
            <w:r>
              <w:rPr>
                <w:rStyle w:val="IndexLink"/>
              </w:rPr>
              <w:t>183</w:t>
            </w:r>
          </w:hyperlink>
        </w:p>
        <w:p>
          <w:pPr>
            <w:pStyle w:val="Contents4"/>
            <w:tabs>
              <w:tab w:val="clear" w:pos="8176"/>
              <w:tab w:val="right" w:pos="9026" w:leader="dot"/>
            </w:tabs>
            <w:rPr/>
          </w:pPr>
          <w:hyperlink w:anchor="__RefHeading___Toc5588111_7370918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5588113_73709187">
            <w:r>
              <w:rPr>
                <w:webHidden/>
                <w:rStyle w:val="IndexLink"/>
                <w:rtl w:val="true"/>
              </w:rPr>
              <w:t xml:space="preserve">فروع </w:t>
            </w:r>
            <w:r>
              <w:rPr>
                <w:rStyle w:val="IndexLink"/>
                <w:rtl w:val="true"/>
              </w:rPr>
              <w:t>:</w:t>
              <w:tab/>
            </w:r>
            <w:r>
              <w:rPr>
                <w:rStyle w:val="IndexLink"/>
              </w:rPr>
              <w:t>198</w:t>
            </w:r>
          </w:hyperlink>
        </w:p>
        <w:p>
          <w:pPr>
            <w:pStyle w:val="Contents3"/>
            <w:tabs>
              <w:tab w:val="clear" w:pos="8459"/>
              <w:tab w:val="right" w:pos="9026" w:leader="dot"/>
            </w:tabs>
            <w:rPr/>
          </w:pPr>
          <w:hyperlink w:anchor="__RefHeading___Toc5588115_73709187">
            <w:r>
              <w:rPr>
                <w:webHidden/>
                <w:rStyle w:val="IndexLink"/>
                <w:rtl w:val="true"/>
              </w:rPr>
              <w:t xml:space="preserve">البحث الرابع </w:t>
            </w:r>
            <w:r>
              <w:rPr>
                <w:rStyle w:val="IndexLink"/>
                <w:rtl w:val="true"/>
              </w:rPr>
              <w:t xml:space="preserve">: </w:t>
            </w:r>
            <w:r>
              <w:rPr>
                <w:rStyle w:val="IndexLink"/>
                <w:rtl w:val="true"/>
              </w:rPr>
              <w:t>في تحنيطه</w:t>
            </w:r>
            <w:r>
              <w:rPr>
                <w:rStyle w:val="IndexLink"/>
                <w:rtl w:val="true"/>
              </w:rPr>
              <w:tab/>
            </w:r>
            <w:r>
              <w:rPr>
                <w:rStyle w:val="IndexLink"/>
              </w:rPr>
              <w:t>245</w:t>
            </w:r>
          </w:hyperlink>
        </w:p>
        <w:p>
          <w:pPr>
            <w:pStyle w:val="Contents4"/>
            <w:tabs>
              <w:tab w:val="clear" w:pos="8176"/>
              <w:tab w:val="right" w:pos="9026" w:leader="dot"/>
            </w:tabs>
            <w:rPr/>
          </w:pPr>
          <w:hyperlink w:anchor="__RefHeading___Toc5588117_7370918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588119_73709187">
            <w:r>
              <w:rPr>
                <w:webHidden/>
                <w:rStyle w:val="IndexLink"/>
                <w:rtl w:val="true"/>
              </w:rPr>
              <w:t xml:space="preserve">فروع </w:t>
            </w:r>
            <w:r>
              <w:rPr>
                <w:rStyle w:val="IndexLink"/>
                <w:rtl w:val="true"/>
              </w:rPr>
              <w:t>:</w:t>
              <w:tab/>
            </w:r>
            <w:r>
              <w:rPr>
                <w:rStyle w:val="IndexLink"/>
              </w:rPr>
              <w:t>250</w:t>
            </w:r>
          </w:hyperlink>
        </w:p>
        <w:p>
          <w:pPr>
            <w:pStyle w:val="Contents3"/>
            <w:tabs>
              <w:tab w:val="clear" w:pos="8459"/>
              <w:tab w:val="right" w:pos="9026" w:leader="dot"/>
            </w:tabs>
            <w:rPr/>
          </w:pPr>
          <w:hyperlink w:anchor="__RefHeading___Toc5588121_73709187">
            <w:r>
              <w:rPr>
                <w:webHidden/>
                <w:rStyle w:val="IndexLink"/>
                <w:rtl w:val="true"/>
              </w:rPr>
              <w:t xml:space="preserve">البحث الخامس </w:t>
            </w:r>
            <w:r>
              <w:rPr>
                <w:rStyle w:val="IndexLink"/>
                <w:rtl w:val="true"/>
              </w:rPr>
              <w:t xml:space="preserve">: </w:t>
            </w:r>
            <w:r>
              <w:rPr>
                <w:rStyle w:val="IndexLink"/>
                <w:rtl w:val="true"/>
              </w:rPr>
              <w:t>في دفنه وما يتبعه</w:t>
            </w:r>
            <w:r>
              <w:rPr>
                <w:rStyle w:val="IndexLink"/>
                <w:rtl w:val="true"/>
              </w:rPr>
              <w:tab/>
            </w:r>
            <w:r>
              <w:rPr>
                <w:rStyle w:val="IndexLink"/>
              </w:rPr>
              <w:t>255</w:t>
            </w:r>
          </w:hyperlink>
        </w:p>
        <w:p>
          <w:pPr>
            <w:pStyle w:val="Contents4"/>
            <w:tabs>
              <w:tab w:val="clear" w:pos="8176"/>
              <w:tab w:val="right" w:pos="9026" w:leader="dot"/>
            </w:tabs>
            <w:rPr/>
          </w:pPr>
          <w:hyperlink w:anchor="__RefHeading___Toc5588123_7370918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5588125_73709187">
            <w:r>
              <w:rPr>
                <w:webHidden/>
                <w:rStyle w:val="IndexLink"/>
                <w:rtl w:val="true"/>
              </w:rPr>
              <w:t xml:space="preserve">المقام الأول </w:t>
            </w:r>
            <w:r>
              <w:rPr>
                <w:rStyle w:val="IndexLink"/>
                <w:rtl w:val="true"/>
              </w:rPr>
              <w:t xml:space="preserve">: </w:t>
            </w:r>
            <w:r>
              <w:rPr>
                <w:rStyle w:val="IndexLink"/>
                <w:rtl w:val="true"/>
              </w:rPr>
              <w:t>فيما يتعلّق بما قبل الدفن</w:t>
            </w:r>
            <w:r>
              <w:rPr>
                <w:rStyle w:val="IndexLink"/>
                <w:rtl w:val="true"/>
              </w:rPr>
              <w:tab/>
            </w:r>
            <w:r>
              <w:rPr>
                <w:rStyle w:val="IndexLink"/>
              </w:rPr>
              <w:t>255</w:t>
            </w:r>
          </w:hyperlink>
        </w:p>
        <w:p>
          <w:pPr>
            <w:pStyle w:val="Contents4"/>
            <w:tabs>
              <w:tab w:val="clear" w:pos="8176"/>
              <w:tab w:val="right" w:pos="9026" w:leader="dot"/>
            </w:tabs>
            <w:rPr/>
          </w:pPr>
          <w:hyperlink w:anchor="__RefHeading___Toc5588127_73709187">
            <w:r>
              <w:rPr>
                <w:webHidden/>
                <w:rStyle w:val="IndexLink"/>
                <w:rtl w:val="true"/>
              </w:rPr>
              <w:t xml:space="preserve">المقام الثاني </w:t>
            </w:r>
            <w:r>
              <w:rPr>
                <w:rStyle w:val="IndexLink"/>
                <w:rtl w:val="true"/>
              </w:rPr>
              <w:t xml:space="preserve">: </w:t>
            </w:r>
            <w:r>
              <w:rPr>
                <w:rStyle w:val="IndexLink"/>
                <w:rtl w:val="true"/>
              </w:rPr>
              <w:t>فيما يتعلّق بالمدفن</w:t>
            </w:r>
            <w:r>
              <w:rPr>
                <w:rStyle w:val="IndexLink"/>
                <w:rtl w:val="true"/>
              </w:rPr>
              <w:tab/>
            </w:r>
            <w:r>
              <w:rPr>
                <w:rStyle w:val="IndexLink"/>
              </w:rPr>
              <w:t>272</w:t>
            </w:r>
          </w:hyperlink>
        </w:p>
        <w:p>
          <w:pPr>
            <w:pStyle w:val="Contents5"/>
            <w:tabs>
              <w:tab w:val="clear" w:pos="7892"/>
              <w:tab w:val="right" w:pos="9026" w:leader="dot"/>
            </w:tabs>
            <w:rPr/>
          </w:pPr>
          <w:hyperlink w:anchor="__RefHeading___Toc5588129_7370918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588131_73709187">
            <w:r>
              <w:rPr>
                <w:webHidden/>
                <w:rStyle w:val="IndexLink"/>
                <w:rtl w:val="true"/>
              </w:rPr>
              <w:t xml:space="preserve">ومستحباته </w:t>
            </w:r>
            <w:r>
              <w:rPr>
                <w:rStyle w:val="IndexLink"/>
                <w:rtl w:val="true"/>
              </w:rPr>
              <w:t>:</w:t>
              <w:tab/>
            </w:r>
            <w:r>
              <w:rPr>
                <w:rStyle w:val="IndexLink"/>
              </w:rPr>
              <w:t>273</w:t>
            </w:r>
          </w:hyperlink>
        </w:p>
        <w:p>
          <w:pPr>
            <w:pStyle w:val="Contents5"/>
            <w:tabs>
              <w:tab w:val="clear" w:pos="7892"/>
              <w:tab w:val="right" w:pos="9026" w:leader="dot"/>
            </w:tabs>
            <w:rPr/>
          </w:pPr>
          <w:hyperlink w:anchor="__RefHeading___Toc5588133_73709187">
            <w:r>
              <w:rPr>
                <w:webHidden/>
                <w:rStyle w:val="IndexLink"/>
                <w:rtl w:val="true"/>
              </w:rPr>
              <w:t xml:space="preserve">ومكروهاته </w:t>
            </w:r>
            <w:r>
              <w:rPr>
                <w:rStyle w:val="IndexLink"/>
                <w:rtl w:val="true"/>
              </w:rPr>
              <w:t>:</w:t>
              <w:tab/>
            </w:r>
            <w:r>
              <w:rPr>
                <w:rStyle w:val="IndexLink"/>
              </w:rPr>
              <w:t>281</w:t>
            </w:r>
          </w:hyperlink>
        </w:p>
        <w:p>
          <w:pPr>
            <w:pStyle w:val="Contents4"/>
            <w:tabs>
              <w:tab w:val="clear" w:pos="8176"/>
              <w:tab w:val="right" w:pos="9026" w:leader="dot"/>
            </w:tabs>
            <w:rPr/>
          </w:pPr>
          <w:hyperlink w:anchor="__RefHeading___Toc5588135_73709187">
            <w:r>
              <w:rPr>
                <w:webHidden/>
                <w:rStyle w:val="IndexLink"/>
                <w:rtl w:val="true"/>
              </w:rPr>
              <w:t xml:space="preserve">المقام الثالث </w:t>
            </w:r>
            <w:r>
              <w:rPr>
                <w:rStyle w:val="IndexLink"/>
                <w:rtl w:val="true"/>
              </w:rPr>
              <w:t xml:space="preserve">: </w:t>
            </w:r>
            <w:r>
              <w:rPr>
                <w:rStyle w:val="IndexLink"/>
                <w:rtl w:val="true"/>
              </w:rPr>
              <w:t>فيما يتعلق بالدفن</w:t>
            </w:r>
            <w:r>
              <w:rPr>
                <w:rStyle w:val="IndexLink"/>
                <w:rtl w:val="true"/>
              </w:rPr>
              <w:tab/>
            </w:r>
            <w:r>
              <w:rPr>
                <w:rStyle w:val="IndexLink"/>
              </w:rPr>
              <w:t>294</w:t>
            </w:r>
          </w:hyperlink>
        </w:p>
        <w:p>
          <w:pPr>
            <w:pStyle w:val="Contents5"/>
            <w:tabs>
              <w:tab w:val="clear" w:pos="7892"/>
              <w:tab w:val="right" w:pos="9026" w:leader="dot"/>
            </w:tabs>
            <w:rPr/>
          </w:pPr>
          <w:hyperlink w:anchor="__RefHeading___Toc5588137_7370918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5588139_73709187">
            <w:r>
              <w:rPr>
                <w:webHidden/>
                <w:rStyle w:val="IndexLink"/>
                <w:rtl w:val="true"/>
              </w:rPr>
              <w:t xml:space="preserve">وأما مستحباته فأمور </w:t>
            </w:r>
            <w:r>
              <w:rPr>
                <w:rStyle w:val="IndexLink"/>
                <w:rtl w:val="true"/>
              </w:rPr>
              <w:t>:</w:t>
              <w:tab/>
            </w:r>
            <w:r>
              <w:rPr>
                <w:rStyle w:val="IndexLink"/>
              </w:rPr>
              <w:t>299</w:t>
            </w:r>
          </w:hyperlink>
        </w:p>
        <w:p>
          <w:pPr>
            <w:pStyle w:val="Contents2"/>
            <w:tabs>
              <w:tab w:val="clear" w:pos="8743"/>
              <w:tab w:val="right" w:pos="9026" w:leader="dot"/>
            </w:tabs>
            <w:rPr/>
          </w:pPr>
          <w:hyperlink w:anchor="__RefHeading___Toc5588141_73709187">
            <w:r>
              <w:rPr>
                <w:webHidden/>
                <w:rStyle w:val="IndexLink"/>
                <w:rtl w:val="true"/>
              </w:rPr>
              <w:t xml:space="preserve">المطلب الثاني </w:t>
            </w:r>
            <w:r>
              <w:rPr>
                <w:rStyle w:val="IndexLink"/>
                <w:rtl w:val="true"/>
              </w:rPr>
              <w:t xml:space="preserve">: </w:t>
            </w:r>
            <w:r>
              <w:rPr>
                <w:rStyle w:val="IndexLink"/>
                <w:rtl w:val="true"/>
              </w:rPr>
              <w:t>في الأغسال المسنونة</w:t>
            </w:r>
            <w:r>
              <w:rPr>
                <w:rStyle w:val="IndexLink"/>
                <w:rtl w:val="true"/>
              </w:rPr>
              <w:tab/>
            </w:r>
            <w:r>
              <w:rPr>
                <w:rStyle w:val="IndexLink"/>
              </w:rPr>
              <w:t>329</w:t>
            </w:r>
          </w:hyperlink>
        </w:p>
        <w:p>
          <w:pPr>
            <w:pStyle w:val="Contents3"/>
            <w:tabs>
              <w:tab w:val="clear" w:pos="8459"/>
              <w:tab w:val="right" w:pos="9026" w:leader="dot"/>
            </w:tabs>
            <w:rPr/>
          </w:pPr>
          <w:hyperlink w:anchor="__RefHeading___Toc5588143_73709187">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5588145_73709187">
            <w:r>
              <w:rPr>
                <w:webHidden/>
                <w:rStyle w:val="IndexLink"/>
                <w:rtl w:val="true"/>
              </w:rPr>
              <w:t xml:space="preserve">فروع </w:t>
            </w:r>
            <w:r>
              <w:rPr>
                <w:rStyle w:val="IndexLink"/>
                <w:rtl w:val="true"/>
              </w:rPr>
              <w:t>:</w:t>
              <w:tab/>
            </w:r>
            <w:r>
              <w:rPr>
                <w:rStyle w:val="IndexLink"/>
              </w:rPr>
              <w:t>336</w:t>
            </w:r>
          </w:hyperlink>
        </w:p>
        <w:p>
          <w:pPr>
            <w:pStyle w:val="Contents2"/>
            <w:tabs>
              <w:tab w:val="clear" w:pos="8743"/>
              <w:tab w:val="right" w:pos="9026" w:leader="dot"/>
            </w:tabs>
            <w:rPr/>
          </w:pPr>
          <w:hyperlink w:anchor="__RefHeading___Toc5588147_73709187">
            <w:r>
              <w:rPr>
                <w:webHidden/>
                <w:rStyle w:val="IndexLink"/>
                <w:rtl w:val="true"/>
              </w:rPr>
              <w:t xml:space="preserve">الباب الثالث </w:t>
            </w:r>
            <w:r>
              <w:rPr>
                <w:rStyle w:val="IndexLink"/>
                <w:rtl w:val="true"/>
              </w:rPr>
              <w:t xml:space="preserve">: </w:t>
            </w:r>
            <w:r>
              <w:rPr>
                <w:rStyle w:val="IndexLink"/>
                <w:rtl w:val="true"/>
              </w:rPr>
              <w:t>في التيمّم</w:t>
            </w:r>
            <w:r>
              <w:rPr>
                <w:rStyle w:val="IndexLink"/>
                <w:rtl w:val="true"/>
              </w:rPr>
              <w:tab/>
            </w:r>
            <w:r>
              <w:rPr>
                <w:rStyle w:val="IndexLink"/>
              </w:rPr>
              <w:t>351</w:t>
            </w:r>
          </w:hyperlink>
        </w:p>
        <w:p>
          <w:pPr>
            <w:pStyle w:val="Contents3"/>
            <w:tabs>
              <w:tab w:val="clear" w:pos="8459"/>
              <w:tab w:val="right" w:pos="9026" w:leader="dot"/>
            </w:tabs>
            <w:rPr/>
          </w:pPr>
          <w:hyperlink w:anchor="__RefHeading___Toc5588149_7370918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5588151_73709187">
            <w:r>
              <w:rPr>
                <w:webHidden/>
                <w:rStyle w:val="IndexLink"/>
                <w:rtl w:val="true"/>
              </w:rPr>
              <w:t xml:space="preserve">الفصل الأول </w:t>
            </w:r>
            <w:r>
              <w:rPr>
                <w:rStyle w:val="IndexLink"/>
                <w:rtl w:val="true"/>
              </w:rPr>
              <w:t xml:space="preserve">: </w:t>
            </w:r>
            <w:r>
              <w:rPr>
                <w:rStyle w:val="IndexLink"/>
                <w:rtl w:val="true"/>
              </w:rPr>
              <w:t>في الأعذار المسوّغة له</w:t>
            </w:r>
            <w:r>
              <w:rPr>
                <w:rStyle w:val="IndexLink"/>
                <w:rtl w:val="true"/>
              </w:rPr>
              <w:tab/>
            </w:r>
            <w:r>
              <w:rPr>
                <w:rStyle w:val="IndexLink"/>
              </w:rPr>
              <w:t>351</w:t>
            </w:r>
          </w:hyperlink>
        </w:p>
        <w:p>
          <w:pPr>
            <w:pStyle w:val="Contents4"/>
            <w:tabs>
              <w:tab w:val="clear" w:pos="8176"/>
              <w:tab w:val="right" w:pos="9026" w:leader="dot"/>
            </w:tabs>
            <w:rPr/>
          </w:pPr>
          <w:hyperlink w:anchor="__RefHeading___Toc5588153_7370918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5588155_73709187">
            <w:r>
              <w:rPr>
                <w:webHidden/>
                <w:rStyle w:val="IndexLink"/>
                <w:rtl w:val="true"/>
              </w:rPr>
              <w:t xml:space="preserve">فروع </w:t>
            </w:r>
            <w:r>
              <w:rPr>
                <w:rStyle w:val="IndexLink"/>
                <w:rtl w:val="true"/>
              </w:rPr>
              <w:t>:</w:t>
              <w:tab/>
            </w:r>
            <w:r>
              <w:rPr>
                <w:rStyle w:val="IndexLink"/>
              </w:rPr>
              <w:t>356</w:t>
            </w:r>
          </w:hyperlink>
        </w:p>
        <w:p>
          <w:pPr>
            <w:pStyle w:val="Contents4"/>
            <w:tabs>
              <w:tab w:val="clear" w:pos="8176"/>
              <w:tab w:val="right" w:pos="9026" w:leader="dot"/>
            </w:tabs>
            <w:rPr/>
          </w:pPr>
          <w:hyperlink w:anchor="__RefHeading___Toc5588157_73709187">
            <w:r>
              <w:rPr>
                <w:webHidden/>
                <w:rStyle w:val="IndexLink"/>
                <w:rtl w:val="true"/>
              </w:rPr>
              <w:t xml:space="preserve">فروع </w:t>
            </w:r>
            <w:r>
              <w:rPr>
                <w:rStyle w:val="IndexLink"/>
                <w:rtl w:val="true"/>
              </w:rPr>
              <w:t>:</w:t>
              <w:tab/>
            </w:r>
            <w:r>
              <w:rPr>
                <w:rStyle w:val="IndexLink"/>
              </w:rPr>
              <w:t>385</w:t>
            </w:r>
          </w:hyperlink>
        </w:p>
        <w:p>
          <w:pPr>
            <w:pStyle w:val="Contents3"/>
            <w:tabs>
              <w:tab w:val="clear" w:pos="8459"/>
              <w:tab w:val="right" w:pos="9026" w:leader="dot"/>
            </w:tabs>
            <w:rPr/>
          </w:pPr>
          <w:hyperlink w:anchor="__RefHeading___Toc5588159_73709187">
            <w:r>
              <w:rPr>
                <w:webHidden/>
                <w:rStyle w:val="IndexLink"/>
                <w:rtl w:val="true"/>
              </w:rPr>
              <w:t xml:space="preserve">الفصل الثاني </w:t>
            </w:r>
            <w:r>
              <w:rPr>
                <w:rStyle w:val="IndexLink"/>
                <w:rtl w:val="true"/>
              </w:rPr>
              <w:t xml:space="preserve">: </w:t>
            </w:r>
            <w:r>
              <w:rPr>
                <w:rStyle w:val="IndexLink"/>
                <w:rtl w:val="true"/>
              </w:rPr>
              <w:t>فيما يجوز به التيمّم ، أي ما يتمّم به</w:t>
            </w:r>
            <w:r>
              <w:rPr>
                <w:rStyle w:val="IndexLink"/>
                <w:rtl w:val="true"/>
              </w:rPr>
              <w:tab/>
            </w:r>
            <w:r>
              <w:rPr>
                <w:rStyle w:val="IndexLink"/>
              </w:rPr>
              <w:t>391</w:t>
            </w:r>
          </w:hyperlink>
        </w:p>
        <w:p>
          <w:pPr>
            <w:pStyle w:val="Contents3"/>
            <w:tabs>
              <w:tab w:val="clear" w:pos="8459"/>
              <w:tab w:val="right" w:pos="9026" w:leader="dot"/>
            </w:tabs>
            <w:rPr/>
          </w:pPr>
          <w:hyperlink w:anchor="__RefHeading___Toc5588161_73709187">
            <w:r>
              <w:rPr>
                <w:webHidden/>
                <w:rStyle w:val="IndexLink"/>
                <w:rtl w:val="true"/>
              </w:rPr>
              <w:t xml:space="preserve">الفصل الثالث </w:t>
            </w:r>
            <w:r>
              <w:rPr>
                <w:rStyle w:val="IndexLink"/>
                <w:rtl w:val="true"/>
              </w:rPr>
              <w:t xml:space="preserve">: </w:t>
            </w:r>
            <w:r>
              <w:rPr>
                <w:rStyle w:val="IndexLink"/>
                <w:rtl w:val="true"/>
              </w:rPr>
              <w:t>فيما يشرع له التيمّم</w:t>
            </w:r>
            <w:r>
              <w:rPr>
                <w:rStyle w:val="IndexLink"/>
                <w:rtl w:val="true"/>
              </w:rPr>
              <w:tab/>
            </w:r>
            <w:r>
              <w:rPr>
                <w:rStyle w:val="IndexLink"/>
              </w:rPr>
              <w:t>418</w:t>
            </w:r>
          </w:hyperlink>
        </w:p>
        <w:p>
          <w:pPr>
            <w:pStyle w:val="Contents3"/>
            <w:tabs>
              <w:tab w:val="clear" w:pos="8459"/>
              <w:tab w:val="right" w:pos="9026" w:leader="dot"/>
            </w:tabs>
            <w:rPr/>
          </w:pPr>
          <w:hyperlink w:anchor="__RefHeading___Toc5588163_73709187">
            <w:r>
              <w:rPr>
                <w:webHidden/>
                <w:rStyle w:val="IndexLink"/>
                <w:rtl w:val="true"/>
              </w:rPr>
              <w:t xml:space="preserve">الفصل الرابع </w:t>
            </w:r>
            <w:r>
              <w:rPr>
                <w:rStyle w:val="IndexLink"/>
                <w:rtl w:val="true"/>
              </w:rPr>
              <w:t xml:space="preserve">: </w:t>
            </w:r>
            <w:r>
              <w:rPr>
                <w:rStyle w:val="IndexLink"/>
                <w:rtl w:val="true"/>
              </w:rPr>
              <w:t>في كيفيته ، أي أفعاله الواجبة</w:t>
            </w:r>
            <w:r>
              <w:rPr>
                <w:rStyle w:val="IndexLink"/>
                <w:rtl w:val="true"/>
              </w:rPr>
              <w:tab/>
            </w:r>
            <w:r>
              <w:rPr>
                <w:rStyle w:val="IndexLink"/>
              </w:rPr>
              <w:t>425</w:t>
            </w:r>
          </w:hyperlink>
        </w:p>
        <w:p>
          <w:pPr>
            <w:pStyle w:val="Contents4"/>
            <w:tabs>
              <w:tab w:val="clear" w:pos="8176"/>
              <w:tab w:val="right" w:pos="9026" w:leader="dot"/>
            </w:tabs>
            <w:rPr/>
          </w:pPr>
          <w:hyperlink w:anchor="__RefHeading___Toc5588165_7370918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5588167_73709187">
            <w:r>
              <w:rPr>
                <w:webHidden/>
                <w:rStyle w:val="IndexLink"/>
                <w:rtl w:val="true"/>
              </w:rPr>
              <w:t xml:space="preserve">الأول </w:t>
            </w:r>
            <w:r>
              <w:rPr>
                <w:rStyle w:val="IndexLink"/>
                <w:rtl w:val="true"/>
              </w:rPr>
              <w:t xml:space="preserve">: </w:t>
            </w:r>
            <w:r>
              <w:rPr>
                <w:rStyle w:val="IndexLink"/>
                <w:rtl w:val="true"/>
              </w:rPr>
              <w:t>النية</w:t>
            </w:r>
            <w:r>
              <w:rPr>
                <w:rStyle w:val="IndexLink"/>
                <w:rtl w:val="true"/>
              </w:rPr>
              <w:tab/>
            </w:r>
            <w:r>
              <w:rPr>
                <w:rStyle w:val="IndexLink"/>
              </w:rPr>
              <w:t>425</w:t>
            </w:r>
          </w:hyperlink>
        </w:p>
        <w:p>
          <w:pPr>
            <w:pStyle w:val="Contents4"/>
            <w:tabs>
              <w:tab w:val="clear" w:pos="8176"/>
              <w:tab w:val="right" w:pos="9026" w:leader="dot"/>
            </w:tabs>
            <w:rPr/>
          </w:pPr>
          <w:hyperlink w:anchor="__RefHeading___Toc5588169_73709187">
            <w:r>
              <w:rPr>
                <w:webHidden/>
                <w:rStyle w:val="IndexLink"/>
                <w:rtl w:val="true"/>
              </w:rPr>
              <w:t xml:space="preserve">الثاني </w:t>
            </w:r>
            <w:r>
              <w:rPr>
                <w:rStyle w:val="IndexLink"/>
                <w:rtl w:val="true"/>
              </w:rPr>
              <w:t xml:space="preserve">: </w:t>
            </w:r>
            <w:r>
              <w:rPr>
                <w:rStyle w:val="IndexLink"/>
                <w:rtl w:val="true"/>
              </w:rPr>
              <w:t>وضع اليدين على ما يتيمّم به</w:t>
            </w:r>
            <w:r>
              <w:rPr>
                <w:rStyle w:val="IndexLink"/>
                <w:rtl w:val="true"/>
              </w:rPr>
              <w:tab/>
            </w:r>
            <w:r>
              <w:rPr>
                <w:rStyle w:val="IndexLink"/>
              </w:rPr>
              <w:t>429</w:t>
            </w:r>
          </w:hyperlink>
        </w:p>
        <w:p>
          <w:pPr>
            <w:pStyle w:val="Contents5"/>
            <w:tabs>
              <w:tab w:val="clear" w:pos="7892"/>
              <w:tab w:val="right" w:pos="9026" w:leader="dot"/>
            </w:tabs>
            <w:rPr/>
          </w:pPr>
          <w:hyperlink w:anchor="__RefHeading___Toc5588171_7370918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5588173_73709187">
            <w:r>
              <w:rPr>
                <w:webHidden/>
                <w:rStyle w:val="IndexLink"/>
                <w:rtl w:val="true"/>
              </w:rPr>
              <w:t xml:space="preserve">مسائل </w:t>
            </w:r>
            <w:r>
              <w:rPr>
                <w:rStyle w:val="IndexLink"/>
                <w:rtl w:val="true"/>
              </w:rPr>
              <w:t>:</w:t>
              <w:tab/>
            </w:r>
            <w:r>
              <w:rPr>
                <w:rStyle w:val="IndexLink"/>
              </w:rPr>
              <w:t>433</w:t>
            </w:r>
          </w:hyperlink>
        </w:p>
        <w:p>
          <w:pPr>
            <w:pStyle w:val="Contents4"/>
            <w:tabs>
              <w:tab w:val="clear" w:pos="8176"/>
              <w:tab w:val="right" w:pos="9026" w:leader="dot"/>
            </w:tabs>
            <w:rPr/>
          </w:pPr>
          <w:hyperlink w:anchor="__RefHeading___Toc5588175_73709187">
            <w:r>
              <w:rPr>
                <w:webHidden/>
                <w:rStyle w:val="IndexLink"/>
                <w:rtl w:val="true"/>
              </w:rPr>
              <w:t xml:space="preserve">الثالث من واجبات التيمّم </w:t>
            </w:r>
            <w:r>
              <w:rPr>
                <w:rStyle w:val="IndexLink"/>
                <w:rtl w:val="true"/>
              </w:rPr>
              <w:t xml:space="preserve">: </w:t>
            </w:r>
            <w:r>
              <w:rPr>
                <w:rStyle w:val="IndexLink"/>
                <w:rtl w:val="true"/>
              </w:rPr>
              <w:t>مسح الوجه</w:t>
            </w:r>
            <w:r>
              <w:rPr>
                <w:rStyle w:val="IndexLink"/>
                <w:rtl w:val="true"/>
              </w:rPr>
              <w:tab/>
            </w:r>
            <w:r>
              <w:rPr>
                <w:rStyle w:val="IndexLink"/>
              </w:rPr>
              <w:t>444</w:t>
            </w:r>
          </w:hyperlink>
        </w:p>
        <w:p>
          <w:pPr>
            <w:pStyle w:val="Contents5"/>
            <w:tabs>
              <w:tab w:val="clear" w:pos="7892"/>
              <w:tab w:val="right" w:pos="9026" w:leader="dot"/>
            </w:tabs>
            <w:rPr/>
          </w:pPr>
          <w:hyperlink w:anchor="__RefHeading___Toc5588177_7370918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5588179_73709187">
            <w:r>
              <w:rPr>
                <w:webHidden/>
                <w:rStyle w:val="IndexLink"/>
                <w:rtl w:val="true"/>
              </w:rPr>
              <w:t xml:space="preserve">فروع </w:t>
            </w:r>
            <w:r>
              <w:rPr>
                <w:rStyle w:val="IndexLink"/>
                <w:rtl w:val="true"/>
              </w:rPr>
              <w:t>:</w:t>
              <w:tab/>
            </w:r>
            <w:r>
              <w:rPr>
                <w:rStyle w:val="IndexLink"/>
              </w:rPr>
              <w:t>449</w:t>
            </w:r>
          </w:hyperlink>
        </w:p>
        <w:p>
          <w:pPr>
            <w:pStyle w:val="Contents5"/>
            <w:tabs>
              <w:tab w:val="clear" w:pos="7892"/>
              <w:tab w:val="right" w:pos="9026" w:leader="dot"/>
            </w:tabs>
            <w:rPr/>
          </w:pPr>
          <w:hyperlink w:anchor="__RefHeading___Toc5588181_73709187">
            <w:r>
              <w:rPr>
                <w:webHidden/>
                <w:rStyle w:val="IndexLink"/>
                <w:rtl w:val="true"/>
              </w:rPr>
              <w:t xml:space="preserve">فروع </w:t>
            </w:r>
            <w:r>
              <w:rPr>
                <w:rStyle w:val="IndexLink"/>
                <w:rtl w:val="true"/>
              </w:rPr>
              <w:t>:</w:t>
              <w:tab/>
            </w:r>
            <w:r>
              <w:rPr>
                <w:rStyle w:val="IndexLink"/>
              </w:rPr>
              <w:t>458</w:t>
            </w:r>
          </w:hyperlink>
        </w:p>
        <w:p>
          <w:pPr>
            <w:pStyle w:val="Contents3"/>
            <w:tabs>
              <w:tab w:val="clear" w:pos="8459"/>
              <w:tab w:val="right" w:pos="9026" w:leader="dot"/>
            </w:tabs>
            <w:rPr/>
          </w:pPr>
          <w:hyperlink w:anchor="__RefHeading___Toc5588183_73709187">
            <w:r>
              <w:rPr>
                <w:webHidden/>
                <w:rStyle w:val="IndexLink"/>
                <w:rtl w:val="true"/>
              </w:rPr>
              <w:t xml:space="preserve">الفصل الخامس </w:t>
            </w:r>
            <w:r>
              <w:rPr>
                <w:rStyle w:val="IndexLink"/>
                <w:rtl w:val="true"/>
              </w:rPr>
              <w:t xml:space="preserve">: </w:t>
            </w:r>
            <w:r>
              <w:rPr>
                <w:rStyle w:val="IndexLink"/>
                <w:rtl w:val="true"/>
              </w:rPr>
              <w:t>في أحكامه</w:t>
            </w:r>
            <w:r>
              <w:rPr>
                <w:rStyle w:val="IndexLink"/>
                <w:rtl w:val="true"/>
              </w:rPr>
              <w:tab/>
            </w:r>
            <w:r>
              <w:rPr>
                <w:rStyle w:val="IndexLink"/>
              </w:rPr>
              <w:t>465</w:t>
            </w:r>
          </w:hyperlink>
        </w:p>
        <w:p>
          <w:pPr>
            <w:pStyle w:val="Contents4"/>
            <w:tabs>
              <w:tab w:val="clear" w:pos="8176"/>
              <w:tab w:val="right" w:pos="9026" w:leader="dot"/>
            </w:tabs>
            <w:rPr/>
          </w:pPr>
          <w:hyperlink w:anchor="__RefHeading___Toc5588185_7370918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5588187_73709187">
            <w:r>
              <w:rPr>
                <w:webHidden/>
                <w:rStyle w:val="IndexLink"/>
                <w:rtl w:val="true"/>
              </w:rPr>
              <w:t xml:space="preserve">فروع </w:t>
            </w:r>
            <w:r>
              <w:rPr>
                <w:rStyle w:val="IndexLink"/>
                <w:rtl w:val="true"/>
              </w:rPr>
              <w:t>:</w:t>
              <w:tab/>
            </w:r>
            <w:r>
              <w:rPr>
                <w:rStyle w:val="IndexLink"/>
              </w:rPr>
              <w:t>474</w:t>
            </w:r>
          </w:hyperlink>
        </w:p>
        <w:p>
          <w:pPr>
            <w:pStyle w:val="Contents4"/>
            <w:tabs>
              <w:tab w:val="clear" w:pos="8176"/>
              <w:tab w:val="right" w:pos="9026" w:leader="dot"/>
            </w:tabs>
            <w:rPr/>
          </w:pPr>
          <w:hyperlink w:anchor="__RefHeading___Toc5588189_73709187">
            <w:r>
              <w:rPr>
                <w:webHidden/>
                <w:rStyle w:val="IndexLink"/>
                <w:rtl w:val="true"/>
              </w:rPr>
              <w:t xml:space="preserve">فروع </w:t>
            </w:r>
            <w:r>
              <w:rPr>
                <w:rStyle w:val="IndexLink"/>
                <w:rtl w:val="true"/>
              </w:rPr>
              <w:t>:</w:t>
              <w:tab/>
            </w:r>
            <w:r>
              <w:rPr>
                <w:rStyle w:val="IndexLink"/>
              </w:rPr>
              <w:t>492</w:t>
            </w:r>
          </w:hyperlink>
        </w:p>
        <w:p>
          <w:pPr>
            <w:pStyle w:val="Contents2"/>
            <w:tabs>
              <w:tab w:val="clear" w:pos="8743"/>
              <w:tab w:val="right" w:pos="9026" w:leader="dot"/>
            </w:tabs>
            <w:rPr/>
          </w:pPr>
          <w:hyperlink w:anchor="__RefHeading___Toc5588191_73709187">
            <w:r>
              <w:rPr>
                <w:webHidden/>
                <w:rStyle w:val="IndexLink"/>
                <w:rtl w:val="true"/>
              </w:rPr>
              <w:t>فهرس مستند الشيعة</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16_94455"/>
      <w:bookmarkStart w:id="1" w:name="pg11616_94455"/>
      <w:bookmarkEnd w:id="1"/>
    </w:p>
    <w:p>
      <w:pPr>
        <w:pStyle w:val="Heading2"/>
        <w:numPr>
          <w:ilvl w:val="1"/>
          <w:numId w:val="1"/>
        </w:numPr>
        <w:rPr/>
      </w:pPr>
      <w:bookmarkStart w:id="2" w:name="pg11616_94455"/>
      <w:bookmarkStart w:id="3" w:name="__RefHeading___Toc5588047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8049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16_94459"/>
    </w:p>
    <w:p>
      <w:pPr>
        <w:pStyle w:val="Heading2"/>
        <w:numPr>
          <w:ilvl w:val="1"/>
          <w:numId w:val="1"/>
        </w:numPr>
        <w:rPr/>
      </w:pPr>
      <w:bookmarkStart w:id="8" w:name="__RefHeading___Toc5588051_73709187"/>
      <w:bookmarkStart w:id="9" w:name="_Toc3"/>
      <w:bookmarkEnd w:id="7"/>
      <w:bookmarkEnd w:id="8"/>
      <w:r>
        <w:rPr>
          <w:rtl w:val="true"/>
        </w:rPr>
        <w:t xml:space="preserve">الفصل الثالث </w:t>
      </w:r>
      <w:r>
        <w:rPr>
          <w:rtl w:val="true"/>
        </w:rPr>
        <w:t xml:space="preserve">: </w:t>
      </w:r>
      <w:r>
        <w:rPr>
          <w:rtl w:val="true"/>
        </w:rPr>
        <w:t>في غسل الاستحاضة</w:t>
      </w:r>
      <w:bookmarkEnd w:id="9"/>
    </w:p>
    <w:p>
      <w:pPr>
        <w:pStyle w:val="Heading3"/>
        <w:numPr>
          <w:ilvl w:val="2"/>
          <w:numId w:val="1"/>
        </w:numPr>
        <w:rPr/>
      </w:pPr>
      <w:bookmarkStart w:id="10" w:name="__RefHeading___Toc5588053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588055_73709187"/>
      <w:bookmarkStart w:id="13" w:name="_Toc5"/>
      <w:bookmarkEnd w:id="12"/>
      <w:r>
        <w:rPr>
          <w:rtl w:val="true"/>
        </w:rPr>
        <w:t xml:space="preserve">البحث الأول </w:t>
      </w:r>
      <w:r>
        <w:rPr>
          <w:rtl w:val="true"/>
        </w:rPr>
        <w:t xml:space="preserve">: </w:t>
      </w:r>
      <w:r>
        <w:rPr>
          <w:rtl w:val="true"/>
        </w:rPr>
        <w:t>في معرفة الاستحاضة والمستحاضة</w:t>
      </w:r>
      <w:bookmarkEnd w:id="13"/>
    </w:p>
    <w:p>
      <w:pPr>
        <w:pStyle w:val="BookText"/>
        <w:rPr/>
      </w:pPr>
      <w:r>
        <w:rPr>
          <w:rFonts w:ascii="Amiri" w:hAnsi="Amiri" w:eastAsia="Amiri" w:cs="Amiri"/>
          <w:color w:val="111111"/>
          <w:sz w:val="28"/>
          <w:sz w:val="28"/>
          <w:szCs w:val="28"/>
          <w:rtl w:val="true"/>
          <w:lang w:bidi="ar-SA"/>
        </w:rPr>
        <w:t>اعلم أنّ دم الاستحاضة دم فاسد يخرج من المرأة ، له أحكام في الشريعة الطاهرة ، لا بدّ من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له أوصافا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دم أصفر بارد ، كما عن الاقتصاد ، والمبسوط ، والمصباح </w:t>
      </w:r>
      <w:r>
        <w:rPr>
          <w:rStyle w:val="FootnoteAnchor"/>
          <w:rtl w:val="true"/>
        </w:rPr>
        <w:footnoteReference w:id="2"/>
      </w:r>
      <w:r>
        <w:rPr>
          <w:rFonts w:ascii="Amiri" w:hAnsi="Amiri" w:eastAsia="Amiri" w:cs="Amiri"/>
          <w:color w:val="111111"/>
          <w:sz w:val="28"/>
          <w:sz w:val="28"/>
          <w:szCs w:val="28"/>
          <w:rtl w:val="true"/>
          <w:lang w:bidi="ar-SA"/>
        </w:rPr>
        <w:t xml:space="preserve">، ومختصره ، ونهاية الإحكام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رقيق أيضا مع الوصفين ، كما في المعتبر ، والنافع ، والمنتهى ، والتذكرة </w:t>
      </w:r>
      <w:r>
        <w:rPr>
          <w:rStyle w:val="FootnoteAnchor"/>
          <w:rtl w:val="true"/>
        </w:rPr>
        <w:footnoteReference w:id="4"/>
      </w:r>
      <w:r>
        <w:rPr>
          <w:rFonts w:ascii="Amiri" w:hAnsi="Amiri" w:eastAsia="Amiri" w:cs="Amiri"/>
          <w:color w:val="111111"/>
          <w:sz w:val="28"/>
          <w:sz w:val="28"/>
          <w:szCs w:val="28"/>
          <w:rtl w:val="true"/>
          <w:lang w:bidi="ar-SA"/>
        </w:rPr>
        <w:t xml:space="preserve">، وعن الروض ، والكافي ، والوسيلة ، والمراسم ، والغنية </w:t>
      </w:r>
      <w:r>
        <w:rPr>
          <w:rStyle w:val="FootnoteAnchor"/>
          <w:rtl w:val="true"/>
        </w:rPr>
        <w:footnoteReference w:id="5"/>
      </w:r>
      <w:r>
        <w:rPr>
          <w:rFonts w:ascii="IRNazanin" w:hAnsi="IRNazanin" w:eastAsia="IRNazanin"/>
          <w:color w:val="111111"/>
          <w:sz w:val="28"/>
          <w:sz w:val="28"/>
          <w:szCs w:val="28"/>
          <w:rtl w:val="true"/>
          <w:lang w:bidi="fa-IR"/>
        </w:rPr>
        <w:t xml:space="preserve">، والمهذب ، والإصباح ، والسرائر ، وجمل العلم والعمل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ذو فتور أيضا مع الثلاثة ، كما في الشرائع ، والقواعد ، والروضة ، واللمعة </w:t>
      </w:r>
      <w:r>
        <w:rPr>
          <w:rStyle w:val="FootnoteAnchor"/>
          <w:rtl w:val="true"/>
        </w:rPr>
        <w:footnoteReference w:id="7"/>
      </w:r>
      <w:r>
        <w:rPr>
          <w:rFonts w:ascii="Amiri" w:hAnsi="Amiri" w:eastAsia="Amiri" w:cs="Amiri"/>
          <w:color w:val="111111"/>
          <w:sz w:val="28"/>
          <w:sz w:val="28"/>
          <w:szCs w:val="28"/>
          <w:rtl w:val="true"/>
          <w:lang w:bidi="ar-SA"/>
        </w:rPr>
        <w:t xml:space="preserve">صريحا ، والهداية ، والمقنع </w:t>
      </w:r>
      <w:r>
        <w:rPr>
          <w:rStyle w:val="FootnoteAnchor"/>
          <w:rtl w:val="true"/>
        </w:rPr>
        <w:footnoteReference w:id="8"/>
      </w:r>
      <w:r>
        <w:rPr>
          <w:rFonts w:ascii="Amiri" w:hAnsi="Amiri" w:eastAsia="Amiri" w:cs="Amiri"/>
          <w:color w:val="111111"/>
          <w:sz w:val="28"/>
          <w:sz w:val="28"/>
          <w:szCs w:val="28"/>
          <w:rtl w:val="true"/>
          <w:lang w:bidi="ar-SA"/>
        </w:rPr>
        <w:t xml:space="preserve">، ورسالة الصدوق </w:t>
      </w:r>
      <w:r>
        <w:rPr>
          <w:rStyle w:val="FootnoteAnchor"/>
          <w:rtl w:val="true"/>
        </w:rPr>
        <w:footnoteReference w:id="9"/>
      </w:r>
      <w:r>
        <w:rPr>
          <w:rFonts w:ascii="Amiri" w:hAnsi="Amiri" w:eastAsia="Amiri" w:cs="Amiri"/>
          <w:color w:val="111111"/>
          <w:sz w:val="28"/>
          <w:sz w:val="28"/>
          <w:szCs w:val="28"/>
          <w:rtl w:val="true"/>
          <w:lang w:bidi="ar-SA"/>
        </w:rPr>
        <w:t>ظاهرا ، حيث وصفه بعدم الاحتباس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يحكى عن بعض كتب الشيخ </w:t>
      </w:r>
      <w:r>
        <w:rPr>
          <w:rStyle w:val="FootnoteAnchor"/>
          <w:rtl w:val="true"/>
        </w:rPr>
        <w:footnoteReference w:id="10"/>
      </w:r>
      <w:r>
        <w:rPr>
          <w:rFonts w:ascii="Amiri" w:hAnsi="Amiri" w:eastAsia="Amiri" w:cs="Amiri"/>
          <w:color w:val="111111"/>
          <w:sz w:val="28"/>
          <w:sz w:val="28"/>
          <w:szCs w:val="28"/>
          <w:rtl w:val="true"/>
          <w:lang w:bidi="ar-SA"/>
        </w:rPr>
        <w:t xml:space="preserve">أيضا ، باعتبار </w:t>
      </w:r>
    </w:p>
    <w:p>
      <w:pPr>
        <w:pStyle w:val="BookText"/>
        <w:rPr/>
      </w:pPr>
      <w:r>
        <w:rPr>
          <w:rFonts w:ascii="Amiri" w:hAnsi="Amiri" w:eastAsia="Amiri" w:cs="Amiri"/>
          <w:color w:val="111111"/>
          <w:sz w:val="28"/>
          <w:sz w:val="28"/>
          <w:szCs w:val="28"/>
          <w:rtl w:val="true"/>
          <w:lang w:bidi="ar-SA"/>
        </w:rPr>
        <w:t>وصفه الحيض بالدفع ، المشعر باعتبار عدمه في الاستحاضة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الريب في اعتبار الأولين ، للتصريح بهما في المستفيضة المتقدّمة في مسألة أوصاف الحيض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الثالث ، للرضوي ، والمروي في الدعائم ، السابقين فيها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الرابع وإن كان ظاهر الرضوي اعتباره ، إلاّ أنّ لضعفه الخالي عن الجابر في المقام 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المتحصّل من تلك الأخبار اعتبار كلّية تلك الأوصاف في جانب النفي ، أي كلّ ما انتفت فيه الأوصاف انتفى كونه دم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كلية جانب الإثبات فتثبت من منطوق الشرط في موثّقة إسحاق ، المتقدّمة في المسألة المذكورة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ويزاد الدليل على الكلية الأخيرة في صورة الاشتباه مع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التمييز بين الاستحاضة والحيض بالرجوع إلى الأوصاف في الحكم بكونه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ثبوت الكلّية من الجانبين ليس إلاّ من باب الأصل كسائر القواعد الشرعية ، لا يتخلّف إلاّ بدليل ، وقد تحقّق التخلّف بالدليل في مواضع ، كأيام العادة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أنّ كلّ دم متّصف بتلك الأوصاف ، ولم ينف استحاضيته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كالدماء المتقدّمة المحكومة بكونها حيضا مع تلك الأوصاف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كونه من قرح أو جرح أو عذرة ، فهو دم استحاضة يحكم بثبوت أحكامها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يحكم بثبوت أحكامها لكلّ دم تراه النفساء أو الحائض زائدا على العشرة مطلقا ، أو على العادة وأيام الاستظهار بشرط التجاوز عن العشرة في ذات العادة خاصة إلى زمان يحكم بتحيّضها فيه ثانيا ، أو تراه بعد العشرة منفصلا عنها </w:t>
      </w:r>
    </w:p>
    <w:p>
      <w:pPr>
        <w:pStyle w:val="BookText"/>
        <w:rPr/>
      </w:pPr>
      <w:r>
        <w:rPr>
          <w:rFonts w:ascii="Amiri" w:hAnsi="Amiri" w:eastAsia="Amiri" w:cs="Amiri"/>
          <w:color w:val="111111"/>
          <w:sz w:val="28"/>
          <w:sz w:val="28"/>
          <w:szCs w:val="28"/>
          <w:rtl w:val="true"/>
          <w:lang w:bidi="ar-SA"/>
        </w:rPr>
        <w:t>بشرط عدم تخلّل نقاء أقلّ الطهر ، أو تراه المبتدأة زائدا على التمييز أو على أقراء نسائها أو على الروايات ، أو الناسية زائدا على أيام تحيّضها المتقدّمة ، متّصلا في الجميع مع التحيّض مطلقا إلى زمان يحكم بتحيّضها فيه ثانيا ، أو منفصلا بشرط عدم تخلّل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بالإجماع ، والنصوص ، كمرسلتي يونس ، القصيرة </w:t>
      </w:r>
      <w:r>
        <w:rPr>
          <w:rStyle w:val="FootnoteAnchor"/>
          <w:rtl w:val="true"/>
        </w:rPr>
        <w:footnoteReference w:id="14"/>
      </w:r>
      <w:r>
        <w:rPr>
          <w:rFonts w:ascii="Amiri" w:hAnsi="Amiri" w:eastAsia="Amiri" w:cs="Amiri"/>
          <w:color w:val="111111"/>
          <w:sz w:val="28"/>
          <w:sz w:val="28"/>
          <w:szCs w:val="28"/>
          <w:rtl w:val="true"/>
          <w:lang w:bidi="ar-SA"/>
        </w:rPr>
        <w:t xml:space="preserve">والطويلة </w:t>
      </w:r>
      <w:r>
        <w:rPr>
          <w:rStyle w:val="FootnoteAnchor"/>
          <w:rtl w:val="true"/>
        </w:rPr>
        <w:footnoteReference w:id="15"/>
      </w:r>
      <w:r>
        <w:rPr>
          <w:rFonts w:ascii="Amiri" w:hAnsi="Amiri" w:eastAsia="Amiri" w:cs="Amiri"/>
          <w:color w:val="111111"/>
          <w:sz w:val="28"/>
          <w:sz w:val="28"/>
          <w:szCs w:val="28"/>
          <w:rtl w:val="true"/>
          <w:lang w:bidi="ar-SA"/>
        </w:rPr>
        <w:t xml:space="preserve">، ومرسلة أبي المغراء </w:t>
      </w:r>
      <w:r>
        <w:rPr>
          <w:rStyle w:val="FootnoteAnchor"/>
          <w:rtl w:val="true"/>
        </w:rPr>
        <w:footnoteReference w:id="16"/>
      </w:r>
      <w:r>
        <w:rPr>
          <w:rFonts w:ascii="Amiri" w:hAnsi="Amiri" w:eastAsia="Amiri" w:cs="Amiri"/>
          <w:color w:val="111111"/>
          <w:sz w:val="28"/>
          <w:sz w:val="28"/>
          <w:szCs w:val="28"/>
          <w:rtl w:val="true"/>
          <w:lang w:bidi="ar-SA"/>
        </w:rPr>
        <w:t xml:space="preserve">، وموثّقات سماعة وابن بكير وحريز </w:t>
      </w:r>
      <w:r>
        <w:rPr>
          <w:rStyle w:val="FootnoteAnchor"/>
          <w:rtl w:val="true"/>
        </w:rPr>
        <w:footnoteReference w:id="17"/>
      </w:r>
      <w:r>
        <w:rPr>
          <w:rFonts w:ascii="Amiri" w:hAnsi="Amiri" w:eastAsia="Amiri" w:cs="Amiri"/>
          <w:color w:val="111111"/>
          <w:sz w:val="28"/>
          <w:sz w:val="28"/>
          <w:szCs w:val="28"/>
          <w:rtl w:val="true"/>
          <w:lang w:bidi="ar-SA"/>
        </w:rPr>
        <w:t xml:space="preserve">وأبي بصير ويونس بن يعقوب وصحاح صفوان والصحاف وابن عمار ويونس </w:t>
      </w:r>
      <w:r>
        <w:rPr>
          <w:rStyle w:val="FootnoteAnchor"/>
          <w:rtl w:val="true"/>
        </w:rPr>
        <w:footnoteReference w:id="18"/>
      </w:r>
      <w:r>
        <w:rPr>
          <w:rFonts w:ascii="Amiri" w:hAnsi="Amiri" w:eastAsia="Amiri" w:cs="Amiri"/>
          <w:color w:val="111111"/>
          <w:sz w:val="28"/>
          <w:sz w:val="28"/>
          <w:szCs w:val="28"/>
          <w:rtl w:val="true"/>
          <w:lang w:bidi="ar-SA"/>
        </w:rPr>
        <w:t xml:space="preserve">ومحمد بن عمرو ، وزرارة وفضيل مع زرارة ، ومرفوعة إبراهيم بن هاشم </w:t>
      </w:r>
      <w:r>
        <w:rPr>
          <w:rStyle w:val="FootnoteAnchor"/>
          <w:rtl w:val="true"/>
        </w:rPr>
        <w:footnoteReference w:id="19"/>
      </w:r>
      <w:r>
        <w:rPr>
          <w:rFonts w:ascii="Amiri" w:hAnsi="Amiri" w:eastAsia="Amiri" w:cs="Amiri"/>
          <w:color w:val="111111"/>
          <w:sz w:val="28"/>
          <w:sz w:val="28"/>
          <w:szCs w:val="28"/>
          <w:rtl w:val="true"/>
          <w:lang w:bidi="ar-SA"/>
        </w:rPr>
        <w:t>، وسائر أخبار الاستظهار ، بل في غير موضع من المرسلة الطويلة إشعار باستحاضية كلّ دم مستمر لا يحكم بحيضيته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تعارض تلك النصوص بعضا أو كلا مع روايات أوصاف الاستحاضة بالعموم من وجه ، لأنه إنّما كان يلزم لو كان المحكوم به في تلك النصوص كون ذلك الدم دم الاستحاضة ، وليس كذلك ، بل في الأكثر أن المرأة </w:t>
      </w:r>
    </w:p>
    <w:p>
      <w:pPr>
        <w:pStyle w:val="BookText"/>
        <w:rPr/>
      </w:pPr>
      <w:r>
        <w:rPr>
          <w:rFonts w:ascii="Amiri" w:hAnsi="Amiri" w:eastAsia="Amiri" w:cs="Amiri"/>
          <w:color w:val="111111"/>
          <w:sz w:val="28"/>
          <w:sz w:val="28"/>
          <w:szCs w:val="28"/>
          <w:rtl w:val="true"/>
          <w:lang w:bidi="ar-SA"/>
        </w:rPr>
        <w:t>تفعل كذا وكذا إلى آخر أحكام دم الاستحاضة ، وكان يثبت ما لم يذكر فيها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 بين اعتبار وصف خاص لدم الاستحاضة ، وثبوت مثل أحكامه للدماء الأخر وإن لم يعلم كونها ذلك الدم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تلازم بين ثبوت هذه الأحكام لدم وبين كونه دم استحاضة لغة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غاية الأمر أنّ بناء الفقهاء والمتشرّعة على تسمية كلّ دم ثابت له تلك الأحكام دم استحاضة إمّا مجازا أو حقيقة محتمل الطريان ، ولكنه لا يثبت التلازم الشرعي أو اللغوي ، ولو ادّعي الإجماع المركّب لمنعناه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نعرف لدم الاستحاضة معنى إلاّ ما ثبت له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أنه كذلك في العرف المتأخّر فلا يضرّ ، وإن أريد غيره فلا نسلّم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غير واحد من أهل اللغة </w:t>
      </w:r>
      <w:r>
        <w:rPr>
          <w:rStyle w:val="FootnoteAnchor"/>
          <w:rtl w:val="true"/>
        </w:rPr>
        <w:footnoteReference w:id="20"/>
      </w:r>
      <w:r>
        <w:rPr>
          <w:rFonts w:ascii="IRNazanin" w:hAnsi="IRNazanin" w:eastAsia="IRNazanin"/>
          <w:color w:val="111111"/>
          <w:sz w:val="28"/>
          <w:sz w:val="28"/>
          <w:szCs w:val="28"/>
          <w:rtl w:val="true"/>
          <w:lang w:bidi="fa-IR"/>
        </w:rPr>
        <w:t xml:space="preserve">بل الفقهاء </w:t>
      </w:r>
      <w:r>
        <w:rPr>
          <w:rStyle w:val="FootnoteAnchor"/>
          <w:rtl w:val="true"/>
        </w:rPr>
        <w:footnoteReference w:id="21"/>
      </w:r>
      <w:r>
        <w:rPr>
          <w:rFonts w:ascii="Amiri" w:hAnsi="Amiri" w:eastAsia="Amiri" w:cs="Amiri"/>
          <w:color w:val="111111"/>
          <w:sz w:val="28"/>
          <w:sz w:val="28"/>
          <w:szCs w:val="28"/>
          <w:rtl w:val="true"/>
          <w:lang w:bidi="ar-SA"/>
        </w:rPr>
        <w:t>أيضا دم الاستحاضة بأنه دم يخرج من العرق العاذل ، وهو عرق في أدنى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العاذل اسم للعرق الذي يسيل منه دم الاستحاضة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يكون المراد في الأخبار بدم الاستحاضة المعتبر في معرفته الأوصاف وله أحكام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الدم وإن ثبت تلك الأحكام لغيره أيضا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يدلّ على التغاير ما صرّح به في بعض الأخبار أنها بمنزلة المستحاضة ، كما في موثّقة يونس بن يعقوب </w:t>
      </w:r>
      <w:r>
        <w:rPr>
          <w:rStyle w:val="FootnoteAnchor"/>
          <w:rtl w:val="true"/>
        </w:rPr>
        <w:footnoteReference w:id="23"/>
      </w:r>
      <w:r>
        <w:rPr>
          <w:rFonts w:ascii="Amiri" w:hAnsi="Amiri" w:eastAsia="Amiri" w:cs="Amiri"/>
          <w:color w:val="111111"/>
          <w:sz w:val="28"/>
          <w:sz w:val="28"/>
          <w:szCs w:val="28"/>
          <w:rtl w:val="true"/>
          <w:lang w:bidi="ar-SA"/>
        </w:rPr>
        <w:t xml:space="preserve">، 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كما تفعله المستحاضة ، </w:t>
      </w:r>
    </w:p>
    <w:p>
      <w:pPr>
        <w:pStyle w:val="BookText"/>
        <w:rPr/>
      </w:pPr>
      <w:r>
        <w:rPr>
          <w:rFonts w:ascii="Amiri" w:hAnsi="Amiri" w:eastAsia="Amiri" w:cs="Amiri"/>
          <w:color w:val="111111"/>
          <w:sz w:val="28"/>
          <w:sz w:val="28"/>
          <w:szCs w:val="28"/>
          <w:rtl w:val="true"/>
          <w:lang w:bidi="ar-SA"/>
        </w:rPr>
        <w:t xml:space="preserve">أو تصنع كما تصنعه ، كما في موثّقات ابن بكير </w:t>
      </w:r>
      <w:r>
        <w:rPr>
          <w:rStyle w:val="FootnoteAnchor"/>
          <w:rtl w:val="true"/>
        </w:rPr>
        <w:footnoteReference w:id="24"/>
      </w:r>
      <w:r>
        <w:rPr>
          <w:rFonts w:ascii="Amiri" w:hAnsi="Amiri" w:eastAsia="Amiri" w:cs="Amiri"/>
          <w:color w:val="111111"/>
          <w:sz w:val="28"/>
          <w:sz w:val="28"/>
          <w:szCs w:val="28"/>
          <w:rtl w:val="true"/>
          <w:lang w:bidi="ar-SA"/>
        </w:rPr>
        <w:t xml:space="preserve">وأبي بصير </w:t>
      </w:r>
      <w:r>
        <w:rPr>
          <w:rStyle w:val="FootnoteAnchor"/>
          <w:rtl w:val="true"/>
        </w:rPr>
        <w:footnoteReference w:id="25"/>
      </w:r>
      <w:r>
        <w:rPr>
          <w:rFonts w:ascii="Amiri" w:hAnsi="Amiri" w:eastAsia="Amiri" w:cs="Amiri"/>
          <w:color w:val="111111"/>
          <w:sz w:val="28"/>
          <w:sz w:val="28"/>
          <w:szCs w:val="28"/>
          <w:rtl w:val="true"/>
          <w:lang w:bidi="ar-SA"/>
        </w:rPr>
        <w:t xml:space="preserve">وسماعة </w:t>
      </w:r>
      <w:r>
        <w:rPr>
          <w:rStyle w:val="FootnoteAnchor"/>
          <w:rtl w:val="true"/>
        </w:rPr>
        <w:footnoteReference w:id="26"/>
      </w:r>
      <w:r>
        <w:rPr>
          <w:rFonts w:ascii="Amiri" w:hAnsi="Amiri" w:eastAsia="Amiri" w:cs="Amiri"/>
          <w:color w:val="111111"/>
          <w:sz w:val="28"/>
          <w:sz w:val="28"/>
          <w:szCs w:val="28"/>
          <w:rtl w:val="true"/>
          <w:lang w:bidi="ar-SA"/>
        </w:rPr>
        <w:t xml:space="preserve">، وصحيحة زرارة </w:t>
      </w:r>
      <w:r>
        <w:rPr>
          <w:rStyle w:val="FootnoteAnchor"/>
          <w:rtl w:val="true"/>
        </w:rPr>
        <w:footnoteReference w:id="27"/>
      </w:r>
      <w:r>
        <w:rPr>
          <w:rFonts w:ascii="Amiri" w:hAnsi="Amiri" w:eastAsia="Amiri" w:cs="Amiri"/>
          <w:color w:val="111111"/>
          <w:sz w:val="28"/>
          <w:sz w:val="28"/>
          <w:szCs w:val="28"/>
          <w:rtl w:val="true"/>
          <w:lang w:bidi="ar-SA"/>
        </w:rPr>
        <w:t xml:space="preserve">، أو كذلك تفعل المستحاضة ، كما في صحيحة الصحاف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دم الاستحاضة دما مخصوصا لا يلزم أن تكون المرأة المستحاضة هي ذات ذلك الدم خاصة ، لأنّ مبدأ الاشتقاق الحقيقي ليس ذلك الدم الخاص ، بل هو الحيض الذي يفسّر بالسيلان ، فيمكن أن يسمّى فردا من الدم السائل استحاضة ، كما يسمّى فردا آخر منه حيضا ، وتسمّى المرأة التي يسيل منها هذا الدم أو غيره أيضا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كلام الجوهري التغاير ، حيث إنّه صرّح بأنّ دم الاستحاضة يخرج من العرق العاذل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مادة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استحيضت المرأة ، أي استمرّ بها الدم بعد أيامها فهي مستحاضة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المستحاضة بمن استمرّ دمها بعد العادة من غير اختصاص بدم خاص ، فأطلق في الدم وقيّد في الزمان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ثبوت التعارض بين أخبار اعتبار الأوصاف وبين ما تضمّن من تلك النصوص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هي مستحاضة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مستحاضة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لجواز تسمية من سال عنها الدم المحكوم له بتلك الأحكام مطلقا مستحاضة تجوّزا ، للمشابهة في الأحكام ، أو لكونها فردا خاصا من مطلق من سال 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بعد ملاحظة مبدأ الاشتقاق الأصلي للفظي دم الاستحاضة والمستحاضة ، وكلام صاحب الصحاح وغيره في تفسيرهما ، وما ورد في الأخبار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كما تعمله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حصول القطع باتّحاد دم الاستحاضة والدم الذي له تلك الأحكام مطلقا ، فلا يحصل العلم بالتعارض ، مع أنه لو حصل أيضا لكان الترجيح لتلك النصوص بالأشهرية رواية ، بل موافقة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ممّا ذكر أنّ كلّ دم كان متّصفا بأوصاف الاستحاضة تثبت لصاحبته أحكام المستحاضة إلاّ ما خرج بدليل ، وكذا كلّ دم دلّ دليل من إجماع أو نص عام أو خاص على ثبوت تلك الأحكام له ، كالدماء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يكن كذلك فيبقى تحت أصالة عدم تعلّق تلك الأحكام به ، كالدم الذي تراه المرأة أقلّ من ثلاثة أو مستمرّا إليها بدون صفة الحيض ولم نقل بحيضيته ، أو بعد العشرة ، أو العادة مع تخلّل عشرة الطهر على القول بعدم حيضيته إلاّ مع الوصف أو مصادفة العادة ، أو قبل البلوغ ، أو بعد اليأس ، إذا لم تكن تلك الدماء بصفة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بتعلّق أحكام المستحاضة بصاحبتها ، للأصل ، وعدم الدليل ، كما صرّح به في المدارك في الأول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والعلم بعدم كونه من القرح أو الجرح لا يوجب العلم بكونه دم استحاضة ، والانحصار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فرض العلم بعدم كونه من قرحة في الجوف ، أو انفتاح عرق ، أو طغيان دم مجرد فرض لا يكاد يتحقق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في بعض تلك الموارد مجازفة لا اعتناء 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المغراء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كما ترى الحائض من الدم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الهراقة إن كان دما كثيرا فلا تصلّين ، وإن كان قليلا فلتغتسل عند </w:t>
      </w:r>
    </w:p>
    <w:p>
      <w:pPr>
        <w:pStyle w:val="BookText"/>
        <w:rPr/>
      </w:pPr>
      <w:r>
        <w:rPr>
          <w:rFonts w:ascii="Amiri" w:hAnsi="Amiri" w:eastAsia="Amiri" w:cs="Amiri"/>
          <w:color w:val="111111"/>
          <w:sz w:val="28"/>
          <w:sz w:val="28"/>
          <w:szCs w:val="28"/>
          <w:rtl w:val="true"/>
          <w:lang w:bidi="ar-SA"/>
        </w:rPr>
        <w:t xml:space="preserve">كل صلاتين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تدلّ على استحاضية الدم المرئي إن كان قليلا ولو لم يكن بالوصف ، ويتم المطلوب بالإجماع المركّب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معارضتها بمفهوم موثّقة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صفرة 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لا يمكن إبقاؤها على إطلاقها ، لوجوب تقييدها إمّا بقيد عدم كونه بصفة الحيض ، أو بكونه بصفة الاستحاضة ، والأول ليس أولى من الثاني</w:t>
      </w:r>
      <w:r>
        <w:rPr>
          <w:rFonts w:eastAsia="Amiri" w:cs="Amiri" w:ascii="Amiri" w:hAnsi="Amiri"/>
          <w:color w:val="111111"/>
          <w:sz w:val="28"/>
          <w:szCs w:val="28"/>
          <w:rtl w:val="true"/>
          <w:lang w:bidi="ar-SA"/>
        </w:rPr>
        <w:t xml:space="preserve">. </w:t>
      </w:r>
      <w:bookmarkStart w:id="14" w:name="pg11616_94466"/>
    </w:p>
    <w:p>
      <w:pPr>
        <w:pStyle w:val="Heading3"/>
        <w:numPr>
          <w:ilvl w:val="2"/>
          <w:numId w:val="1"/>
        </w:numPr>
        <w:rPr/>
      </w:pPr>
      <w:bookmarkStart w:id="15" w:name="__RefHeading___Toc5588057_73709187"/>
      <w:bookmarkStart w:id="16" w:name="_Toc6"/>
      <w:bookmarkEnd w:id="14"/>
      <w:bookmarkEnd w:id="15"/>
      <w:r>
        <w:rPr>
          <w:rtl w:val="true"/>
        </w:rPr>
        <w:t xml:space="preserve">البحث الثاني </w:t>
      </w:r>
      <w:r>
        <w:rPr>
          <w:rtl w:val="true"/>
        </w:rPr>
        <w:t xml:space="preserve">: </w:t>
      </w:r>
      <w:r>
        <w:rPr>
          <w:rtl w:val="true"/>
        </w:rPr>
        <w:t>في أحكام المستحاضة</w:t>
      </w:r>
      <w:bookmarkEnd w:id="16"/>
    </w:p>
    <w:p>
      <w:pPr>
        <w:pStyle w:val="Heading4"/>
        <w:numPr>
          <w:ilvl w:val="3"/>
          <w:numId w:val="1"/>
        </w:numPr>
        <w:rPr/>
      </w:pPr>
      <w:bookmarkStart w:id="17" w:name="__RefHeading___Toc5588059_73709187"/>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وهي أمور 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الاستحاضة إمّا يلطخ باطن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جانبه الذي يلي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يثقبه إلى ظاهره وإن غمسه ودخل باطنه ، أو يثقبه إلى ظاهره ولا يتجاوز إلى غيره ، أو يتجاوز إلى غيره ، فهذه أقسام ثلاثة يعبّر عنها بالقليلة والمتوسّطة والكثيرة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أن تتوضّأ لكلّ صلاة ما دام الدم كذلك ، ولا غسل عليها على المنصور المشهور ، بل عن الناصريات والخلاف الإجماع عليه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التوضّؤ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عليه السلام في صحيحة الصحاف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الدم فيما بينها وبين المغرب لا يسيل من خلف الكرسف فلتتوضّأ ولتصلّ عند وقت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طرحت الكرسف ولم يسل الدم فلتوضّأ ولتصلّ ولا غسل عليها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قوله في موثّقة زرارة في 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تستوثق من نفسها وتصلّي كلّ صلاة بوضوء ما لم ينفذ الدم ، فإذا نفذ اغتسلت وصلّت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الدم لا يثقب الكرسف توضّأت ودخلت المسجد وصلّت كلّ صلاة بوضوء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يثقب الدم الكرسف صلّت صلاتها كلّ صلاة بوضوء واحد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المعتبرة الآمرة بالوضوء مع رؤية الصفرة ، كما في موثّقة سماعة الآتية </w:t>
      </w:r>
      <w:r>
        <w:rPr>
          <w:rStyle w:val="FootnoteAnchor"/>
          <w:rtl w:val="true"/>
        </w:rPr>
        <w:footnoteReference w:id="40"/>
      </w:r>
      <w:r>
        <w:rPr>
          <w:rFonts w:ascii="Amiri" w:hAnsi="Amiri" w:eastAsia="Amiri" w:cs="Amiri"/>
          <w:color w:val="111111"/>
          <w:sz w:val="28"/>
          <w:sz w:val="28"/>
          <w:szCs w:val="28"/>
          <w:rtl w:val="true"/>
          <w:lang w:bidi="ar-SA"/>
        </w:rPr>
        <w:t xml:space="preserve">، وفي صحيحة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رأت صفرة فلتتوضّأ ثمَّ لتصلّ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انتفاء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 وصريح الاولى ، وظاهر البواقي باعتبار انقطاع الشركة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مرسلة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قليلا أصفر فليس عليها إلاّ الوضوء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يخصّص بعض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للعماني </w:t>
      </w:r>
      <w:r>
        <w:rPr>
          <w:rStyle w:val="FootnoteAnchor"/>
          <w:rtl w:val="true"/>
        </w:rPr>
        <w:footnoteReference w:id="43"/>
      </w:r>
      <w:r>
        <w:rPr>
          <w:rFonts w:ascii="Amiri" w:hAnsi="Amiri" w:eastAsia="Amiri" w:cs="Amiri"/>
          <w:color w:val="111111"/>
          <w:sz w:val="28"/>
          <w:sz w:val="28"/>
          <w:szCs w:val="28"/>
          <w:rtl w:val="true"/>
          <w:lang w:bidi="ar-SA"/>
        </w:rPr>
        <w:t xml:space="preserve">فنفي الأول كالثاني ، 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تغتسل عند صلاة الظهر وتصلّي الظهر والعصر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أنّ المستحاضة لا تفعل إلاّ ذلك وإلاّ لبينه ، ولثبوت اختصاص هذا الحكم بغير القليلة فلا حكم لها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تقعد أيام قرئها ثمَّ تحتاط بيوم أو يومين ، فإن هي رأت طهرا اغتسلت ، وإن هي لم تر طهرا اغتسلت واحتشت فلا تزال تصلّي بذلك الغسل حتى يظهر الدم على الكرسف ، فإذا ظهر أعادت الغسل وأعادت الكرسف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والأولى مطلقة يجب تقييدها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لا تنفى الوضوء بل مجملة بالنسبة إليه أو مطلقة ، فحملها على ما تقدّم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مع فرض الدلالة للشهرة القديمة مخالفة ، فلا تصلحان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وللإسكافي </w:t>
      </w:r>
      <w:r>
        <w:rPr>
          <w:rStyle w:val="FootnoteAnchor"/>
          <w:rtl w:val="true"/>
        </w:rPr>
        <w:footnoteReference w:id="46"/>
      </w:r>
      <w:r>
        <w:rPr>
          <w:rFonts w:ascii="Amiri" w:hAnsi="Amiri" w:eastAsia="Amiri" w:cs="Amiri"/>
          <w:color w:val="111111"/>
          <w:sz w:val="28"/>
          <w:sz w:val="28"/>
          <w:szCs w:val="28"/>
          <w:rtl w:val="true"/>
          <w:lang w:bidi="ar-SA"/>
        </w:rPr>
        <w:t xml:space="preserve">، فأثبت الثاني في كلّ يوم وليلة مرة كالأول ، لموثّقة سماعة ، المضمرة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إذا ثقب الدم الكرسف اغتسلت لكلّ صلاتين وللفجر غسلا ، فإن لم يجز الدم الكرسف فعليها الغسل لكلّ يوم مرة والوضوء لكلّ صلاة ، وإن أراد زوجها أن يأتيها فحين تغتسل ، هذا إذا كان دما عبيطا ، وإن كان صفرة فعليها الوضوء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المستحاضة واجب ، إذا احتشت بالكرسف فجاز الدم الكرسف فعليها الغسل لكلّ صلاتين وللفجر غسل ، وإن لم يجز الدم الكرسف فعليها الغسل كلّ يوم مرة والوضوء لكلّ صلاة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يجز الدم الكرسف صلّت بغسل واحد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صلاحيتها لمعارضة ما مرّ لنحو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مرّ </w:t>
      </w:r>
    </w:p>
    <w:p>
      <w:pPr>
        <w:pStyle w:val="BookText"/>
        <w:rPr/>
      </w:pPr>
      <w:r>
        <w:rPr>
          <w:rFonts w:ascii="Amiri" w:hAnsi="Amiri" w:eastAsia="Amiri" w:cs="Amiri"/>
          <w:color w:val="111111"/>
          <w:sz w:val="28"/>
          <w:sz w:val="28"/>
          <w:szCs w:val="28"/>
          <w:rtl w:val="true"/>
          <w:lang w:bidi="ar-SA"/>
        </w:rPr>
        <w:t>بعد اختصاصه بما إذا لم يظهر الدم على الكرسف لما يأتي ، يكون أخصّ مطلقا منها فتخصّص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تصريح ذيل الاولى بوجوب الوضوء خاصة مع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قطعا إلاّ في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تخصيص ما قبله بغيرها البتة ، واحتمال إرادة غسل النفاس من الغسل الواحد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أنه يجب عليها عند كلّ وضوء تغيير القطنة أو غسلها ، بل عليه الإجماع عن الناصريات ، والمنتهى </w:t>
      </w:r>
      <w:r>
        <w:rPr>
          <w:rStyle w:val="FootnoteAnchor"/>
          <w:rtl w:val="true"/>
        </w:rPr>
        <w:footnoteReference w:id="50"/>
      </w:r>
      <w:r>
        <w:rPr>
          <w:rFonts w:ascii="Amiri" w:hAnsi="Amiri" w:eastAsia="Amiri" w:cs="Amiri"/>
          <w:color w:val="111111"/>
          <w:sz w:val="28"/>
          <w:sz w:val="28"/>
          <w:szCs w:val="28"/>
          <w:rtl w:val="true"/>
          <w:lang w:bidi="ar-SA"/>
        </w:rPr>
        <w:t>، لذلك ، ولوجوب إزالة النجاسة في الصلاة إلاّ ما عفى عنه ، ولم يثبت العفو عن هذا الدم ولو فيما دون الدرهم أو فيما لا تتم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وللأمر بالإبدال في خبر الجعفي ، المتقدّم </w:t>
      </w:r>
      <w:r>
        <w:rPr>
          <w:rStyle w:val="FootnoteAnchor"/>
          <w:rtl w:val="true"/>
        </w:rPr>
        <w:footnoteReference w:id="51"/>
      </w:r>
      <w:r>
        <w:rPr>
          <w:rFonts w:ascii="Amiri" w:hAnsi="Amiri" w:eastAsia="Amiri" w:cs="Amiri"/>
          <w:color w:val="111111"/>
          <w:sz w:val="28"/>
          <w:sz w:val="28"/>
          <w:szCs w:val="28"/>
          <w:rtl w:val="true"/>
          <w:lang w:bidi="ar-SA"/>
        </w:rPr>
        <w:t xml:space="preserve">، وصحيحتي صفوان والبصري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مستحاضة ، تغتسل وتستدخل قطنة بعد قطنة ، وتجمع بين صلاتين بغسل ، ويأتيها زوجها إن أراد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وفيها بعد الأمر بالاستظهار والغسل للحيض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وتستدخل كرسفا ، فإذا ظهر على الكرسف فلتغتسل ، ثمَّ تضع كرسفا آخر ثمَّ تصلّي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وللزوم إخراج القطنة لمعرفة حال الاستحاضة ، فإدخالها بعينها يوجب تلويث ظاهر الفرج الواجب غسله ، كما يأتي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الوجوب أوّلا ، لعدم كون النجاسة في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العفو ثانيا إن كان أقلّ من الدرهم من وجهين وإلاّ </w:t>
      </w:r>
    </w:p>
    <w:p>
      <w:pPr>
        <w:pStyle w:val="BookText"/>
        <w:rPr/>
      </w:pPr>
      <w:r>
        <w:rPr>
          <w:rFonts w:ascii="Amiri" w:hAnsi="Amiri" w:eastAsia="Amiri" w:cs="Amiri"/>
          <w:color w:val="111111"/>
          <w:sz w:val="28"/>
          <w:sz w:val="28"/>
          <w:szCs w:val="28"/>
          <w:rtl w:val="true"/>
          <w:lang w:bidi="ar-SA"/>
        </w:rPr>
        <w:t>فمن وجه واحد ، كما يأتي في بحث لباس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الدلالة على الإبدال أوّلا ، لجواز أن يراد وضع كرسف آخر ، بل هو الظاهر من استدخال قطنة بعد قطنة ، بل هو صريح بعض الأخبار ، كرواية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إذا مضت أيام أقرائها اغتسلت واحتشت كرسفها وتنظر ، فإن ظهر على الكرسف زادت كرسفها وتوضّأت وصلّت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الوجوب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حكم القليلة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والتعدّي بدعوى الإجماع المركّب في المقام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وبكون العلّة عدم العفو عن هذه النجاسة المتحقّقة في القليلة أيضا ،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لعلّها تعدّي النجاسة إلى الثوب المتحقّق في غير القليلة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رواية ابن أبي يعفور أنها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الظهور على الكرسف تلطّخه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 المعرفة على الإخراج أولا ، ومنع إيجاب وضعه تلويث الظاهر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أصالة عدم وجوب الإبدال والغسل عن المعارض خالية ، فالأخذ بها هو الأقوى ، كما يظهر من بعض مشايخنا المتأخّرين ، بل صرّح بالاستحباب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غسل الفرج إن تلوّث بهذا الدم؟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أنه إن تعدّى إلى ظاهره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ما يظهر عند جلوسها على القدمين كما عن الشهيد </w:t>
      </w:r>
      <w:r>
        <w:rPr>
          <w:rStyle w:val="FootnoteAnchor"/>
          <w:rtl w:val="true"/>
        </w:rPr>
        <w:footnoteReference w:id="56"/>
      </w:r>
      <w:r>
        <w:rPr>
          <w:rFonts w:ascii="Amiri" w:hAnsi="Amiri" w:eastAsia="Amiri" w:cs="Amiri"/>
          <w:color w:val="111111"/>
          <w:sz w:val="28"/>
          <w:sz w:val="28"/>
          <w:szCs w:val="28"/>
          <w:rtl w:val="true"/>
          <w:lang w:bidi="ar-SA"/>
        </w:rPr>
        <w:t xml:space="preserve">وجماعة </w:t>
      </w:r>
      <w:r>
        <w:rPr>
          <w:rStyle w:val="FootnoteAnchor"/>
          <w:rtl w:val="true"/>
        </w:rPr>
        <w:footnoteReference w:id="57"/>
      </w:r>
      <w:r>
        <w:rPr>
          <w:rFonts w:ascii="Amiri" w:hAnsi="Amiri" w:eastAsia="Amiri" w:cs="Amiri"/>
          <w:color w:val="111111"/>
          <w:sz w:val="28"/>
          <w:sz w:val="28"/>
          <w:szCs w:val="28"/>
          <w:rtl w:val="true"/>
          <w:lang w:bidi="ar-SA"/>
        </w:rPr>
        <w:t xml:space="preserve">، لعدم معلوميّة كونه 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يكن أقلّ من الدرهم يجب ، وإلاّ فلا ، لما يأتي من العفو من أقلّ الدرهم من دم الاستحاضة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عموم ما مرّ من النصوص يقتضي عدم الفرق فيما ذكر بين صلاة الفريضة 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وفاقا للفاضلين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المبسوط والمهذب </w:t>
      </w:r>
      <w:r>
        <w:rPr>
          <w:rStyle w:val="FootnoteAnchor"/>
          <w:rtl w:val="true"/>
        </w:rPr>
        <w:footnoteReference w:id="59"/>
      </w:r>
      <w:r>
        <w:rPr>
          <w:rFonts w:ascii="Amiri" w:hAnsi="Amiri" w:eastAsia="Amiri" w:cs="Amiri"/>
          <w:color w:val="111111"/>
          <w:sz w:val="28"/>
          <w:sz w:val="28"/>
          <w:szCs w:val="28"/>
          <w:rtl w:val="true"/>
          <w:lang w:bidi="ar-SA"/>
        </w:rPr>
        <w:t>، فخصّا الوضوء بالفريضة واكتفيا للنوافل بوضوئها ، ولعلّه لزعم ظهور الصلاة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 المنع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وجوب الوضوء إنّما هو مع العلم بتلطّخ القطنة بالدم بعد الوضوء السابق ، وإلاّ فيكتفى بالسابق ما دام باقيا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مع الوضوء لكلّ صلاة ، غسل واحد في كلّ يوم وليلة لصلاة الفجر ، لا أزيد ، ما دام الدم كذلك ، على الأظهر الأشهر في الأربعة </w:t>
      </w:r>
      <w:r>
        <w:rPr>
          <w:rStyle w:val="FootnoteAnchor"/>
          <w:rtl w:val="true"/>
        </w:rPr>
        <w:footnoteReference w:id="6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الوضوء لكل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غسل واحد في كل يوم وليلة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كون هذا الغسل لصلاة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أزيد من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كما صرّح به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في شرح القواعد ، وفي الحدائق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واللوامع ، بل عن الناصريات ، والخلاف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الإجماع على الثانيين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للرضوي المنجبر ضعفه سندا بما مرّ ، ودلالة على الوجوب بالإجماع المركّب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يثقب الدم القطن صلّت صلاتها كلّ صلاة بوضوء ، وإن ثقب الدم الكرسف ولم يسل صلّت صلاة الليل والغداة بغسل واحد وسائر الصلوات </w:t>
      </w:r>
    </w:p>
    <w:p>
      <w:pPr>
        <w:pStyle w:val="BookText"/>
        <w:rPr/>
      </w:pPr>
      <w:r>
        <w:rPr>
          <w:rFonts w:ascii="Amiri" w:hAnsi="Amiri" w:eastAsia="Amiri" w:cs="Amiri"/>
          <w:color w:val="111111"/>
          <w:sz w:val="28"/>
          <w:sz w:val="28"/>
          <w:szCs w:val="28"/>
          <w:rtl w:val="true"/>
          <w:lang w:bidi="ar-SA"/>
        </w:rPr>
        <w:t xml:space="preserve">بوضوء ، وإن ثقب الدم الكرسف وسال صلّت صلاة الليل والغداة بغسل ، والظهر والعصر بغسل ، وتؤخر الظهر قليلا وتعجل العصر ، وتصلي المغرب والعشاء الآخرة بغسل واحد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في الأول إلى عموم أكثر ما مرّ من صحيحة الصحاف </w:t>
      </w:r>
      <w:r>
        <w:rPr>
          <w:rStyle w:val="FootnoteAnchor"/>
          <w:rtl w:val="true"/>
        </w:rPr>
        <w:footnoteReference w:id="62"/>
      </w:r>
      <w:r>
        <w:rPr>
          <w:rFonts w:ascii="Amiri" w:hAnsi="Amiri" w:eastAsia="Amiri" w:cs="Amiri"/>
          <w:color w:val="111111"/>
          <w:sz w:val="28"/>
          <w:sz w:val="28"/>
          <w:szCs w:val="28"/>
          <w:rtl w:val="true"/>
          <w:lang w:bidi="ar-SA"/>
        </w:rPr>
        <w:t xml:space="preserve">وأخبار الصفرة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إلى صحيحة البصري ، المتقدّمة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الثالث إلى الإجماع المركّب كما نصّ عليه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إلى الأخبار الكثيرة المصرّحة باشتراط الأغسال الثلاثة على سيلان الدم أو انصبابه أو تجاوزه عن الكرسف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وفي الثاني أيضا إلى موثّقتي سماعة ، المتقدمتين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بصحيحتي الصحاف وزرارة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دلالتهما خفاء بل نظر ، وإن أطنب في إثباتها والدي العلاّمة رحمه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لمحتمل المحكي عن الشيخ في كتبه </w:t>
      </w:r>
      <w:r>
        <w:rPr>
          <w:rStyle w:val="FootnoteAnchor"/>
          <w:rtl w:val="true"/>
        </w:rPr>
        <w:footnoteReference w:id="68"/>
      </w:r>
      <w:r>
        <w:rPr>
          <w:rFonts w:ascii="Amiri" w:hAnsi="Amiri" w:eastAsia="Amiri" w:cs="Amiri"/>
          <w:color w:val="111111"/>
          <w:sz w:val="28"/>
          <w:sz w:val="28"/>
          <w:szCs w:val="28"/>
          <w:rtl w:val="true"/>
          <w:lang w:bidi="ar-SA"/>
        </w:rPr>
        <w:t xml:space="preserve">، والقاضي </w:t>
      </w:r>
      <w:r>
        <w:rPr>
          <w:rStyle w:val="FootnoteAnchor"/>
          <w:rtl w:val="true"/>
        </w:rPr>
        <w:footnoteReference w:id="69"/>
      </w:r>
      <w:r>
        <w:rPr>
          <w:rFonts w:ascii="Amiri" w:hAnsi="Amiri" w:eastAsia="Amiri" w:cs="Amiri"/>
          <w:color w:val="111111"/>
          <w:sz w:val="28"/>
          <w:sz w:val="28"/>
          <w:szCs w:val="28"/>
          <w:rtl w:val="true"/>
          <w:lang w:bidi="ar-SA"/>
        </w:rPr>
        <w:t xml:space="preserve">، والصدوقين في </w:t>
      </w:r>
    </w:p>
    <w:p>
      <w:pPr>
        <w:pStyle w:val="BookText"/>
        <w:rPr/>
      </w:pPr>
      <w:r>
        <w:rPr>
          <w:rFonts w:ascii="Amiri" w:hAnsi="Amiri" w:eastAsia="Amiri" w:cs="Amiri"/>
          <w:color w:val="111111"/>
          <w:sz w:val="28"/>
          <w:sz w:val="28"/>
          <w:szCs w:val="28"/>
          <w:rtl w:val="true"/>
          <w:lang w:bidi="ar-SA"/>
        </w:rPr>
        <w:t xml:space="preserve">الرسالة والهداية </w:t>
      </w:r>
      <w:r>
        <w:rPr>
          <w:rStyle w:val="FootnoteAnchor"/>
          <w:rtl w:val="true"/>
        </w:rPr>
        <w:footnoteReference w:id="70"/>
      </w:r>
      <w:r>
        <w:rPr>
          <w:rFonts w:ascii="Amiri" w:hAnsi="Amiri" w:eastAsia="Amiri" w:cs="Amiri"/>
          <w:color w:val="111111"/>
          <w:sz w:val="28"/>
          <w:sz w:val="28"/>
          <w:szCs w:val="28"/>
          <w:rtl w:val="true"/>
          <w:lang w:bidi="ar-SA"/>
        </w:rPr>
        <w:t xml:space="preserve">، والحلبيين </w:t>
      </w:r>
      <w:r>
        <w:rPr>
          <w:rStyle w:val="FootnoteAnchor"/>
          <w:rtl w:val="true"/>
        </w:rPr>
        <w:footnoteReference w:id="71"/>
      </w:r>
      <w:r>
        <w:rPr>
          <w:rFonts w:ascii="Amiri" w:hAnsi="Amiri" w:eastAsia="Amiri" w:cs="Amiri"/>
          <w:color w:val="111111"/>
          <w:sz w:val="28"/>
          <w:sz w:val="28"/>
          <w:szCs w:val="28"/>
          <w:rtl w:val="true"/>
          <w:lang w:bidi="ar-SA"/>
        </w:rPr>
        <w:t xml:space="preserve">، والناصريات </w:t>
      </w:r>
      <w:r>
        <w:rPr>
          <w:rStyle w:val="FootnoteAnchor"/>
          <w:rtl w:val="true"/>
        </w:rPr>
        <w:footnoteReference w:id="72"/>
      </w:r>
      <w:r>
        <w:rPr>
          <w:rFonts w:ascii="Amiri" w:hAnsi="Amiri" w:eastAsia="Amiri" w:cs="Amiri"/>
          <w:color w:val="111111"/>
          <w:sz w:val="28"/>
          <w:sz w:val="28"/>
          <w:szCs w:val="28"/>
          <w:rtl w:val="true"/>
          <w:lang w:bidi="ar-SA"/>
        </w:rPr>
        <w:t>، في الأول ، حيث لم يذكروه لصلاة الغداة وإن لم يصرّحوا بنفيه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عدم ذكره مبنيا على وجوب الوضوء مع كلّ غسل عندهم فاكتفوا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وللقديمين </w:t>
      </w:r>
      <w:r>
        <w:rPr>
          <w:rStyle w:val="FootnoteAnchor"/>
          <w:rtl w:val="true"/>
        </w:rPr>
        <w:footnoteReference w:id="73"/>
      </w:r>
      <w:r>
        <w:rPr>
          <w:rFonts w:ascii="Amiri" w:hAnsi="Amiri" w:eastAsia="Amiri" w:cs="Amiri"/>
          <w:color w:val="111111"/>
          <w:sz w:val="28"/>
          <w:sz w:val="28"/>
          <w:szCs w:val="28"/>
          <w:rtl w:val="true"/>
          <w:lang w:bidi="ar-SA"/>
        </w:rPr>
        <w:t xml:space="preserve">، والمعتبر ، والمنتهى ، والمدارك </w:t>
      </w:r>
      <w:r>
        <w:rPr>
          <w:rStyle w:val="FootnoteAnchor"/>
          <w:rtl w:val="true"/>
        </w:rPr>
        <w:footnoteReference w:id="74"/>
      </w:r>
      <w:r>
        <w:rPr>
          <w:rFonts w:ascii="IRNazanin" w:hAnsi="IRNazanin" w:eastAsia="IRNazanin"/>
          <w:color w:val="111111"/>
          <w:sz w:val="28"/>
          <w:sz w:val="28"/>
          <w:szCs w:val="28"/>
          <w:rtl w:val="true"/>
          <w:lang w:bidi="fa-IR"/>
        </w:rPr>
        <w:t xml:space="preserve">، والمعالم </w:t>
      </w:r>
      <w:r>
        <w:rPr>
          <w:rStyle w:val="FootnoteAnchor"/>
          <w:rtl w:val="true"/>
        </w:rPr>
        <w:footnoteReference w:id="75"/>
      </w:r>
      <w:r>
        <w:rPr>
          <w:rFonts w:ascii="Amiri" w:hAnsi="Amiri" w:eastAsia="Amiri" w:cs="Amiri"/>
          <w:color w:val="111111"/>
          <w:sz w:val="28"/>
          <w:sz w:val="28"/>
          <w:szCs w:val="28"/>
          <w:rtl w:val="true"/>
          <w:lang w:bidi="ar-SA"/>
        </w:rPr>
        <w:t xml:space="preserve">، والأردبيلي ، والبهائي ، والسبزواري </w:t>
      </w:r>
      <w:r>
        <w:rPr>
          <w:rStyle w:val="FootnoteAnchor"/>
          <w:rtl w:val="true"/>
        </w:rPr>
        <w:footnoteReference w:id="76"/>
      </w:r>
      <w:r>
        <w:rPr>
          <w:rFonts w:ascii="Amiri" w:hAnsi="Amiri" w:eastAsia="Amiri" w:cs="Amiri"/>
          <w:color w:val="111111"/>
          <w:sz w:val="28"/>
          <w:sz w:val="28"/>
          <w:szCs w:val="28"/>
          <w:rtl w:val="true"/>
          <w:lang w:bidi="ar-SA"/>
        </w:rPr>
        <w:t>، بل أكثر الثالثة كما في اللوامع ، في الرابع ، فأثبتوا الزائد لها وجعلوها كالثالثة في وجوب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لإطلاق ما دلّ على أن الحبلى إذا رأت دما قليلا أو صفرة فلتغتسل عند كلّ صلاتين ، كصحيحة أبي المغراء ، وموثّقة ابن عمار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أنّ الحائض إذا تجاوز دمها عن أيامها تستظهر ثمَّ تمسك قطنة فإن صبغها دم لا ينقطع فلتجمع بين كلّ صلاتين بغسل ، كصحيحة ابن مسلم </w:t>
      </w:r>
      <w:r>
        <w:rPr>
          <w:rStyle w:val="FootnoteAnchor"/>
          <w:rtl w:val="true"/>
        </w:rPr>
        <w:footnoteReference w:id="78"/>
      </w:r>
      <w:r>
        <w:rPr>
          <w:rFonts w:ascii="Amiri" w:hAnsi="Amiri" w:eastAsia="Amiri" w:cs="Amiri"/>
          <w:color w:val="111111"/>
          <w:sz w:val="28"/>
          <w:sz w:val="28"/>
          <w:szCs w:val="28"/>
          <w:rtl w:val="true"/>
          <w:lang w:bidi="ar-SA"/>
        </w:rPr>
        <w:t xml:space="preserve">أو على أنّ المبتدأة إذا استمرّ دمها تتحيّض بالسبعة أو الستة ثمَّ تغتسل غسلا للفجر وآخر للظهرين وآخر للعشاءين ، كالمرسلة الطويلة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أنّ المستحاضة تضع قطنة وتغتسل لكلّ صلاتين ، كصحيحتي الحلبي </w:t>
      </w:r>
      <w:r>
        <w:rPr>
          <w:rStyle w:val="FootnoteAnchor"/>
          <w:rtl w:val="true"/>
        </w:rPr>
        <w:footnoteReference w:id="80"/>
      </w:r>
      <w:r>
        <w:rPr>
          <w:rFonts w:ascii="IRNazanin" w:hAnsi="IRNazanin" w:eastAsia="IRNazanin"/>
          <w:color w:val="111111"/>
          <w:sz w:val="28"/>
          <w:sz w:val="28"/>
          <w:szCs w:val="28"/>
          <w:rtl w:val="true"/>
          <w:lang w:bidi="fa-IR"/>
        </w:rPr>
        <w:t xml:space="preserve">وصفوان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على أنها تغتسل ثلاثة أغسال ، واحدا للظهرين وواحدا للعشاءين وواحدا للصبح ، كصحيحة ابن سنان </w:t>
      </w:r>
      <w:r>
        <w:rPr>
          <w:rStyle w:val="FootnoteAnchor"/>
          <w:rtl w:val="true"/>
        </w:rPr>
        <w:footnoteReference w:id="82"/>
      </w:r>
      <w:r>
        <w:rPr>
          <w:rFonts w:ascii="Amiri" w:hAnsi="Amiri" w:eastAsia="Amiri" w:cs="Amiri"/>
          <w:color w:val="111111"/>
          <w:sz w:val="28"/>
          <w:sz w:val="28"/>
          <w:szCs w:val="28"/>
          <w:rtl w:val="true"/>
          <w:lang w:bidi="ar-SA"/>
        </w:rPr>
        <w:t xml:space="preserve">، وموثّقته </w:t>
      </w:r>
      <w:r>
        <w:rPr>
          <w:rStyle w:val="FootnoteAnchor"/>
          <w:rtl w:val="true"/>
        </w:rPr>
        <w:footnoteReference w:id="83"/>
      </w:r>
      <w:r>
        <w:rPr>
          <w:rFonts w:ascii="IRNazanin" w:hAnsi="IRNazanin" w:eastAsia="IRNazanin"/>
          <w:color w:val="111111"/>
          <w:sz w:val="28"/>
          <w:sz w:val="28"/>
          <w:szCs w:val="28"/>
          <w:rtl w:val="true"/>
          <w:lang w:bidi="fa-IR"/>
        </w:rPr>
        <w:t xml:space="preserve">، وحسنته </w:t>
      </w:r>
      <w:r>
        <w:rPr>
          <w:rStyle w:val="FootnoteAnchor"/>
          <w:rtl w:val="true"/>
        </w:rPr>
        <w:footnoteReference w:id="84"/>
      </w:r>
      <w:r>
        <w:rPr>
          <w:rFonts w:ascii="Amiri" w:hAnsi="Amiri" w:eastAsia="Amiri" w:cs="Amiri"/>
          <w:color w:val="111111"/>
          <w:sz w:val="28"/>
          <w:sz w:val="28"/>
          <w:szCs w:val="28"/>
          <w:rtl w:val="true"/>
          <w:lang w:bidi="ar-SA"/>
        </w:rPr>
        <w:t xml:space="preserve">، وقوية الفضيل وزرارة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أنها تغتسل الثلاثة إذا ثقب دمها الكرسف ، كصحيحة معاوية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بأسرها مطلقة خرج القليلة ممّا يشملها بأخبارها ، فيبقى الباقي مندرجا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المتوسّطة أيضا تخرج منها بما مرّ من رواياتها ، فتبقى هذه الأخبار مخصوصة بالكثيرة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إشعار بعضها بذلك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ندرة المتوسّطة لغلبة التجاوز مع الظهور على الكرسف يوهن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القول في تغيير القطنة وغسل الفرج هنا بل الخرقة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للظهر والعصر تجمع بينهما ، وغسل للمغرب والعشاء كذلك ، وغسل للصبح وتجمع بينها وبين صلاة الليل ، بالإجماع المحقّق ، والمحكي عن الخلاف ، والمعتبر ، والتذكرة ، والمنتهى ، والذكرى </w:t>
      </w:r>
      <w:r>
        <w:rPr>
          <w:rStyle w:val="FootnoteAnchor"/>
          <w:rtl w:val="true"/>
        </w:rPr>
        <w:footnoteReference w:id="87"/>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للنصوص المتكثّرة جدّا من الصحاح وغيرها التي مرّت الإشارة إلى كثير منها ، الدالّة عليها بالعموم ، المخرج عنه الأوليان بما مرّ ، أو بالخصوص للتصريح بالانصباب أو السيلان أو 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وجوب الوضوء عليها لكلّ صلاة ، كما عن الحلّي ، والشرائع ، والنافع </w:t>
      </w:r>
      <w:r>
        <w:rPr>
          <w:rStyle w:val="FootnoteAnchor"/>
          <w:rtl w:val="true"/>
        </w:rPr>
        <w:footnoteReference w:id="88"/>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كلّ غسل ، كما عن المفيد </w:t>
      </w:r>
      <w:r>
        <w:rPr>
          <w:rStyle w:val="FootnoteAnchor"/>
          <w:rtl w:val="true"/>
        </w:rPr>
        <w:footnoteReference w:id="90"/>
      </w:r>
      <w:r>
        <w:rPr>
          <w:rFonts w:ascii="Amiri" w:hAnsi="Amiri" w:eastAsia="Amiri" w:cs="Amiri"/>
          <w:color w:val="111111"/>
          <w:sz w:val="28"/>
          <w:sz w:val="28"/>
          <w:szCs w:val="28"/>
          <w:rtl w:val="true"/>
          <w:lang w:bidi="ar-SA"/>
        </w:rPr>
        <w:t xml:space="preserve">، وجمل السيد </w:t>
      </w:r>
      <w:r>
        <w:rPr>
          <w:rStyle w:val="FootnoteAnchor"/>
          <w:rtl w:val="true"/>
        </w:rPr>
        <w:footnoteReference w:id="91"/>
      </w:r>
      <w:r>
        <w:rPr>
          <w:rFonts w:ascii="IRNazanin" w:hAnsi="IRNazanin" w:eastAsia="IRNazanin"/>
          <w:color w:val="111111"/>
          <w:sz w:val="28"/>
          <w:sz w:val="28"/>
          <w:szCs w:val="28"/>
          <w:rtl w:val="true"/>
          <w:lang w:bidi="fa-IR"/>
        </w:rPr>
        <w:t xml:space="preserve">، والمعتبر </w:t>
      </w:r>
      <w:r>
        <w:rPr>
          <w:rStyle w:val="FootnoteAnchor"/>
          <w:rtl w:val="true"/>
        </w:rPr>
        <w:footnoteReference w:id="92"/>
      </w:r>
      <w:r>
        <w:rPr>
          <w:rFonts w:ascii="IRNazanin" w:hAnsi="IRNazanin" w:eastAsia="IRNazanin"/>
          <w:color w:val="111111"/>
          <w:sz w:val="28"/>
          <w:sz w:val="28"/>
          <w:szCs w:val="28"/>
          <w:rtl w:val="true"/>
          <w:lang w:bidi="fa-IR"/>
        </w:rPr>
        <w:t xml:space="preserve">، والبشرى </w:t>
      </w:r>
      <w:r>
        <w:rPr>
          <w:rStyle w:val="FootnoteAnchor"/>
          <w:rtl w:val="true"/>
        </w:rPr>
        <w:footnoteReference w:id="93"/>
      </w:r>
      <w:r>
        <w:rPr>
          <w:rFonts w:ascii="Amiri" w:hAnsi="Amiri" w:eastAsia="Amiri" w:cs="Amiri"/>
          <w:color w:val="111111"/>
          <w:sz w:val="28"/>
          <w:sz w:val="28"/>
          <w:szCs w:val="28"/>
          <w:rtl w:val="true"/>
          <w:lang w:bidi="ar-SA"/>
        </w:rPr>
        <w:t>واختاره والدي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عدمه مطلقا ، كما عن الناصريات </w:t>
      </w:r>
      <w:r>
        <w:rPr>
          <w:rStyle w:val="FootnoteAnchor"/>
          <w:rtl w:val="true"/>
        </w:rPr>
        <w:footnoteReference w:id="94"/>
      </w:r>
      <w:r>
        <w:rPr>
          <w:rFonts w:ascii="Amiri" w:hAnsi="Amiri" w:eastAsia="Amiri" w:cs="Amiri"/>
          <w:color w:val="111111"/>
          <w:sz w:val="28"/>
          <w:sz w:val="28"/>
          <w:szCs w:val="28"/>
          <w:rtl w:val="true"/>
          <w:lang w:bidi="ar-SA"/>
        </w:rPr>
        <w:t xml:space="preserve">، والصدوقين </w:t>
      </w:r>
      <w:r>
        <w:rPr>
          <w:rStyle w:val="FootnoteAnchor"/>
          <w:rtl w:val="true"/>
        </w:rPr>
        <w:footnoteReference w:id="95"/>
      </w:r>
      <w:r>
        <w:rPr>
          <w:rFonts w:ascii="Amiri" w:hAnsi="Amiri" w:eastAsia="Amiri" w:cs="Amiri"/>
          <w:color w:val="111111"/>
          <w:sz w:val="28"/>
          <w:sz w:val="28"/>
          <w:szCs w:val="28"/>
          <w:rtl w:val="true"/>
          <w:lang w:bidi="ar-SA"/>
        </w:rPr>
        <w:t xml:space="preserve">، والشيخ </w:t>
      </w:r>
      <w:r>
        <w:rPr>
          <w:rStyle w:val="FootnoteAnchor"/>
          <w:rtl w:val="true"/>
        </w:rPr>
        <w:footnoteReference w:id="96"/>
      </w:r>
      <w:r>
        <w:rPr>
          <w:rFonts w:ascii="Amiri" w:hAnsi="Amiri" w:eastAsia="Amiri" w:cs="Amiri"/>
          <w:color w:val="111111"/>
          <w:sz w:val="28"/>
          <w:sz w:val="28"/>
          <w:szCs w:val="28"/>
          <w:rtl w:val="true"/>
          <w:lang w:bidi="ar-SA"/>
        </w:rPr>
        <w:t xml:space="preserve">، والحلبيين </w:t>
      </w:r>
      <w:r>
        <w:rPr>
          <w:rStyle w:val="FootnoteAnchor"/>
          <w:rtl w:val="true"/>
        </w:rPr>
        <w:footnoteReference w:id="97"/>
      </w:r>
      <w:r>
        <w:rPr>
          <w:rFonts w:ascii="Amiri" w:hAnsi="Amiri" w:eastAsia="Amiri" w:cs="Amiri"/>
          <w:color w:val="111111"/>
          <w:sz w:val="28"/>
          <w:sz w:val="28"/>
          <w:szCs w:val="28"/>
          <w:rtl w:val="true"/>
          <w:lang w:bidi="ar-SA"/>
        </w:rPr>
        <w:t xml:space="preserve">، وابن حمزة </w:t>
      </w:r>
      <w:r>
        <w:rPr>
          <w:rStyle w:val="FootnoteAnchor"/>
          <w:rtl w:val="true"/>
        </w:rPr>
        <w:footnoteReference w:id="98"/>
      </w:r>
      <w:r>
        <w:rPr>
          <w:rFonts w:ascii="Amiri" w:hAnsi="Amiri" w:eastAsia="Amiri" w:cs="Amiri"/>
          <w:color w:val="111111"/>
          <w:sz w:val="28"/>
          <w:sz w:val="28"/>
          <w:szCs w:val="28"/>
          <w:rtl w:val="true"/>
          <w:lang w:bidi="ar-SA"/>
        </w:rPr>
        <w:t xml:space="preserve">، وسلاّر </w:t>
      </w:r>
      <w:r>
        <w:rPr>
          <w:rStyle w:val="FootnoteAnchor"/>
          <w:rtl w:val="true"/>
        </w:rPr>
        <w:footnoteReference w:id="99"/>
      </w:r>
      <w:r>
        <w:rPr>
          <w:rFonts w:ascii="Amiri" w:hAnsi="Amiri" w:eastAsia="Amiri" w:cs="Amiri"/>
          <w:color w:val="111111"/>
          <w:sz w:val="28"/>
          <w:sz w:val="28"/>
          <w:szCs w:val="28"/>
          <w:rtl w:val="true"/>
          <w:lang w:bidi="ar-SA"/>
        </w:rPr>
        <w:t>، وفي اللوامع نسبه إلى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للأصل ، وخلو النصوص عنه مع ورودها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وثبوت نقض قليل هذا الدم فكثيرة أولى ، وأصالة عدم إغناء الغسل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 بحدث النوم كما صرّح به في بعض المعتبرة </w:t>
      </w:r>
      <w:r>
        <w:rPr>
          <w:rStyle w:val="FootnoteAnchor"/>
          <w:rtl w:val="true"/>
        </w:rPr>
        <w:footnoteReference w:id="1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وبالرجال ، وإلحاق النسوة بهم إنّما هو بالإجماع المفقود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وتسليم العموم والتخصيص بالمحدثين بالإجماع ومنع الحدث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غير سديد ، لأنّ التخصيص حينئذ إنّما هو بالقدر الثابت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مع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هو على تقدير الدليل على اللزوم ، وهو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 أبي حبيش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فلتدع الصلاة أيام أقرائها ، ثمَّ تغتسل وتتوضّأ لكلّ صلاة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 مثل المثعب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دلالته على الوجوب كما ذكرنا غير مرّة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المصرّحة بأنّ كلّ غسل قبله أو فيه وضوء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الوجوب ، كما مرّ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ولكنه مقيّد بكونه محدثا بالإجماع ، ولم يثبت الحدث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متوضّئة ولم تحدث بالأحداث الصغريات يصدق أنّها توضّأت قبل الغسل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يثبت من ذلك أنه يجب الوضوء لو صدر عنها بعد الوضوء حدث أصغر ، وهو كذلك لعمومات إيجابه له</w:t>
      </w:r>
      <w:r>
        <w:rPr>
          <w:rFonts w:eastAsia="Amiri" w:cs="Amiri" w:ascii="Amiri" w:hAnsi="Amiri"/>
          <w:color w:val="111111"/>
          <w:sz w:val="28"/>
          <w:szCs w:val="28"/>
          <w:rtl w:val="true"/>
          <w:lang w:bidi="ar-SA"/>
        </w:rPr>
        <w:t xml:space="preserve">. </w:t>
      </w:r>
      <w:bookmarkStart w:id="19" w:name="pg11616_94477"/>
    </w:p>
    <w:p>
      <w:pPr>
        <w:pStyle w:val="BookText"/>
        <w:rPr/>
      </w:pPr>
      <w:bookmarkEnd w:id="19"/>
      <w:r>
        <w:rPr>
          <w:rFonts w:ascii="Amiri" w:hAnsi="Amiri" w:eastAsia="Amiri" w:cs="Amiri"/>
          <w:color w:val="111111"/>
          <w:sz w:val="28"/>
          <w:sz w:val="28"/>
          <w:szCs w:val="28"/>
          <w:rtl w:val="true"/>
          <w:lang w:bidi="ar-SA"/>
        </w:rPr>
        <w:t>والظاهر أنّ ذلك أيضا مراد من نفى الوضوء هنا ، إلاّ أنّ هذا الغسل يكفي عن الوضوء عن تلك الأحداث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ولخبر مروي في قرب الإسناد </w:t>
      </w:r>
      <w:r>
        <w:rPr>
          <w:rStyle w:val="FootnoteAnchor"/>
          <w:rtl w:val="true"/>
        </w:rPr>
        <w:footnoteReference w:id="106"/>
      </w:r>
      <w:r>
        <w:rPr>
          <w:rFonts w:ascii="IRNazanin" w:hAnsi="IRNazanin" w:eastAsia="IRNazanin"/>
          <w:color w:val="111111"/>
          <w:sz w:val="28"/>
          <w:sz w:val="28"/>
          <w:szCs w:val="28"/>
          <w:rtl w:val="true"/>
          <w:lang w:bidi="fa-IR"/>
        </w:rPr>
        <w:t>، الآمر بالوضوء مع غسل الفجر ، الدالّ على تمام المطلوب بعدم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بضعفة الخالي عن الجابر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في تغيير القطنة ، والخرقة ، وغسل ظاهر الفرج كما مرّ </w:t>
      </w:r>
      <w:r>
        <w:rPr>
          <w:rStyle w:val="FootnoteAnchor"/>
          <w:rtl w:val="true"/>
        </w:rPr>
        <w:footnoteReference w:id="107"/>
      </w:r>
    </w:p>
    <w:p>
      <w:pPr>
        <w:pStyle w:val="Heading4"/>
        <w:numPr>
          <w:ilvl w:val="3"/>
          <w:numId w:val="1"/>
        </w:numPr>
        <w:rPr/>
      </w:pPr>
      <w:bookmarkStart w:id="20" w:name="__RefHeading___Toc5588061_73709187"/>
      <w:bookmarkStart w:id="21" w:name="_Toc8"/>
      <w:bookmarkEnd w:id="20"/>
      <w:r>
        <w:rPr>
          <w:rtl w:val="true"/>
        </w:rPr>
        <w:t xml:space="preserve">فروع </w:t>
      </w:r>
      <w:r>
        <w:rPr>
          <w:rtl w:val="true"/>
        </w:rPr>
        <w:t>:</w:t>
      </w:r>
      <w:bookmarkEnd w:id="2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غير واحد من الأصحاب بأنّ اعتبار الجمع بين الصلاتين والاكتفاء بغسل على الجواز دون الوجوب ، فلو فرّقت وأفردت كلّ صلاة بغسل جاز ، وفي المدارك القطع به </w:t>
      </w:r>
      <w:r>
        <w:rPr>
          <w:rStyle w:val="FootnoteAnchor"/>
          <w:rtl w:val="true"/>
        </w:rPr>
        <w:footnoteReference w:id="108"/>
      </w:r>
      <w:r>
        <w:rPr>
          <w:rFonts w:ascii="Amiri" w:hAnsi="Amiri" w:eastAsia="Amiri" w:cs="Amiri"/>
          <w:color w:val="111111"/>
          <w:sz w:val="28"/>
          <w:sz w:val="28"/>
          <w:szCs w:val="28"/>
          <w:rtl w:val="true"/>
          <w:lang w:bidi="ar-SA"/>
        </w:rPr>
        <w:t xml:space="preserve">، وعن المنتهى الإجماع عليه واستحبابه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ما تقدّم من قوله لبنت أبي حبيش في المرسلة ، وإن أمكن الخدش في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الغسل على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فيها حكاية عنها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تغتسل في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به قوله في موثّقة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فلتغتسل في وقت كلّ صلاة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الأمر بالاغتسال لكلّ صلاتين أو بثلاثة أغسال في كلّ يوم ، كما في الأخبار المتكثرة ، لعدم منافاة وجوب شي‌ء لجواز غيره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قوله في المرسلة الطويلة لبنت أبي حبيش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وأخّري الظهر وعجّلي </w:t>
      </w:r>
    </w:p>
    <w:p>
      <w:pPr>
        <w:pStyle w:val="BookText"/>
        <w:rPr/>
      </w:pPr>
      <w:r>
        <w:rPr>
          <w:rFonts w:ascii="Amiri" w:hAnsi="Amiri" w:eastAsia="Amiri" w:cs="Amiri"/>
          <w:color w:val="111111"/>
          <w:sz w:val="28"/>
          <w:sz w:val="28"/>
          <w:szCs w:val="28"/>
          <w:rtl w:val="true"/>
          <w:lang w:bidi="ar-SA"/>
        </w:rPr>
        <w:t xml:space="preserve">العصر واغتسلي غسلا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الدم سائلا فلتؤخّر الصلاة إلى الصلاة ، ثمَّ تصلّي صلاتين بغسل واحد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وفي المروي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ابن محبوب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فلتجمع بين كلّ صلاتين بغسل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الجمع المنافي للتفريق المستلزم لوجوب الاكتفاء بغسل واحد ، كما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صريحا ، والنافع ظاهرا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 وإن كان الأول هو الأظهر ، لانحصار ما دلّ على وجوب الجمع بالأخير ، ويحمل هو على الاستحباب بقرينة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غير واحد بوجوب كون الطهارة والوضوء في الوقت ، فلا يصح قبله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لقوله في صحيحة الصّحاف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فلتتوضّأ ولتصلّ عند وقت كلّ صلاة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فلتغتسل عند كلّ صلاتين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تغتسل عند كلّ صلاة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تغتسل عند الصبح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ثبوت وجوب مقارنة الجميع كغسل المتوسّطة أو وضوئها غير ضائر ، للإجماع المركب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العندية مقارنة الغسل للصلاة ووجوب تعقيبها </w:t>
      </w:r>
      <w:r>
        <w:rPr>
          <w:rStyle w:val="FootnoteAnchor"/>
          <w:rtl w:val="true"/>
        </w:rPr>
        <w:footnoteReference w:id="118"/>
      </w:r>
      <w:r>
        <w:rPr>
          <w:rFonts w:ascii="Amiri" w:hAnsi="Amiri" w:eastAsia="Amiri" w:cs="Amiri"/>
          <w:color w:val="111111"/>
          <w:sz w:val="28"/>
          <w:sz w:val="28"/>
          <w:szCs w:val="28"/>
          <w:rtl w:val="true"/>
          <w:lang w:bidi="ar-SA"/>
        </w:rPr>
        <w:t xml:space="preserve">له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صرّح به جماعة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وجوبها ضعيف ، وجواز انتظار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والدروس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عدم مضرّة الاشتغال بمقدّمات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كالستر والاستقبال والأذان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العندية العرفية</w:t>
      </w:r>
    </w:p>
    <w:p>
      <w:pPr>
        <w:pStyle w:val="BookText"/>
        <w:rPr/>
      </w:pPr>
      <w:r>
        <w:rPr>
          <w:rFonts w:ascii="Amiri" w:hAnsi="Amiri" w:eastAsia="Amiri" w:cs="Amiri"/>
          <w:color w:val="111111"/>
          <w:sz w:val="28"/>
          <w:sz w:val="28"/>
          <w:szCs w:val="28"/>
          <w:rtl w:val="true"/>
          <w:lang w:bidi="ar-SA"/>
        </w:rPr>
        <w:t xml:space="preserve">وفي وجوب مقارنة الوضوء أيضا في القليلة والمتوسّطة قول محكي عن الشيخ ، والحلّي ، وظاهر الذكرى </w:t>
      </w:r>
      <w:r>
        <w:rPr>
          <w:rStyle w:val="FootnoteAnchor"/>
          <w:rtl w:val="true"/>
        </w:rPr>
        <w:footnoteReference w:id="121"/>
      </w:r>
      <w:r>
        <w:rPr>
          <w:rFonts w:ascii="Amiri" w:hAnsi="Amiri" w:eastAsia="Amiri" w:cs="Amiri"/>
          <w:color w:val="111111"/>
          <w:sz w:val="28"/>
          <w:sz w:val="28"/>
          <w:szCs w:val="28"/>
          <w:rtl w:val="true"/>
          <w:lang w:bidi="ar-SA"/>
        </w:rPr>
        <w:t>، لكون هذا الدم حدثا ، والصلاة بالحدث مخالفا للأصل ، فيجب التقليل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ولثبوت العفو عمّا لا يمكن الانفكاك عنه من هذا الدم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وللقطع بالخروج عن العهدة مع المقارنة دون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ولتبادره من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تتوضّأ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تغتسل عند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لولاه لم يحتج إلى وضوء آخر للعصر والعشاء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آخر بالعدم منقول عن المختلف </w:t>
      </w:r>
      <w:r>
        <w:rPr>
          <w:rStyle w:val="FootnoteAnchor"/>
          <w:rtl w:val="true"/>
        </w:rPr>
        <w:footnoteReference w:id="122"/>
      </w:r>
      <w:r>
        <w:rPr>
          <w:rFonts w:ascii="Amiri" w:hAnsi="Amiri" w:eastAsia="Amiri" w:cs="Amiri"/>
          <w:color w:val="111111"/>
          <w:sz w:val="28"/>
          <w:sz w:val="28"/>
          <w:szCs w:val="28"/>
          <w:rtl w:val="true"/>
          <w:lang w:bidi="ar-SA"/>
        </w:rPr>
        <w:t>، للأصل ، وصدق الامتثال ، وعمومات تجويز الطهارة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أوّل أدلّة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عن وجوب التقليل المخالف للأصل هنا أولا ، وبالمنع عن حدثية مطلق هذا الدم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لحدثيته إلاّ كونه مانعا عن مثل الصلاة ومرتفعا بالطهارة كما في سائر الأحداث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منه حدثيته في الجملة في الجملة ، لا حدثية كلّ جزء منه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الحدثية ليست شيئا زائدا على المانعية من الصلاة بل هي عينها ، </w:t>
      </w:r>
    </w:p>
    <w:p>
      <w:pPr>
        <w:pStyle w:val="BookText"/>
        <w:rPr/>
      </w:pPr>
      <w:r>
        <w:rPr>
          <w:rFonts w:ascii="Amiri" w:hAnsi="Amiri" w:eastAsia="Amiri" w:cs="Amiri"/>
          <w:color w:val="111111"/>
          <w:sz w:val="28"/>
          <w:sz w:val="28"/>
          <w:szCs w:val="28"/>
          <w:rtl w:val="true"/>
          <w:lang w:bidi="ar-SA"/>
        </w:rPr>
        <w:t>فلا يثبت منها إلاّ ما يثبت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المنع من مطلق هذا الدم حتى يحتاج إلى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القطع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التبادر ، والفرق بين الفعل لشي‌ء وعنده ظاهر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أو الوضوء بحصول السبب بعد الطهارة المتقدمة وإن لم يتّصل بوقت الصلاة ، وفاقا للبيان ، والروض </w:t>
      </w:r>
      <w:r>
        <w:rPr>
          <w:rStyle w:val="FootnoteAnchor"/>
          <w:rtl w:val="true"/>
        </w:rPr>
        <w:footnoteReference w:id="124"/>
      </w:r>
      <w:r>
        <w:rPr>
          <w:rFonts w:ascii="Amiri" w:hAnsi="Amiri" w:eastAsia="Amiri" w:cs="Amiri"/>
          <w:color w:val="111111"/>
          <w:sz w:val="28"/>
          <w:sz w:val="28"/>
          <w:szCs w:val="28"/>
          <w:rtl w:val="true"/>
          <w:lang w:bidi="ar-SA"/>
        </w:rPr>
        <w:t>، واللوامع ، لإطلاق إيجابه لأحد الطهورين من غير تخصيص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صحيحة الصحّاف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الدّم لا يسيل فيما بينها وبين المغرب فلتتوضّأ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فإنّه يدلّ على كفاية السيلان في شي‌ء ممّا بينها وبين المغرب ، لعدم 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مفهوم قوله فيما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إذا أمسكت يسيل من خلفه صبيبا فعليها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للعموم ، لعدم وجوب السيلان في جميع الوقت إجماعا ، فالمنطوق ليس باقيا على عمومه قطعا حتى يفيد المفهوم ما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فتجب الثلاثة مع استمرار الكثرة من الفجر إلى الليل ، أو حدوثها قبل فعل كلّ من الصلاة ولو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استمرارها أو حدوثها كذلك ، فاثنان إن استمر أو حدث إلى الظهر ، وواحد إن لم يستمر ولم يحدث كذلك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حدثت الأقسام الثلاثة بين صلاتين ، كأن تكون قليلة بعد الفجر ثمَّ صارت متوسّطة ثمَّ كثيرة قبل الظهر ، يجب امتثال حكم كلّ منها ، لعدم ثبوت تداخل الأضعف في الأقوى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حصل سبب لزم موجبه للصلاة التي تتعقّبه وإن لم يتّصل بها ، ثمَّ لو انقطع قبل الإتيان بموجبة لا يلزم موجبه للصلاة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حصلت القليلة قبل الفجر توضّأت للفجر ، انقطع قبله أم لا ، ولو انقطع قبل الوضوء لا يلزم وضوء لصلاة الظهر ، ولو لم ينقطع قبل وضوء الفجر لزم الوضوء للظهر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حصلت المتوسّطة قبل الفجر غسلت له ، ولا شي‌ء للظهر لو انقطعت قبل الغسل ، وتوضّأت للظهر والعصر لو انقطعت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الوضوء للعصر والعشاءين وغسل آخر للفجر الثاني مع الانقطاع بعد الغسل للفجر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الاحتمال فيما لو طرأت المتوسّطة بعد صلاة الصبح وانقطعت قبل الظهر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حصلت الكثيرة قبل الصبح تغتسل له ولو انقطعت قبله ، والظاهر عدم وجوب الغسل حينئذ لغيره ، مع احتمال وجوب الثلاثة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تنقطع قبله وجب غسل آخر للظهرين ، فلو انقطعت قبل غسل الظهر لم يجب للعشاءين مع احتمال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أحكام المستحاضة وجوب الغسل للغداة في المتوسّطة والثلاثة في الكثيرة ، فإن ثبت إجماع على عدم وجوب غسل الغداة لو انقطعت المتوسّطة قبل وضوء صلاة العشاء ، وعدم وجوب غسل الظهرين أو العشاءين لو انقطعت الكثيرة قبل غسل الغداة أو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 وإلاّ فلا أرى وجها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ما لو اجتمعت الأقسام الثلاثة فيما بين صلاتين واستمرّ أحدها أو انقطع الجميع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دمها ينقطع حينا ، فإن اتّسع وقت انقطاعه الطهارة </w:t>
      </w:r>
    </w:p>
    <w:p>
      <w:pPr>
        <w:pStyle w:val="BookText"/>
        <w:rPr/>
      </w:pPr>
      <w:r>
        <w:rPr>
          <w:rFonts w:ascii="Amiri" w:hAnsi="Amiri" w:eastAsia="Amiri" w:cs="Amiri"/>
          <w:color w:val="111111"/>
          <w:sz w:val="28"/>
          <w:sz w:val="28"/>
          <w:szCs w:val="28"/>
          <w:rtl w:val="true"/>
          <w:lang w:bidi="ar-SA"/>
        </w:rPr>
        <w:t xml:space="preserve">والصلاة ، وجب انتظاره ، ما لم يضرّ بالفرض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للوجوب دليلا ، والأصل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القليلة والمتوسّطة لا تجمع بين الفرض والنفل بوضوء ، بل تجدّد الوضوء للنافلة ولو غير المرتّبة في غير أوقات الصلاة ، لإطلاق كثير من الأخبار ، سيما روايات الصفرة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وتجويز الشيخ </w:t>
      </w:r>
      <w:r>
        <w:rPr>
          <w:rStyle w:val="FootnoteAnchor"/>
          <w:rtl w:val="true"/>
        </w:rPr>
        <w:footnoteReference w:id="128"/>
      </w:r>
      <w:r>
        <w:rPr>
          <w:rFonts w:ascii="Amiri" w:hAnsi="Amiri" w:eastAsia="Amiri" w:cs="Amiri"/>
          <w:color w:val="111111"/>
          <w:sz w:val="28"/>
          <w:sz w:val="28"/>
          <w:szCs w:val="28"/>
          <w:rtl w:val="true"/>
          <w:lang w:bidi="ar-SA"/>
        </w:rPr>
        <w:t>الجمع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تبادر اليومية أو الفريضة من الإطلاقات ممنوعة جدّا ، لشيوع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تجمع في الغسل صلاة الليل والفجر ، ولا يضرّ عدم المقارنة لصلاة الفجر ، إذ ثبوتها إنّما هو بالإجماع المركّب ، ولا تثبت منه مضرّة صلاة الليل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تشترط صحة صلاة الليل بالغسل فيه أم يجوز الاكتفاء بالوضوء وتأخير الغسل إلى الفجر؟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لعدم دليل على اشتراط تهجّدها بالغسل سوى الرضوي </w:t>
      </w:r>
      <w:r>
        <w:rPr>
          <w:rStyle w:val="FootnoteAnchor"/>
          <w:rtl w:val="true"/>
        </w:rPr>
        <w:footnoteReference w:id="129"/>
      </w:r>
      <w:r>
        <w:rPr>
          <w:rFonts w:ascii="Amiri" w:hAnsi="Amiri" w:eastAsia="Amiri" w:cs="Amiri"/>
          <w:color w:val="111111"/>
          <w:sz w:val="28"/>
          <w:sz w:val="28"/>
          <w:szCs w:val="28"/>
          <w:rtl w:val="true"/>
          <w:lang w:bidi="ar-SA"/>
        </w:rPr>
        <w:t>القاصر دلالة على الوجوب ، الخالي عن الجابر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الكثيرة تجمع بين صلاتي الليل والفجر ، بين الفرض ونفله وإن تقدّم عليه بغسل واحد ، لعدم منافاته للمقارنة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الرضوي في الأول المنجبر ضعفه بالإجماع المحكي في اللوامع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وتصلّي غير الرواتب والقضاء في غير أوقات الصلاة أو فيها مؤخّرا عن الصلاة من غير غسل آخر ولا وضوء إلاّ مع حدث موجب لهما من مني أو بول أو نحوهما ، لعمومات الأمر بها ، وعدم ثبوت مانع عنها لها سوى الدم ، ولم تثبت </w:t>
      </w:r>
    </w:p>
    <w:p>
      <w:pPr>
        <w:pStyle w:val="BookText"/>
        <w:rPr/>
      </w:pPr>
      <w:r>
        <w:rPr>
          <w:rFonts w:ascii="Amiri" w:hAnsi="Amiri" w:eastAsia="Amiri" w:cs="Amiri"/>
          <w:color w:val="111111"/>
          <w:sz w:val="28"/>
          <w:sz w:val="28"/>
          <w:szCs w:val="28"/>
          <w:rtl w:val="true"/>
          <w:lang w:bidi="ar-SA"/>
        </w:rPr>
        <w:t>مانعيته ولا وجوب الغسل لكلّ صلاة ، وإنّما الثابت وجوبه عليها الأغسال الثلاثة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خالية عن تعيين قدر القطنة وزمان اعتبار الدم ، فكان التعويل فيه على العرف والعادة ، لأنّه المعوّل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الكثرة الموجبة للثلاثة بسيلان الدم من الكرسف وإن لم يخرج من الخرقة ولم يثقبها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المقنعة اعتبار الخروج والسيلان منها فيها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لها كرسف ولا خرقة ورأت دما لم تعلم أنه أيّ الثلاثة تبني على الأقل ، لأصالة عدم خروج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يجوز للمستحاضة مطلقا قراءة العزائم ، ومسّ المصاحف ، واللبث في مطلق المساجد ، مع الجواز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شي‌ء منها على شي‌ء من الأعمال ، للأصل الخالي عن الصارف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 وهم بين من منع عن الأول فيما فيه الغسل قبله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منع عن الثاني قبل الغسل والوضوء كلّ في مورده </w:t>
      </w:r>
      <w:r>
        <w:rPr>
          <w:rStyle w:val="FootnoteAnchor"/>
          <w:rtl w:val="true"/>
        </w:rPr>
        <w:footnoteReference w:id="132"/>
      </w:r>
      <w:r>
        <w:rPr>
          <w:rFonts w:ascii="Amiri" w:hAnsi="Amiri" w:eastAsia="Amiri" w:cs="Amiri"/>
          <w:color w:val="111111"/>
          <w:sz w:val="28"/>
          <w:sz w:val="28"/>
          <w:szCs w:val="28"/>
          <w:rtl w:val="true"/>
          <w:lang w:bidi="ar-SA"/>
        </w:rPr>
        <w:t>، استنادا في القولين إلى دلالة وجوب الغسل على كونها محدثة بالحدث الأكبر المانع عن القراءة والمسّ ، ووجوب الوضوء على كونها محدثة بالأصغر المانع عن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 المدّعاة أولا ، وبمنع كلية المانعية ثانيا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منع عن الثالث قبل جميع الأعمال ، 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تنظر أيامها فلا تصلّي فيها ولا يقربها بعلها ، وإذا جازت أيامها ورأت الدم يثقب الكرسف اغتسلت للظهر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وتضمّ فخذيها في المسجد وسائر جسدها خارج ، ولا يأتيها بعلها أيام قرئها ، وإن كان الدم لا يثقب </w:t>
      </w:r>
    </w:p>
    <w:p>
      <w:pPr>
        <w:pStyle w:val="BookText"/>
        <w:rPr/>
      </w:pPr>
      <w:r>
        <w:rPr>
          <w:rFonts w:ascii="Amiri" w:hAnsi="Amiri" w:eastAsia="Amiri" w:cs="Amiri"/>
          <w:color w:val="111111"/>
          <w:sz w:val="28"/>
          <w:sz w:val="28"/>
          <w:szCs w:val="28"/>
          <w:rtl w:val="true"/>
          <w:lang w:bidi="ar-SA"/>
        </w:rPr>
        <w:t xml:space="preserve">الكرسف توضّأت ودخلت المسجد وصلّت كلّ صلاة بوضوء ، وهذه يأتيها بعلها إلاّ في أيام حيضها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في الكثيرة بجعل سائر الجسد خارج المسجد ، وفي القليلة عقب دخول المسجد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الحرمة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الحقيقة الشرعية في المسجد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 على ما ذكروه من التفصيل في اللبث والجواز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بعد الأعمال الموجبة للجواز إجماعا والنهي عن إتيان بعلها إنّما هو في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عبد الرحمن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حكاية امرأة أخيه في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والتعقيب الثاني لا يدلّ على التعليق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بأس بالقول بالكراهة في الثلاثة حذرا عن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يكره لها دخول الكعبة أيضا ، ولو مع الأفعال وفاقا لجماعة </w:t>
      </w:r>
      <w:r>
        <w:rPr>
          <w:rStyle w:val="FootnoteAnchor"/>
          <w:rtl w:val="true"/>
        </w:rPr>
        <w:footnoteReference w:id="135"/>
      </w:r>
      <w:r>
        <w:rPr>
          <w:rFonts w:ascii="Amiri" w:hAnsi="Amiri" w:eastAsia="Amiri" w:cs="Amiri"/>
          <w:color w:val="111111"/>
          <w:sz w:val="28"/>
          <w:sz w:val="28"/>
          <w:szCs w:val="28"/>
          <w:rtl w:val="true"/>
          <w:lang w:bidi="ar-SA"/>
        </w:rPr>
        <w:t xml:space="preserve">، للمرسلة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وابن حمزة القول بالتحريم </w:t>
      </w:r>
      <w:r>
        <w:rPr>
          <w:rStyle w:val="FootnoteAnchor"/>
          <w:rtl w:val="true"/>
        </w:rPr>
        <w:footnoteReference w:id="137"/>
      </w:r>
      <w:r>
        <w:rPr>
          <w:rFonts w:ascii="Amiri" w:hAnsi="Amiri" w:eastAsia="Amiri" w:cs="Amiri"/>
          <w:color w:val="111111"/>
          <w:sz w:val="28"/>
          <w:sz w:val="28"/>
          <w:szCs w:val="28"/>
          <w:rtl w:val="true"/>
          <w:lang w:bidi="ar-SA"/>
        </w:rPr>
        <w:t>، وليس بقويم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يحرم ذلك بل دخول المساجد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بحرمة إدخال النجاسة الغير المتعدية أيضا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تبديل القطنة والخرقة وغسل الفرج ، وهو أمر آخر ، بل بعد التبديل والغسل أيضا لو تلطخ بعدهما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توقف جواز وطئها على جميع ما يتوقف عليه تجويز الصلاة من الأعمال ، فلا يجوز قبله مطلقا ، كثيرة كانت الاستحاضة أو غيرها ، أغسالا كانت الأعمال أم غيرها ، كما عن المقنعة ، والاقتصاد ، والجمل والعقود ، والكافي </w:t>
      </w:r>
      <w:r>
        <w:rPr>
          <w:rStyle w:val="FootnoteAnchor"/>
          <w:rtl w:val="true"/>
        </w:rPr>
        <w:footnoteReference w:id="138"/>
      </w:r>
      <w:r>
        <w:rPr>
          <w:rFonts w:ascii="Amiri" w:hAnsi="Amiri" w:eastAsia="Amiri" w:cs="Amiri"/>
          <w:color w:val="111111"/>
          <w:sz w:val="28"/>
          <w:sz w:val="28"/>
          <w:szCs w:val="28"/>
          <w:rtl w:val="true"/>
          <w:lang w:bidi="ar-SA"/>
        </w:rPr>
        <w:t xml:space="preserve">، والإصباح ، والإسكافي </w:t>
      </w:r>
      <w:r>
        <w:rPr>
          <w:rStyle w:val="FootnoteAnchor"/>
          <w:rtl w:val="true"/>
        </w:rPr>
        <w:footnoteReference w:id="139"/>
      </w:r>
      <w:r>
        <w:rPr>
          <w:rFonts w:ascii="Amiri" w:hAnsi="Amiri" w:eastAsia="Amiri" w:cs="Amiri"/>
          <w:color w:val="111111"/>
          <w:sz w:val="28"/>
          <w:sz w:val="28"/>
          <w:szCs w:val="28"/>
          <w:rtl w:val="true"/>
          <w:lang w:bidi="ar-SA"/>
        </w:rPr>
        <w:t xml:space="preserve">، والمصباح ، والحلّي ، والمنتهى </w:t>
      </w:r>
      <w:r>
        <w:rPr>
          <w:rStyle w:val="FootnoteAnchor"/>
          <w:rtl w:val="true"/>
        </w:rPr>
        <w:footnoteReference w:id="140"/>
      </w:r>
      <w:r>
        <w:rPr>
          <w:rFonts w:ascii="IRNazanin" w:hAnsi="IRNazanin" w:eastAsia="IRNazanin"/>
          <w:color w:val="111111"/>
          <w:sz w:val="28"/>
          <w:sz w:val="28"/>
          <w:szCs w:val="28"/>
          <w:rtl w:val="true"/>
          <w:lang w:bidi="fa-IR"/>
        </w:rPr>
        <w:t>، ناسبا له إلى ظاهر عبارات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على الغسل خاصة ، فلا منع في المتوسطة والكثيرة بعده ، وفي القليلة مطلقا ، كما عن الصدوقين في الرسالة ، والهداية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عليه وعلى الوضوء ، كلّ في موقعه ، كما حكي عن ظاهر الأصحاب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عليه مع تجديد الوضوء ، كما عن المبسوط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عدم توقّفه على شي‌ء من ذلك ، كما عن المهذب ، والمعتبر ، والتحرير ، والتذكرة </w:t>
      </w:r>
      <w:r>
        <w:rPr>
          <w:rStyle w:val="FootnoteAnchor"/>
          <w:rtl w:val="true"/>
        </w:rPr>
        <w:footnoteReference w:id="144"/>
      </w:r>
      <w:r>
        <w:rPr>
          <w:rFonts w:ascii="Amiri" w:hAnsi="Amiri" w:eastAsia="Amiri" w:cs="Amiri"/>
          <w:color w:val="111111"/>
          <w:sz w:val="28"/>
          <w:sz w:val="28"/>
          <w:szCs w:val="28"/>
          <w:rtl w:val="true"/>
          <w:lang w:bidi="ar-SA"/>
        </w:rPr>
        <w:t xml:space="preserve">، والدروس ، والبيان ، والكركي ، والمدارك ، والكفاية </w:t>
      </w:r>
      <w:r>
        <w:rPr>
          <w:rStyle w:val="FootnoteAnchor"/>
          <w:rtl w:val="true"/>
        </w:rPr>
        <w:footnoteReference w:id="145"/>
      </w:r>
      <w:r>
        <w:rPr>
          <w:rFonts w:ascii="Amiri" w:hAnsi="Amiri" w:eastAsia="Amiri" w:cs="Amiri"/>
          <w:color w:val="111111"/>
          <w:sz w:val="28"/>
          <w:sz w:val="28"/>
          <w:szCs w:val="28"/>
          <w:rtl w:val="true"/>
          <w:lang w:bidi="ar-SA"/>
        </w:rPr>
        <w:t>، وجمع آخر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أخيرها ، للأصل ، وعموم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وإطلاقات حل الوطء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سنان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يأتيها بعلها إذا شاء إلاّ أيام </w:t>
      </w:r>
    </w:p>
    <w:p>
      <w:pPr>
        <w:pStyle w:val="BookText"/>
        <w:rPr/>
      </w:pPr>
      <w:r>
        <w:rPr>
          <w:rFonts w:ascii="Amiri" w:hAnsi="Amiri" w:eastAsia="Amiri" w:cs="Amiri"/>
          <w:color w:val="111111"/>
          <w:sz w:val="28"/>
          <w:sz w:val="28"/>
          <w:szCs w:val="28"/>
          <w:rtl w:val="true"/>
          <w:lang w:bidi="ar-SA"/>
        </w:rPr>
        <w:t xml:space="preserve">حيضها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صفوان ، المتقدّمة </w:t>
      </w:r>
      <w:r>
        <w:rPr>
          <w:rStyle w:val="FootnoteAnchor"/>
          <w:rtl w:val="true"/>
        </w:rPr>
        <w:footnoteReference w:id="148"/>
      </w:r>
      <w:r>
        <w:rPr>
          <w:rFonts w:ascii="Amiri" w:hAnsi="Amiri" w:eastAsia="Amiri" w:cs="Amiri"/>
          <w:color w:val="111111"/>
          <w:sz w:val="28"/>
          <w:sz w:val="28"/>
          <w:szCs w:val="28"/>
          <w:rtl w:val="true"/>
          <w:lang w:bidi="ar-SA"/>
        </w:rPr>
        <w:t xml:space="preserve">حيث إنّ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على المعطوف عليه كما توهّم ، مع أنه لا وجه للترتيب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دام دم المستحاضة ومضى عليه مثل أيام حيضها أتاها زوجها متى شاء بعد الغسل أو قبله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وغير ذلك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للمخالف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تكفّ عن الصلاة أيام أقرائها ، وتحتاط بيوم أو يومين ، ثمَّ تغتسل كلّ يوم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حلّت لها الصلاة حلّ لزوجها أن يغشاها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أيطؤها زوجها وهل تطوف بالبيت؟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قرأها الذي كانت تحيض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تصلّي صلاتين بغسل واحد ، وكلّ شي‌ء استحلّت به الصلاة فليأتها زوجها ولتطف بالبيت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أنّ كل شي‌ء استحلّت به الصلاة وكان مبيحا لها فهو مبيح لإتيان زوجها وطوافها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المعتبر عن مشيخة ابن محبوب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الحائض إذا رأت دما بعد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فلتجمع بين كلّ صلاتين بغسل ويصيب منها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لها الصلاة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الجميع بعدم الدلالة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الأولى فلأنها لا تدلّ إلاّ على أنه إذا جازت لها الصلاة جاز وطؤها ، ولا شك أنّ بالخروج عن الحيض تجوز لها الصلاة ، ولا يمنع توقّفها على بعض الشرائط المقدورة عن جوازها ، ولذا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المرأة حائضا تحلّ لها الصلاة ، مع أنّها قد تتوقّف على الوضوء والستر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فقد الشرط المقدور بل الواجب تحصيله لا ينافي الحلّية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إرادة الخروج من الحيض من حلّية الصلاة مسبوقيتها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 عن الصلاة أيام أقرائها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تعيّن ذلك فلا شك في احتماله الموجب لسقوط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مبني على ارتباط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ورجوعه إلى صدر الخبر ، وهو تعسف ، إذ الظاهر ارتباطه بحكم المستحاضة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إذ المجموع حكم المستحاضة ، والضمير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المستحاضة المذكورة أوّلا التي يحكم بتحيّضها أيام أقرائها ، ولا دخل للرجوع والارتباط هنا ، بل جميع الجمل حكم من نصّ عليه في صدر الرواية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فتكون دلالة الرواية على ما اخترناه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الذي أظن من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ولتجمع كلّ صلاتين بغسل وكذا بكلّ شي‌ء تتوقّف الصلاة عليه من الوضوء وغسل البدن وغيرهما ، فلا يتوقّف كلّ صلاة من الصلاتين على تجديد شي‌ء من هذه الأمور ، كما لا يتوقّف على تجديد الغسل ، بل تجمع بين كلّ صلاتين بواحد منها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يتفرع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فلتحتط ولتغتسل وتستدخل كرسفا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تفريع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له سلاسة ، بل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تسليم التفريع لا دلالة فيها على وجوب التأخير وعدم </w:t>
      </w:r>
    </w:p>
    <w:p>
      <w:pPr>
        <w:pStyle w:val="BookText"/>
        <w:rPr/>
      </w:pPr>
      <w:r>
        <w:rPr>
          <w:rFonts w:ascii="Amiri" w:hAnsi="Amiri" w:eastAsia="Amiri" w:cs="Amiri"/>
          <w:color w:val="111111"/>
          <w:sz w:val="28"/>
          <w:sz w:val="28"/>
          <w:szCs w:val="28"/>
          <w:rtl w:val="true"/>
          <w:lang w:bidi="ar-SA"/>
        </w:rPr>
        <w:t>الحلّية قبل هذه الأمور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عدم دلالة الثالثة أيضا ، مضافا إلى أنّ الاستدلال بها إنّما يكون له وجه لو عطفنا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ضرورة تستدعيه ، بل الظاهر أو المحتمل 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أيام القرء تمسك القطنة ويجوز وطؤها وتحلّ لها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ما في الجميع من أنهم يشترطون في حلّية الصلاة الاحتشاء واستدخال القطنة والتلجّم والاستثفار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الوطء مع هذه الأمور ، ولو أريد غير تلك الأمور من الأفعال لم يكن معنى حلّية الصلاة ، ولم يكن إرادته أولى من إرادة معنى آخر ، كالحلّية بأن تأتي بمقدماتها ثمَّ يواقعها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حلّية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بعد الغسل أو الوضوء في الوقت مقارنا للصلاة ، ولا تحل بغسل أو وضوء آخر ، ولازمه عدم جواز الوطء إلاّ في أوقات الصلاة قبل إيقاعها ، ولعلّهم لا يقولون به ، بل عدم جوازه أبدا ، إذ بعد الغسل أو الوضوء يجب الاشتغال بالصلاة فورا ، ولا تحلّ الصلاة بغسل آخر بعد الصلاة إلاّ أن تغتسل غسلا آخر للصلاة بعد الوقاع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 المتقدّمة في القليلة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وطء 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الأيام التي كانت تحيض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ويغشاها فيما سوى ذلك من الأيام ، ولا يغشاها حتى يأمرها فتغتسل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يأتيها بعلها أيام قرئها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عمار ، السابقة </w:t>
      </w:r>
      <w:r>
        <w:rPr>
          <w:rStyle w:val="FootnoteAnchor"/>
          <w:rtl w:val="true"/>
        </w:rPr>
        <w:footnoteReference w:id="157"/>
      </w:r>
      <w:r>
        <w:rPr>
          <w:rFonts w:ascii="Amiri" w:hAnsi="Amiri" w:eastAsia="Amiri" w:cs="Amiri"/>
          <w:color w:val="111111"/>
          <w:sz w:val="28"/>
          <w:sz w:val="28"/>
          <w:szCs w:val="28"/>
          <w:rtl w:val="true"/>
          <w:lang w:bidi="ar-SA"/>
        </w:rPr>
        <w:t xml:space="preserve">، بحمل القرء على الطهر بقرينة لزوم التكرار لولاه ، حيث إنّه منع عن قرئها أيام </w:t>
      </w:r>
    </w:p>
    <w:p>
      <w:pPr>
        <w:pStyle w:val="BookText"/>
        <w:rPr/>
      </w:pPr>
      <w:r>
        <w:rPr>
          <w:rFonts w:ascii="Amiri" w:hAnsi="Amiri" w:eastAsia="Amiri" w:cs="Amiri"/>
          <w:color w:val="111111"/>
          <w:sz w:val="28"/>
          <w:sz w:val="28"/>
          <w:szCs w:val="28"/>
          <w:rtl w:val="true"/>
          <w:lang w:bidi="ar-SA"/>
        </w:rPr>
        <w:t xml:space="preserve">حيضها أوّلا ، وليحصل التخالف بينها وبين القليلة المفهوم من 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يأتيها بعلها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زاد دمها على أيامها اغتسلت للفجر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صفة ما تعمله المستحاضة بعد أن تجلس أيام الحيض على عادتها ، والوقت الذي يجوز فيه نكاح المستحاضة وقت الغسل وبعد أن تغتسل وتنظف ، لأن غسلها يقوم مقام الطهر للحائض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رأت الدم أكثر من عشرة أيام فلتقعد من الصلاة عشرة أيام ثمَّ تغتسل يوم 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أقسام المستحاضة وأحكامها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 في أيام حيضها تركت الصلاة ومتى اغتسلت على ما وصفت حل لزوجها أن يغشاها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الدلالة على الحرمة قبل الاغتسال غايتها المرجوحية ، مع أن إرادة حين جواز الغسل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أيام الحيض ، ممكنة ، وهو وإن كان مجازا ولكن الحمل على بعد الغسل أيضا مجاز لا ترجيح له على الأول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ما مرّ من عدم الدلالة على التحريم ، بأنّ الظاهر منها غسل الحيض الذي يكره الغشيان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ما تقدّم أيضا سيما مع أنه لولاه لزم التخصيص بما قبل الأعمال ، بعدم دليل على إرادة الطهر من القرء ، فيحتمل الحيض ولا تكرار فيه ، إذ يمكن أن يكون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كما عبّر عنها بها كثيرا في الروايات ، فالأول حكم الحائض والثاني حكم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الحائض لا يقربها بعلها أيام حيضها ، وإذا جاز دمها وصارت مستحاضة تفعل كذا وكذا ، ولا يقربها بعلها أيضا أيام حيضها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يأتيها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إشارة إلى التي جازت أيامها المذكورة أوّلا ، لا خصوص التي دمها لا يثقب الكرسف ، فيكون بيانا لجواز </w:t>
      </w:r>
    </w:p>
    <w:p>
      <w:pPr>
        <w:pStyle w:val="BookText"/>
        <w:rPr/>
      </w:pPr>
      <w:r>
        <w:rPr>
          <w:rFonts w:ascii="Amiri" w:hAnsi="Amiri" w:eastAsia="Amiri" w:cs="Amiri"/>
          <w:color w:val="111111"/>
          <w:sz w:val="28"/>
          <w:sz w:val="28"/>
          <w:szCs w:val="28"/>
          <w:rtl w:val="true"/>
          <w:lang w:bidi="ar-SA"/>
        </w:rPr>
        <w:t xml:space="preserve">وطء المستحاضة في غير أيام حيضها ، ويكون التخصيص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لمقابلة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يقربها بعلها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فبوجوب الحمل على الكراهة بقرينة قوله السابق في أدلة المختار ، مع 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الغسل وبعد أن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التوقّف على الغسل ، إذ المراد بوقت الغسل وقت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ما ذكر أنه إذا زاد الدم على الأيام اغتسلت للفجر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جواز نكاحها وقت غسلها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زيادة الدم وما بعده ، فإن ذلك قائم مقام طهر الحائض وإن لم يكن طهرا حقيقة لوجود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اغتسلت على 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ذكر أوّلا أنها إذا رأت أكثر من عشرة أيام تغتسل اليوم الحادي عشر ثمَّ تفعل عمل المستحاضة ، إلى أن دخلت ثانيا في أيام حيضها ، فحينئذ تركت الصلاة أيضا إلى اليوم الحادي عشر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غسل اليوم الحادي عشر الذي به تخلص عن الحيض ، لا أغسال الاستحاضة ، ولذا أخّره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ولو منع من تعيّن ذلك فلا أقلّ من احتماله المسقط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توقّفه على حلّ الصلاة الذي هو الخروج عن الحدث الذي يتوقف على الغسل أو الوضوء كل في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قرب الإسناد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يواقعها زوجها؟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طال بها ذلك فلتغتسل ولتتوضّأ ثمَّ يواقعها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لا يصلح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علّق الوجوب على طول الاستحاضة ، ومفهومه إمّا عدم وجوب الغسل والوضوء أو عدم جواز الوطء ولو مع الغسل قبله ، وكلّ منهما خلاف الواقع ، فارتكاب نوع من التجوز فيه لازم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صحة صومها على غير الأغسال من الأفعال </w:t>
      </w:r>
    </w:p>
    <w:p>
      <w:pPr>
        <w:pStyle w:val="BookText"/>
        <w:rPr/>
      </w:pPr>
      <w:r>
        <w:rPr>
          <w:rFonts w:ascii="Amiri" w:hAnsi="Amiri" w:eastAsia="Amiri" w:cs="Amiri"/>
          <w:color w:val="111111"/>
          <w:sz w:val="28"/>
          <w:sz w:val="28"/>
          <w:szCs w:val="28"/>
          <w:rtl w:val="true"/>
          <w:lang w:bidi="ar-SA"/>
        </w:rPr>
        <w:t xml:space="preserve">وتوقّفها عليها ، بل في اللوامع ادّعى على الحكمين الإجماع ، كما نسب ثانيهما في المدارك إلى مذهب الأصحاب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في الأول ، ومكاتبة ابن مهزيار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نفاسها من أول شهر رمضان ، ثمَّ استحاضت وصلّت وصامت شهر رمضان من غير أن تعمل ما تعمله المستحاضة من الغسل لكل صلاتين ، فهل يجوز صومها وصلاتها ، 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صومها ولا تقضي صلاتها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والتفرقة بين الصلاة والصوم مع عدم قول بها غير ضائر ، كالإشكال الوارد في تتمة الخبر </w:t>
      </w:r>
      <w:r>
        <w:rPr>
          <w:rStyle w:val="FootnoteAnchor"/>
          <w:rtl w:val="true"/>
        </w:rPr>
        <w:footnoteReference w:id="161"/>
      </w:r>
      <w:r>
        <w:rPr>
          <w:rFonts w:ascii="Amiri" w:hAnsi="Amiri" w:eastAsia="Amiri" w:cs="Amiri"/>
          <w:color w:val="111111"/>
          <w:sz w:val="28"/>
          <w:sz w:val="28"/>
          <w:szCs w:val="28"/>
          <w:rtl w:val="true"/>
          <w:lang w:bidi="ar-SA"/>
        </w:rPr>
        <w:t xml:space="preserve">، لأن الخلل والإشكال في بعضه لا يخرجان ما فيه عن الحجية ، مع إمكان التأويل بما يرفع الخلل ويدفع الإشكال ، كما هو مذكور في كتب الأصحاب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الأول للمحكي عن ظاهر صوم النهاية ، والسرائر </w:t>
      </w:r>
      <w:r>
        <w:rPr>
          <w:rStyle w:val="FootnoteAnchor"/>
          <w:rtl w:val="true"/>
        </w:rPr>
        <w:footnoteReference w:id="163"/>
      </w:r>
      <w:r>
        <w:rPr>
          <w:rFonts w:ascii="Amiri" w:hAnsi="Amiri" w:eastAsia="Amiri" w:cs="Amiri"/>
          <w:color w:val="111111"/>
          <w:sz w:val="28"/>
          <w:sz w:val="28"/>
          <w:szCs w:val="28"/>
          <w:rtl w:val="true"/>
          <w:lang w:bidi="ar-SA"/>
        </w:rPr>
        <w:t xml:space="preserve">، فحكما بالفساد إذا أخلّت بما عليها ، وهو يشمل الوضوء وتغيير القطنة ، وعن ظاهر الإصباح والمروي عن الأصحاب في طهارة المبسوط ، فالفساد إذا أخلّت بالغسل أو الوضوء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لشي‌ء منهما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الثاني للمحكي عن المبسوط </w:t>
      </w:r>
      <w:r>
        <w:rPr>
          <w:rStyle w:val="FootnoteAnchor"/>
          <w:rtl w:val="true"/>
        </w:rPr>
        <w:footnoteReference w:id="165"/>
      </w:r>
      <w:r>
        <w:rPr>
          <w:rFonts w:ascii="IRNazanin" w:hAnsi="IRNazanin" w:eastAsia="IRNazanin"/>
          <w:color w:val="111111"/>
          <w:sz w:val="28"/>
          <w:sz w:val="28"/>
          <w:szCs w:val="28"/>
          <w:rtl w:val="true"/>
          <w:lang w:bidi="fa-IR"/>
        </w:rPr>
        <w:t xml:space="preserve">، والمعتبر </w:t>
      </w:r>
      <w:r>
        <w:rPr>
          <w:rStyle w:val="FootnoteAnchor"/>
          <w:rtl w:val="true"/>
        </w:rPr>
        <w:footnoteReference w:id="166"/>
      </w:r>
      <w:r>
        <w:rPr>
          <w:rFonts w:ascii="Amiri" w:hAnsi="Amiri" w:eastAsia="Amiri" w:cs="Amiri"/>
          <w:color w:val="111111"/>
          <w:sz w:val="28"/>
          <w:sz w:val="28"/>
          <w:szCs w:val="28"/>
          <w:rtl w:val="true"/>
          <w:lang w:bidi="ar-SA"/>
        </w:rPr>
        <w:t xml:space="preserve">، فتوقّفا في الحكم ، وهو ظاهر جمع من المتأخّرين ، كالمدارك والبحار </w:t>
      </w:r>
      <w:r>
        <w:rPr>
          <w:rStyle w:val="FootnoteAnchor"/>
          <w:rtl w:val="true"/>
        </w:rPr>
        <w:footnoteReference w:id="167"/>
      </w:r>
      <w:r>
        <w:rPr>
          <w:rFonts w:ascii="Amiri" w:hAnsi="Amiri" w:eastAsia="Amiri" w:cs="Amiri"/>
          <w:color w:val="111111"/>
          <w:sz w:val="28"/>
          <w:sz w:val="28"/>
          <w:szCs w:val="28"/>
          <w:rtl w:val="true"/>
          <w:lang w:bidi="ar-SA"/>
        </w:rPr>
        <w:t xml:space="preserve">وشرح القواعد للهندي ، وشرح الإرشاد للأردبيلي والحدائق </w:t>
      </w:r>
      <w:r>
        <w:rPr>
          <w:rStyle w:val="FootnoteAnchor"/>
          <w:rtl w:val="true"/>
        </w:rPr>
        <w:footnoteReference w:id="168"/>
      </w:r>
      <w:r>
        <w:rPr>
          <w:rFonts w:ascii="Amiri" w:hAnsi="Amiri" w:eastAsia="Amiri" w:cs="Amiri"/>
          <w:color w:val="111111"/>
          <w:sz w:val="28"/>
          <w:sz w:val="28"/>
          <w:szCs w:val="28"/>
          <w:rtl w:val="true"/>
          <w:lang w:bidi="ar-SA"/>
        </w:rPr>
        <w:t xml:space="preserve">، لما في الخبر من الوهن سندا ، لإضماره ، والخلل متنا كما مرّ ، والقصور دلالة ، لعدم التصريح بوجوب قضاء الصوم ، بل نهايته الرجحان المحتمل للاستحباب ، ولاحتمال أن 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التفعل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صومها صحيح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محلّه جدّا ، والاحتياط لا يترك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المتوقّف عليه على القول به هل هو الأغسال النهارية فقط لكلّ يوم كما عن المنتهى ، والتذكرة ، والبيان </w:t>
      </w:r>
      <w:r>
        <w:rPr>
          <w:rStyle w:val="FootnoteAnchor"/>
          <w:rtl w:val="true"/>
        </w:rPr>
        <w:footnoteReference w:id="169"/>
      </w:r>
      <w:r>
        <w:rPr>
          <w:rFonts w:ascii="Amiri" w:hAnsi="Amiri" w:eastAsia="Amiri" w:cs="Amiri"/>
          <w:color w:val="111111"/>
          <w:sz w:val="28"/>
          <w:sz w:val="28"/>
          <w:szCs w:val="28"/>
          <w:rtl w:val="true"/>
          <w:lang w:bidi="ar-SA"/>
        </w:rPr>
        <w:t xml:space="preserve">، ونسبه في اللوامع إلى الجماعة ، أو غسل الفجر خاصة ، أو ليلته اللاحقة كذلك ، أو السابقة كذلك ، أو الليلتين؟ كما جعل كلا منها بعضهم وجها ، ولم يبيّنه جماعة كالشيخ ، وابني إدريس وسعيد </w:t>
      </w:r>
      <w:r>
        <w:rPr>
          <w:rStyle w:val="FootnoteAnchor"/>
          <w:rtl w:val="true"/>
        </w:rPr>
        <w:footnoteReference w:id="170"/>
      </w:r>
      <w:r>
        <w:rPr>
          <w:rFonts w:ascii="Amiri" w:hAnsi="Amiri" w:eastAsia="Amiri" w:cs="Amiri"/>
          <w:color w:val="111111"/>
          <w:sz w:val="28"/>
          <w:sz w:val="28"/>
          <w:szCs w:val="28"/>
          <w:rtl w:val="true"/>
          <w:lang w:bidi="ar-SA"/>
        </w:rPr>
        <w:t xml:space="preserve">، والفاضل في القواعد والتحرير والإرشاد والنهاية </w:t>
      </w:r>
      <w:r>
        <w:rPr>
          <w:rStyle w:val="FootnoteAnchor"/>
          <w:rtl w:val="true"/>
        </w:rPr>
        <w:footnoteReference w:id="171"/>
      </w:r>
      <w:r>
        <w:rPr>
          <w:rFonts w:ascii="Amiri" w:hAnsi="Amiri" w:eastAsia="Amiri" w:cs="Amiri"/>
          <w:color w:val="111111"/>
          <w:sz w:val="28"/>
          <w:sz w:val="28"/>
          <w:szCs w:val="28"/>
          <w:rtl w:val="true"/>
          <w:lang w:bidi="ar-SA"/>
        </w:rPr>
        <w:t>، فعبّروا بالأغسال الظاهرة في العموم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بالبطلان إلاّ مع ترك جميع الأغسال النهارية والليلية الماضية والمستقبلة ، إذ لا يستفاد غير ذلك من المكاتبة ، فإنّ ظاهرها ترك </w:t>
      </w:r>
    </w:p>
    <w:p>
      <w:pPr>
        <w:pStyle w:val="BookText"/>
        <w:rPr/>
      </w:pPr>
      <w:r>
        <w:rPr>
          <w:rFonts w:ascii="Amiri" w:hAnsi="Amiri" w:eastAsia="Amiri" w:cs="Amiri"/>
          <w:color w:val="111111"/>
          <w:sz w:val="28"/>
          <w:sz w:val="28"/>
          <w:szCs w:val="28"/>
          <w:rtl w:val="true"/>
          <w:lang w:bidi="ar-SA"/>
        </w:rPr>
        <w:t>جميع الأغسال ، فالحكم فيها بقضاء كلّ يوم يمكن أن يكون لجميع ما ذكرنا ، ولكلّ واحد ، ولكلّ اثنين ، والأوّل يقيني والباقي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القطع بعدم مدخلية الليلة المستقبلة ، غير مسموعة ، إذ لا سبيل إلى القطع بالشرعيات من غير جهة النقل التي هي هنا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عموم الخبر من جهة ترك الاستفصال أو إطلاقه حيث يدلّ على أن ترك الغسل لكلّ صلاتين يوجب القضاء سواء ترك الجميع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بالبطلان بترك النهارية البتة ، وأما الليلية فلإجمالها من جهة أنه لا يعلم أنّ سبب الأمر بالقضاء في الخبر الليلية الماضية أو المستقبلة لا يفيد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بالتوقّف على جميع الأغسال أو النهارية خاصة هل يجب تقديم غسل الفجر عليه أم لا؟</w:t>
      </w:r>
    </w:p>
    <w:p>
      <w:pPr>
        <w:pStyle w:val="BookText"/>
        <w:rPr/>
      </w:pPr>
      <w:r>
        <w:rPr>
          <w:rFonts w:ascii="Amiri" w:hAnsi="Amiri" w:eastAsia="Amiri" w:cs="Amiri"/>
          <w:color w:val="111111"/>
          <w:sz w:val="28"/>
          <w:sz w:val="28"/>
          <w:szCs w:val="28"/>
          <w:rtl w:val="true"/>
          <w:lang w:bidi="ar-SA"/>
        </w:rPr>
        <w:t xml:space="preserve">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وصدق الإتيان بما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بالأول ، لدلالة التوقّف على كون الاستحاضة حدثا مانعا من الصوم ، فيجب رفعه قبل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بالتوقّف على غسل الليلة الماضية فتركها يبطل إلاّ مع تقديم غسل الفجر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الدم بعد إيقاع ما يجب من الطهارتين لا يوجب سقوط مقتضاه للصلاة الآتية ، بل يجب لها مع بقائه بعد الطهارة ولو بلحظة ، سواء كان انقطاع برء أو فترة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بأن المعتبر حصول الدم أوقات الصلاة لا يجب معه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يؤثّر ذلك الانقطاع في الطهارة الحاضرة لو حدث بعدها وقبل الصلاة إمّا مطلقا ، كما عن المبسوط ، والمهذب ، والإصباح ، والسرائر ، والذكرى </w:t>
      </w:r>
      <w:r>
        <w:rPr>
          <w:rStyle w:val="FootnoteAnchor"/>
          <w:rtl w:val="true"/>
        </w:rPr>
        <w:footnoteReference w:id="172"/>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 xml:space="preserve">إذا كان انقطاع برء دون فترة ، كما عن ظاهر الخلاف وفي القواعد ، والمنتهى </w:t>
      </w:r>
      <w:r>
        <w:rPr>
          <w:rStyle w:val="FootnoteAnchor"/>
          <w:rtl w:val="true"/>
        </w:rPr>
        <w:footnoteReference w:id="173"/>
      </w:r>
      <w:r>
        <w:rPr>
          <w:rFonts w:ascii="Amiri" w:hAnsi="Amiri" w:eastAsia="Amiri" w:cs="Amiri"/>
          <w:color w:val="111111"/>
          <w:sz w:val="28"/>
          <w:sz w:val="28"/>
          <w:szCs w:val="28"/>
          <w:rtl w:val="true"/>
          <w:lang w:bidi="ar-SA"/>
        </w:rPr>
        <w:t xml:space="preserve">، ومال إليه جمع من متأخّري المتأخرين </w:t>
      </w:r>
      <w:r>
        <w:rPr>
          <w:rStyle w:val="FootnoteAnchor"/>
          <w:rtl w:val="true"/>
        </w:rPr>
        <w:footnoteReference w:id="174"/>
      </w:r>
      <w:r>
        <w:rPr>
          <w:rFonts w:ascii="Amiri" w:hAnsi="Amiri" w:eastAsia="Amiri" w:cs="Amiri"/>
          <w:color w:val="111111"/>
          <w:sz w:val="28"/>
          <w:sz w:val="28"/>
          <w:szCs w:val="28"/>
          <w:rtl w:val="true"/>
          <w:lang w:bidi="ar-SA"/>
        </w:rPr>
        <w:t xml:space="preserve">، أو مع فترة متّسعة للطهارة والصلاة ثانيا ، كما عن نهاية الفاضل </w:t>
      </w:r>
      <w:r>
        <w:rPr>
          <w:rStyle w:val="FootnoteAnchor"/>
          <w:rtl w:val="true"/>
        </w:rPr>
        <w:footnoteReference w:id="175"/>
      </w:r>
      <w:r>
        <w:rPr>
          <w:rFonts w:ascii="Amiri" w:hAnsi="Amiri" w:eastAsia="Amiri" w:cs="Amiri"/>
          <w:color w:val="111111"/>
          <w:sz w:val="28"/>
          <w:sz w:val="28"/>
          <w:szCs w:val="28"/>
          <w:rtl w:val="true"/>
          <w:lang w:bidi="ar-SA"/>
        </w:rPr>
        <w:t>، فإنهم قالوا بالتأثير فيبطلها ويوجب الوضوء ، لأنّ هذا الدم حدث مغتفر بعد الطهارة وقبل الصلاة حال الضرورة ، وهي الاستمرار أو عدم البرء ، فلا ينسحب فيما لا ضرورة فيه ، أعني حال الانقطاع مطلقا أو للبرء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يؤثّر مطلقا ، كما عن المحقّق والجامع </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لاستصحاب جواز الدخول في الصلاة قبل الانقطاع ، وعدم معلومية تقييده </w:t>
      </w:r>
      <w:r>
        <w:rPr>
          <w:rStyle w:val="FootnoteAnchor"/>
          <w:rtl w:val="true"/>
        </w:rPr>
        <w:footnoteReference w:id="177"/>
      </w:r>
      <w:r>
        <w:rPr>
          <w:rFonts w:ascii="Amiri" w:hAnsi="Amiri" w:eastAsia="Amiri" w:cs="Amiri"/>
          <w:color w:val="111111"/>
          <w:sz w:val="28"/>
          <w:sz w:val="28"/>
          <w:szCs w:val="28"/>
          <w:rtl w:val="true"/>
          <w:lang w:bidi="ar-SA"/>
        </w:rPr>
        <w:t>بالاستمرار ، ولأنه لم يثبت تأثير هذا الدم شرعا زائدا على إيجاب ما فعلت ، وأمّا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حدثا مطلقا ممنوع ، ولو سلّم فكونه مؤثّرا في شي‌ء زائدا على ما فعلت غير ثابت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ظهر عدم تأثيره في بطلان الطهارة والصلاة لو حصل في أثناء الصلاة فتستمرّ في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79"/>
      </w:r>
      <w:r>
        <w:rPr>
          <w:rFonts w:ascii="Amiri" w:hAnsi="Amiri" w:eastAsia="Amiri" w:cs="Amiri"/>
          <w:color w:val="111111"/>
          <w:sz w:val="28"/>
          <w:sz w:val="28"/>
          <w:szCs w:val="28"/>
          <w:rtl w:val="true"/>
          <w:lang w:bidi="ar-SA"/>
        </w:rPr>
        <w:t>، فقالوا بتأثيره وإيجابه للوضوء وإعادة الصلاة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التأثّر في الصورتين فالتخصيص بالوضوء لا وجه له ، بل اللازم في كلّ دم تأثيره فيما يوجبه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يصدر حدث آخر غير الدم ، وأمّا لو حصل غيره من ريح أو </w:t>
      </w:r>
    </w:p>
    <w:p>
      <w:pPr>
        <w:pStyle w:val="BookText"/>
        <w:rPr/>
      </w:pPr>
      <w:r>
        <w:rPr>
          <w:rFonts w:ascii="Amiri" w:hAnsi="Amiri" w:eastAsia="Amiri" w:cs="Amiri"/>
          <w:color w:val="111111"/>
          <w:sz w:val="28"/>
          <w:sz w:val="28"/>
          <w:szCs w:val="28"/>
          <w:rtl w:val="true"/>
          <w:lang w:bidi="ar-SA"/>
        </w:rPr>
        <w:t>بول أو مني وجب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الاستظهار في منع الدم بقدر المكنة ، للأمر بالتعصب ، والاحتشاء ، والاستيثاق ، والتلجّم ، والاستذفار ، والاستثفار </w:t>
      </w:r>
      <w:r>
        <w:rPr>
          <w:rStyle w:val="FootnoteAnchor"/>
          <w:rtl w:val="true"/>
        </w:rPr>
        <w:footnoteReference w:id="180"/>
      </w:r>
      <w:r>
        <w:rPr>
          <w:rFonts w:ascii="Amiri" w:hAnsi="Amiri" w:eastAsia="Amiri" w:cs="Amiri"/>
          <w:color w:val="111111"/>
          <w:sz w:val="28"/>
          <w:sz w:val="28"/>
          <w:szCs w:val="28"/>
          <w:rtl w:val="true"/>
          <w:lang w:bidi="ar-SA"/>
        </w:rPr>
        <w:t xml:space="preserve">في المرسلة الطويلة ، وموثّقة زرارة ، وصحاح الصحّاف والحلبي وابن عمّار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منها مضافا إلى عدم تيسّر الغسل بعد أكثر تلك الأفعال كون محلّه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الوضوء </w:t>
      </w:r>
      <w:r>
        <w:rPr>
          <w:rStyle w:val="FootnoteAnchor"/>
          <w:rtl w:val="true"/>
        </w:rPr>
        <w:footnoteReference w:id="182"/>
      </w:r>
      <w:r>
        <w:rPr>
          <w:rFonts w:ascii="Amiri" w:hAnsi="Amiri" w:eastAsia="Amiri" w:cs="Amiri"/>
          <w:color w:val="111111"/>
          <w:sz w:val="28"/>
          <w:sz w:val="28"/>
          <w:szCs w:val="28"/>
          <w:rtl w:val="true"/>
          <w:lang w:bidi="ar-SA"/>
        </w:rPr>
        <w:t>، ولم يظهر له وجه تام ، والتوجيه بتحقّق الصلاة عقيب الطهارة غير وجيه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هو شرط في صحة الوضوء والصلاة حتى لو لم تستظهر وخرج الدم بعد الوضوء بطل أو في الصلاة بطلت ، أم هو واجب برأسه حتى لم يبطل شي‌ء منهما؟</w:t>
      </w:r>
    </w:p>
    <w:p>
      <w:pPr>
        <w:pStyle w:val="BookText"/>
        <w:rPr/>
      </w:pP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الشرطية ، إلاّ أن يعلّل الوجوب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منع الدم وتقليلها ولو كان أقلّ من الدرهم ، وللوضوء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بحدثيته وعدم العفو إلاّ في مورد ثبت عنه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اللزوم إلاّ إذا تعدّى إلى الثوب والبدن وصار قدر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الحدثية ، فلا يبطل بالتقصير 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تبطل الصلاة من جهة أخرى ، وهي النهي عنها الملزوم للأمر بالاستظهار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بوجوب هذا الاستظهار في النهار لأجل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كغسل الحائض في كلّ حكم حتى في حاجته إلى الوضوء لو كانت محدثة بالحدث الموجب 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يستثنى من المساواة الكلية الموالاة الغير المعتبرة في غيره من الأغسال المعتبرة فيه ، تحصيلا للمقارنة اللازمة للصلاة</w:t>
      </w:r>
      <w:r>
        <w:rPr>
          <w:rFonts w:eastAsia="Amiri" w:cs="Amiri" w:ascii="Amiri" w:hAnsi="Amiri"/>
          <w:color w:val="111111"/>
          <w:sz w:val="28"/>
          <w:szCs w:val="28"/>
          <w:rtl w:val="true"/>
          <w:lang w:bidi="ar-SA"/>
        </w:rPr>
        <w:t xml:space="preserve">. </w:t>
      </w:r>
      <w:bookmarkStart w:id="22" w:name="pg11616_94497"/>
    </w:p>
    <w:p>
      <w:pPr>
        <w:pStyle w:val="Heading2"/>
        <w:numPr>
          <w:ilvl w:val="1"/>
          <w:numId w:val="1"/>
        </w:numPr>
        <w:rPr/>
      </w:pPr>
      <w:bookmarkStart w:id="23" w:name="__RefHeading___Toc5588063_73709187"/>
      <w:bookmarkStart w:id="24" w:name="_Toc9"/>
      <w:bookmarkEnd w:id="22"/>
      <w:bookmarkEnd w:id="23"/>
      <w:r>
        <w:rPr>
          <w:rtl w:val="true"/>
        </w:rPr>
        <w:t xml:space="preserve">الفصل الرابع </w:t>
      </w:r>
      <w:r>
        <w:rPr>
          <w:rtl w:val="true"/>
        </w:rPr>
        <w:t xml:space="preserve">: </w:t>
      </w:r>
      <w:r>
        <w:rPr>
          <w:rtl w:val="true"/>
        </w:rPr>
        <w:t>في غسل النفاس</w:t>
      </w:r>
      <w:bookmarkEnd w:id="24"/>
    </w:p>
    <w:p>
      <w:pPr>
        <w:pStyle w:val="Heading3"/>
        <w:numPr>
          <w:ilvl w:val="2"/>
          <w:numId w:val="1"/>
        </w:numPr>
        <w:rPr/>
      </w:pPr>
      <w:bookmarkStart w:id="25" w:name="__RefHeading___Toc5588065_73709187"/>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والمراد بالنفاس هنا دم الولادة ، والكلام هنا إمّا في تعيين النفاس أو في أحكامه ، وفيه بحثان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588067_73709187"/>
      <w:bookmarkStart w:id="28" w:name="_Toc11"/>
      <w:bookmarkEnd w:id="27"/>
      <w:r>
        <w:rPr>
          <w:rtl w:val="true"/>
        </w:rPr>
        <w:t xml:space="preserve">البحث الأول </w:t>
      </w:r>
      <w:r>
        <w:rPr>
          <w:rtl w:val="true"/>
        </w:rPr>
        <w:t xml:space="preserve">: </w:t>
      </w:r>
      <w:r>
        <w:rPr>
          <w:rtl w:val="true"/>
        </w:rPr>
        <w:t>في تعيينه</w:t>
      </w:r>
      <w:bookmarkEnd w:id="2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الخارج حال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وجع الولادة قبل خروج شي‌ء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نفاسا بالإجماع المحقّق والمنقول </w:t>
      </w:r>
      <w:r>
        <w:rPr>
          <w:rStyle w:val="FootnoteAnchor"/>
          <w:rtl w:val="true"/>
        </w:rPr>
        <w:footnoteReference w:id="183"/>
      </w:r>
      <w:r>
        <w:rPr>
          <w:rFonts w:ascii="Amiri" w:hAnsi="Amiri" w:eastAsia="Amiri" w:cs="Amiri"/>
          <w:color w:val="111111"/>
          <w:sz w:val="28"/>
          <w:sz w:val="28"/>
          <w:szCs w:val="28"/>
          <w:rtl w:val="true"/>
          <w:lang w:bidi="ar-SA"/>
        </w:rPr>
        <w:t xml:space="preserve">مستفيضا ، والنصوص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يصيبها الطلق أيّاما أو يوما أو يومين فترى الصفرة أو دما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ما لم تلد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وقريبة منها مرسلة الفقيه عن عمّار </w:t>
      </w:r>
      <w:r>
        <w:rPr>
          <w:rStyle w:val="FootnoteAnchor"/>
          <w:rtl w:val="true"/>
        </w:rPr>
        <w:footnoteReference w:id="18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الخلقاني ، المروية في مجالس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رأت الدم وقد أصابها الطلق فرأته وهي تمخض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حتى يخرج رأس الصبي ، فإنها رأت الدم وقد أصابها لم تجب عليها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قذفت بدم المخاض إلى أن يخرج بعض الولد ، فعند ذلك يصير دم النفاس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 المتقدّمة في حيض الحبلى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هذا الدم إن استجمع شرائط الحكم بالحيضية حتى في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على الشرائط هنا اشتراط تخلّل أقلّ الطهر بالنقاء أو الدم ، بين آخره وبين النفاس على الأظهر الأشهر ، كما صرّح به جماعة ، بل عن الخلاف </w:t>
      </w:r>
      <w:r>
        <w:rPr>
          <w:rStyle w:val="FootnoteAnchor"/>
          <w:rtl w:val="true"/>
        </w:rPr>
        <w:footnoteReference w:id="188"/>
      </w:r>
      <w:r>
        <w:rPr>
          <w:rFonts w:ascii="Amiri" w:hAnsi="Amiri" w:eastAsia="Amiri" w:cs="Amiri"/>
          <w:color w:val="111111"/>
          <w:sz w:val="28"/>
          <w:sz w:val="28"/>
          <w:szCs w:val="28"/>
          <w:rtl w:val="true"/>
          <w:lang w:bidi="ar-SA"/>
        </w:rPr>
        <w:t xml:space="preserve">نفي الخلاف عنه ، وهو المحكي عن نهاية الفاضل والقواعد ، والذكرى ، وشرح القواعد للكركي ، والروض </w:t>
      </w:r>
      <w:r>
        <w:rPr>
          <w:rStyle w:val="FootnoteAnchor"/>
          <w:rtl w:val="true"/>
        </w:rPr>
        <w:footnoteReference w:id="189"/>
      </w:r>
      <w:r>
        <w:rPr>
          <w:rFonts w:ascii="Amiri" w:hAnsi="Amiri" w:eastAsia="Amiri" w:cs="Amiri"/>
          <w:color w:val="111111"/>
          <w:sz w:val="28"/>
          <w:sz w:val="28"/>
          <w:szCs w:val="28"/>
          <w:rtl w:val="true"/>
          <w:lang w:bidi="ar-SA"/>
        </w:rPr>
        <w:t xml:space="preserve">، واختاره والدي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الأخبار المذكورة المجوّزة للصلاة ، خرج عنها الجامع للشرائط مع تخلّل أقلّ الطهر ، بالإجماع المركّب من كلّ من قال باجتماع الحيض مع الحبل إمّا مطلقا أو بشرط خاص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عارضها ما دلّ على حيضية دم الحامل مع الأوصاف في أيام العادة ، لم يضر ، لوجوب الرجوع إلى أصالة عدم الحيضية ولزوم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بعض الصور إلى قوله في صحيحة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حين تطهر إلى أن ترى الدم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بل في جميعها إلى مطلق الأخبار الدالّة على أنّ أقلّ الطهر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النفاس كالحيض ، فيشترط تخلّل العشرة بينهما ، وباشتراط تخلّله بين النفاس والحيض المتعقّب له ، فالمتقدّم مثله ، لعدم قول بالفرق ، ضعيف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التماثل المطلق ، ومطلقه لو ثبت لم ينفع ، مع أنه لا ينفي حيضية الدم المتصل بالنفاس ، لجواز حيضية المجموع بناء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ثبوت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للمنتهى ، والمدارك ، والذخيرة ، والمحكي عن التذكرة </w:t>
      </w:r>
      <w:r>
        <w:rPr>
          <w:rStyle w:val="FootnoteAnchor"/>
          <w:rtl w:val="true"/>
        </w:rPr>
        <w:footnoteReference w:id="191"/>
      </w:r>
      <w:r>
        <w:rPr>
          <w:rFonts w:ascii="Amiri" w:hAnsi="Amiri" w:eastAsia="Amiri" w:cs="Amiri"/>
          <w:color w:val="111111"/>
          <w:sz w:val="28"/>
          <w:sz w:val="28"/>
          <w:szCs w:val="28"/>
          <w:rtl w:val="true"/>
          <w:lang w:bidi="ar-SA"/>
        </w:rPr>
        <w:t>، لضعف الأخبار المتقدّمة ، فيبقى ما يدلّ على الحيضية عن المعارض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لا يتخلّل بينه وبين النفاس أقلّ الطهر لا يكون حيضا ، كما يكون كذلك مطلقا إن قلنا بعدم اجتماع الحيض مع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الحكم بكونه استحاضة أم لا ، يرجع إلى ما يحكم به في غير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بعد خروج تمام الولد نفاس بالإجماع ، كما في المنتهى ، وعن التذكرة </w:t>
      </w:r>
      <w:r>
        <w:rPr>
          <w:rStyle w:val="FootnoteAnchor"/>
          <w:rtl w:val="true"/>
        </w:rPr>
        <w:footnoteReference w:id="192"/>
      </w:r>
      <w:r>
        <w:rPr>
          <w:rFonts w:ascii="Amiri" w:hAnsi="Amiri" w:eastAsia="Amiri" w:cs="Amiri"/>
          <w:color w:val="111111"/>
          <w:sz w:val="28"/>
          <w:sz w:val="28"/>
          <w:szCs w:val="28"/>
          <w:rtl w:val="true"/>
          <w:lang w:bidi="ar-SA"/>
        </w:rPr>
        <w:t xml:space="preserve">، ونفي عنه الخلاف في شرح القواعد للكركي ، وعن نهاية الإحكام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الخارج معه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المقنعة ، والخلاف ، والمبسوط </w:t>
      </w:r>
      <w:r>
        <w:rPr>
          <w:rStyle w:val="FootnoteAnchor"/>
          <w:rtl w:val="true"/>
        </w:rPr>
        <w:footnoteReference w:id="194"/>
      </w:r>
      <w:r>
        <w:rPr>
          <w:rFonts w:ascii="Amiri" w:hAnsi="Amiri" w:eastAsia="Amiri" w:cs="Amiri"/>
          <w:color w:val="111111"/>
          <w:sz w:val="28"/>
          <w:sz w:val="28"/>
          <w:szCs w:val="28"/>
          <w:rtl w:val="true"/>
          <w:lang w:bidi="ar-SA"/>
        </w:rPr>
        <w:t xml:space="preserve">صريحا ، وعن النهاية ، والمصباح ، ومختصره ، والاقتصاد </w:t>
      </w:r>
      <w:r>
        <w:rPr>
          <w:rStyle w:val="FootnoteAnchor"/>
          <w:rtl w:val="true"/>
        </w:rPr>
        <w:footnoteReference w:id="195"/>
      </w:r>
      <w:r>
        <w:rPr>
          <w:rFonts w:ascii="IRNazanin" w:hAnsi="IRNazanin" w:eastAsia="IRNazanin"/>
          <w:color w:val="111111"/>
          <w:sz w:val="28"/>
          <w:sz w:val="28"/>
          <w:szCs w:val="28"/>
          <w:rtl w:val="true"/>
          <w:lang w:bidi="fa-IR"/>
        </w:rPr>
        <w:t xml:space="preserve">، والمراسم ، والسرائر ، والمهذب ، والشرائع </w:t>
      </w:r>
      <w:r>
        <w:rPr>
          <w:rStyle w:val="FootnoteAnchor"/>
          <w:rtl w:val="true"/>
        </w:rPr>
        <w:footnoteReference w:id="196"/>
      </w:r>
      <w:r>
        <w:rPr>
          <w:rFonts w:ascii="Amiri" w:hAnsi="Amiri" w:eastAsia="Amiri" w:cs="Amiri"/>
          <w:color w:val="111111"/>
          <w:sz w:val="28"/>
          <w:sz w:val="28"/>
          <w:szCs w:val="28"/>
          <w:rtl w:val="true"/>
          <w:lang w:bidi="ar-SA"/>
        </w:rPr>
        <w:t xml:space="preserve">ظاهرا ، وفي النافع ، والمعتبر ، والقواعد ، وشرحه </w:t>
      </w:r>
      <w:r>
        <w:rPr>
          <w:rStyle w:val="FootnoteAnchor"/>
          <w:rtl w:val="true"/>
        </w:rPr>
        <w:footnoteReference w:id="197"/>
      </w:r>
      <w:r>
        <w:rPr>
          <w:rFonts w:ascii="Amiri" w:hAnsi="Amiri" w:eastAsia="Amiri" w:cs="Amiri"/>
          <w:color w:val="111111"/>
          <w:sz w:val="28"/>
          <w:sz w:val="28"/>
          <w:szCs w:val="28"/>
          <w:rtl w:val="true"/>
          <w:lang w:bidi="ar-SA"/>
        </w:rPr>
        <w:t xml:space="preserve">، بل في الأخير دعوى الشهرة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الثاني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نفاس ، للروايتين الأخيرتين </w:t>
      </w:r>
      <w:r>
        <w:rPr>
          <w:rStyle w:val="FootnoteAnchor"/>
          <w:rtl w:val="true"/>
        </w:rPr>
        <w:footnoteReference w:id="198"/>
      </w:r>
      <w:r>
        <w:rPr>
          <w:rFonts w:ascii="Amiri" w:hAnsi="Amiri" w:eastAsia="Amiri" w:cs="Amiri"/>
          <w:color w:val="111111"/>
          <w:sz w:val="28"/>
          <w:sz w:val="28"/>
          <w:szCs w:val="28"/>
          <w:rtl w:val="true"/>
          <w:lang w:bidi="ar-SA"/>
        </w:rPr>
        <w:t>المنجبرتين بما ذكر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الجملين </w:t>
      </w:r>
      <w:r>
        <w:rPr>
          <w:rStyle w:val="FootnoteAnchor"/>
          <w:rtl w:val="true"/>
        </w:rPr>
        <w:footnoteReference w:id="199"/>
      </w:r>
      <w:r>
        <w:rPr>
          <w:rFonts w:ascii="Amiri" w:hAnsi="Amiri" w:eastAsia="Amiri" w:cs="Amiri"/>
          <w:color w:val="111111"/>
          <w:sz w:val="28"/>
          <w:sz w:val="28"/>
          <w:szCs w:val="28"/>
          <w:rtl w:val="true"/>
          <w:lang w:bidi="ar-SA"/>
        </w:rPr>
        <w:t xml:space="preserve">، والكافي ، والغنية ، والوسيلة ، والإصباح ، والجامع </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أنه ليس بنفاس ، للأصل ، والخبرين الأولين </w:t>
      </w:r>
      <w:r>
        <w:rPr>
          <w:rStyle w:val="FootnoteAnchor"/>
          <w:rtl w:val="true"/>
        </w:rPr>
        <w:footnoteReference w:id="201"/>
      </w:r>
      <w:r>
        <w:rPr>
          <w:rFonts w:ascii="Amiri" w:hAnsi="Amiri" w:eastAsia="Amiri" w:cs="Amiri"/>
          <w:color w:val="111111"/>
          <w:sz w:val="28"/>
          <w:sz w:val="28"/>
          <w:szCs w:val="28"/>
          <w:rtl w:val="true"/>
          <w:lang w:bidi="ar-SA"/>
        </w:rPr>
        <w:t>، وما بمعناهما المعلّق ترك الصلاة على الولادة المتبادر منها خروج تمام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لم تر دما بعد خروج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الأول ، لما مرّ ، والشك في توقّف صدق الولادة على خروج التمام ، بل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صدق الولادة بخروج جزء من الولد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الأخبار ومقتضى الأصل ولزوم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النفاس في الدم الخارج مع ما يسمّى ولدا ، لا مثل المضغة والعلقة والنطفة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فإلحاقها به مطلقا ، أو مع العلم بكونها بدء نشوء آدميّ ، أو إلحاق الأول خاصة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إلى كلّ بعض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خال عن الدليل ، والعلم بمبدئيّة نشوء الإنسان غير كاف ، وكونه دما عقيب الحمل غير مفيد ، والإجماع المحكي عن التذكرة </w:t>
      </w:r>
      <w:r>
        <w:rPr>
          <w:rStyle w:val="FootnoteAnchor"/>
          <w:rtl w:val="true"/>
        </w:rPr>
        <w:footnoteReference w:id="203"/>
      </w:r>
      <w:r>
        <w:rPr>
          <w:rFonts w:ascii="Amiri" w:hAnsi="Amiri" w:eastAsia="Amiri" w:cs="Amiri"/>
          <w:color w:val="111111"/>
          <w:sz w:val="28"/>
          <w:sz w:val="28"/>
          <w:szCs w:val="28"/>
          <w:rtl w:val="true"/>
          <w:lang w:bidi="ar-SA"/>
        </w:rPr>
        <w:t>في بعض الصور 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لأقلّ النفاس بالإجماع ، له ، وللأصل ، وخبر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كم حدّ نفاسها حتى تجب عليها الصلاة ، وكيف تصنع؟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لها حدّ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الصلاة ما دامت ترى الدم العبيط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منهما طرف الكثرة الثابت فيه التحديد بالإجماع ، والنصوص ، فيبقى جانب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لحظة ، بل يجوز أن لا ترى دما كما في قضية </w:t>
      </w:r>
    </w:p>
    <w:p>
      <w:pPr>
        <w:pStyle w:val="BookText"/>
        <w:rPr/>
      </w:pPr>
      <w:r>
        <w:rPr>
          <w:rFonts w:ascii="IRNazanin" w:hAnsi="IRNazanin" w:eastAsia="IRNazanin"/>
          <w:color w:val="111111"/>
          <w:sz w:val="28"/>
          <w:sz w:val="28"/>
          <w:szCs w:val="28"/>
          <w:rtl w:val="true"/>
          <w:lang w:bidi="fa-IR"/>
        </w:rPr>
        <w:t xml:space="preserve">الجفوف </w:t>
      </w:r>
      <w:r>
        <w:rPr>
          <w:rStyle w:val="FootnoteAnchor"/>
          <w:rtl w:val="true"/>
        </w:rPr>
        <w:footnoteReference w:id="206"/>
      </w:r>
      <w:r>
        <w:rPr>
          <w:rFonts w:ascii="Amiri" w:hAnsi="Amiri" w:eastAsia="Amiri" w:cs="Amiri"/>
          <w:color w:val="111111"/>
          <w:sz w:val="28"/>
          <w:sz w:val="28"/>
          <w:szCs w:val="28"/>
          <w:rtl w:val="true"/>
          <w:lang w:bidi="ar-SA"/>
        </w:rPr>
        <w:t>، وحينئذ لا يثبت النفاس بالأصل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مجرد خروج الولد حدثا أكبر أو 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العامة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وأكثره العشرة ، وفاقا للمحكي عن والد الصدوق </w:t>
      </w:r>
      <w:r>
        <w:rPr>
          <w:rStyle w:val="FootnoteAnchor"/>
          <w:rtl w:val="true"/>
        </w:rPr>
        <w:footnoteReference w:id="208"/>
      </w:r>
      <w:r>
        <w:rPr>
          <w:rFonts w:ascii="Amiri" w:hAnsi="Amiri" w:eastAsia="Amiri" w:cs="Amiri"/>
          <w:color w:val="111111"/>
          <w:sz w:val="28"/>
          <w:sz w:val="28"/>
          <w:szCs w:val="28"/>
          <w:rtl w:val="true"/>
          <w:lang w:bidi="ar-SA"/>
        </w:rPr>
        <w:t xml:space="preserve">، والمقنع ، والمقنعة ، والشيخ ، والقاضي </w:t>
      </w:r>
      <w:r>
        <w:rPr>
          <w:rStyle w:val="FootnoteAnchor"/>
          <w:rtl w:val="true"/>
        </w:rPr>
        <w:footnoteReference w:id="209"/>
      </w:r>
      <w:r>
        <w:rPr>
          <w:rFonts w:ascii="Amiri" w:hAnsi="Amiri" w:eastAsia="Amiri" w:cs="Amiri"/>
          <w:color w:val="111111"/>
          <w:sz w:val="28"/>
          <w:sz w:val="28"/>
          <w:szCs w:val="28"/>
          <w:rtl w:val="true"/>
          <w:lang w:bidi="ar-SA"/>
        </w:rPr>
        <w:t xml:space="preserve">، والحلّي والحلبي ، والمحقّق </w:t>
      </w:r>
      <w:r>
        <w:rPr>
          <w:rStyle w:val="FootnoteAnchor"/>
          <w:rtl w:val="true"/>
        </w:rPr>
        <w:footnoteReference w:id="210"/>
      </w:r>
      <w:r>
        <w:rPr>
          <w:rFonts w:ascii="Amiri" w:hAnsi="Amiri" w:eastAsia="Amiri" w:cs="Amiri"/>
          <w:color w:val="111111"/>
          <w:sz w:val="28"/>
          <w:sz w:val="28"/>
          <w:szCs w:val="28"/>
          <w:rtl w:val="true"/>
          <w:lang w:bidi="ar-SA"/>
        </w:rPr>
        <w:t xml:space="preserve">، والجعفي ، وابن طاوس </w:t>
      </w:r>
      <w:r>
        <w:rPr>
          <w:rStyle w:val="FootnoteAnchor"/>
          <w:rtl w:val="true"/>
        </w:rPr>
        <w:footnoteReference w:id="211"/>
      </w:r>
      <w:r>
        <w:rPr>
          <w:rFonts w:ascii="Amiri" w:hAnsi="Amiri" w:eastAsia="Amiri" w:cs="Amiri"/>
          <w:color w:val="111111"/>
          <w:sz w:val="28"/>
          <w:sz w:val="28"/>
          <w:szCs w:val="28"/>
          <w:rtl w:val="true"/>
          <w:lang w:bidi="ar-SA"/>
        </w:rPr>
        <w:t xml:space="preserve">، والفاضل في غير المختلف ، والشهيد </w:t>
      </w:r>
      <w:r>
        <w:rPr>
          <w:rStyle w:val="FootnoteAnchor"/>
          <w:rtl w:val="true"/>
        </w:rPr>
        <w:footnoteReference w:id="212"/>
      </w:r>
      <w:r>
        <w:rPr>
          <w:rFonts w:ascii="Amiri" w:hAnsi="Amiri" w:eastAsia="Amiri" w:cs="Amiri"/>
          <w:color w:val="111111"/>
          <w:sz w:val="28"/>
          <w:sz w:val="28"/>
          <w:szCs w:val="28"/>
          <w:rtl w:val="true"/>
          <w:lang w:bidi="ar-SA"/>
        </w:rPr>
        <w:t xml:space="preserve">، وأكثر المتأخرين ، ونسبه الكركي ، والهندي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 ، لمرسلتي المفيد ، والرضوي المنجبر ضعفها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نقلها في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أقصى مدة النفاس عشرة أيام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نقلها عنه الحلّي في أوائل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دم نفاس زمانه أكثر من زمان الحيض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والنفساء تدع الصلاة أكثره مثل أيام حيضها وهي عشرة أيام ، وتستظهر بثلاثة أيام ، ثمَّ تغتسل ، فإن رأت الدم عملت كما تعمل </w:t>
      </w:r>
    </w:p>
    <w:p>
      <w:pPr>
        <w:pStyle w:val="BookText"/>
        <w:rPr/>
      </w:pP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والمعتبرة المتكثّرة جدّا ، الآتية بعضها ، المصرّحة بأنّها تجلس بقدر حيضها وتغتسل بعده ، وأنه يغشاها زوجها بعد مضي عدة حيضها </w:t>
      </w:r>
      <w:r>
        <w:rPr>
          <w:rStyle w:val="FootnoteAnchor"/>
          <w:rtl w:val="true"/>
        </w:rPr>
        <w:footnoteReference w:id="217"/>
      </w:r>
      <w:r>
        <w:rPr>
          <w:rFonts w:ascii="Amiri" w:hAnsi="Amiri" w:eastAsia="Amiri" w:cs="Amiri"/>
          <w:color w:val="111111"/>
          <w:sz w:val="28"/>
          <w:sz w:val="28"/>
          <w:szCs w:val="28"/>
          <w:rtl w:val="true"/>
          <w:lang w:bidi="ar-SA"/>
        </w:rPr>
        <w:t>، فإنّها صريحة في عدم التجاوز عن العشرة وإن جاز الأقلّ أيضا ، إذ لا تقعد حائض أكثر من العشرة ولو كانت مبتدأة أو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يأتي </w:t>
      </w:r>
      <w:r>
        <w:rPr>
          <w:rStyle w:val="FootnoteAnchor"/>
          <w:rtl w:val="true"/>
        </w:rPr>
        <w:footnoteReference w:id="218"/>
      </w:r>
      <w:r>
        <w:rPr>
          <w:rFonts w:ascii="Amiri" w:hAnsi="Amiri" w:eastAsia="Amiri" w:cs="Amiri"/>
          <w:color w:val="111111"/>
          <w:sz w:val="28"/>
          <w:sz w:val="28"/>
          <w:szCs w:val="28"/>
          <w:rtl w:val="true"/>
          <w:lang w:bidi="ar-SA"/>
        </w:rPr>
        <w:t>من مرفوعة إبراهيم وخبر المنتقى ، المصرّحين بكون أكثره أقلّ من ثمانية عشر ، إذ لا قول بغير العشرة في الأقلّ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يخصّص عموم صحيحة ابن يقطين ،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للمختلف </w:t>
      </w:r>
      <w:r>
        <w:rPr>
          <w:rStyle w:val="FootnoteAnchor"/>
          <w:rtl w:val="true"/>
        </w:rPr>
        <w:footnoteReference w:id="219"/>
      </w:r>
      <w:r>
        <w:rPr>
          <w:rFonts w:ascii="Amiri" w:hAnsi="Amiri" w:eastAsia="Amiri" w:cs="Amiri"/>
          <w:color w:val="111111"/>
          <w:sz w:val="28"/>
          <w:sz w:val="28"/>
          <w:szCs w:val="28"/>
          <w:rtl w:val="true"/>
          <w:lang w:bidi="ar-SA"/>
        </w:rPr>
        <w:t xml:space="preserve">، وللمحكي عن الفقيه ، والسيد </w:t>
      </w:r>
      <w:r>
        <w:rPr>
          <w:rStyle w:val="FootnoteAnchor"/>
          <w:rtl w:val="true"/>
        </w:rPr>
        <w:footnoteReference w:id="220"/>
      </w:r>
      <w:r>
        <w:rPr>
          <w:rFonts w:ascii="Amiri" w:hAnsi="Amiri" w:eastAsia="Amiri" w:cs="Amiri"/>
          <w:color w:val="111111"/>
          <w:sz w:val="28"/>
          <w:sz w:val="28"/>
          <w:szCs w:val="28"/>
          <w:rtl w:val="true"/>
          <w:lang w:bidi="ar-SA"/>
        </w:rPr>
        <w:t xml:space="preserve">، والإسكافي </w:t>
      </w:r>
      <w:r>
        <w:rPr>
          <w:rStyle w:val="FootnoteAnchor"/>
          <w:rtl w:val="true"/>
        </w:rPr>
        <w:footnoteReference w:id="221"/>
      </w:r>
      <w:r>
        <w:rPr>
          <w:rFonts w:ascii="Amiri" w:hAnsi="Amiri" w:eastAsia="Amiri" w:cs="Amiri"/>
          <w:color w:val="111111"/>
          <w:sz w:val="28"/>
          <w:sz w:val="28"/>
          <w:szCs w:val="28"/>
          <w:rtl w:val="true"/>
          <w:lang w:bidi="ar-SA"/>
        </w:rPr>
        <w:t xml:space="preserve">، والديلمي </w:t>
      </w:r>
      <w:r>
        <w:rPr>
          <w:rStyle w:val="FootnoteAnchor"/>
          <w:rtl w:val="true"/>
        </w:rPr>
        <w:footnoteReference w:id="222"/>
      </w:r>
      <w:r>
        <w:rPr>
          <w:rFonts w:ascii="Amiri" w:hAnsi="Amiri" w:eastAsia="Amiri" w:cs="Amiri"/>
          <w:color w:val="111111"/>
          <w:sz w:val="28"/>
          <w:sz w:val="28"/>
          <w:szCs w:val="28"/>
          <w:rtl w:val="true"/>
          <w:lang w:bidi="ar-SA"/>
        </w:rPr>
        <w:t xml:space="preserve">، فجعلوه ثمانية عشر مطلقا ، وهو قول آخر للمفيد </w:t>
      </w:r>
      <w:r>
        <w:rPr>
          <w:rStyle w:val="FootnoteAnchor"/>
          <w:rtl w:val="true"/>
        </w:rPr>
        <w:footnoteReference w:id="22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للصحاح الدالّة على جلوس أسماء في النفاس ثمانية عشر يوما ، وأمر رسول اللّه صلی اللّه عليه وآله إيّاها بالغسل بعد مضيّ الثمانية عشر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النفساء كم تقعد؟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أسماء نفست ، فأمرها رسول اللّه صلی اللّه عليه وآله ، أن تغتسل في ثمانية عشر ، فلا بأس أن تستظهر بيوم أو </w:t>
      </w:r>
    </w:p>
    <w:p>
      <w:pPr>
        <w:pStyle w:val="BookText"/>
        <w:rPr/>
      </w:pPr>
      <w:r>
        <w:rPr>
          <w:rFonts w:ascii="Amiri" w:hAnsi="Amiri" w:eastAsia="Amiri" w:cs="Amiri"/>
          <w:color w:val="111111"/>
          <w:sz w:val="28"/>
          <w:sz w:val="28"/>
          <w:szCs w:val="28"/>
          <w:rtl w:val="true"/>
          <w:lang w:bidi="ar-SA"/>
        </w:rPr>
        <w:t xml:space="preserve">يومين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والمرويّتين في العيون والعلل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النفساء لا تقعد عن الصلاة أكثر من ثمانية عشر يوما ، فإن طهرت قبل ذلك صلّت ، وإن لم تطهر حتى تجاوز ثمانية عشر يوما اغتسلت وصلّت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في علّة قعود النفساء ثمانية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الحيض أقلّه ثلاثة أيام وأوسطه خمسة وأكثره عشرة ، فأعطيت أقلّه وأوسطه وأكثره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ابن مسلم وسنان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تقعد النفساء حتى تصلّي؟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 عشرة ، سبع عشرة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النفساء تسع عشرة ليلة ، فإن رأت دما صنعت كما تصنع المستحاضة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الدلالة ، إذ ليس فعلها حجة ، ولم يثبت تقرير لها عليه من الحجة ، بل المصرّح به في بعض الأخبار أنّ قعودها للجهل ، وأنها لو سألته صلی اللّه عليه وآله ، قبل الثمانية عشر لأمرها بالاغتسال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مرفوعة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امرأة أبا عبد اللّه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أقعد في نفاسي عشرين يوما حتى أفتوني بثمانية عشر يوما ، فقال أبو عبد اللّه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أفتوك بثمانية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للحديث الذي روي عن رسول اللّه صلی اللّه عليه وآله ، أنه قال لأسماء حين نفست بمحمد بن أبي بكر ، فقال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أسماء سألت رسول اللّه صلی اللّه عليه وآله ، وقد أتى لها ثمانية عشر يوما ، ولو سألته قبل ذلك لأمرها أن تغتسل وتفعل ما تفعله المستحاضة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المروي في المنتقى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محمد بن مسلم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ضيّقوا عليّ فجعلوها ثمانية عشر يوما ، فقال أبو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أفتاها بثمانية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التي رووها في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لو سألت رسول اللّه صلی اللّه عليه وآله قبل ذلك وأخبرته لأمرها بما أمرها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 النفساء؟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 أيامها التي كانت تطمث فيهن أيام أقرائها ، فإن هي طهرت استظهرت بيوم أو يومين أو ثلاثة </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هاتين الروايتين إشعار بل دلالة على كون الثمانية عشر قولا مشهورا بين العامة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ويشعر به أيضا عدوله عليه السلام في الموثّقة من الجواب إلى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حمل الشيخ هذه الأخبار على التقية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وجه آخر للجواب عن تلك الصحاح وعن جميع ما تعقّبها من الأدلّة ، لمعارضتها مع ما مرّ ، فيرجّح ما يخالف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من موافقة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عمومات الكتاب الآمرة بالعبادة في الزائد عن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الدلالة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لا في الحكاية ولا في المحكي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الثالث ، إذا نفي قعود الأكثر من الثمانية عشر لا يفيد القعود بقدرها ، ومفهوم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مفيدا لو لم يعقبه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 لاحتمال أن يكون غرضه إعطاء الناس دون الشارع ، ولم يصرّح 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 لظهوره في التخيير الذي هو غير المطلوب ولا قائل به ، فهو بالشذوذ خارج عن الحجية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قدح في السادس أيضا لتغاير ثمانية عشر يوما مع تسع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العماني </w:t>
      </w:r>
      <w:r>
        <w:rPr>
          <w:rStyle w:val="FootnoteAnchor"/>
          <w:rtl w:val="true"/>
        </w:rPr>
        <w:footnoteReference w:id="235"/>
      </w:r>
      <w:r>
        <w:rPr>
          <w:rFonts w:ascii="Amiri" w:hAnsi="Amiri" w:eastAsia="Amiri" w:cs="Amiri"/>
          <w:color w:val="111111"/>
          <w:sz w:val="28"/>
          <w:sz w:val="28"/>
          <w:szCs w:val="28"/>
          <w:rtl w:val="true"/>
          <w:lang w:bidi="ar-SA"/>
        </w:rPr>
        <w:t xml:space="preserve">، فجعله أحدا وعشرين ، وفي المعتبر عن كتاب البزنطي رواية دالّة عليه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بالشذوذ مجاب بل للإجماع مخالف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نفي الزائد عن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وبالموافقة للعامة يجاب عن الأخبار المتضمّنة للثلاثين أو الأربعين أو ما زاد عنهما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حدّا للنفاس في طرف الكثرة إنّما هو أقصى مدته ، يعني أنه لا يكون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 من اتّصل دمها إلى هذا الحدّ فليست بنفساء على </w:t>
      </w:r>
    </w:p>
    <w:p>
      <w:pPr>
        <w:pStyle w:val="BookText"/>
        <w:rPr/>
      </w:pPr>
      <w:r>
        <w:rPr>
          <w:rFonts w:ascii="Amiri" w:hAnsi="Amiri" w:eastAsia="Amiri" w:cs="Amiri"/>
          <w:color w:val="111111"/>
          <w:sz w:val="28"/>
          <w:sz w:val="28"/>
          <w:szCs w:val="28"/>
          <w:rtl w:val="true"/>
          <w:lang w:bidi="ar-SA"/>
        </w:rPr>
        <w:t xml:space="preserve">الأظهر ، وفاقا للجعفي </w:t>
      </w:r>
      <w:r>
        <w:rPr>
          <w:rStyle w:val="FootnoteAnchor"/>
          <w:rtl w:val="true"/>
        </w:rPr>
        <w:footnoteReference w:id="238"/>
      </w:r>
      <w:r>
        <w:rPr>
          <w:rFonts w:ascii="Amiri" w:hAnsi="Amiri" w:eastAsia="Amiri" w:cs="Amiri"/>
          <w:color w:val="111111"/>
          <w:sz w:val="28"/>
          <w:sz w:val="28"/>
          <w:szCs w:val="28"/>
          <w:rtl w:val="true"/>
          <w:lang w:bidi="ar-SA"/>
        </w:rPr>
        <w:t xml:space="preserve">ومن تعقبه من القائلين </w:t>
      </w:r>
      <w:r>
        <w:rPr>
          <w:rStyle w:val="FootnoteAnchor"/>
          <w:rtl w:val="true"/>
        </w:rPr>
        <w:footnoteReference w:id="239"/>
      </w:r>
      <w:r>
        <w:rPr>
          <w:rFonts w:ascii="Amiri" w:hAnsi="Amiri" w:eastAsia="Amiri" w:cs="Amiri"/>
          <w:color w:val="111111"/>
          <w:sz w:val="28"/>
          <w:sz w:val="28"/>
          <w:szCs w:val="28"/>
          <w:rtl w:val="true"/>
          <w:lang w:bidi="ar-SA"/>
        </w:rPr>
        <w:t xml:space="preserve">بالعشرة ، والمختلف </w:t>
      </w:r>
      <w:r>
        <w:rPr>
          <w:rStyle w:val="FootnoteAnchor"/>
          <w:rtl w:val="true"/>
        </w:rPr>
        <w:footnoteReference w:id="240"/>
      </w:r>
      <w:r>
        <w:rPr>
          <w:rFonts w:ascii="Amiri" w:hAnsi="Amiri" w:eastAsia="Amiri" w:cs="Amiri"/>
          <w:color w:val="111111"/>
          <w:sz w:val="28"/>
          <w:sz w:val="28"/>
          <w:szCs w:val="28"/>
          <w:rtl w:val="true"/>
          <w:lang w:bidi="ar-SA"/>
        </w:rPr>
        <w:t>من الذاهبين إلى الثمانية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غير المعتادة عددا تتنفس إلى أقصى المدة ، لعموم صحيحة ابن يقطين </w:t>
      </w:r>
      <w:r>
        <w:rPr>
          <w:rStyle w:val="FootnoteAnchor"/>
          <w:rtl w:val="true"/>
        </w:rPr>
        <w:footnoteReference w:id="241"/>
      </w:r>
      <w:r>
        <w:rPr>
          <w:rFonts w:ascii="Amiri" w:hAnsi="Amiri" w:eastAsia="Amiri" w:cs="Amiri"/>
          <w:color w:val="111111"/>
          <w:sz w:val="28"/>
          <w:sz w:val="28"/>
          <w:szCs w:val="28"/>
          <w:rtl w:val="true"/>
          <w:lang w:bidi="ar-SA"/>
        </w:rPr>
        <w:t xml:space="preserve">والرضوي المتقدّم </w:t>
      </w:r>
      <w:r>
        <w:rPr>
          <w:rStyle w:val="FootnoteAnchor"/>
          <w:rtl w:val="true"/>
        </w:rPr>
        <w:footnoteReference w:id="242"/>
      </w:r>
      <w:r>
        <w:rPr>
          <w:rFonts w:ascii="Amiri" w:hAnsi="Amiri" w:eastAsia="Amiri" w:cs="Amiri"/>
          <w:color w:val="111111"/>
          <w:sz w:val="28"/>
          <w:sz w:val="28"/>
          <w:szCs w:val="28"/>
          <w:rtl w:val="true"/>
          <w:lang w:bidi="ar-SA"/>
        </w:rPr>
        <w:t>، الخاليين عن المخصّص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يرجع هنا إلى التمييز أو عادة النساء أو الروايات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موثّقة أبي بصير </w:t>
      </w:r>
      <w:r>
        <w:rPr>
          <w:rStyle w:val="FootnoteAnchor"/>
          <w:rtl w:val="true"/>
        </w:rPr>
        <w:footnoteReference w:id="243"/>
      </w:r>
      <w:r>
        <w:rPr>
          <w:rFonts w:ascii="Amiri" w:hAnsi="Amiri" w:eastAsia="Amiri" w:cs="Amiri"/>
          <w:color w:val="111111"/>
          <w:sz w:val="28"/>
          <w:sz w:val="28"/>
          <w:szCs w:val="28"/>
          <w:rtl w:val="true"/>
          <w:lang w:bidi="ar-SA"/>
        </w:rPr>
        <w:t>من الرجوع إلى الأم أو الأخت شاذ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يرجع إليها في التحيّض في الشهر الثاني لو اتّصل دمها إليه ، لإطلاق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والمعتادة عددا تتنفس بعادتها وتغتسل بعدها ، لتظافر المعتبرة من النصوص عليه ، كصحيحة زرارة </w:t>
      </w:r>
      <w:r>
        <w:rPr>
          <w:rStyle w:val="FootnoteAnchor"/>
          <w:rtl w:val="true"/>
        </w:rPr>
        <w:footnoteReference w:id="244"/>
      </w:r>
      <w:r>
        <w:rPr>
          <w:rFonts w:ascii="Amiri" w:hAnsi="Amiri" w:eastAsia="Amiri" w:cs="Amiri"/>
          <w:color w:val="111111"/>
          <w:sz w:val="28"/>
          <w:sz w:val="28"/>
          <w:szCs w:val="28"/>
          <w:rtl w:val="true"/>
          <w:lang w:bidi="ar-SA"/>
        </w:rPr>
        <w:t xml:space="preserve">، وموثّقته </w:t>
      </w:r>
      <w:r>
        <w:rPr>
          <w:rStyle w:val="FootnoteAnchor"/>
          <w:rtl w:val="true"/>
        </w:rPr>
        <w:footnoteReference w:id="245"/>
      </w:r>
      <w:r>
        <w:rPr>
          <w:rFonts w:ascii="Amiri" w:hAnsi="Amiri" w:eastAsia="Amiri" w:cs="Amiri"/>
          <w:color w:val="111111"/>
          <w:sz w:val="28"/>
          <w:sz w:val="28"/>
          <w:szCs w:val="28"/>
          <w:rtl w:val="true"/>
          <w:lang w:bidi="ar-SA"/>
        </w:rPr>
        <w:t xml:space="preserve">، وموثّقة يونس </w:t>
      </w:r>
      <w:r>
        <w:rPr>
          <w:rStyle w:val="FootnoteAnchor"/>
          <w:rtl w:val="true"/>
        </w:rPr>
        <w:footnoteReference w:id="246"/>
      </w:r>
      <w:r>
        <w:rPr>
          <w:rFonts w:ascii="Amiri" w:hAnsi="Amiri" w:eastAsia="Amiri" w:cs="Amiri"/>
          <w:color w:val="111111"/>
          <w:sz w:val="28"/>
          <w:sz w:val="28"/>
          <w:szCs w:val="28"/>
          <w:rtl w:val="true"/>
          <w:lang w:bidi="ar-SA"/>
        </w:rPr>
        <w:t xml:space="preserve">، وقويّة ابن أعين </w:t>
      </w:r>
      <w:r>
        <w:rPr>
          <w:rStyle w:val="FootnoteAnchor"/>
          <w:rtl w:val="true"/>
        </w:rPr>
        <w:footnoteReference w:id="247"/>
      </w:r>
      <w:r>
        <w:rPr>
          <w:rFonts w:ascii="Amiri" w:hAnsi="Amiri" w:eastAsia="Amiri" w:cs="Amiri"/>
          <w:color w:val="111111"/>
          <w:sz w:val="28"/>
          <w:sz w:val="28"/>
          <w:szCs w:val="28"/>
          <w:rtl w:val="true"/>
          <w:lang w:bidi="ar-SA"/>
        </w:rPr>
        <w:t xml:space="preserve">، وخبر عبد الرحمن بن أعين </w:t>
      </w:r>
      <w:r>
        <w:rPr>
          <w:rStyle w:val="FootnoteAnchor"/>
          <w:rtl w:val="true"/>
        </w:rPr>
        <w:footnoteReference w:id="248"/>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يخصّص الصحيحة والرضوي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المرسلتان </w:t>
      </w:r>
      <w:r>
        <w:rPr>
          <w:rStyle w:val="FootnoteAnchor"/>
          <w:rtl w:val="true"/>
        </w:rPr>
        <w:footnoteReference w:id="249"/>
      </w:r>
      <w:r>
        <w:rPr>
          <w:rFonts w:ascii="Amiri" w:hAnsi="Amiri" w:eastAsia="Amiri" w:cs="Amiri"/>
          <w:color w:val="111111"/>
          <w:sz w:val="28"/>
          <w:sz w:val="28"/>
          <w:szCs w:val="28"/>
          <w:rtl w:val="true"/>
          <w:lang w:bidi="ar-SA"/>
        </w:rPr>
        <w:t xml:space="preserve">المحدّدتان لأقصى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تدلاّن إلاّ على أنّ أكثره </w:t>
      </w:r>
    </w:p>
    <w:p>
      <w:pPr>
        <w:pStyle w:val="BookText"/>
        <w:rPr/>
      </w:pPr>
      <w:r>
        <w:rPr>
          <w:rFonts w:ascii="Amiri" w:hAnsi="Amiri" w:eastAsia="Amiri" w:cs="Amiri"/>
          <w:color w:val="111111"/>
          <w:sz w:val="28"/>
          <w:sz w:val="28"/>
          <w:szCs w:val="28"/>
          <w:rtl w:val="true"/>
          <w:lang w:bidi="ar-SA"/>
        </w:rPr>
        <w:t>ذلك ، وذلك لا ينافي وجود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يستفاد إمكان حمل قول من تقدّم على الجعفي أيضا </w:t>
      </w:r>
      <w:r>
        <w:rPr>
          <w:rStyle w:val="FootnoteAnchor"/>
          <w:rtl w:val="true"/>
        </w:rPr>
        <w:footnoteReference w:id="250"/>
      </w:r>
      <w:r>
        <w:rPr>
          <w:rFonts w:ascii="IRNazanin" w:hAnsi="IRNazanin" w:eastAsia="IRNazanin"/>
          <w:color w:val="111111"/>
          <w:sz w:val="28"/>
          <w:sz w:val="28"/>
          <w:szCs w:val="28"/>
          <w:rtl w:val="true"/>
          <w:lang w:bidi="fa-IR"/>
        </w:rPr>
        <w:t xml:space="preserve">بل بعض من تأخّر عن المختلف </w:t>
      </w:r>
      <w:r>
        <w:rPr>
          <w:rStyle w:val="FootnoteAnchor"/>
          <w:rtl w:val="true"/>
        </w:rPr>
        <w:footnoteReference w:id="251"/>
      </w:r>
      <w:r>
        <w:rPr>
          <w:rFonts w:ascii="Amiri" w:hAnsi="Amiri" w:eastAsia="Amiri" w:cs="Amiri"/>
          <w:color w:val="111111"/>
          <w:sz w:val="28"/>
          <w:sz w:val="28"/>
          <w:szCs w:val="28"/>
          <w:rtl w:val="true"/>
          <w:lang w:bidi="ar-SA"/>
        </w:rPr>
        <w:t>، على المختار في ذلك ، فإنّهم لم يذكروا إلاّ أنّ ذلك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جمع ممّن صرّح بذلك بأخبار الرجوع إلى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انقطاع دم المعتادة على العادة أو الأقلّ لا كلام ، وإلاّ فتستظهر بيوم ، أو يومين ، أو ثلاثة ، أو تمام العشرة ، لوروده في الأخبار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 لعدم ثبوت الزائد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ما بين أيام العادة وأقصى النفاس حكم ما بينها وبين أقصى الحيض ، على ما صرّح به جماعة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محلّ نظر ، لعدم ثبوت المساواة الكلية بين الحيض والنفاس ، وتصريح قويّة مالك ، المتقدّمة </w:t>
      </w:r>
      <w:r>
        <w:rPr>
          <w:rStyle w:val="FootnoteAnchor"/>
          <w:rtl w:val="true"/>
        </w:rPr>
        <w:footnoteReference w:id="254"/>
      </w:r>
      <w:r>
        <w:rPr>
          <w:rFonts w:ascii="Amiri" w:hAnsi="Amiri" w:eastAsia="Amiri" w:cs="Amiri"/>
          <w:color w:val="111111"/>
          <w:sz w:val="28"/>
          <w:sz w:val="28"/>
          <w:szCs w:val="28"/>
          <w:rtl w:val="true"/>
          <w:lang w:bidi="ar-SA"/>
        </w:rPr>
        <w:t>في آخر مسائل الحيض بعدم نفاسية ما بعد أيام الاستظهار للمعتادة مطلقا ، سواء تجاوز الدم العشرة أو لم يتجاوز ، وهي أخص من سائر أخبار النفاس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يندفع الاستصحاب المتمسك به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وانعقاد الإجماع على التنفس مع عدم التجاوز غير معلوم ، والاستشكال فيه مصرّح به في كلام بعضهم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بعض العبارات بالإجماع عليه </w:t>
      </w:r>
      <w:r>
        <w:rPr>
          <w:rStyle w:val="FootnoteAnchor"/>
          <w:rtl w:val="true"/>
        </w:rPr>
        <w:footnoteReference w:id="256"/>
      </w:r>
      <w:r>
        <w:rPr>
          <w:rFonts w:ascii="Amiri" w:hAnsi="Amiri" w:eastAsia="Amiri" w:cs="Amiri"/>
          <w:color w:val="111111"/>
          <w:sz w:val="28"/>
          <w:sz w:val="28"/>
          <w:szCs w:val="28"/>
          <w:rtl w:val="true"/>
          <w:lang w:bidi="ar-SA"/>
        </w:rPr>
        <w:t>، والظاهر أنّ مثله لا يصلح حجة لرفع اليد عن عموم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عدم التنفس بعد أيام الاستظهار مع اختياره ، وبعد العادة مع ترك الاستظهار مطلقا ، وإن كان الاحتياط مع عدم التجاوز عن العشرة حسنا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يحكم بالتنفس في أيام العادة للمعتادة أو العشرة لغيرها مع وجود الدم فيها ، بل أو في طرفيها ، على الأظهر المصرّح به في كلام جماعة ، وهو المحكي عن المبسوط ، والخلاف ، والإصباح ، والمهذب ، والجواهر </w:t>
      </w:r>
      <w:r>
        <w:rPr>
          <w:rStyle w:val="FootnoteAnchor"/>
          <w:rtl w:val="true"/>
        </w:rPr>
        <w:footnoteReference w:id="257"/>
      </w:r>
      <w:r>
        <w:rPr>
          <w:rFonts w:ascii="IRNazanin" w:hAnsi="IRNazanin" w:eastAsia="IRNazanin"/>
          <w:color w:val="111111"/>
          <w:sz w:val="28"/>
          <w:sz w:val="28"/>
          <w:szCs w:val="28"/>
          <w:rtl w:val="true"/>
          <w:lang w:bidi="fa-IR"/>
        </w:rPr>
        <w:t xml:space="preserve">، والسرائر ، والجامع ، والشرائع ، والمعتبر </w:t>
      </w:r>
      <w:r>
        <w:rPr>
          <w:rStyle w:val="FootnoteAnchor"/>
          <w:rtl w:val="true"/>
        </w:rPr>
        <w:footnoteReference w:id="258"/>
      </w:r>
      <w:r>
        <w:rPr>
          <w:rFonts w:ascii="Amiri" w:hAnsi="Amiri" w:eastAsia="Amiri" w:cs="Amiri"/>
          <w:color w:val="111111"/>
          <w:sz w:val="28"/>
          <w:sz w:val="28"/>
          <w:szCs w:val="28"/>
          <w:rtl w:val="true"/>
          <w:lang w:bidi="ar-SA"/>
        </w:rPr>
        <w:t>، بل الظاهر كونه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لاستصحاب التنفس ، وإطلاق صحيحة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حين تطهر إلى أن ترى الدم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فيه بعض متأخّري المتأخّرين </w:t>
      </w:r>
      <w:r>
        <w:rPr>
          <w:rStyle w:val="FootnoteAnchor"/>
          <w:rtl w:val="true"/>
        </w:rPr>
        <w:footnoteReference w:id="260"/>
      </w:r>
      <w:r>
        <w:rPr>
          <w:rFonts w:ascii="Amiri" w:hAnsi="Amiri" w:eastAsia="Amiri" w:cs="Amiri"/>
          <w:color w:val="111111"/>
          <w:sz w:val="28"/>
          <w:sz w:val="28"/>
          <w:szCs w:val="28"/>
          <w:rtl w:val="true"/>
          <w:lang w:bidi="ar-SA"/>
        </w:rPr>
        <w:t>، بناء على تجويزه أقلّية الطهر المتخلّل في الحيض عن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تردّد في ثبوت حدّ لأقلّ الطهر في النفاس ، لعدم الدليل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محجوج بالصحيحة وما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رأته في أحد الطرفين خاصة فلا شك في عدم تنفسها في الخالي عن الدم متقدّما أو متأخّرا ، ولا في تنفسها وقت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كان هو الطرف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فلظاهر الإجماع ، وعموم مفهوم موثّقة عمّار ، المتقدّمة </w:t>
      </w:r>
      <w:r>
        <w:rPr>
          <w:rStyle w:val="FootnoteAnchor"/>
          <w:rtl w:val="true"/>
        </w:rPr>
        <w:footnoteReference w:id="262"/>
      </w:r>
      <w:r>
        <w:rPr>
          <w:rFonts w:ascii="Amiri" w:hAnsi="Amiri" w:eastAsia="Amiri" w:cs="Amiri"/>
          <w:color w:val="111111"/>
          <w:sz w:val="28"/>
          <w:sz w:val="28"/>
          <w:szCs w:val="28"/>
          <w:rtl w:val="true"/>
          <w:lang w:bidi="ar-SA"/>
        </w:rPr>
        <w:t xml:space="preserve">الدالّة على نفاسية كلّ دم خارج إذا ولدت ، خرج ما يخرج بعد مضي أكثر النفاس </w:t>
      </w:r>
    </w:p>
    <w:p>
      <w:pPr>
        <w:pStyle w:val="BookText"/>
        <w:rPr/>
      </w:pPr>
      <w:r>
        <w:rPr>
          <w:rFonts w:ascii="Amiri" w:hAnsi="Amiri" w:eastAsia="Amiri" w:cs="Amiri"/>
          <w:color w:val="111111"/>
          <w:sz w:val="28"/>
          <w:sz w:val="28"/>
          <w:szCs w:val="28"/>
          <w:rtl w:val="true"/>
          <w:lang w:bidi="ar-SA"/>
        </w:rPr>
        <w:t>بالإجماع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دلالتها بما كان عقيب الولادة عرفا ، ومنعه في بعض صور المورد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رأته في أحدهما والوسط ، فتنفس بوقت الدمين وبما بينهما أيضا ،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تر دما إلاّ بعد العشرة فليس من النفاس على المختار في عدد الأكثر ، وبه صرّح جماعة </w:t>
      </w:r>
      <w:r>
        <w:rPr>
          <w:rStyle w:val="FootnoteAnchor"/>
          <w:rtl w:val="true"/>
        </w:rPr>
        <w:footnoteReference w:id="263"/>
      </w:r>
      <w:r>
        <w:rPr>
          <w:rFonts w:ascii="Amiri" w:hAnsi="Amiri" w:eastAsia="Amiri" w:cs="Amiri"/>
          <w:color w:val="111111"/>
          <w:sz w:val="28"/>
          <w:sz w:val="28"/>
          <w:szCs w:val="28"/>
          <w:rtl w:val="true"/>
          <w:lang w:bidi="ar-SA"/>
        </w:rPr>
        <w:t xml:space="preserve">، لأنّ ابتداء الحساب من الولادة دون الرؤية ، وإلاّ لم تتحدّد مدة التأخير ، وتدلّ عليه قويّة مالك </w:t>
      </w:r>
      <w:r>
        <w:rPr>
          <w:rStyle w:val="FootnoteAnchor"/>
          <w:rtl w:val="true"/>
        </w:rPr>
        <w:footnoteReference w:id="264"/>
      </w:r>
      <w:r>
        <w:rPr>
          <w:rFonts w:ascii="Amiri" w:hAnsi="Amiri" w:eastAsia="Amiri" w:cs="Amiri"/>
          <w:color w:val="111111"/>
          <w:sz w:val="28"/>
          <w:sz w:val="28"/>
          <w:szCs w:val="28"/>
          <w:rtl w:val="true"/>
          <w:lang w:bidi="ar-SA"/>
        </w:rPr>
        <w:t>، وهي وإن وردت في ابتداء أيام العادة إلاّ أنه لا قول بالفصل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في خبر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أسماء سألت عن الطواف بالبيت والصلاة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كم ولدت؟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أنه لو رأته المعتادة لأقلّ العشرة قبلها وبعد العادة فليس من النفاس أيضا ، وفاقا ظاهرا لكلّ من اعتبر العادة مع التجاوز عن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الأظهر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الأكثر خلافه ، بل قيل بإشعار بعض العبارات بالإجماع عليه </w:t>
      </w:r>
      <w:r>
        <w:rPr>
          <w:rStyle w:val="FootnoteAnchor"/>
          <w:rtl w:val="true"/>
        </w:rPr>
        <w:footnoteReference w:id="266"/>
      </w:r>
      <w:r>
        <w:rPr>
          <w:rFonts w:ascii="Amiri" w:hAnsi="Amiri" w:eastAsia="Amiri" w:cs="Amiri"/>
          <w:color w:val="111111"/>
          <w:sz w:val="28"/>
          <w:sz w:val="28"/>
          <w:szCs w:val="28"/>
          <w:rtl w:val="true"/>
          <w:lang w:bidi="ar-SA"/>
        </w:rPr>
        <w:t>، ولا 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وحكاية الإشعار المذكورة لا تصلح لتقييد إطلاق القويّة التي هي دليلنا على عدم تنفسها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التردّد في نفاسية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له من الشك في صدق دم الولادة عليه ، مع كون وظيفتها الرجوع إلى العادة التي لم تر فيها شيئا </w:t>
      </w:r>
      <w:r>
        <w:rPr>
          <w:rStyle w:val="FootnoteAnchor"/>
          <w:rtl w:val="true"/>
        </w:rPr>
        <w:footnoteReference w:id="267"/>
      </w:r>
      <w:r>
        <w:rPr>
          <w:rFonts w:ascii="Amiri" w:hAnsi="Amiri" w:eastAsia="Amiri" w:cs="Amiri"/>
          <w:color w:val="111111"/>
          <w:sz w:val="28"/>
          <w:sz w:val="28"/>
          <w:szCs w:val="28"/>
          <w:rtl w:val="true"/>
          <w:lang w:bidi="ar-SA"/>
        </w:rPr>
        <w:t xml:space="preserve">، إذ لا دليل على إناطة الحكم بدم الولادة سوى ما قد يفسّر النفاس به في </w:t>
      </w:r>
    </w:p>
    <w:p>
      <w:pPr>
        <w:pStyle w:val="BookText"/>
        <w:rPr/>
      </w:pPr>
      <w:r>
        <w:rPr>
          <w:rFonts w:ascii="Amiri" w:hAnsi="Amiri" w:eastAsia="Amiri" w:cs="Amiri"/>
          <w:color w:val="111111"/>
          <w:sz w:val="28"/>
          <w:sz w:val="28"/>
          <w:szCs w:val="28"/>
          <w:rtl w:val="true"/>
          <w:lang w:bidi="ar-SA"/>
        </w:rPr>
        <w:t xml:space="preserve">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دم الولادة ، ومجرّد ذلك لا يصير مرجعا للأحكام ، مع أنه يكتفي في الإضافة بأدنى الملابسة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المناط الإجماع والأخبار ، ولا شك في دلالة مفهوم الموثّقة </w:t>
      </w:r>
      <w:r>
        <w:rPr>
          <w:rStyle w:val="FootnoteAnchor"/>
          <w:rtl w:val="true"/>
        </w:rPr>
        <w:footnoteReference w:id="268"/>
      </w:r>
      <w:r>
        <w:rPr>
          <w:rFonts w:ascii="Amiri" w:hAnsi="Amiri" w:eastAsia="Amiri" w:cs="Amiri"/>
          <w:color w:val="111111"/>
          <w:sz w:val="28"/>
          <w:sz w:val="28"/>
          <w:szCs w:val="28"/>
          <w:rtl w:val="true"/>
          <w:lang w:bidi="ar-SA"/>
        </w:rPr>
        <w:t>على نفاسية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موجبا للاستشكال ، لما اختصّ بما ذكر ، بل يجري في غير المعتادة ومعتادة العشرة إذا رأت في العاشر ، لعدم تفاوت الصدق بكونها معتادة أو غير 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معتادة الثمانية مثلا لو رأت في الثامن ، لاتّحاد منشأ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الرجوع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إنّما وردت فيمن رأت الدم في أيامها ، أو في النفساء فيها ، فلا دلالة لها على من لم تر الدم ، أو لم تكن فيها 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الدم بعد انقضاء أيام نفاسها متّصلا معها أو منفصلا ، فإن كان بعد تخلّل أقلّ الطهر بينها وبينه ، فحكمها حكم غير النفساء من التحيّض به وعدمه ، فتتحيّض المعتادة لو صادف العادة ، وغيرها إن جامع الوصف ، ولا تتحيّض بدونهما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يتخلّل فلا تتحيّض وإن صادف العادة أو الوصف ، لقوله عليه السلام في 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 النفساء بالقعود أيام القرء والاستظهار تمام العشرة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رأت دما صبيبا فلتغتسل عند وقت كلّ صلاة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القوية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بعد أن يغشاها زوجها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عورضت بأخبار الوصف والعادة ، لم تنفع أيضا ، لوجوب الرجوع إلى أصالة عدم التحيّض ، مضافا إلى صحيحة ابن مسلم ، المتقدّمة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التوأمين فصاعدا إن رأت الدم مع أحدهما خاصة ، فهو نفاسة إن اجتمع معه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يجمعها لم يكن له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رأته معهما مجتمعين للشرائط ، فإن لم يتجاوز جميعهما عن أقصى النفاس واتّصل الدمان فلا إشكال ، إلاّ في تعيين كونهما نفاسا واحدا أو نفاسين ، ولا تترتّب عليه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يتّصلا فيحصل الإشكال في أيام النقاء ، فإن جعلنا هما نفاسا واحدا للاستصحاب وقضية أقلّ الطهر تكون فيها نفساء ، وإن جعلناهما نفاسين كما هو مقتضى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 الصلاة ما دامت ترى الدم العبيط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يقطين </w:t>
      </w:r>
      <w:r>
        <w:rPr>
          <w:rStyle w:val="FootnoteAnchor"/>
          <w:rtl w:val="true"/>
        </w:rPr>
        <w:footnoteReference w:id="272"/>
      </w:r>
      <w:r>
        <w:rPr>
          <w:rFonts w:ascii="Amiri" w:hAnsi="Amiri" w:eastAsia="Amiri" w:cs="Amiri"/>
          <w:color w:val="111111"/>
          <w:sz w:val="28"/>
          <w:sz w:val="28"/>
          <w:szCs w:val="28"/>
          <w:rtl w:val="true"/>
          <w:lang w:bidi="ar-SA"/>
        </w:rPr>
        <w:t>تكون فيها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والأمران محتملان ، إلاّ أن يدفع الاستصحاب بالمفهوم ، ويمنع اشتراط تخلّل أقلّ الطهر بين النفاسين ، كما صرّح به الفاضل الهندي </w:t>
      </w:r>
      <w:r>
        <w:rPr>
          <w:rStyle w:val="FootnoteAnchor"/>
          <w:rtl w:val="true"/>
        </w:rPr>
        <w:footnoteReference w:id="273"/>
      </w:r>
      <w:r>
        <w:rPr>
          <w:rFonts w:ascii="Amiri" w:hAnsi="Amiri" w:eastAsia="Amiri" w:cs="Amiri"/>
          <w:color w:val="111111"/>
          <w:sz w:val="28"/>
          <w:sz w:val="28"/>
          <w:szCs w:val="28"/>
          <w:rtl w:val="true"/>
          <w:lang w:bidi="ar-SA"/>
        </w:rPr>
        <w:t>، فيتعيّن الثاني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أرى دليلا تاما لتخصيص عمومات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صحيحة ابن مسلم ، الشاملة للنفاسين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ذلك المورد ، فلا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تجاوز المجموع عن الأقصى ، فمع تخلّل أكثر النفاس بين أولهما وإن كان بعيدا يكونان نفاسين ، لعدم إمكان جعلهما نفاسا واحدا ، وهو ظاهر ، ولا تخصيص أحدهما بالنفاس ، لعمومات التنفس بالولادة ، فيؤخذ الأقصى لكلّ منهما من أوله ، ويكون الزائد عن الأقصى المتخلّل بينهما طهرا وإن نقص عن أقلّه ، إذ لا يمكن جعله نفاسا ، ولا إخراج الثاني عن النفاسية ، لمخالفتهما الإجماع وعمومات أقصى النفاس ونفاسية دم الولادة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 تخلّله بين الأولين فيحتمل تعدّد النفاس ، فيكون لكلّ منهما </w:t>
      </w:r>
      <w:bookmarkStart w:id="29" w:name="pg11616_94512"/>
    </w:p>
    <w:p>
      <w:pPr>
        <w:pStyle w:val="BookText"/>
        <w:rPr/>
      </w:pPr>
      <w:bookmarkEnd w:id="29"/>
      <w:r>
        <w:rPr>
          <w:rFonts w:ascii="Amiri" w:hAnsi="Amiri" w:eastAsia="Amiri" w:cs="Amiri"/>
          <w:color w:val="111111"/>
          <w:sz w:val="28"/>
          <w:sz w:val="28"/>
          <w:szCs w:val="28"/>
          <w:rtl w:val="true"/>
          <w:lang w:bidi="ar-SA"/>
        </w:rPr>
        <w:t>حكمه ووحدته ، فيسقط الزائد عن الأقصى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الناصريات </w:t>
      </w:r>
      <w:r>
        <w:rPr>
          <w:rStyle w:val="FootnoteAnchor"/>
          <w:rtl w:val="true"/>
        </w:rPr>
        <w:footnoteReference w:id="274"/>
      </w:r>
      <w:r>
        <w:rPr>
          <w:rFonts w:ascii="Amiri" w:hAnsi="Amiri" w:eastAsia="Amiri" w:cs="Amiri"/>
          <w:color w:val="111111"/>
          <w:sz w:val="28"/>
          <w:sz w:val="28"/>
          <w:szCs w:val="28"/>
          <w:rtl w:val="true"/>
          <w:lang w:bidi="ar-SA"/>
        </w:rPr>
        <w:t xml:space="preserve">، والمبسوط ، والخلاف ، والوسيلة </w:t>
      </w:r>
      <w:r>
        <w:rPr>
          <w:rStyle w:val="FootnoteAnchor"/>
          <w:rtl w:val="true"/>
        </w:rPr>
        <w:footnoteReference w:id="275"/>
      </w:r>
      <w:r>
        <w:rPr>
          <w:rFonts w:ascii="IRNazanin" w:hAnsi="IRNazanin" w:eastAsia="IRNazanin"/>
          <w:color w:val="111111"/>
          <w:sz w:val="28"/>
          <w:sz w:val="28"/>
          <w:szCs w:val="28"/>
          <w:rtl w:val="true"/>
          <w:lang w:bidi="fa-IR"/>
        </w:rPr>
        <w:t xml:space="preserve">، والمهذب ، والجواهر ، والسرائر </w:t>
      </w:r>
      <w:r>
        <w:rPr>
          <w:rStyle w:val="FootnoteAnchor"/>
          <w:rtl w:val="true"/>
        </w:rPr>
        <w:footnoteReference w:id="276"/>
      </w:r>
      <w:r>
        <w:rPr>
          <w:rFonts w:ascii="IRNazanin" w:hAnsi="IRNazanin" w:eastAsia="IRNazanin"/>
          <w:color w:val="111111"/>
          <w:sz w:val="28"/>
          <w:sz w:val="28"/>
          <w:szCs w:val="28"/>
          <w:rtl w:val="true"/>
          <w:lang w:bidi="fa-IR"/>
        </w:rPr>
        <w:t xml:space="preserve">، والإصباح ، والجامع ، والشرائع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كلّ منهما نفاسا على حدة ، فبدأ بالنفاس من الأول وتستوفي العدد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له على دليل ، والاستناد إلى العمل بالعلّة </w:t>
      </w:r>
      <w:r>
        <w:rPr>
          <w:rStyle w:val="FootnoteAnchor"/>
          <w:rtl w:val="true"/>
        </w:rPr>
        <w:footnoteReference w:id="278"/>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الأجزاء المنقطعة من الولد الواحد حكم التوأمين ، فتأمل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588069_73709187"/>
      <w:bookmarkStart w:id="31" w:name="_Toc12"/>
      <w:bookmarkEnd w:id="30"/>
      <w:r>
        <w:rPr>
          <w:rtl w:val="true"/>
        </w:rPr>
        <w:t xml:space="preserve">البحث الثاني </w:t>
      </w:r>
      <w:r>
        <w:rPr>
          <w:rtl w:val="true"/>
        </w:rPr>
        <w:t xml:space="preserve">: </w:t>
      </w:r>
      <w:r>
        <w:rPr>
          <w:rtl w:val="true"/>
        </w:rPr>
        <w:t>في أحكامه</w:t>
      </w:r>
      <w:bookmarkEnd w:id="31"/>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كالحائض في كلّ حكم واجب ، ومندوب ، ومحرّم ، ومكروه ، ومباح ، بلا خلاف فيه بين أهل العلم ، كما في المنتهى والتذكرة ، والمعتبر </w:t>
      </w:r>
      <w:r>
        <w:rPr>
          <w:rStyle w:val="FootnoteAnchor"/>
          <w:rtl w:val="true"/>
        </w:rPr>
        <w:footnoteReference w:id="279"/>
      </w:r>
      <w:r>
        <w:rPr>
          <w:rFonts w:ascii="Amiri" w:hAnsi="Amiri" w:eastAsia="Amiri" w:cs="Amiri"/>
          <w:color w:val="111111"/>
          <w:sz w:val="28"/>
          <w:sz w:val="28"/>
          <w:szCs w:val="28"/>
          <w:rtl w:val="true"/>
          <w:lang w:bidi="ar-SA"/>
        </w:rPr>
        <w:t>، وبالإجماع ، كما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كونه إجماعيا ، فهو الحجة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في تحريم الصلاة إلى المستفيضة من النصوص </w:t>
      </w:r>
      <w:r>
        <w:rPr>
          <w:rStyle w:val="FootnoteAnchor"/>
          <w:rtl w:val="true"/>
        </w:rPr>
        <w:footnoteReference w:id="280"/>
      </w:r>
      <w:r>
        <w:rPr>
          <w:rFonts w:ascii="Amiri" w:hAnsi="Amiri" w:eastAsia="Amiri" w:cs="Amiri"/>
          <w:color w:val="111111"/>
          <w:sz w:val="28"/>
          <w:sz w:val="28"/>
          <w:szCs w:val="28"/>
          <w:rtl w:val="true"/>
          <w:lang w:bidi="ar-SA"/>
        </w:rPr>
        <w:t xml:space="preserve">، وفي حرمة الوطء إلى القوية </w:t>
      </w:r>
      <w:r>
        <w:rPr>
          <w:rStyle w:val="FootnoteAnchor"/>
          <w:rtl w:val="true"/>
        </w:rPr>
        <w:footnoteReference w:id="281"/>
      </w:r>
      <w:r>
        <w:rPr>
          <w:rFonts w:ascii="Amiri" w:hAnsi="Amiri" w:eastAsia="Amiri" w:cs="Amiri"/>
          <w:color w:val="111111"/>
          <w:sz w:val="28"/>
          <w:sz w:val="28"/>
          <w:szCs w:val="28"/>
          <w:rtl w:val="true"/>
          <w:lang w:bidi="ar-SA"/>
        </w:rPr>
        <w:t xml:space="preserve">، وفيهما وفي حرمة الصوم ، وفي وجوب قضاء الصوم دون الصلاة إلى المروي في الدعائم المنجبر ضعفه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أهل البيت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إذا حاضت أو نفست حرمت عليها أن تصلّي وتصوم ، وحرم على زوجها وطؤها حتى تطهر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طهرت كذلك قضت الصوم ولم تقض الصلاة ، وحلّت لزوجها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جميع المستحبات والمكروهات إلى الجماعات المنقولة الكافية في إثباتهما ، وفي المباحات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النفاس دم الحيض المحتبس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زرارة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عليه السلام بقعود النفساء بقدر حيضها واستظهارها بيومين ، وعمل المستحاضة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سواء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إيجاب ذلك للاتّحاد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ظاهر في المثلية والتساوي فيما ذكر قبل ذلك لا في كلّ حكم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المراد بالتساوي المذكور أصالته ، فلا ينافي ثبوت الاختلاف في بعض الأحكام بدليل ، كما في الأقلّ عند الكلّ ، وفي الأكثر عند البعض ، وفي الرجوع إلى وقت العادة والتمييز والنساء والروايات ، واشتراط تخلّل أقلّ الطهر مطلقا ، والدلالة على البلوغ ، وامتناع المجامعة مع الحمل عند بعض القائلين بالامتناع في الحيض ، والمدخلية في انقضاء العدة إلاّ في النادر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2" w:name="pg11616_94514"/>
    </w:p>
    <w:p>
      <w:pPr>
        <w:pStyle w:val="Heading2"/>
        <w:numPr>
          <w:ilvl w:val="1"/>
          <w:numId w:val="1"/>
        </w:numPr>
        <w:rPr/>
      </w:pPr>
      <w:bookmarkStart w:id="33" w:name="__RefHeading___Toc5588071_73709187"/>
      <w:bookmarkStart w:id="34" w:name="_Toc13"/>
      <w:bookmarkEnd w:id="32"/>
      <w:bookmarkEnd w:id="33"/>
      <w:r>
        <w:rPr>
          <w:rtl w:val="true"/>
        </w:rPr>
        <w:t xml:space="preserve">الفصل الخامس </w:t>
      </w:r>
      <w:r>
        <w:rPr>
          <w:rtl w:val="true"/>
        </w:rPr>
        <w:t xml:space="preserve">: </w:t>
      </w:r>
      <w:r>
        <w:rPr>
          <w:rtl w:val="true"/>
        </w:rPr>
        <w:t>في غسل المس</w:t>
      </w:r>
      <w:bookmarkEnd w:id="34"/>
    </w:p>
    <w:p>
      <w:pPr>
        <w:pStyle w:val="Heading3"/>
        <w:numPr>
          <w:ilvl w:val="2"/>
          <w:numId w:val="1"/>
        </w:numPr>
        <w:rPr/>
      </w:pPr>
      <w:bookmarkStart w:id="35" w:name="__RefHeading___Toc5588073_73709187"/>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وهو يجب على من مسّ ميتا آدميا ، على الحقّ المشهور جدّا ، للمستفيضة من الصحاح وغيرها ، 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الميت أعليه غسل؟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مسّه بحرارته فلا ، ولكن إذا مسّه بعد ما برد فليغتسل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مسست جسده حين يبرد فاغتسل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جابر بعد سؤاله أنّ من مسّه فعليه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بحرارته فلا بأس ، إنما ذاك إذا برد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مسّه وهو سخن لا غسل عليه ، فإذا برد فعليه الغسل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مسّه ما دام حارا فلا غسل عليه ، فإذا برد ثمَّ مسّه فليغتسل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من مسّ ميتا واجب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السيد </w:t>
      </w:r>
      <w:r>
        <w:rPr>
          <w:rStyle w:val="FootnoteAnchor"/>
          <w:rtl w:val="true"/>
        </w:rPr>
        <w:footnoteReference w:id="291"/>
      </w:r>
      <w:r>
        <w:rPr>
          <w:rFonts w:ascii="Amiri" w:hAnsi="Amiri" w:eastAsia="Amiri" w:cs="Amiri"/>
          <w:color w:val="111111"/>
          <w:sz w:val="28"/>
          <w:sz w:val="28"/>
          <w:szCs w:val="28"/>
          <w:rtl w:val="true"/>
          <w:lang w:bidi="ar-SA"/>
        </w:rPr>
        <w:t xml:space="preserve">في المصباح ، وشرح الرسالة ، فقال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الخلاف </w:t>
      </w:r>
      <w:r>
        <w:rPr>
          <w:rStyle w:val="FootnoteAnchor"/>
          <w:rtl w:val="true"/>
        </w:rPr>
        <w:footnoteReference w:id="292"/>
      </w:r>
      <w:r>
        <w:rPr>
          <w:rFonts w:ascii="Amiri" w:hAnsi="Amiri" w:eastAsia="Amiri" w:cs="Amiri"/>
          <w:color w:val="111111"/>
          <w:sz w:val="28"/>
          <w:sz w:val="28"/>
          <w:szCs w:val="28"/>
          <w:rtl w:val="true"/>
          <w:lang w:bidi="ar-SA"/>
        </w:rPr>
        <w:t xml:space="preserve">وجود قائل به قبله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الدالّة على أنه سنّة ليس بفريضة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من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الجنابة وهو واجب ، ومن غسل الميت وإن تطهرت أجزأك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والتوقيع المروي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العالم أنه سئل عن إمام صلّى بقوم بعض صلاتهم وحدثت عليه حادثة ، كيف يعمل من خلفه؟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ويتقدّم بعضهم ويتمّ صلاتهم ويغتسل من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من مسّ إلاّ غسل اليد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الحقيقة الشرعية للسنّة ، فيحمل على ما هو معناها في اللغة أي الطريقة ، والمراد به ما جرت به الطريقة النبوية ، بل هو المراد من أكثر استعمالها في الأخبار ، سيما إذا أطلقت في مقابل الفريضة التي يريدون منها ما ثبت وجوبه من الآيات القرآنية ، ولا أقلّ من احتمال ذلك ، سيما مع تعداده مع الأغسال التي هي واجبة بإجماع الأمة وجعلها أيضا من المسنونة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صلاحيته للمعارضة ، لموافقته العامّة </w:t>
      </w:r>
      <w:r>
        <w:rPr>
          <w:rStyle w:val="FootnoteAnchor"/>
          <w:rtl w:val="true"/>
        </w:rPr>
        <w:footnoteReference w:id="296"/>
      </w:r>
      <w:r>
        <w:rPr>
          <w:rFonts w:ascii="Amiri" w:hAnsi="Amiri" w:eastAsia="Amiri" w:cs="Amiri"/>
          <w:color w:val="111111"/>
          <w:sz w:val="28"/>
          <w:sz w:val="28"/>
          <w:szCs w:val="28"/>
          <w:rtl w:val="true"/>
          <w:lang w:bidi="ar-SA"/>
        </w:rPr>
        <w:t xml:space="preserve">كما صرّح به الشيخ ، والفاضل </w:t>
      </w:r>
      <w:r>
        <w:rPr>
          <w:rStyle w:val="FootnoteAnchor"/>
          <w:rtl w:val="true"/>
        </w:rPr>
        <w:footnoteReference w:id="297"/>
      </w:r>
      <w:r>
        <w:rPr>
          <w:rFonts w:ascii="Amiri" w:hAnsi="Amiri" w:eastAsia="Amiri" w:cs="Amiri"/>
          <w:color w:val="111111"/>
          <w:sz w:val="28"/>
          <w:sz w:val="28"/>
          <w:szCs w:val="28"/>
          <w:rtl w:val="true"/>
          <w:lang w:bidi="ar-SA"/>
        </w:rPr>
        <w:t>، ومخالفته الشهرة العظيمة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احتمال إرادة غسل من أراد غسل الميت منه ، فإنه مستحب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الذي منشؤه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المنشأ إرادته لا ينفي منشئيته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على غسل المس أيضا لا يخلو عن تقييد ، لعدم استلزام غسل الميت لمسّه ، بل عن تجوّز ، لأن المنشأ ليس غسل الميت ، بل المسّ الذي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وقع في بعض الأخبار </w:t>
      </w:r>
      <w:r>
        <w:rPr>
          <w:rStyle w:val="FootnoteAnchor"/>
          <w:rtl w:val="true"/>
        </w:rPr>
        <w:footnoteReference w:id="298"/>
      </w:r>
      <w:r>
        <w:rPr>
          <w:rFonts w:ascii="Amiri" w:hAnsi="Amiri" w:eastAsia="Amiri" w:cs="Amiri"/>
          <w:color w:val="111111"/>
          <w:sz w:val="28"/>
          <w:sz w:val="28"/>
          <w:szCs w:val="28"/>
          <w:rtl w:val="true"/>
          <w:lang w:bidi="ar-SA"/>
        </w:rPr>
        <w:t xml:space="preserve">المروية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من غسل الميت </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معطوفا على غسل المس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في حال الحرارة ولا أقل من شموله لها ، فيجب تخصيصه بها ، إذ لا غسل مع المسّ بالحرارة ، كما هو المجمع عليه بين الطائفة ، والمصرّح به في الأخبار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ومنصوص عليه في التوقيع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مسّ ميتا بحرارته غسل يده ، ومن مسّه وقد برد فعليه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الميت في هذه الحالة لا يكون إلاّ بحرارته ، والعمل في ذلك على ما هو؟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مسّه في هذه الحال لم يكن عليه إلاّ غسل يده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مقتضى إطلاق ما تقدّم وإن كان وجوب غسل المسّ بعد البرد مطلقا ، إلاّ أنّ المجمع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بما قبل غسل الميت ، وبه تقيّد الإطلاقات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تغتسل من مسّه إذا أدخلته القبر ، ولا إذا حملته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فإنه لا يمكن أن يكون المراد قبل الغسل ، لصحيحة الصفّار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أصاب يدك جسد الميت قبل أن يغسل ، فقد يجب عليك الغسل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الثانية أخص من الاولى ، لاختصاصها بما قبل الغسل ، فتختص الاولى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مفهومها أيضا تأييدا للمطلوب ، كصحيحة محمد </w:t>
      </w:r>
      <w:r>
        <w:rPr>
          <w:rStyle w:val="FootnoteAnchor"/>
          <w:rtl w:val="true"/>
        </w:rPr>
        <w:footnoteReference w:id="303"/>
      </w:r>
      <w:r>
        <w:rPr>
          <w:rFonts w:ascii="IRNazanin" w:hAnsi="IRNazanin" w:eastAsia="IRNazanin"/>
          <w:color w:val="111111"/>
          <w:sz w:val="28"/>
          <w:sz w:val="28"/>
          <w:szCs w:val="28"/>
          <w:rtl w:val="true"/>
          <w:lang w:bidi="fa-IR"/>
        </w:rPr>
        <w:t xml:space="preserve">، وخبر ابن سنان </w:t>
      </w:r>
      <w:r>
        <w:rPr>
          <w:rStyle w:val="FootnoteAnchor"/>
          <w:rtl w:val="true"/>
        </w:rPr>
        <w:footnoteReference w:id="304"/>
      </w:r>
      <w:r>
        <w:rPr>
          <w:rFonts w:ascii="Amiri" w:hAnsi="Amiri" w:eastAsia="Amiri" w:cs="Amiri"/>
          <w:color w:val="111111"/>
          <w:sz w:val="28"/>
          <w:sz w:val="28"/>
          <w:szCs w:val="28"/>
          <w:rtl w:val="true"/>
          <w:lang w:bidi="ar-SA"/>
        </w:rPr>
        <w:t>النافيين للبأس عن مسّه وتقبيله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وجعلهما دليلين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عمّار في الموثّق من اغتسال كلّ غاسل وماسّ للميت وإن كان مغسولا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 نفي الغسل عمّن أدخله القبر في بعض الروايات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يمس الثياب ، فلمخالفته الإجماع لا يصلح لمعارضة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الشيخ في التهذيبين على الاستحباب </w:t>
      </w:r>
      <w:r>
        <w:rPr>
          <w:rStyle w:val="FootnoteAnchor"/>
          <w:rtl w:val="true"/>
        </w:rPr>
        <w:footnoteReference w:id="307"/>
      </w:r>
      <w:r>
        <w:rPr>
          <w:rFonts w:ascii="Amiri" w:hAnsi="Amiri" w:eastAsia="Amiri" w:cs="Amiri"/>
          <w:color w:val="111111"/>
          <w:sz w:val="28"/>
          <w:sz w:val="28"/>
          <w:szCs w:val="28"/>
          <w:rtl w:val="true"/>
          <w:lang w:bidi="ar-SA"/>
        </w:rPr>
        <w:t xml:space="preserve">، واحتمله في البحار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واستبعاد بعض مشايخنا </w:t>
      </w:r>
      <w:r>
        <w:rPr>
          <w:rStyle w:val="FootnoteAnchor"/>
          <w:rtl w:val="true"/>
        </w:rPr>
        <w:footnoteReference w:id="309"/>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 لكونه نهيا بعد الوجوب ، ففي إفادته الزيادة على تجويز الترك كلام ، مع أنّ كونه نفيا مستعملا في تجويز الترك محتمل</w:t>
      </w:r>
      <w:r>
        <w:rPr>
          <w:rFonts w:eastAsia="Amiri" w:cs="Amiri" w:ascii="Amiri" w:hAnsi="Amiri"/>
          <w:color w:val="111111"/>
          <w:sz w:val="28"/>
          <w:szCs w:val="28"/>
          <w:rtl w:val="true"/>
          <w:lang w:bidi="ar-SA"/>
        </w:rPr>
        <w:t xml:space="preserve">. </w:t>
      </w:r>
      <w:bookmarkStart w:id="37" w:name="pg11616_94518"/>
    </w:p>
    <w:p>
      <w:pPr>
        <w:pStyle w:val="Heading3"/>
        <w:numPr>
          <w:ilvl w:val="2"/>
          <w:numId w:val="1"/>
        </w:numPr>
        <w:rPr/>
      </w:pPr>
      <w:bookmarkStart w:id="38" w:name="__RefHeading___Toc5588075_73709187"/>
      <w:bookmarkStart w:id="39" w:name="_Toc15"/>
      <w:bookmarkEnd w:id="37"/>
      <w:bookmarkEnd w:id="38"/>
      <w:r>
        <w:rPr>
          <w:rtl w:val="true"/>
        </w:rPr>
        <w:t xml:space="preserve">فروع </w:t>
      </w:r>
      <w:r>
        <w:rPr>
          <w:rtl w:val="true"/>
        </w:rPr>
        <w:t>:</w:t>
      </w:r>
      <w:bookmarkEnd w:id="3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الإطلاقات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الممسوس بين المسلم والكافر ، وإن وجب في الأخير بعد غسله أيضا ، لعدم كونه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المنتهى ، والتحرير ، ونهاية الإحكام </w:t>
      </w:r>
      <w:r>
        <w:rPr>
          <w:rStyle w:val="FootnoteAnchor"/>
          <w:rtl w:val="true"/>
        </w:rPr>
        <w:footnoteReference w:id="310"/>
      </w:r>
      <w:r>
        <w:rPr>
          <w:rFonts w:ascii="Amiri" w:hAnsi="Amiri" w:eastAsia="Amiri" w:cs="Amiri"/>
          <w:color w:val="111111"/>
          <w:sz w:val="28"/>
          <w:sz w:val="28"/>
          <w:szCs w:val="28"/>
          <w:rtl w:val="true"/>
          <w:lang w:bidi="ar-SA"/>
        </w:rPr>
        <w:t xml:space="preserve">، اختصاصه بالمسلم ، لأنّ إيجابه قبل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بأنه إنما هو فيمن يقبله ، فتحمل عليه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المطلق والمقيد هنا حتى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الغسل بمسّ من تقدّم غسله على موته كالسرائر </w:t>
      </w:r>
      <w:r>
        <w:rPr>
          <w:rStyle w:val="FootnoteAnchor"/>
          <w:rtl w:val="true"/>
        </w:rPr>
        <w:footnoteReference w:id="312"/>
      </w:r>
      <w:r>
        <w:rPr>
          <w:rFonts w:ascii="Amiri" w:hAnsi="Amiri" w:eastAsia="Amiri" w:cs="Amiri"/>
          <w:color w:val="111111"/>
          <w:sz w:val="28"/>
          <w:sz w:val="28"/>
          <w:szCs w:val="28"/>
          <w:rtl w:val="true"/>
          <w:lang w:bidi="ar-SA"/>
        </w:rPr>
        <w:t xml:space="preserve">، وعدمه كظاهر الأكثر قولان ، وظاهر المنتهى ، والذخيرة ، والحدائق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الثاني ، لعموم صحيحة الحلبي بالنسبة إلى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عنه من يجب غسله قبل غسله لصحيحة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 مع المطلقات الموجب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يجب الغسل أيضا بمسّ المغسول مع تعذّر الخليطين أو أحدهما على فرض صحته ، ولا بمسّ الشهيد ، والمتيمّم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في الأول </w:t>
      </w:r>
      <w:r>
        <w:rPr>
          <w:rStyle w:val="FootnoteAnchor"/>
          <w:rtl w:val="true"/>
        </w:rPr>
        <w:footnoteReference w:id="314"/>
      </w:r>
      <w:r>
        <w:rPr>
          <w:rFonts w:ascii="Amiri" w:hAnsi="Amiri" w:eastAsia="Amiri" w:cs="Amiri"/>
          <w:color w:val="111111"/>
          <w:sz w:val="28"/>
          <w:sz w:val="28"/>
          <w:szCs w:val="28"/>
          <w:rtl w:val="true"/>
          <w:lang w:bidi="ar-SA"/>
        </w:rPr>
        <w:t>لصدق الغسل المسقط لوجوب غسل المس ، لفقد إطلاق دالّ على السقوط بعد الغسل حتى ينفع صدقه ، مع أنه لو كان ينصرف إلى الشائع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في الثاني لظهور </w:t>
      </w:r>
      <w:r>
        <w:rPr>
          <w:rStyle w:val="FootnoteAnchor"/>
          <w:rtl w:val="true"/>
        </w:rPr>
        <w:footnoteReference w:id="315"/>
      </w:r>
      <w:r>
        <w:rPr>
          <w:rFonts w:ascii="Amiri" w:hAnsi="Amiri" w:eastAsia="Amiri" w:cs="Amiri"/>
          <w:color w:val="111111"/>
          <w:sz w:val="28"/>
          <w:sz w:val="28"/>
          <w:szCs w:val="28"/>
          <w:rtl w:val="true"/>
          <w:lang w:bidi="ar-SA"/>
        </w:rPr>
        <w:t xml:space="preserve">بعض الأخبار في وجوبه بالتغسيل ، وبعضها في </w:t>
      </w:r>
    </w:p>
    <w:p>
      <w:pPr>
        <w:pStyle w:val="BookText"/>
        <w:rPr/>
      </w:pPr>
      <w:r>
        <w:rPr>
          <w:rFonts w:ascii="Amiri" w:hAnsi="Amiri" w:eastAsia="Amiri" w:cs="Amiri"/>
          <w:color w:val="111111"/>
          <w:sz w:val="28"/>
          <w:sz w:val="28"/>
          <w:szCs w:val="28"/>
          <w:rtl w:val="true"/>
          <w:lang w:bidi="ar-SA"/>
        </w:rPr>
        <w:t xml:space="preserve">وجوبه بمسّ من يجب تغسيله قبل أن يغسّل ، وظهور نجاسة الميت بالموت وطهره بعد الغسل ومسقطات الغسل عن الشهيد في طهارته ، فيكون كغيره من الأموات بعد الغسل ، وأصالة البراءة ، وعدم عموم في الأخبار ، لظهور </w:t>
      </w:r>
      <w:r>
        <w:rPr>
          <w:rStyle w:val="FootnoteAnchor"/>
          <w:rtl w:val="true"/>
        </w:rPr>
        <w:footnoteReference w:id="316"/>
      </w:r>
      <w:r>
        <w:rPr>
          <w:rFonts w:ascii="Amiri" w:hAnsi="Amiri" w:eastAsia="Amiri" w:cs="Amiri"/>
          <w:color w:val="111111"/>
          <w:sz w:val="28"/>
          <w:sz w:val="28"/>
          <w:szCs w:val="28"/>
          <w:rtl w:val="true"/>
          <w:lang w:bidi="ar-SA"/>
        </w:rPr>
        <w:t>ضعف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الثالث لعموم البدلية ، لمنعه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وجوب الغسل بمسّ عضو كمل غسله قبل إكمال الغسل ، وفاقا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للاستصحاب ، لمعارضته مع 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لعموم موجباته ، وصدق المس قبل أن يغسّل الميت الموجب لغسل المسّ بخصوص صحيحة الصفّار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تخصّص صحيحة الحلبي إن كان فيها عموم ، وإلاّ ففيه كلام ، للشك في دخول مثل ذلك فيمن أدخل في القبر أو حمل إلاّ بالفرض النادر الذي لا يلتفت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وخلافا للقواعد </w:t>
      </w:r>
      <w:r>
        <w:rPr>
          <w:rStyle w:val="FootnoteAnchor"/>
          <w:rtl w:val="true"/>
        </w:rPr>
        <w:footnoteReference w:id="318"/>
      </w:r>
      <w:r>
        <w:rPr>
          <w:rFonts w:ascii="IRNazanin" w:hAnsi="IRNazanin" w:eastAsia="IRNazanin"/>
          <w:color w:val="111111"/>
          <w:sz w:val="28"/>
          <w:sz w:val="28"/>
          <w:szCs w:val="28"/>
          <w:rtl w:val="true"/>
          <w:lang w:bidi="fa-IR"/>
        </w:rPr>
        <w:t xml:space="preserve">وبعض آخر </w:t>
      </w:r>
      <w:r>
        <w:rPr>
          <w:rStyle w:val="FootnoteAnchor"/>
          <w:rtl w:val="true"/>
        </w:rPr>
        <w:footnoteReference w:id="319"/>
      </w:r>
      <w:r>
        <w:rPr>
          <w:rFonts w:ascii="Amiri" w:hAnsi="Amiri" w:eastAsia="Amiri" w:cs="Amiri"/>
          <w:color w:val="111111"/>
          <w:sz w:val="28"/>
          <w:sz w:val="28"/>
          <w:szCs w:val="28"/>
          <w:rtl w:val="true"/>
          <w:lang w:bidi="ar-SA"/>
        </w:rPr>
        <w:t>، للأصل ، وصدق الغسل بالنسبة إلى العضو ، والقياس على العضو المنفصل ، ودوران وجوب الغسل لوجوب غسل اليد المنتفي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كفايته ، بل اللازم صدق غسل الميت الغير المتحقّق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 سيما مع وجود الفارق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الدوران أولا ، ومنع انتفاء الثاني ثانيا ، بل الحقّ وجوب غسل اليد بمسّ العضو المغسول أيضا قبل إكمال الغسل ، وإن جعلنا نجاسة </w:t>
      </w:r>
    </w:p>
    <w:p>
      <w:pPr>
        <w:pStyle w:val="BookText"/>
        <w:rPr/>
      </w:pPr>
      <w:r>
        <w:rPr>
          <w:rFonts w:ascii="Amiri" w:hAnsi="Amiri" w:eastAsia="Amiri" w:cs="Amiri"/>
          <w:color w:val="111111"/>
          <w:sz w:val="28"/>
          <w:sz w:val="28"/>
          <w:szCs w:val="28"/>
          <w:rtl w:val="true"/>
          <w:lang w:bidi="ar-SA"/>
        </w:rPr>
        <w:t xml:space="preserve">الميت عينيّة من وجه ، وحكميّة من آخر ، كما هو الحق المشهور ، لمنع ارتفاع نجاسة هذا العضو قبل الإكمال ، ولتصريح رواية إبراهيم بن ميمون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يغسّل الميت يغسل ما أصاب الثوب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ولم يغسل الميت بعد وإن غسل عضو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توقّف طهارة جزء من الخبث على طهارة جزء آخر إنما هو فيما إذا كان تطهيره بغسله الغير المشروط على النية ، وأمّا فيما توقّف على الغسل المشروط بها ، فلا نسلّم عدم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أوجب غسل المسّ هنا دون غسل اللامس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صحيحا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بمسّ قطعة ذات عظم مبانة ، وفاقا للمحكي عن الفقيه ، والخلاف ، والنهاية ، والمبسوط ، والسرائر </w:t>
      </w:r>
      <w:r>
        <w:rPr>
          <w:rStyle w:val="FootnoteAnchor"/>
          <w:rtl w:val="true"/>
        </w:rPr>
        <w:footnoteReference w:id="321"/>
      </w:r>
      <w:r>
        <w:rPr>
          <w:rFonts w:ascii="IRNazanin" w:hAnsi="IRNazanin" w:eastAsia="IRNazanin"/>
          <w:color w:val="111111"/>
          <w:sz w:val="28"/>
          <w:sz w:val="28"/>
          <w:szCs w:val="28"/>
          <w:rtl w:val="true"/>
          <w:lang w:bidi="fa-IR"/>
        </w:rPr>
        <w:t xml:space="preserve">، والإصباح ، والجامع ، والنافع ، والشرائع </w:t>
      </w:r>
      <w:r>
        <w:rPr>
          <w:rStyle w:val="FootnoteAnchor"/>
          <w:rtl w:val="true"/>
        </w:rPr>
        <w:footnoteReference w:id="322"/>
      </w:r>
      <w:r>
        <w:rPr>
          <w:rFonts w:ascii="Amiri" w:hAnsi="Amiri" w:eastAsia="Amiri" w:cs="Amiri"/>
          <w:color w:val="111111"/>
          <w:sz w:val="28"/>
          <w:sz w:val="28"/>
          <w:szCs w:val="28"/>
          <w:rtl w:val="true"/>
          <w:lang w:bidi="ar-SA"/>
        </w:rPr>
        <w:t xml:space="preserve">، بل هو المشهور كما هو المصرّح به في كلام جماعة </w:t>
      </w:r>
      <w:r>
        <w:rPr>
          <w:rStyle w:val="FootnoteAnchor"/>
          <w:rtl w:val="true"/>
        </w:rPr>
        <w:footnoteReference w:id="323"/>
      </w:r>
      <w:r>
        <w:rPr>
          <w:rFonts w:ascii="Amiri" w:hAnsi="Amiri" w:eastAsia="Amiri" w:cs="Amiri"/>
          <w:color w:val="111111"/>
          <w:sz w:val="28"/>
          <w:sz w:val="28"/>
          <w:szCs w:val="28"/>
          <w:rtl w:val="true"/>
          <w:lang w:bidi="ar-SA"/>
        </w:rPr>
        <w:t xml:space="preserve">، بل عن الخلاف الإجماع عليه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لمرسلة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 من الرجل قطعة فهو ميتة ، فإذا مسّه إنسان فكلّ ما فيه عظم فقد وجب على من يمسّه الغسل ، وإن لم يكن فيه عظم فلا غسل عليه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مسست شيئا من جسد أكله السبع فعليك الغسل إن </w:t>
      </w:r>
    </w:p>
    <w:p>
      <w:pPr>
        <w:pStyle w:val="BookText"/>
        <w:rPr/>
      </w:pPr>
      <w:r>
        <w:rPr>
          <w:rFonts w:ascii="Amiri" w:hAnsi="Amiri" w:eastAsia="Amiri" w:cs="Amiri"/>
          <w:color w:val="111111"/>
          <w:sz w:val="28"/>
          <w:sz w:val="28"/>
          <w:szCs w:val="28"/>
          <w:rtl w:val="true"/>
          <w:lang w:bidi="ar-SA"/>
        </w:rPr>
        <w:t xml:space="preserve">كان فيما مسست عظم ، وما لم يكن فيه عظم فلا غسل عليك في مسّه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 الأول غير ضائر ، كما أنّ ضعفهما بما ذكر 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فخلاف المعتبر لما ذكر ، وقوله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تفصّيا عن طرح الرواية وكلام الشيخ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الإبانة من ميت أو حيّ ، فعليه الفتوى وإن اختص كلام بعض من ذكر </w:t>
      </w:r>
      <w:r>
        <w:rPr>
          <w:rStyle w:val="FootnoteAnchor"/>
          <w:rtl w:val="true"/>
        </w:rPr>
        <w:footnoteReference w:id="328"/>
      </w:r>
      <w:r>
        <w:rPr>
          <w:rFonts w:ascii="IRNazanin" w:hAnsi="IRNazanin" w:eastAsia="IRNazanin"/>
          <w:color w:val="111111"/>
          <w:sz w:val="28"/>
          <w:sz w:val="28"/>
          <w:szCs w:val="28"/>
          <w:rtl w:val="true"/>
          <w:lang w:bidi="fa-IR"/>
        </w:rPr>
        <w:t xml:space="preserve">بالأول ، وبعضهم </w:t>
      </w:r>
      <w:r>
        <w:rPr>
          <w:rStyle w:val="FootnoteAnchor"/>
          <w:rtl w:val="true"/>
        </w:rPr>
        <w:footnoteReference w:id="329"/>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غسل في مسّ ما لا عظم فيه من المبان بلا خلاف ظاهر ، اتّباعا للأصل ، ومقتضى صريح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 العظم المجرد ، أو السنّ ، أو الظفر ، فمع الاتّصال بالميت يجب ، وفاقا في الأولين للمعظم ، وفي الثلاثة لبعضهم </w:t>
      </w:r>
      <w:r>
        <w:rPr>
          <w:rStyle w:val="FootnoteAnchor"/>
          <w:rtl w:val="true"/>
        </w:rPr>
        <w:footnoteReference w:id="330"/>
      </w:r>
      <w:r>
        <w:rPr>
          <w:rFonts w:ascii="Amiri" w:hAnsi="Amiri" w:eastAsia="Amiri" w:cs="Amiri"/>
          <w:color w:val="111111"/>
          <w:sz w:val="28"/>
          <w:sz w:val="28"/>
          <w:szCs w:val="28"/>
          <w:rtl w:val="true"/>
          <w:lang w:bidi="ar-SA"/>
        </w:rPr>
        <w:t>، لصدق مسّ الميت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الانفصال ولو عن الميت لا يجب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بالوجوب في الأولين للدوران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الحجية ، لجواز كون العلّة مجموع العظم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بتغيّر الموضوع ، والمعارضة مع استصحاب العدم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الوجوب في مسّ الشعر إلاّ ما لم يطل منه ، أو قرب البشرة ، فالأحوط فيه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والماسّ في جميع ذلك كالممسوس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جماعة </w:t>
      </w:r>
      <w:r>
        <w:rPr>
          <w:rStyle w:val="FootnoteAnchor"/>
          <w:rtl w:val="true"/>
        </w:rPr>
        <w:footnoteReference w:id="332"/>
      </w:r>
      <w:r>
        <w:rPr>
          <w:rFonts w:ascii="Amiri" w:hAnsi="Amiri" w:eastAsia="Amiri" w:cs="Amiri"/>
          <w:color w:val="111111"/>
          <w:sz w:val="28"/>
          <w:sz w:val="28"/>
          <w:szCs w:val="28"/>
          <w:rtl w:val="true"/>
          <w:lang w:bidi="ar-SA"/>
        </w:rPr>
        <w:t xml:space="preserve">كون المسّ من الأحداث الموجبة لنقض </w:t>
      </w:r>
    </w:p>
    <w:p>
      <w:pPr>
        <w:pStyle w:val="BookText"/>
        <w:rPr/>
      </w:pPr>
      <w:r>
        <w:rPr>
          <w:rFonts w:ascii="Amiri" w:hAnsi="Amiri" w:eastAsia="Amiri" w:cs="Amiri"/>
          <w:color w:val="111111"/>
          <w:sz w:val="28"/>
          <w:sz w:val="28"/>
          <w:szCs w:val="28"/>
          <w:rtl w:val="true"/>
          <w:lang w:bidi="ar-SA"/>
        </w:rPr>
        <w:t xml:space="preserve">الوضوء المتوقّف ارتفاعها على الغسل ، إمّا خاصة أو مع الوضوء ، وهو صريح الشيخ في النهاية ، والحلّي ، والشهيد في الألفية </w:t>
      </w:r>
      <w:r>
        <w:rPr>
          <w:rStyle w:val="FootnoteAnchor"/>
          <w:rtl w:val="true"/>
        </w:rPr>
        <w:footnoteReference w:id="333"/>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بينهم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غسل المسّ فلم أقف على ما يقتضي اشتراطه في شي‌ء من العبادات ، فلا مانع أن يكون واجبا لنفسه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 ناقضا للوضوء غير اشتراط غسل المسّ في العبادة ، والظاهر اشتهار المطلبين ، ولكن الثاني مدلول عليه في خصوص الصلاة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من غسل الميت فتوضّأ ، ثمَّ اغتسل كغسلك من الجنابة ، وإن نسيت الغسل فذكرته بعد ما صلّيت فاغتسل وأعد صلاتك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بالشهرة منجبر ، فيفتى به في الصلاة خاصة دون 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على دليل فيه ، والإجماع المركّب غير ثابت ، والأمر بالتوضّؤ في الرضوي يحمل على الاستحباب قطعا ، لعدم وجوب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غسل قبله وضوء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مع أنه لا دلالة فيه على الوجوب أصلا كما مرّ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لا بدّ إمّا من تقييده بأن لم يكن له وضوء ، أو تخصيصه بغير الأغسال المندوبة ، ولا مرجّح لأحدهما ، فلا يصلح للاستدلال</w:t>
      </w:r>
      <w:r>
        <w:rPr>
          <w:rFonts w:eastAsia="Amiri" w:cs="Amiri" w:ascii="Amiri" w:hAnsi="Amiri"/>
          <w:color w:val="111111"/>
          <w:sz w:val="28"/>
          <w:szCs w:val="28"/>
          <w:rtl w:val="true"/>
          <w:lang w:bidi="ar-SA"/>
        </w:rPr>
        <w:t xml:space="preserve">. </w:t>
      </w:r>
      <w:bookmarkStart w:id="40" w:name="pg11616_94523"/>
    </w:p>
    <w:p>
      <w:pPr>
        <w:pStyle w:val="Heading2"/>
        <w:numPr>
          <w:ilvl w:val="1"/>
          <w:numId w:val="1"/>
        </w:numPr>
        <w:rPr/>
      </w:pPr>
      <w:bookmarkStart w:id="41" w:name="__RefHeading___Toc5588077_73709187"/>
      <w:bookmarkStart w:id="42" w:name="_Toc16"/>
      <w:bookmarkEnd w:id="40"/>
      <w:bookmarkEnd w:id="41"/>
      <w:r>
        <w:rPr>
          <w:rtl w:val="true"/>
        </w:rPr>
        <w:t xml:space="preserve">الفصل السادس </w:t>
      </w:r>
      <w:r>
        <w:rPr>
          <w:rtl w:val="true"/>
        </w:rPr>
        <w:t xml:space="preserve">: </w:t>
      </w:r>
      <w:r>
        <w:rPr>
          <w:rtl w:val="true"/>
        </w:rPr>
        <w:t>في غسل الأموات</w:t>
      </w:r>
      <w:bookmarkEnd w:id="42"/>
    </w:p>
    <w:p>
      <w:pPr>
        <w:pStyle w:val="Heading3"/>
        <w:numPr>
          <w:ilvl w:val="2"/>
          <w:numId w:val="1"/>
        </w:numPr>
        <w:rPr/>
      </w:pPr>
      <w:bookmarkStart w:id="43" w:name="__RefHeading___Toc5588079_73709187"/>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وما يستتبعه من أحكام الاحتضار وما بعده ، والكفن ، والتحنيط ، والدفن ، فالكلام فيه يقع في خمسة أبحاث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588081_73709187"/>
      <w:bookmarkStart w:id="46" w:name="_Toc18"/>
      <w:bookmarkEnd w:id="45"/>
      <w:r>
        <w:rPr>
          <w:rtl w:val="true"/>
        </w:rPr>
        <w:t xml:space="preserve">البحث الأول </w:t>
      </w:r>
      <w:r>
        <w:rPr>
          <w:rtl w:val="true"/>
        </w:rPr>
        <w:t xml:space="preserve">: </w:t>
      </w:r>
      <w:r>
        <w:rPr>
          <w:rtl w:val="true"/>
        </w:rPr>
        <w:t>في أحكام الاحتضار وما بعده قبل الغسل</w:t>
      </w:r>
      <w:bookmarkEnd w:id="46"/>
    </w:p>
    <w:p>
      <w:pPr>
        <w:pStyle w:val="Heading4"/>
        <w:numPr>
          <w:ilvl w:val="3"/>
          <w:numId w:val="1"/>
        </w:numPr>
        <w:rPr/>
      </w:pPr>
      <w:bookmarkStart w:id="47" w:name="__RefHeading___Toc5588083_73709187"/>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والكلام إمّا فيما يجب فيه ، أو يستحب ، أو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توجيهه إلى القبلة على الحقّ المشهور ، كما هو في كلام جماعة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انظر جامع المقاصد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المدارك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مذكور ، وفاقا للمحكي عن المقنعة ، والمراسم ، والمهذب ، والوسيلة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والسرائر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والإصباح ، وفي الشرائع ، والمنتهى ، وشرح القواعد للكركي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وإليه ذهب الشهيدان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وأكثر مشايخنا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للأخبار الآمرة بتوجيه الميت إلى القبلة ، كصحيحة المحاربي </w:t>
      </w:r>
      <w:r>
        <w:rPr>
          <w:rStyle w:val="FootnoteAnchor"/>
          <w:rtl w:val="true"/>
        </w:rPr>
        <w:footnoteReference w:id="340"/>
      </w:r>
      <w:r>
        <w:rPr>
          <w:rFonts w:ascii="Amiri" w:hAnsi="Amiri" w:eastAsia="Amiri" w:cs="Amiri"/>
          <w:color w:val="111111"/>
          <w:sz w:val="28"/>
          <w:sz w:val="28"/>
          <w:szCs w:val="28"/>
          <w:rtl w:val="true"/>
          <w:lang w:bidi="ar-SA"/>
        </w:rPr>
        <w:t xml:space="preserve">، وحسنتي </w:t>
      </w:r>
    </w:p>
    <w:p>
      <w:pPr>
        <w:pStyle w:val="BookText"/>
        <w:rPr/>
      </w:pPr>
      <w:r>
        <w:rPr>
          <w:rFonts w:ascii="Amiri" w:hAnsi="Amiri" w:eastAsia="Amiri" w:cs="Amiri"/>
          <w:color w:val="111111"/>
          <w:sz w:val="28"/>
          <w:sz w:val="28"/>
          <w:szCs w:val="28"/>
          <w:rtl w:val="true"/>
          <w:lang w:bidi="ar-SA"/>
        </w:rPr>
        <w:t xml:space="preserve">الشعيري </w:t>
      </w:r>
      <w:r>
        <w:rPr>
          <w:rStyle w:val="FootnoteAnchor"/>
          <w:rtl w:val="true"/>
        </w:rPr>
        <w:footnoteReference w:id="341"/>
      </w:r>
      <w:r>
        <w:rPr>
          <w:rFonts w:ascii="IRNazanin" w:hAnsi="IRNazanin" w:eastAsia="IRNazanin"/>
          <w:color w:val="111111"/>
          <w:sz w:val="28"/>
          <w:sz w:val="28"/>
          <w:szCs w:val="28"/>
          <w:rtl w:val="true"/>
          <w:lang w:bidi="fa-IR"/>
        </w:rPr>
        <w:t xml:space="preserve">، وابن خالد </w:t>
      </w:r>
      <w:r>
        <w:rPr>
          <w:rStyle w:val="FootnoteAnchor"/>
          <w:rtl w:val="true"/>
        </w:rPr>
        <w:footnoteReference w:id="342"/>
      </w:r>
      <w:r>
        <w:rPr>
          <w:rFonts w:ascii="Amiri" w:hAnsi="Amiri" w:eastAsia="Amiri" w:cs="Amiri"/>
          <w:color w:val="111111"/>
          <w:sz w:val="28"/>
          <w:sz w:val="28"/>
          <w:szCs w:val="28"/>
          <w:rtl w:val="true"/>
          <w:lang w:bidi="ar-SA"/>
        </w:rPr>
        <w:t>، لعدم صدق الميت على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 فيه في كثير من الأخبار بقرينة لا يوجب حمله عليه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الأمر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القائل بالوجوب بل الإجماع على نفيه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إذ لو سلّم الإجماع لم يكن ارتكاب التجوّز في الأمر بحمله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من ارتكابه 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الإجماع المذكور غير ثابت ، بل احتمال الوجوب بعد الموت أيضا مما صرّحوا به </w:t>
      </w:r>
      <w:r>
        <w:rPr>
          <w:rStyle w:val="FootnoteAnchor"/>
          <w:rtl w:val="true"/>
        </w:rPr>
        <w:footnoteReference w:id="344"/>
      </w:r>
      <w:r>
        <w:rPr>
          <w:rFonts w:ascii="Amiri" w:hAnsi="Amiri" w:eastAsia="Amiri" w:cs="Amiri"/>
          <w:color w:val="111111"/>
          <w:sz w:val="28"/>
          <w:sz w:val="28"/>
          <w:szCs w:val="28"/>
          <w:rtl w:val="true"/>
          <w:lang w:bidi="ar-SA"/>
        </w:rPr>
        <w:t>، بل القول به إلى أن ينقل من موضع موته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عدم القول بوجوبه بعده أو ندرته حيث ما وضع ما لم يدفن ، ولا تدلّ عليه تلك الأخبار أيضا حتى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إشعار في قوله في ذيل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إذا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منه إرادة التغسيل بالتجوّز المذكور ، لمنع إرادة ذلك منه أولا ، وعدم إشعار التجوّز في لفظ به في آخر ثانيا ، مع أنه لا أمر فيها بالتوجيه إلاّ بواسطة تعلّقه بالتسجية المستحبة قطعا ، فلا يجب به 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أيضا اختصاصها بما بعد الموت ، لاختصاص التسجية به ، كما صرّح به بعضهم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لمرسلة الفقيه المسندة في العلل ، المروية في ثواب الأعمال والدعائم أيضا المنجبر 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بالشهرة المحكية مستفيضا ، المؤيّدة بعمل المسلمين في جميع الأعصار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عليه وآله على رجل من ولد </w:t>
      </w:r>
    </w:p>
    <w:p>
      <w:pPr>
        <w:pStyle w:val="BookText"/>
        <w:rPr/>
      </w:pPr>
      <w:r>
        <w:rPr>
          <w:rFonts w:ascii="Amiri" w:hAnsi="Amiri" w:eastAsia="Amiri" w:cs="Amiri"/>
          <w:color w:val="111111"/>
          <w:sz w:val="28"/>
          <w:sz w:val="28"/>
          <w:szCs w:val="28"/>
          <w:rtl w:val="true"/>
          <w:lang w:bidi="ar-SA"/>
        </w:rPr>
        <w:t xml:space="preserve">عبد المطلب ، وهو في السوق ، وقد وجّه إلى غير القبلة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وجّهوه إلى القبلة فإنكم إذا فعلتم ذلك أقبلت عليه الملائكة وأقبل اللّه عليه بوجهه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وورودها في شخص خاص لا ينافي التعميم ، للاشتراك إجماعا ، مع إشعار التعليل فيها ، بل دلالته على العموم والقول بإشعاره بالاستحباب أيضا ضعيف غايته ، مع أنه لو كان لا يترك به 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أيضا المروي في الدعائم عن مولانا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الفطرة أن يستقبل بالعليل القبلة إذا احتضر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للمعتبر ، والنافع ، والمدارك ، والذخيرة ، والكفاية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المنتهى </w:t>
      </w:r>
      <w:r>
        <w:rPr>
          <w:rStyle w:val="FootnoteAnchor"/>
          <w:rtl w:val="true"/>
        </w:rPr>
        <w:footnoteReference w:id="349"/>
      </w:r>
      <w:r>
        <w:rPr>
          <w:rFonts w:ascii="Amiri" w:hAnsi="Amiri" w:eastAsia="Amiri" w:cs="Amiri"/>
          <w:color w:val="111111"/>
          <w:sz w:val="28"/>
          <w:sz w:val="28"/>
          <w:szCs w:val="28"/>
          <w:rtl w:val="true"/>
          <w:lang w:bidi="ar-SA"/>
        </w:rPr>
        <w:t xml:space="preserve">إلى السيد ، والخلاف </w:t>
      </w:r>
      <w:r>
        <w:rPr>
          <w:rStyle w:val="FootnoteAnchor"/>
          <w:rtl w:val="true"/>
        </w:rPr>
        <w:footnoteReference w:id="350"/>
      </w:r>
      <w:r>
        <w:rPr>
          <w:rFonts w:ascii="Amiri" w:hAnsi="Amiri" w:eastAsia="Amiri" w:cs="Amiri"/>
          <w:color w:val="111111"/>
          <w:sz w:val="28"/>
          <w:sz w:val="28"/>
          <w:szCs w:val="28"/>
          <w:rtl w:val="true"/>
          <w:lang w:bidi="ar-SA"/>
        </w:rPr>
        <w:t xml:space="preserve">، وابن إدريس </w:t>
      </w:r>
      <w:r>
        <w:rPr>
          <w:rStyle w:val="FootnoteAnchor"/>
          <w:rtl w:val="true"/>
        </w:rPr>
        <w:footnoteReference w:id="351"/>
      </w:r>
      <w:r>
        <w:rPr>
          <w:rFonts w:ascii="Amiri" w:hAnsi="Amiri" w:eastAsia="Amiri" w:cs="Amiri"/>
          <w:color w:val="111111"/>
          <w:sz w:val="28"/>
          <w:sz w:val="28"/>
          <w:szCs w:val="28"/>
          <w:rtl w:val="true"/>
          <w:lang w:bidi="ar-SA"/>
        </w:rPr>
        <w:t xml:space="preserve">، وفي البحار إلى التهذيب </w:t>
      </w:r>
      <w:r>
        <w:rPr>
          <w:rStyle w:val="FootnoteAnchor"/>
          <w:rtl w:val="true"/>
        </w:rPr>
        <w:footnoteReference w:id="352"/>
      </w:r>
      <w:r>
        <w:rPr>
          <w:rFonts w:ascii="IRNazanin" w:hAnsi="IRNazanin" w:eastAsia="IRNazanin"/>
          <w:color w:val="111111"/>
          <w:sz w:val="28"/>
          <w:sz w:val="28"/>
          <w:szCs w:val="28"/>
          <w:rtl w:val="true"/>
          <w:lang w:bidi="fa-IR"/>
        </w:rPr>
        <w:t xml:space="preserve">، والمبسوط </w:t>
      </w:r>
      <w:r>
        <w:rPr>
          <w:rStyle w:val="FootnoteAnchor"/>
          <w:rtl w:val="true"/>
        </w:rPr>
        <w:footnoteReference w:id="353"/>
      </w:r>
      <w:r>
        <w:rPr>
          <w:rFonts w:ascii="Amiri" w:hAnsi="Amiri" w:eastAsia="Amiri" w:cs="Amiri"/>
          <w:color w:val="111111"/>
          <w:sz w:val="28"/>
          <w:sz w:val="28"/>
          <w:szCs w:val="28"/>
          <w:rtl w:val="true"/>
          <w:lang w:bidi="ar-SA"/>
        </w:rPr>
        <w:t xml:space="preserve">، والمفيد ، والسيد ، وبعض الأجلّة </w:t>
      </w:r>
      <w:r>
        <w:rPr>
          <w:rStyle w:val="FootnoteAnchor"/>
          <w:rtl w:val="true"/>
        </w:rPr>
        <w:footnoteReference w:id="354"/>
      </w:r>
      <w:r>
        <w:rPr>
          <w:rFonts w:ascii="Amiri" w:hAnsi="Amiri" w:eastAsia="Amiri" w:cs="Amiri"/>
          <w:color w:val="111111"/>
          <w:sz w:val="28"/>
          <w:sz w:val="28"/>
          <w:szCs w:val="28"/>
          <w:rtl w:val="true"/>
          <w:lang w:bidi="ar-SA"/>
        </w:rPr>
        <w:t xml:space="preserve">إلى الجامع ، ونهاية الشيخ ، والاقتصاد ، والمصباح </w:t>
      </w:r>
      <w:r>
        <w:rPr>
          <w:rStyle w:val="FootnoteAnchor"/>
          <w:rtl w:val="true"/>
        </w:rPr>
        <w:footnoteReference w:id="355"/>
      </w:r>
      <w:r>
        <w:rPr>
          <w:rFonts w:ascii="Amiri" w:hAnsi="Amiri" w:eastAsia="Amiri" w:cs="Amiri"/>
          <w:color w:val="111111"/>
          <w:sz w:val="28"/>
          <w:sz w:val="28"/>
          <w:szCs w:val="28"/>
          <w:rtl w:val="true"/>
          <w:lang w:bidi="ar-SA"/>
        </w:rPr>
        <w:t xml:space="preserve">، ومختصره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وضعف أخبار الوجوب إمّا سندا كالمرسلة ، أو دلالة كالبواقي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مندفع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المرسلة غير ضائر في الحجية سيما مع </w:t>
      </w:r>
      <w:bookmarkStart w:id="49" w:name="pg11616_94526"/>
    </w:p>
    <w:p>
      <w:pPr>
        <w:pStyle w:val="BookText"/>
        <w:rPr/>
      </w:pPr>
      <w:bookmarkEnd w:id="49"/>
      <w:r>
        <w:rPr>
          <w:rFonts w:ascii="Amiri" w:hAnsi="Amiri" w:eastAsia="Amiri" w:cs="Amiri"/>
          <w:color w:val="111111"/>
          <w:sz w:val="28"/>
          <w:sz w:val="28"/>
          <w:szCs w:val="28"/>
          <w:rtl w:val="true"/>
          <w:lang w:bidi="ar-SA"/>
        </w:rPr>
        <w:t>انجباره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الأصحاب ونطقت به الأخبار الواردة في توجيه الميت </w:t>
      </w:r>
      <w:r>
        <w:rPr>
          <w:rStyle w:val="FootnoteAnchor"/>
          <w:rtl w:val="true"/>
        </w:rPr>
        <w:footnoteReference w:id="356"/>
      </w:r>
      <w:r>
        <w:rPr>
          <w:rFonts w:ascii="Amiri" w:hAnsi="Amiri" w:eastAsia="Amiri" w:cs="Amiri"/>
          <w:color w:val="111111"/>
          <w:sz w:val="28"/>
          <w:sz w:val="28"/>
          <w:szCs w:val="28"/>
          <w:rtl w:val="true"/>
          <w:lang w:bidi="ar-SA"/>
        </w:rPr>
        <w:t xml:space="preserve">وجوبا أو استحباب المتّحد كيفيته مع توجيه المحتضر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على ظهره ويجعل باطن قدميه إلى القبلة ، بحيث لو جلس استقبل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إبقائه إلى أن يقبض ، للإجماع المركّب بل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سقوط الوجوب بالموت ، أو بقائه بعده في الجملة ، أو إلى أن ينقل من موضعه ، أو إلى أن يدفن مهما أمكن ، احتمالات ،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لعمومات توجيه الميت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الثالث ، لأنه المنسبق إلى الذهن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التوجيه في الحالين بين الصغير والكبير ، لإطلاق وجوبه في الميت المستلزم له في المحتضر أيضا ، لعدم القول بالفصل بين الصغير والكبير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الوجوب في المخالف المحكوم بإسلامه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اشتبهت القبلة ، سقط الوجوب ، لعدم إمكان التوجيه في حالة واحدة إلى الأربع ، فلا يصلح مقدمة للواجب</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588085_73709187"/>
      <w:bookmarkStart w:id="51" w:name="_Toc20"/>
      <w:bookmarkEnd w:id="50"/>
      <w:r>
        <w:rPr>
          <w:rtl w:val="true"/>
        </w:rPr>
        <w:t xml:space="preserve">وأما الثاني فأمور </w:t>
      </w:r>
      <w:r>
        <w:rPr>
          <w:rtl w:val="true"/>
        </w:rPr>
        <w:t>:</w:t>
      </w:r>
      <w:bookmarkEnd w:id="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 أي تفهيمه الشهادتين والولاية ، بالإجماع والنصوص المستفيضة </w:t>
      </w:r>
      <w:r>
        <w:rPr>
          <w:rStyle w:val="FootnoteAnchor"/>
          <w:rtl w:val="true"/>
        </w:rPr>
        <w:footnoteReference w:id="357"/>
      </w:r>
      <w:r>
        <w:rPr>
          <w:rFonts w:ascii="Amiri" w:hAnsi="Amiri" w:eastAsia="Amiri" w:cs="Amiri"/>
          <w:color w:val="111111"/>
          <w:sz w:val="28"/>
          <w:sz w:val="28"/>
          <w:szCs w:val="28"/>
          <w:rtl w:val="true"/>
          <w:lang w:bidi="ar-SA"/>
        </w:rPr>
        <w:t xml:space="preserve">، بل الإقرار بالأئمة واحدا بعد واحد ، كما في مرسلة الكافي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والرضوي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الفرج ، كما في الروايات المتكثّرة </w:t>
      </w:r>
      <w:r>
        <w:rPr>
          <w:rStyle w:val="FootnoteAnchor"/>
          <w:rtl w:val="true"/>
        </w:rPr>
        <w:footnoteReference w:id="360"/>
      </w:r>
      <w:r>
        <w:rPr>
          <w:rFonts w:ascii="Amiri" w:hAnsi="Amiri" w:eastAsia="Amiri" w:cs="Amiri"/>
          <w:color w:val="111111"/>
          <w:sz w:val="28"/>
          <w:sz w:val="28"/>
          <w:szCs w:val="28"/>
          <w:rtl w:val="true"/>
          <w:lang w:bidi="ar-SA"/>
        </w:rPr>
        <w:t>وهي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زيد على المشهور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المرسلين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زيد الأخير خاصة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بالكلّ حسن وينبغي للمحتضر المتابعة في التلفظ ، لاستفاضة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فيتبعه بالقلب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اعتقل لسانه ، اقتصر على القلب ليحصل </w:t>
      </w:r>
      <w:r>
        <w:rPr>
          <w:rStyle w:val="FootnoteAnchor"/>
          <w:rtl w:val="true"/>
        </w:rPr>
        <w:footnoteReference w:id="363"/>
      </w: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ويكرّر الثلاثة حتى ينقطع كلامه ، لمرسلة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آخر كلامه كلمة التوحيد ، لما روي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كان آخر كلامه لا إله إلاّ اللّه دخل الجنة </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ويستحب أيضا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يقبل اليسير ويعفو عن الكثير ، اقبل مني اليسير ، واعف عنّي الكثير ، إنك أنت العفو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لمرسلة الفقيه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الكثير من معاصيك ، واقبل مني اليسير من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سالم </w:t>
      </w:r>
      <w:r>
        <w:rPr>
          <w:rStyle w:val="FootnoteAnchor"/>
          <w:rtl w:val="true"/>
        </w:rPr>
        <w:footnoteReference w:id="366"/>
      </w:r>
      <w:r>
        <w:rPr>
          <w:rFonts w:ascii="Amiri" w:hAnsi="Amiri" w:eastAsia="Amiri" w:cs="Amiri"/>
          <w:color w:val="111111"/>
          <w:sz w:val="28"/>
          <w:sz w:val="28"/>
          <w:szCs w:val="28"/>
          <w:rtl w:val="true"/>
          <w:lang w:bidi="ar-SA"/>
        </w:rPr>
        <w:t xml:space="preserve">وأن يقرأ سورة الجحد ، للمروي في دعوات الراوندي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ويكرّر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ارحمني فإنك كريم ، اللّهم ارحمني فإنك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للمروي فيها أيضا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عنده قبل خروج روحه وبعده ، للتبرك ، والاستدفاع ، وذكر الأصحاب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اللوامع أسنده إلى الرضوي ، والمذكور فيه إحضار القرآن عند المحتضر </w:t>
      </w:r>
      <w:r>
        <w:rPr>
          <w:rStyle w:val="FootnoteAnchor"/>
          <w:rtl w:val="true"/>
        </w:rPr>
        <w:footnoteReference w:id="370"/>
      </w:r>
      <w:r>
        <w:rPr>
          <w:rFonts w:ascii="IRNazanin" w:hAnsi="IRNazanin" w:eastAsia="IRNazanin"/>
          <w:color w:val="111111"/>
          <w:sz w:val="28"/>
          <w:sz w:val="28"/>
          <w:szCs w:val="28"/>
          <w:rtl w:val="true"/>
          <w:lang w:bidi="fa-IR"/>
        </w:rPr>
        <w:t>، فهو مستحب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وخصوص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 لخبر الجعفري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بني اقرأ عند رأس أخيك والصافّات صفّا حتى تستتمها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الأمر بالإتمام دلالة على القراءة بعد الموت أيضا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الحالتين ، للمروي في دعوات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قرئت يس عند ميت إلاّ خفف اللّه عنه تلك الساعة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والمنقول في شرح القواعد للهندي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يس وهو في سكرات الموت أو قرئت عنده ، جاء رضوان خازن الجنة بشربة </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والمنقول فيه أيضا عنه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مسلم قرئ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به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يس نزل بكلّ حرف منها عشرة أملاك يقومون بين يديه صفوفا يصلّون عليه </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أخرجه إلى رضى منك ورضوان ، اللّهم اغفر له ذنبه ، جلّ ثناء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ثمَّ آية السخرة </w:t>
      </w:r>
      <w:r>
        <w:rPr>
          <w:rStyle w:val="FootnoteAnchor"/>
          <w:rtl w:val="true"/>
        </w:rPr>
        <w:footnoteReference w:id="376"/>
      </w:r>
      <w:r>
        <w:rPr>
          <w:rFonts w:ascii="Amiri" w:hAnsi="Amiri" w:eastAsia="Amiri" w:cs="Amiri"/>
          <w:color w:val="111111"/>
          <w:sz w:val="28"/>
          <w:sz w:val="28"/>
          <w:szCs w:val="28"/>
          <w:rtl w:val="true"/>
          <w:lang w:bidi="ar-SA"/>
        </w:rPr>
        <w:t xml:space="preserve">، ثمَّ ثلاث آيات من آخر البقرة ، ثمَّ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الأحزاب في الحالين أيضا ، للمروي في دعوات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في الدعائم أيضا ، إلا أنه زاد آيتين بعد آية الكرسي أيضا ، ونقص الدعاء بعدها والأحزاب ، وزاد في الآخر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أخرجها منه إلى رضى منك ورضوان ، اللّهم لقه البشرى ، اللّهم اغفر له ذنبه وارحمه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بحسن الظن باللّه ، وبشارته بلقاء ربّه ، كما ورد في أخبار كثيرة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تغميض عينيه ، وشدّ لحيته ، وإطباق فيه ، وتغطيته بثوب بعد خروج الروح ، لنفي الخلاف في المنتهى </w:t>
      </w:r>
      <w:r>
        <w:rPr>
          <w:rStyle w:val="FootnoteAnchor"/>
          <w:rtl w:val="true"/>
        </w:rPr>
        <w:footnoteReference w:id="379"/>
      </w:r>
      <w:r>
        <w:rPr>
          <w:rFonts w:ascii="Amiri" w:hAnsi="Amiri" w:eastAsia="Amiri" w:cs="Amiri"/>
          <w:color w:val="111111"/>
          <w:sz w:val="28"/>
          <w:sz w:val="28"/>
          <w:szCs w:val="28"/>
          <w:rtl w:val="true"/>
          <w:lang w:bidi="ar-SA"/>
        </w:rPr>
        <w:t xml:space="preserve">، ورواية أبي كهمش </w:t>
      </w:r>
      <w:r>
        <w:rPr>
          <w:rStyle w:val="FootnoteAnchor"/>
          <w:rtl w:val="true"/>
        </w:rPr>
        <w:footnoteReference w:id="380"/>
      </w:r>
      <w:r>
        <w:rPr>
          <w:rFonts w:ascii="Amiri" w:hAnsi="Amiri" w:eastAsia="Amiri" w:cs="Amiri"/>
          <w:color w:val="111111"/>
          <w:sz w:val="28"/>
          <w:sz w:val="28"/>
          <w:szCs w:val="28"/>
          <w:rtl w:val="true"/>
          <w:lang w:bidi="ar-SA"/>
        </w:rPr>
        <w:t xml:space="preserve">في الجميع ، وموثّقة زرارة </w:t>
      </w:r>
      <w:r>
        <w:rPr>
          <w:rStyle w:val="FootnoteAnchor"/>
          <w:rtl w:val="true"/>
        </w:rPr>
        <w:footnoteReference w:id="381"/>
      </w:r>
      <w:r>
        <w:rPr>
          <w:rFonts w:ascii="Amiri" w:hAnsi="Amiri" w:eastAsia="Amiri" w:cs="Amiri"/>
          <w:color w:val="111111"/>
          <w:sz w:val="28"/>
          <w:sz w:val="28"/>
          <w:szCs w:val="28"/>
          <w:rtl w:val="true"/>
          <w:lang w:bidi="ar-SA"/>
        </w:rPr>
        <w:t xml:space="preserve">في الأوّلين ، وصحيحة سليمان ، ورواية الجعفري </w:t>
      </w:r>
      <w:r>
        <w:rPr>
          <w:rStyle w:val="FootnoteAnchor"/>
          <w:rtl w:val="true"/>
        </w:rPr>
        <w:footnoteReference w:id="382"/>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 يديه إلى جنبيه ، وساقيه ، لتصريح الأصحاب </w:t>
      </w:r>
      <w:r>
        <w:rPr>
          <w:rStyle w:val="FootnoteAnchor"/>
          <w:rtl w:val="true"/>
        </w:rPr>
        <w:footnoteReference w:id="383"/>
      </w:r>
      <w:r>
        <w:rPr>
          <w:rFonts w:ascii="Amiri" w:hAnsi="Amiri" w:eastAsia="Amiri" w:cs="Amiri"/>
          <w:color w:val="111111"/>
          <w:sz w:val="28"/>
          <w:sz w:val="28"/>
          <w:szCs w:val="28"/>
          <w:rtl w:val="true"/>
          <w:lang w:bidi="ar-SA"/>
        </w:rPr>
        <w:t>، وليكون أطوع للغسل وأسهل للدرج في الكفن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مصلاّه الذي يصلّي فيه أو عليه ، 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عسر على الميت موته ونزعه قرب إلى مصلاه الذي كان يصلّي فيه أو عليه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اشتدّ عليه النزع فضعه في مصلاّه الذي كان يصلّي فيه أو عليه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وقريب منها الرضوي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وخبري ذريح ، والمرادي ، الواردين في تحويل الخدري بعد شدة نزعه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وبها يخصّص الرضوي </w:t>
      </w:r>
      <w:r>
        <w:rPr>
          <w:rStyle w:val="FootnoteAnchor"/>
          <w:rtl w:val="true"/>
        </w:rPr>
        <w:footnoteReference w:id="388"/>
      </w:r>
      <w:r>
        <w:rPr>
          <w:rFonts w:ascii="Amiri" w:hAnsi="Amiri" w:eastAsia="Amiri" w:cs="Amiri"/>
          <w:color w:val="111111"/>
          <w:sz w:val="28"/>
          <w:sz w:val="28"/>
          <w:szCs w:val="28"/>
          <w:rtl w:val="true"/>
          <w:lang w:bidi="ar-SA"/>
        </w:rPr>
        <w:t xml:space="preserve">وموثّقة زرارة </w:t>
      </w:r>
      <w:r>
        <w:rPr>
          <w:rStyle w:val="FootnoteAnchor"/>
          <w:rtl w:val="true"/>
        </w:rPr>
        <w:footnoteReference w:id="389"/>
      </w:r>
      <w:r>
        <w:rPr>
          <w:rFonts w:ascii="Amiri" w:hAnsi="Amiri" w:eastAsia="Amiri" w:cs="Amiri"/>
          <w:color w:val="111111"/>
          <w:sz w:val="28"/>
          <w:sz w:val="28"/>
          <w:szCs w:val="28"/>
          <w:rtl w:val="true"/>
          <w:lang w:bidi="ar-SA"/>
        </w:rPr>
        <w:t>الناهيتان عن مسّ المحتضر ، وكونه إعانة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التقييد في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كعبارات جمع من الأصحاب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الاستحباب بصورة اشتداد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كلماتهم </w:t>
      </w:r>
      <w:r>
        <w:rPr>
          <w:rStyle w:val="FootnoteAnchor"/>
          <w:rtl w:val="true"/>
        </w:rPr>
        <w:footnoteReference w:id="391"/>
      </w:r>
      <w:r>
        <w:rPr>
          <w:rFonts w:ascii="Amiri" w:hAnsi="Amiri" w:eastAsia="Amiri" w:cs="Amiri"/>
          <w:color w:val="111111"/>
          <w:sz w:val="28"/>
          <w:sz w:val="28"/>
          <w:szCs w:val="28"/>
          <w:rtl w:val="true"/>
          <w:lang w:bidi="ar-SA"/>
        </w:rPr>
        <w:t>من الإطلاق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والتسامح في المقام هنا لاتّباع الإطلاق غير مفيد ، لمعارضته مع ما مرّ من النهي عن مسّه بالتساوي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يسرج عنده إن مات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 والنافع ، والمنتهى ، والقواعد </w:t>
      </w:r>
      <w:r>
        <w:rPr>
          <w:rStyle w:val="FootnoteAnchor"/>
          <w:rtl w:val="true"/>
        </w:rPr>
        <w:footnoteReference w:id="392"/>
      </w:r>
      <w:r>
        <w:rPr>
          <w:rFonts w:ascii="Amiri" w:hAnsi="Amiri" w:eastAsia="Amiri" w:cs="Amiri"/>
          <w:color w:val="111111"/>
          <w:sz w:val="28"/>
          <w:sz w:val="28"/>
          <w:szCs w:val="28"/>
          <w:rtl w:val="true"/>
          <w:lang w:bidi="ar-SA"/>
        </w:rPr>
        <w:t xml:space="preserve">، وعن المراسم ، والوسيلة ، ونهاية الشيخ ، والتذكرة ، والتحرير ، والجامع </w:t>
      </w:r>
      <w:r>
        <w:rPr>
          <w:rStyle w:val="FootnoteAnchor"/>
          <w:rtl w:val="true"/>
        </w:rPr>
        <w:footnoteReference w:id="393"/>
      </w:r>
      <w:r>
        <w:rPr>
          <w:rFonts w:ascii="Amiri" w:hAnsi="Amiri" w:eastAsia="Amiri" w:cs="Amiri"/>
          <w:color w:val="111111"/>
          <w:sz w:val="28"/>
          <w:sz w:val="28"/>
          <w:szCs w:val="28"/>
          <w:rtl w:val="true"/>
          <w:lang w:bidi="ar-SA"/>
        </w:rPr>
        <w:t xml:space="preserve">، بل إن مات نهارا وبقي إلى الليل ، كما هو ظاهر المبسوط ، والكافي ، </w:t>
      </w:r>
    </w:p>
    <w:p>
      <w:pPr>
        <w:pStyle w:val="BookText"/>
        <w:rPr/>
      </w:pPr>
      <w:r>
        <w:rPr>
          <w:rFonts w:ascii="Amiri" w:hAnsi="Amiri" w:eastAsia="Amiri" w:cs="Amiri"/>
          <w:color w:val="111111"/>
          <w:sz w:val="28"/>
          <w:sz w:val="28"/>
          <w:szCs w:val="28"/>
          <w:rtl w:val="true"/>
          <w:lang w:bidi="ar-SA"/>
        </w:rPr>
        <w:t xml:space="preserve">والمهذب للقاضي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الصباح ، كما في المنتهى </w:t>
      </w:r>
      <w:r>
        <w:rPr>
          <w:rStyle w:val="FootnoteAnchor"/>
          <w:rtl w:val="true"/>
        </w:rPr>
        <w:footnoteReference w:id="395"/>
      </w:r>
      <w:r>
        <w:rPr>
          <w:rFonts w:ascii="Amiri" w:hAnsi="Amiri" w:eastAsia="Amiri" w:cs="Amiri"/>
          <w:color w:val="111111"/>
          <w:sz w:val="28"/>
          <w:sz w:val="28"/>
          <w:szCs w:val="28"/>
          <w:rtl w:val="true"/>
          <w:lang w:bidi="ar-SA"/>
        </w:rPr>
        <w:t xml:space="preserve">، وعن النهاية ، والمبسوط ، والإصباح ، والجامع ، والتذكرة ، ونهاية الإحكام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إرادتهم صورة عدم دفنه إليه ، وإلاّ لم يكن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لفتوى هؤلاء الأجلّة والشهرة المحكية ، الكافيتين في المقام ، للمسامحة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ذكره في المعتبر من أنّه فعل حسن </w:t>
      </w:r>
      <w:r>
        <w:rPr>
          <w:rStyle w:val="FootnoteAnchor"/>
          <w:rtl w:val="true"/>
        </w:rPr>
        <w:footnoteReference w:id="397"/>
      </w:r>
      <w:r>
        <w:rPr>
          <w:rFonts w:ascii="IRNazanin" w:hAnsi="IRNazanin" w:eastAsia="IRNazanin"/>
          <w:color w:val="111111"/>
          <w:sz w:val="28"/>
          <w:sz w:val="28"/>
          <w:szCs w:val="28"/>
          <w:rtl w:val="true"/>
          <w:lang w:bidi="fa-IR"/>
        </w:rPr>
        <w:t>، إذ لا أرى وجها لحسنه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لرواية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الباقر عليه السلام أمر أبو عبد اللّه عليه السلام بالسراج في البيت الذي كان سكنه حتى قبض أبو عبد اللّه عليه السلام ، ثمَّ أمر أبو الحسن عليه السلام بمثل ذلك في بيت أبي عبد اللّه حتى اخرج به إلى العراق </w:t>
      </w:r>
      <w:r>
        <w:rPr>
          <w:rStyle w:val="FootnoteAnchor"/>
          <w:rtl w:val="true"/>
        </w:rPr>
        <w:footnoteReference w:id="398"/>
      </w:r>
      <w:r>
        <w:rPr>
          <w:rFonts w:ascii="Amiri" w:hAnsi="Amiri" w:eastAsia="Amiri" w:cs="Amiri"/>
          <w:color w:val="111111"/>
          <w:sz w:val="28"/>
          <w:sz w:val="28"/>
          <w:szCs w:val="28"/>
          <w:rtl w:val="true"/>
          <w:lang w:bidi="ar-SA"/>
        </w:rPr>
        <w:t>، من جهة أنّ دوام الإسراج يتضمّن الإسراج عنده ، أو يقتضيه بالأولوية ، لأنه إنّما كان يتم لو ثبت موته عليه السلام في بيت يسكنه لا في خارجه ،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 الاتّحاد أو تبادره دعوى غريبة ، مع أنه يمكن أن يكون ذلك نوع تعظيم لم يثبت جوازه في حق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عدم دلالتها على استحباب الإسراج في بيت مات فيه أيضا إلى الصباح وإن اخرج عنه كما عن المقنعة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لا بأس بالقول به متابعة له مسامحة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تجهيزه إن علم موته ، بالإجماع المحقّق ، والمحكي في المعتبر ، </w:t>
      </w:r>
    </w:p>
    <w:p>
      <w:pPr>
        <w:pStyle w:val="BookText"/>
        <w:rPr/>
      </w:pPr>
      <w:r>
        <w:rPr>
          <w:rFonts w:ascii="Amiri" w:hAnsi="Amiri" w:eastAsia="Amiri" w:cs="Amiri"/>
          <w:color w:val="111111"/>
          <w:sz w:val="28"/>
          <w:sz w:val="28"/>
          <w:szCs w:val="28"/>
          <w:rtl w:val="true"/>
          <w:lang w:bidi="ar-SA"/>
        </w:rPr>
        <w:t xml:space="preserve">والتذكرة ، والنهاية </w:t>
      </w:r>
      <w:r>
        <w:rPr>
          <w:rStyle w:val="FootnoteAnchor"/>
          <w:rtl w:val="true"/>
        </w:rPr>
        <w:footnoteReference w:id="400"/>
      </w:r>
      <w:r>
        <w:rPr>
          <w:rFonts w:ascii="Amiri" w:hAnsi="Amiri" w:eastAsia="Amiri" w:cs="Amiri"/>
          <w:color w:val="111111"/>
          <w:sz w:val="28"/>
          <w:sz w:val="28"/>
          <w:szCs w:val="28"/>
          <w:rtl w:val="true"/>
          <w:lang w:bidi="ar-SA"/>
        </w:rPr>
        <w:t>، واللوامع ، وغيرها ، والمستفيضة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ألفينّ رجلا له ميت ليلا فانتظر به الصبح ، ولا رجلا مات له ميت نهارا فانتظر به الليل ، لا تنتظروا بموتاكم طلوع الشمس ولا غروبها ، عجّلوا بهم إلى مضاجعهم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الميت أول النهار فلا يقيل إلاّ في قبره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الميت فخذ في جهازه وعجّله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كرامة الميت تعجيله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يقدّم تجهيزه على الصلاة المكتوبة ما لم يضيّق وقتها ، لخبر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الصلاة على الجنازة في وقت مكتوبة فبأيهما أبدأ؟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 بالميّت إلى قبره إلاّ أن يخاف فوت وقت الفريضة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اشتبه موته بسبب من الأسباب ، ومنها كونه مصعوقا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غشي عليه أو صوّت بصوت شديد أو أصيب صاعقة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غريقا ، أو مبطونا ، أو مهدوما ، أو مسموما ، أو مدخنا ، كما نطقت به الأخبار الآتية ، أو مغمى عليه ، أو أصابه وجع القلب ، أو إفراط الرعب ، أو الغم ، أو الفرح ، أو تناول الأدوية المخدرة ، كما صرّح به جالينوس ، وقد يشتبه في غير تلك الموارد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الصبر إلى أن يعلم موته بأماراته ، تحرّزا عن الإعانة على رفع حياته المستصحبة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المنتن ، لرواية ابن أبي حمزة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للغريق والمصعوق أن يتربّص بهما ثلاثة أيام ، لا يدفن إلاّ أن تجي‌ء منه ريح دلّ على موته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ثلاثة أيام وعدم ظهور أمارات الحياة ، لتصريح الأطبّاء ، ولما ذكر ، ولغيره من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المصعوق والغريق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ينتظر به ثلاثة أيام إلاّ أن يتغيّر قبل ذلك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صحيحة إسحاق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ينتظر بهم ثلاثة أيام إلاّ أن يتغيّروا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 والمصعوق ، والمبطون ، والمهدوم ، والمدخن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المروي في الخصال بتبديل المهدوم بالمسموم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تصيبه الصاعقة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يدفن دون ثلاثة أيام إلاّ أن يتبيّن موته ويستيقن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الأمر بالدفن فيها بعد ثلاثة غير ضائر ، لتبادره من الانتظار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واختصاصها بالخمسة أو أقلّ يجبر بالإجماع المركّب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يكفي اليومان وإن ورد في المصعوق في موثّقة الساباطي </w:t>
      </w:r>
      <w:r>
        <w:rPr>
          <w:rStyle w:val="FootnoteAnchor"/>
          <w:rtl w:val="true"/>
        </w:rPr>
        <w:footnoteReference w:id="414"/>
      </w:r>
      <w:r>
        <w:rPr>
          <w:rFonts w:ascii="Amiri" w:hAnsi="Amiri" w:eastAsia="Amiri" w:cs="Amiri"/>
          <w:color w:val="111111"/>
          <w:sz w:val="28"/>
          <w:sz w:val="28"/>
          <w:szCs w:val="28"/>
          <w:rtl w:val="true"/>
          <w:lang w:bidi="ar-SA"/>
        </w:rPr>
        <w:t xml:space="preserve">، وصرّح في المنتهى بكفايته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 وليلة وإن روي للغريق </w:t>
      </w:r>
      <w:r>
        <w:rPr>
          <w:rStyle w:val="FootnoteAnchor"/>
          <w:rtl w:val="true"/>
        </w:rPr>
        <w:footnoteReference w:id="416"/>
      </w:r>
      <w:r>
        <w:rPr>
          <w:rFonts w:ascii="Amiri" w:hAnsi="Amiri" w:eastAsia="Amiri" w:cs="Amiri"/>
          <w:color w:val="111111"/>
          <w:sz w:val="28"/>
          <w:sz w:val="28"/>
          <w:szCs w:val="28"/>
          <w:rtl w:val="true"/>
          <w:lang w:bidi="ar-SA"/>
        </w:rPr>
        <w:t xml:space="preserve">في الدعائم </w:t>
      </w:r>
      <w:r>
        <w:rPr>
          <w:rStyle w:val="FootnoteAnchor"/>
          <w:rtl w:val="true"/>
        </w:rPr>
        <w:footnoteReference w:id="417"/>
      </w:r>
      <w:r>
        <w:rPr>
          <w:rFonts w:ascii="IRNazanin" w:hAnsi="IRNazanin" w:eastAsia="IRNazanin"/>
          <w:color w:val="111111"/>
          <w:sz w:val="28"/>
          <w:sz w:val="28"/>
          <w:szCs w:val="28"/>
          <w:rtl w:val="true"/>
          <w:lang w:bidi="fa-IR"/>
        </w:rPr>
        <w:t xml:space="preserve">، لمعارضتهما </w:t>
      </w:r>
    </w:p>
    <w:p>
      <w:pPr>
        <w:pStyle w:val="BookText"/>
        <w:rPr/>
      </w:pPr>
      <w:r>
        <w:rPr>
          <w:rFonts w:ascii="Amiri" w:hAnsi="Amiri" w:eastAsia="Amiri" w:cs="Amiri"/>
          <w:color w:val="111111"/>
          <w:sz w:val="28"/>
          <w:sz w:val="28"/>
          <w:szCs w:val="28"/>
          <w:rtl w:val="true"/>
          <w:lang w:bidi="ar-SA"/>
        </w:rPr>
        <w:t>مع ما مرّ ، حيث إنّ الجملة الخبرية في الجميع للوجوب قطعا ، لعدم استحباب الانتظار مع عدم الاشتباه إجماعا ونصّا ، ووجوبه معه كذلك ، ورجحان ما مرّ بالاستصحاب وعمل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جمع </w:t>
      </w:r>
      <w:r>
        <w:rPr>
          <w:rStyle w:val="FootnoteAnchor"/>
          <w:rtl w:val="true"/>
        </w:rPr>
        <w:footnoteReference w:id="418"/>
      </w:r>
      <w:r>
        <w:rPr>
          <w:rFonts w:ascii="Amiri" w:hAnsi="Amiri" w:eastAsia="Amiri" w:cs="Amiri"/>
          <w:color w:val="111111"/>
          <w:sz w:val="28"/>
          <w:sz w:val="28"/>
          <w:szCs w:val="28"/>
          <w:rtl w:val="true"/>
          <w:lang w:bidi="ar-SA"/>
        </w:rPr>
        <w:t xml:space="preserve">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قدميه ، وانخلاع كفّيه من ذراعيه ، وانخساف صدغيه ، وميل أنفه ، وانخلاع جلدة وجهه ، وتقلّص أنثييه إلى فوق مع تدلّي الجلدة ، وزوال النور عن بياض العين ، وسوادها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جالينوس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بنبض عروق بين الأنثيين أو عرق يلي الحالب ، والذكر بعد الغمز الشديد ، أو عرق في بطن المنخر ، أو تحت اللسان ، أو باطن 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الانطباع في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تنافيها أخبار الانتظار ، لأنها مقيّدة بعدم العلم بالموت بأمارة أخرى ، ولا ضير في تعدّد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الكلام في حصول العلم بكلّ ممّا ذكر وإن حصل بالجميع أو الأكثر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بشمول التغيّر المذكور فيها لتلك الأمارات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به إن أريد الجميع أو الظاهرة منها ، إلاّ أنّ المتبادر منه التغيّر في الريح كما في خبر ابن أبي حمزة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المؤمنين بموته بعد تحقّقه ، للنصوص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لأولياء الميت منكم أن يؤذنوا إخوان الميت بموته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يؤذن بها الناس؟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المرسل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النداء العام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الخلاف من أنه لا نصّ في النداء </w:t>
      </w:r>
      <w:r>
        <w:rPr>
          <w:rStyle w:val="FootnoteAnchor"/>
          <w:rtl w:val="true"/>
        </w:rPr>
        <w:footnoteReference w:id="425"/>
      </w:r>
      <w:r>
        <w:rPr>
          <w:rFonts w:ascii="Amiri" w:hAnsi="Amiri" w:eastAsia="Amiri" w:cs="Amiri"/>
          <w:color w:val="111111"/>
          <w:sz w:val="28"/>
          <w:sz w:val="28"/>
          <w:szCs w:val="28"/>
          <w:rtl w:val="true"/>
          <w:lang w:bidi="ar-SA"/>
        </w:rPr>
        <w:t>، إن أراد بالخصوص فكذلك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وإن اختصّت بالأولياء ، والأخيرتان لا تشملان غيرهم أيضا ، لعدم إطلاقهما بالنسبة إلى كل مؤذن إلاّ بواسطة أصالة عدم المطلوبية من خاص المندفعة بالأولى ، إلاّ أنّ عمومات الإعانة على البر الذي هو في المقام ما يترتّب على الحضور من الثواب الجزيل على السنن الموظّفة فيه </w:t>
      </w:r>
      <w:r>
        <w:rPr>
          <w:rStyle w:val="FootnoteAnchor"/>
          <w:rtl w:val="true"/>
        </w:rPr>
        <w:footnoteReference w:id="426"/>
      </w:r>
      <w:r>
        <w:rPr>
          <w:rFonts w:ascii="Amiri" w:hAnsi="Amiri" w:eastAsia="Amiri" w:cs="Amiri"/>
          <w:color w:val="111111"/>
          <w:sz w:val="28"/>
          <w:sz w:val="28"/>
          <w:szCs w:val="28"/>
          <w:rtl w:val="true"/>
          <w:lang w:bidi="ar-SA"/>
        </w:rPr>
        <w:t>تكفي في التعميم لغيرهم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الاختصاص في الأولى ، لجواز أفضلية بعض أفراد المستحب ، فيكون مستحبا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الجعفي من كراهة النعي ، إلاّ أن يرسل صاحب المصيبة إلى من يختص به </w:t>
      </w:r>
      <w:r>
        <w:rPr>
          <w:rStyle w:val="FootnoteAnchor"/>
          <w:rtl w:val="true"/>
        </w:rPr>
        <w:footnoteReference w:id="427"/>
      </w:r>
      <w:r>
        <w:rPr>
          <w:rFonts w:ascii="Amiri" w:hAnsi="Amiri" w:eastAsia="Amiri" w:cs="Amiri"/>
          <w:color w:val="111111"/>
          <w:sz w:val="28"/>
          <w:sz w:val="28"/>
          <w:szCs w:val="28"/>
          <w:rtl w:val="true"/>
          <w:lang w:bidi="ar-SA"/>
        </w:rPr>
        <w:t>، ليس بجيّد ، مع أنّ مأخذ الكراهة غير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يحضره جنب أو حائض ، لنقل الإجماع في المعتبر </w:t>
      </w:r>
      <w:r>
        <w:rPr>
          <w:rStyle w:val="FootnoteAnchor"/>
          <w:rtl w:val="true"/>
        </w:rPr>
        <w:footnoteReference w:id="430"/>
      </w:r>
      <w:r>
        <w:rPr>
          <w:rFonts w:ascii="IRNazanin" w:hAnsi="IRNazanin" w:eastAsia="IRNazanin"/>
          <w:color w:val="111111"/>
          <w:sz w:val="28"/>
          <w:sz w:val="28"/>
          <w:szCs w:val="28"/>
          <w:rtl w:val="true"/>
          <w:lang w:bidi="fa-IR"/>
        </w:rPr>
        <w:t>، والأخبار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خافوا عليه وقرب ذلك فلتنحّ عنه ، فإن الملائكة تتأذى بذلك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يحضر الحائض والجنب عند التلقين ، فإن الملائكة تتأذّى بهما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التعليل وظاهر إطلاق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لتلقين الاحتضار والدفن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خصوص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تحضر الحائض ولا الجنب عند التلقين ، فإنّ الملائكة تتأذّى بهما ، ولا بأس بأن يليا غسله ، ويصلّيا عليه ، ولا ينزلا قبره ، فإن حضرا ولم يجدا من ذلك بدّا فليخرجا إذا قرب خروج نفسه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تحضر الحائض الميت ، ولا الجنب عند التلقين ، ولا بأس أن يليا غسله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للمرأة الحائض ولا الجنب الحضور عند تلقين الميت ، لأنّ الملائكة تتأذّى بهما ولا يجوز لهما إدخال الميّت قبره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ونفي الجواز في الأخير محمول على تأكّد الكراهة ، لضعف الرواية بمخالفتها عمل جلّ الطائفة ، وإن أفتى بهذه العبارة في الفقيه ، والمقنع ، والهداية </w:t>
      </w:r>
      <w:r>
        <w:rPr>
          <w:rStyle w:val="FootnoteAnchor"/>
          <w:rtl w:val="true"/>
        </w:rPr>
        <w:footnoteReference w:id="436"/>
      </w:r>
      <w:r>
        <w:rPr>
          <w:rFonts w:ascii="Amiri" w:hAnsi="Amiri" w:eastAsia="Amiri" w:cs="Amiri"/>
          <w:color w:val="111111"/>
          <w:sz w:val="28"/>
          <w:sz w:val="28"/>
          <w:szCs w:val="28"/>
          <w:rtl w:val="true"/>
          <w:lang w:bidi="ar-SA"/>
        </w:rPr>
        <w:t>، ولكنه لا يخرجها عن الشذوذ ، بل لا ينافي ما هو الظاهر من انعقاد الإجماع على نفي الحرمة ، ولأجله يحمل الأمر في الصحيح والرضوي على الاستحباب أيضا ، والاحتياط لا ينبغي أن يترك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الكراهة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 الاستصحاب ، </w:t>
      </w:r>
    </w:p>
    <w:p>
      <w:pPr>
        <w:pStyle w:val="BookText"/>
        <w:rPr/>
      </w:pPr>
      <w:r>
        <w:rPr>
          <w:rFonts w:ascii="Amiri" w:hAnsi="Amiri" w:eastAsia="Amiri" w:cs="Amiri"/>
          <w:color w:val="111111"/>
          <w:sz w:val="28"/>
          <w:sz w:val="28"/>
          <w:szCs w:val="28"/>
          <w:rtl w:val="true"/>
          <w:lang w:bidi="ar-SA"/>
        </w:rPr>
        <w:t>لاختصاص الروايات بحال القرب من الموت أو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المستفاد من تأذّي الملائكة المطلوب حضور أهل الرحمة منهم بعد الموت أيضا بقاؤها بعده ، كما احتمله في البحار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تزول في الحالين بانقطاع الدم عن الحائض قبل الغسل ، أو بالتيمّم بدل الغسل عند تعذّره عنهما؟ فيه إشكال ، ومقتضى صدق الاسم والاستصحاب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يترك وحده ، لرواية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ميت يموت ويترك وحده إلاّ لعب الشيطان في جوفه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تدعنّ ميتك وحده ، فإنّ الشيطان يعبث به في جوفه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منهما الرضوي </w:t>
      </w:r>
      <w:r>
        <w:rPr>
          <w:rStyle w:val="FootnoteAnchor"/>
          <w:rtl w:val="true"/>
        </w:rPr>
        <w:footnoteReference w:id="439"/>
      </w:r>
      <w:r>
        <w:rPr>
          <w:rFonts w:ascii="Amiri" w:hAnsi="Amiri" w:eastAsia="Amiri" w:cs="Amiri"/>
          <w:color w:val="111111"/>
          <w:sz w:val="28"/>
          <w:sz w:val="28"/>
          <w:szCs w:val="28"/>
          <w:rtl w:val="true"/>
          <w:lang w:bidi="ar-SA"/>
        </w:rPr>
        <w:t xml:space="preserve">، والمروي في العلل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في البحار على حالة الاحتضار ، وعبث الشيطان على وسوسته وإضلاله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داعي له ، بل إبقاؤه على ظاهره ممكن ، كما نقل أنه ترك ميت وحده ليلا إلى الصباح فوجدوه قد جفّ بعض أعضائه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من ثقة أنه غسّل ميت وكفن في أول الليل وترك في بيت وحده وأغلق الباب عليه ليدفن في النهار ، فإذا أصبحوا وفتحوا الباب ، وجدوه يدور في البيت ميتا ، فإذا دخلوه وأخذوا في قراءة القرآن وقع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أحكام الاحتضار والتجهيز الواجبة والمندوبة ، بل أحكام الميت بأسرها فرض أو ندب كفاية تعلّق الغرض بإدخالها في الوجود ، ولم تطلب من كلّ واحد بعينه ، ولا من واحد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بعد الإجماع المحقّق والمحكي من غير واحد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خطابات أحكامه أو إطلاقها من غير تخصيص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في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أزيد من الأولوية ، ولو أفاده لاختص بما أفاده ، ولا يسري إلى سائر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سقوطها بفعل البعض بالضرورة الدينية تنتفي العينية ، وتثبت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الاختصاص بالولي إلاّ مع عدمه أو عدم تمكّنه أو إخلاله مع فقد من يجبره ، نظرا إلى تخصيصه بالخطاب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مشايخنا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ولو سلّم لاختص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أولوية الولي أو من يأذن له في جميع أحكامه بمعنى أفضلية قيامه بها ، كما عن النهاية ، والمبسوط ، والمهذّب ، والوسيلة </w:t>
      </w:r>
      <w:r>
        <w:rPr>
          <w:rStyle w:val="FootnoteAnchor"/>
          <w:rtl w:val="true"/>
        </w:rPr>
        <w:footnoteReference w:id="444"/>
      </w:r>
      <w:r>
        <w:rPr>
          <w:rFonts w:ascii="Amiri" w:hAnsi="Amiri" w:eastAsia="Amiri" w:cs="Amiri"/>
          <w:color w:val="111111"/>
          <w:sz w:val="28"/>
          <w:sz w:val="28"/>
          <w:szCs w:val="28"/>
          <w:rtl w:val="true"/>
          <w:lang w:bidi="ar-SA"/>
        </w:rPr>
        <w:t xml:space="preserve">، والمعتبر ،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التلقين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w:t>
      </w:r>
      <w:r>
        <w:rPr>
          <w:rStyle w:val="FootnoteAnchor"/>
          <w:rtl w:val="true"/>
        </w:rPr>
        <w:footnoteReference w:id="445"/>
      </w:r>
      <w:r>
        <w:rPr>
          <w:rFonts w:ascii="Amiri" w:hAnsi="Amiri" w:eastAsia="Amiri" w:cs="Amiri"/>
          <w:color w:val="111111"/>
          <w:sz w:val="28"/>
          <w:sz w:val="28"/>
          <w:szCs w:val="28"/>
          <w:rtl w:val="true"/>
          <w:lang w:bidi="ar-SA"/>
        </w:rPr>
        <w:t>، لفتوى هؤلاء ، وإن خالف بعض في بعض الأحكام ، كما يأتي كلّ في مورده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المعتبر في السقوط عمّن علم بالموت حصول العلم بقيام الغير به ولو بالقرائن الحالية ، دون الظنّ ، وفاقا للمدارك </w:t>
      </w:r>
      <w:r>
        <w:rPr>
          <w:rStyle w:val="FootnoteAnchor"/>
          <w:rtl w:val="true"/>
        </w:rPr>
        <w:footnoteReference w:id="446"/>
      </w:r>
      <w:r>
        <w:rPr>
          <w:rFonts w:ascii="Amiri" w:hAnsi="Amiri" w:eastAsia="Amiri" w:cs="Amiri"/>
          <w:color w:val="111111"/>
          <w:sz w:val="28"/>
          <w:sz w:val="28"/>
          <w:szCs w:val="28"/>
          <w:rtl w:val="true"/>
          <w:lang w:bidi="ar-SA"/>
        </w:rPr>
        <w:t xml:space="preserve">، وجدّه </w:t>
      </w:r>
      <w:r>
        <w:rPr>
          <w:rStyle w:val="FootnoteAnchor"/>
          <w:rtl w:val="true"/>
        </w:rPr>
        <w:footnoteReference w:id="447"/>
      </w:r>
      <w:r>
        <w:rPr>
          <w:rFonts w:ascii="Amiri" w:hAnsi="Amiri" w:eastAsia="Amiri" w:cs="Amiri"/>
          <w:color w:val="111111"/>
          <w:sz w:val="28"/>
          <w:sz w:val="28"/>
          <w:szCs w:val="28"/>
          <w:rtl w:val="true"/>
          <w:lang w:bidi="ar-SA"/>
        </w:rPr>
        <w:t xml:space="preserve">وأكثر الثالثة </w:t>
      </w:r>
      <w:r>
        <w:rPr>
          <w:rStyle w:val="FootnoteAnchor"/>
          <w:rtl w:val="true"/>
        </w:rPr>
        <w:footnoteReference w:id="448"/>
      </w:r>
      <w:r>
        <w:rPr>
          <w:rFonts w:ascii="Amiri" w:hAnsi="Amiri" w:eastAsia="Amiri" w:cs="Amiri"/>
          <w:color w:val="111111"/>
          <w:sz w:val="28"/>
          <w:sz w:val="28"/>
          <w:szCs w:val="28"/>
          <w:rtl w:val="true"/>
          <w:lang w:bidi="ar-SA"/>
        </w:rPr>
        <w:t xml:space="preserve">، لأنّ التحقيق أنّ الخطاب الكفائي خطاب عيني متعلّق بكلّ واحد مشروط بعدم </w:t>
      </w:r>
    </w:p>
    <w:p>
      <w:pPr>
        <w:pStyle w:val="BookText"/>
        <w:rPr/>
      </w:pPr>
      <w:r>
        <w:rPr>
          <w:rFonts w:ascii="Amiri" w:hAnsi="Amiri" w:eastAsia="Amiri" w:cs="Amiri"/>
          <w:color w:val="111111"/>
          <w:sz w:val="28"/>
          <w:sz w:val="28"/>
          <w:szCs w:val="28"/>
          <w:rtl w:val="true"/>
          <w:lang w:bidi="ar-SA"/>
        </w:rPr>
        <w:t xml:space="preserve">قيام الغير به ،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أصالة عدم قيام الغير ، واستصحاب بقاء الخطاب ، وقاعدة وجوب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بقيام الغير ، فما لم يعلم لم يسقط ، إلاّ إذا ثبت اعتبار ظنّ ، وهو في المقام غير ثابت ولو كان حاصلا من شهادة العدلين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لجمع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Style w:val="FootnoteAnchor"/>
          <w:rtl w:val="true"/>
        </w:rPr>
        <w:footnoteReference w:id="449"/>
      </w:r>
      <w:r>
        <w:rPr>
          <w:rFonts w:ascii="Amiri" w:hAnsi="Amiri" w:eastAsia="Amiri" w:cs="Amiri"/>
          <w:color w:val="111111"/>
          <w:sz w:val="28"/>
          <w:sz w:val="28"/>
          <w:szCs w:val="28"/>
          <w:rtl w:val="true"/>
          <w:lang w:bidi="ar-SA"/>
        </w:rPr>
        <w:t>، تمسّكا بامتناع تحصيل العلم بفعل الغير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تضيّق المطلوب في المورد حتى يجب تحصيل العلم أوّلا بقيام الغير ، بل موسّع يكفي حصوله بعد بالمشاهدة أو إخبار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حصوله ابتداء أيضا بالعلم بطريقة المسلمين في الأعصار والأمصار ، فإنّ الظاهر حصول العلم العادي في غالب البلاد الإسلامية بقيام جماعة بذلك ، وإن لم يشاهد ولم يخبر به ، فلا يجب في كلّ بلد في كل ميت حضور الجميع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عدم حصوله لبعض الأشخاص في بعض الأموات في بعض الأماكن ، فيجب على مثله الحضور للقيام بالواجبات ، ويستحب للمستحبات</w:t>
      </w:r>
      <w:r>
        <w:rPr>
          <w:rFonts w:eastAsia="Amiri" w:cs="Amiri" w:ascii="Amiri" w:hAnsi="Amiri"/>
          <w:color w:val="111111"/>
          <w:sz w:val="28"/>
          <w:szCs w:val="28"/>
          <w:rtl w:val="true"/>
          <w:lang w:bidi="ar-SA"/>
        </w:rPr>
        <w:t xml:space="preserve">. </w:t>
      </w:r>
      <w:bookmarkStart w:id="52" w:name="pg11616_94540"/>
    </w:p>
    <w:p>
      <w:pPr>
        <w:pStyle w:val="Heading3"/>
        <w:numPr>
          <w:ilvl w:val="2"/>
          <w:numId w:val="1"/>
        </w:numPr>
        <w:rPr/>
      </w:pPr>
      <w:bookmarkStart w:id="53" w:name="__RefHeading___Toc5588087_73709187"/>
      <w:bookmarkStart w:id="54" w:name="_Toc21"/>
      <w:bookmarkEnd w:id="52"/>
      <w:bookmarkEnd w:id="53"/>
      <w:r>
        <w:rPr>
          <w:rtl w:val="true"/>
        </w:rPr>
        <w:t xml:space="preserve">البحث الثاني </w:t>
      </w:r>
      <w:r>
        <w:rPr>
          <w:rtl w:val="true"/>
        </w:rPr>
        <w:t xml:space="preserve">: </w:t>
      </w:r>
      <w:r>
        <w:rPr>
          <w:rtl w:val="true"/>
        </w:rPr>
        <w:t>في التغسيل</w:t>
      </w:r>
      <w:bookmarkEnd w:id="54"/>
    </w:p>
    <w:p>
      <w:pPr>
        <w:pStyle w:val="Heading4"/>
        <w:numPr>
          <w:ilvl w:val="3"/>
          <w:numId w:val="1"/>
        </w:numPr>
        <w:rPr/>
      </w:pPr>
      <w:bookmarkStart w:id="55" w:name="__RefHeading___Toc5588089_73709187"/>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والكلام فيه إمّا في الغاسل ، أو المغسول ، أو الغسل ، فهاهنا ثلاثة فصول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5588091_73709187"/>
      <w:bookmarkStart w:id="58" w:name="_Toc23"/>
      <w:bookmarkEnd w:id="57"/>
      <w:r>
        <w:rPr>
          <w:rtl w:val="true"/>
        </w:rPr>
        <w:t xml:space="preserve">الفصل الأول </w:t>
      </w:r>
      <w:r>
        <w:rPr>
          <w:rtl w:val="true"/>
        </w:rPr>
        <w:t xml:space="preserve">: </w:t>
      </w:r>
      <w:r>
        <w:rPr>
          <w:rtl w:val="true"/>
        </w:rPr>
        <w:t>في الغاسل</w:t>
      </w:r>
      <w:bookmarkEnd w:id="5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فرض كفائي ، فيجب على كلّ مكلّف بشرط عدم قيام الغير به ، على ما هو المحقّق </w:t>
      </w:r>
      <w:r>
        <w:rPr>
          <w:rStyle w:val="FootnoteAnchor"/>
          <w:rtl w:val="true"/>
        </w:rPr>
        <w:footnoteReference w:id="450"/>
      </w:r>
      <w:r>
        <w:rPr>
          <w:rFonts w:ascii="Amiri" w:hAnsi="Amiri" w:eastAsia="Amiri" w:cs="Amiri"/>
          <w:color w:val="111111"/>
          <w:sz w:val="28"/>
          <w:sz w:val="28"/>
          <w:szCs w:val="28"/>
          <w:rtl w:val="true"/>
          <w:lang w:bidi="ar-SA"/>
        </w:rPr>
        <w:t>في معنى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فبالضرورة والأخبار المتكثّرة المعصومية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تعيينه </w:t>
      </w:r>
      <w:r>
        <w:rPr>
          <w:rStyle w:val="FootnoteAnchor"/>
          <w:rtl w:val="true"/>
        </w:rPr>
        <w:footnoteReference w:id="451"/>
      </w:r>
      <w:r>
        <w:rPr>
          <w:rFonts w:ascii="Amiri" w:hAnsi="Amiri" w:eastAsia="Amiri" w:cs="Amiri"/>
          <w:color w:val="111111"/>
          <w:sz w:val="28"/>
          <w:sz w:val="28"/>
          <w:szCs w:val="28"/>
          <w:rtl w:val="true"/>
          <w:lang w:bidi="ar-SA"/>
        </w:rPr>
        <w:t xml:space="preserve">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فللإجماع المحقّق والمحكي في كلام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Style w:val="FootnoteAnchor"/>
          <w:rtl w:val="true"/>
        </w:rPr>
        <w:footnoteReference w:id="452"/>
      </w:r>
      <w:r>
        <w:rPr>
          <w:rFonts w:ascii="IRNazanin" w:hAnsi="IRNazanin" w:eastAsia="IRNazanin"/>
          <w:color w:val="111111"/>
          <w:sz w:val="28"/>
          <w:sz w:val="28"/>
          <w:szCs w:val="28"/>
          <w:rtl w:val="true"/>
          <w:lang w:bidi="fa-IR"/>
        </w:rPr>
        <w:t>، واللوامع ، والأصل والإطلاقات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رواية سعد الإسكاف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غسّل مؤمنا فقال إذا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غفر اللّه له ذنوب سنة إلاّ الكبائر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سعد بن طريف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غسّل مؤمنا فأدّى فيه الأمانة غفر له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تجهيز الميت فرض واجب على الحي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كفائيته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مطلوبية غير واحد منها بديهة ، وللإجماعين ،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أولى الناس بالميت أو من يأمره أولى بغسله ، وفاقا لمن جعله أولى بجميع أحكامه عموما </w:t>
      </w:r>
      <w:r>
        <w:rPr>
          <w:rStyle w:val="FootnoteAnchor"/>
          <w:rtl w:val="true"/>
        </w:rPr>
        <w:footnoteReference w:id="456"/>
      </w:r>
      <w:r>
        <w:rPr>
          <w:rFonts w:ascii="Amiri" w:hAnsi="Amiri" w:eastAsia="Amiri" w:cs="Amiri"/>
          <w:color w:val="111111"/>
          <w:sz w:val="28"/>
          <w:sz w:val="28"/>
          <w:szCs w:val="28"/>
          <w:rtl w:val="true"/>
          <w:lang w:bidi="ar-SA"/>
        </w:rPr>
        <w:t xml:space="preserve">، وللهداية ، والشرائع ، والقواعد ، والمنتهى </w:t>
      </w:r>
      <w:r>
        <w:rPr>
          <w:rStyle w:val="FootnoteAnchor"/>
          <w:rtl w:val="true"/>
        </w:rPr>
        <w:footnoteReference w:id="457"/>
      </w:r>
      <w:r>
        <w:rPr>
          <w:rFonts w:ascii="Amiri" w:hAnsi="Amiri" w:eastAsia="Amiri" w:cs="Amiri"/>
          <w:color w:val="111111"/>
          <w:sz w:val="28"/>
          <w:sz w:val="28"/>
          <w:szCs w:val="28"/>
          <w:rtl w:val="true"/>
          <w:lang w:bidi="ar-SA"/>
        </w:rPr>
        <w:t xml:space="preserve">في خصوص الغسل أيضا ، لمرسلة الفقيه ورواية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الميت أولى الناس به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يأمره الولي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لظاهر من لم يذكر الغسل أو ما يعمه في الأولوية كالمقنعة والخلاف ، فلم يذكراها إلاّ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والمراسم ، وجمل السيد </w:t>
      </w:r>
      <w:r>
        <w:rPr>
          <w:rStyle w:val="FootnoteAnchor"/>
          <w:rtl w:val="true"/>
        </w:rPr>
        <w:footnoteReference w:id="459"/>
      </w:r>
      <w:r>
        <w:rPr>
          <w:rFonts w:ascii="Amiri" w:hAnsi="Amiri" w:eastAsia="Amiri" w:cs="Amiri"/>
          <w:color w:val="111111"/>
          <w:sz w:val="28"/>
          <w:sz w:val="28"/>
          <w:szCs w:val="28"/>
          <w:rtl w:val="true"/>
          <w:lang w:bidi="ar-SA"/>
        </w:rPr>
        <w:t>، والإصباح ، فزادوا عليها نزول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الشيخ ، والنافع ، والتلخيص ، والتبصرة </w:t>
      </w:r>
      <w:r>
        <w:rPr>
          <w:rStyle w:val="FootnoteAnchor"/>
          <w:rtl w:val="true"/>
        </w:rPr>
        <w:footnoteReference w:id="460"/>
      </w:r>
      <w:r>
        <w:rPr>
          <w:rFonts w:ascii="Amiri" w:hAnsi="Amiri" w:eastAsia="Amiri" w:cs="Amiri"/>
          <w:color w:val="111111"/>
          <w:sz w:val="28"/>
          <w:sz w:val="28"/>
          <w:szCs w:val="28"/>
          <w:rtl w:val="true"/>
          <w:lang w:bidi="ar-SA"/>
        </w:rPr>
        <w:t>، فزادوا عليها التلقين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والاقتصاد والمصباح ، ومختصره ، ونهاية الإحكام </w:t>
      </w:r>
      <w:r>
        <w:rPr>
          <w:rStyle w:val="FootnoteAnchor"/>
          <w:rtl w:val="true"/>
        </w:rPr>
        <w:footnoteReference w:id="461"/>
      </w:r>
      <w:r>
        <w:rPr>
          <w:rFonts w:ascii="Amiri" w:hAnsi="Amiri" w:eastAsia="Amiri" w:cs="Amiri"/>
          <w:color w:val="111111"/>
          <w:sz w:val="28"/>
          <w:sz w:val="28"/>
          <w:szCs w:val="28"/>
          <w:rtl w:val="true"/>
          <w:lang w:bidi="ar-SA"/>
        </w:rPr>
        <w:t>، فلم يذكروا إلاّ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w:t>
      </w:r>
      <w:r>
        <w:rPr>
          <w:rStyle w:val="FootnoteAnchor"/>
          <w:rtl w:val="true"/>
        </w:rPr>
        <w:footnoteReference w:id="462"/>
      </w:r>
      <w:r>
        <w:rPr>
          <w:rFonts w:ascii="Amiri" w:hAnsi="Amiri" w:eastAsia="Amiri" w:cs="Amiri"/>
          <w:color w:val="111111"/>
          <w:sz w:val="28"/>
          <w:sz w:val="28"/>
          <w:szCs w:val="28"/>
          <w:rtl w:val="true"/>
          <w:lang w:bidi="ar-SA"/>
        </w:rPr>
        <w:t>، فلم يذكر أولوية أصلا ، ولعلّه لضعف الروايتين ، الممنوع ، ولو سلّم فلا يضرّ في إثبات الاستحباب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الأولوية هنا بمعنى الأفضلية ، فلو فعله غيره ولو بدون إذنه بل مع منعه لم يرتكب حراما ، ولا ترك واجبا ، وكان الغسل صحيحا ، إلاّ أنه ترك الأفضل ، لعدم دلالة الروايتين على الأزيد من الرجحان ، لا بمعنى وجوب تقديمه وإن </w:t>
      </w:r>
    </w:p>
    <w:p>
      <w:pPr>
        <w:pStyle w:val="BookText"/>
        <w:rPr/>
      </w:pPr>
      <w:r>
        <w:rPr>
          <w:rFonts w:ascii="Amiri" w:hAnsi="Amiri" w:eastAsia="Amiri" w:cs="Amiri"/>
          <w:color w:val="111111"/>
          <w:sz w:val="28"/>
          <w:sz w:val="28"/>
          <w:szCs w:val="28"/>
          <w:rtl w:val="true"/>
          <w:lang w:bidi="ar-SA"/>
        </w:rPr>
        <w:t>صح لو فعله غيره ، حيث إنّ الواجب خارج عن حقيقة الفعل ، وليس جزءا له ولا شرطه ، ولا بمعنى وجوبه مع عدم صحته عن الغير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وعدم الدليل ، مع منافاته لما مرّ من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بأولى الناس به أولاهم بميراثه ، كما عليه ظاهر الإجماع في شرح القواعد للكركي </w:t>
      </w:r>
      <w:r>
        <w:rPr>
          <w:rStyle w:val="FootnoteAnchor"/>
          <w:rtl w:val="true"/>
        </w:rPr>
        <w:footnoteReference w:id="463"/>
      </w:r>
      <w:r>
        <w:rPr>
          <w:rFonts w:ascii="Amiri" w:hAnsi="Amiri" w:eastAsia="Amiri" w:cs="Amiri"/>
          <w:color w:val="111111"/>
          <w:sz w:val="28"/>
          <w:sz w:val="28"/>
          <w:szCs w:val="28"/>
          <w:rtl w:val="true"/>
          <w:lang w:bidi="ar-SA"/>
        </w:rPr>
        <w:t xml:space="preserve">، وصريحه في اللوامع ، ونفي الخلاف في الحدائق في المسألة </w:t>
      </w:r>
      <w:r>
        <w:rPr>
          <w:rStyle w:val="FootnoteAnchor"/>
          <w:rtl w:val="true"/>
        </w:rPr>
        <w:footnoteReference w:id="464"/>
      </w:r>
      <w:r>
        <w:rPr>
          <w:rFonts w:ascii="Amiri" w:hAnsi="Amiri" w:eastAsia="Amiri" w:cs="Amiri"/>
          <w:color w:val="111111"/>
          <w:sz w:val="28"/>
          <w:sz w:val="28"/>
          <w:szCs w:val="28"/>
          <w:rtl w:val="true"/>
          <w:lang w:bidi="ar-SA"/>
        </w:rPr>
        <w:t xml:space="preserve">، والنسبة إلى علمائنا في المنتهى </w:t>
      </w:r>
      <w:r>
        <w:rPr>
          <w:rStyle w:val="FootnoteAnchor"/>
          <w:rtl w:val="true"/>
        </w:rPr>
        <w:footnoteReference w:id="465"/>
      </w:r>
      <w:r>
        <w:rPr>
          <w:rFonts w:ascii="Amiri" w:hAnsi="Amiri" w:eastAsia="Amiri" w:cs="Amiri"/>
          <w:color w:val="111111"/>
          <w:sz w:val="28"/>
          <w:sz w:val="28"/>
          <w:szCs w:val="28"/>
          <w:rtl w:val="true"/>
          <w:lang w:bidi="ar-SA"/>
        </w:rPr>
        <w:t xml:space="preserve">وغيره </w:t>
      </w:r>
      <w:r>
        <w:rPr>
          <w:rStyle w:val="FootnoteAnchor"/>
          <w:rtl w:val="true"/>
        </w:rPr>
        <w:footnoteReference w:id="466"/>
      </w:r>
      <w:r>
        <w:rPr>
          <w:rFonts w:ascii="Amiri" w:hAnsi="Amiri" w:eastAsia="Amiri" w:cs="Amiri"/>
          <w:color w:val="111111"/>
          <w:sz w:val="28"/>
          <w:sz w:val="28"/>
          <w:szCs w:val="28"/>
          <w:rtl w:val="true"/>
          <w:lang w:bidi="ar-SA"/>
        </w:rPr>
        <w:t>في الأولى بالصلاة عليه المتّحد معه في المقام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يرشد تتبّع الأخبار كما يظهر لك مع سائر ما يتعلّق بذلك في صلاة الميت ، مع أنّ كلّ ما فسّر به الأولى بل يصحّ أن يفسّر يتحقّق في الأولى بالميراث ، فأولويته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بتقديم الأولى بالميراث أنّ من يرث أولى ممّن لا يرث ، كالطبقة الثانية مع وجود أحد من الاولى ، والثالثة مع أحد من الثانية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انحصر أهل المتقدمة بواحد اختص به ، وإلاّ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أولى من الأنثى ، والأب من الابن ، وهو من غيره ، ويعلم تفصيل المقام في بحث الصلاة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الزوج أولى بزوجته من جميع الأقارب في جميع الأحكام ، بالإجماع المحقّق ، والمحكي </w:t>
      </w:r>
      <w:r>
        <w:rPr>
          <w:rStyle w:val="FootnoteAnchor"/>
          <w:rtl w:val="true"/>
        </w:rPr>
        <w:footnoteReference w:id="467"/>
      </w:r>
      <w:r>
        <w:rPr>
          <w:rFonts w:ascii="Amiri" w:hAnsi="Amiri" w:eastAsia="Amiri" w:cs="Amiri"/>
          <w:color w:val="111111"/>
          <w:sz w:val="28"/>
          <w:sz w:val="28"/>
          <w:szCs w:val="28"/>
          <w:rtl w:val="true"/>
          <w:lang w:bidi="ar-SA"/>
        </w:rPr>
        <w:t xml:space="preserve">مستفيضا ، لموثّقة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 أحقّ بالمرأة حتى يضعها في قبرها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من أحقّ بالصلاة عليها؟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الزوج أحقّ من الأب والولد والأخ؟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ويغسّلها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يخالفه بإثبات أولوية الأخ عليه في الصلاة من الأخبار </w:t>
      </w:r>
      <w:r>
        <w:rPr>
          <w:rStyle w:val="FootnoteAnchor"/>
          <w:rtl w:val="true"/>
        </w:rPr>
        <w:footnoteReference w:id="470"/>
      </w:r>
      <w:r>
        <w:rPr>
          <w:rFonts w:ascii="Amiri" w:hAnsi="Amiri" w:eastAsia="Amiri" w:cs="Amiri"/>
          <w:color w:val="111111"/>
          <w:sz w:val="28"/>
          <w:sz w:val="28"/>
          <w:szCs w:val="28"/>
          <w:rtl w:val="true"/>
          <w:lang w:bidi="ar-SA"/>
        </w:rPr>
        <w:t xml:space="preserve">شاذّ متروك ، فلا يعارض ما مرّ ، مع أنّها للعامّة موافقة </w:t>
      </w:r>
      <w:r>
        <w:rPr>
          <w:rStyle w:val="FootnoteAnchor"/>
          <w:rtl w:val="true"/>
        </w:rPr>
        <w:footnoteReference w:id="471"/>
      </w:r>
      <w:r>
        <w:rPr>
          <w:rFonts w:ascii="Amiri" w:hAnsi="Amiri" w:eastAsia="Amiri" w:cs="Amiri"/>
          <w:color w:val="111111"/>
          <w:sz w:val="28"/>
          <w:sz w:val="28"/>
          <w:szCs w:val="28"/>
          <w:rtl w:val="true"/>
          <w:lang w:bidi="ar-SA"/>
        </w:rPr>
        <w:t xml:space="preserve">، كما ذكره شيخ الطائفة </w:t>
      </w:r>
      <w:r>
        <w:rPr>
          <w:rStyle w:val="FootnoteAnchor"/>
          <w:rtl w:val="true"/>
        </w:rPr>
        <w:footnoteReference w:id="472"/>
      </w:r>
      <w:r>
        <w:rPr>
          <w:rFonts w:ascii="Amiri" w:hAnsi="Amiri" w:eastAsia="Amiri" w:cs="Amiri"/>
          <w:color w:val="111111"/>
          <w:sz w:val="28"/>
          <w:sz w:val="28"/>
          <w:szCs w:val="28"/>
          <w:rtl w:val="true"/>
          <w:lang w:bidi="ar-SA"/>
        </w:rPr>
        <w:t>وغيره ، فعلى التقية 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الأصل واختصاص المستند بالزوج اختصاص الحكم به ، دون الزوجة ، كما صرّح به جماعة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قول بإلحاقها به لوجه ضعيف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الدائم والمتمتّع بها ، ولا بين الحرّة والمملوكة ،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إطلاق الزوج بالنسبة إلى المتمتّع بها حقيقة كلام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غير المحارم والصبي والصبية المماثلة في الذكورة والأنوثة بين الغاسل والمغسول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فقده يسقط الغسل على الأشهر الأظهر ، بل عليه الإجماع عن المعتبر والتذكرة </w:t>
      </w:r>
      <w:r>
        <w:rPr>
          <w:rStyle w:val="FootnoteAnchor"/>
          <w:rtl w:val="true"/>
        </w:rPr>
        <w:footnoteReference w:id="475"/>
      </w:r>
      <w:r>
        <w:rPr>
          <w:rFonts w:ascii="Amiri" w:hAnsi="Amiri" w:eastAsia="Amiri" w:cs="Amiri"/>
          <w:color w:val="111111"/>
          <w:sz w:val="28"/>
          <w:sz w:val="28"/>
          <w:szCs w:val="28"/>
          <w:rtl w:val="true"/>
          <w:lang w:bidi="ar-SA"/>
        </w:rPr>
        <w:t xml:space="preserve">، وعن الخلاف أيضا في السقوط عن المرأة </w:t>
      </w:r>
      <w:r>
        <w:rPr>
          <w:rStyle w:val="FootnoteAnchor"/>
          <w:rtl w:val="true"/>
        </w:rPr>
        <w:footnoteReference w:id="476"/>
      </w:r>
      <w:r>
        <w:rPr>
          <w:rFonts w:ascii="Amiri" w:hAnsi="Amiri" w:eastAsia="Amiri" w:cs="Amiri"/>
          <w:color w:val="111111"/>
          <w:sz w:val="28"/>
          <w:sz w:val="28"/>
          <w:szCs w:val="28"/>
          <w:rtl w:val="true"/>
          <w:lang w:bidi="ar-SA"/>
        </w:rPr>
        <w:t xml:space="preserve">، وإليه ذهب الصدوقان ، ونقله في الفقيه عن شيخه محمد بن الحسن </w:t>
      </w:r>
      <w:r>
        <w:rPr>
          <w:rStyle w:val="FootnoteAnchor"/>
          <w:rtl w:val="true"/>
        </w:rPr>
        <w:footnoteReference w:id="477"/>
      </w:r>
      <w:r>
        <w:rPr>
          <w:rFonts w:ascii="IRNazanin" w:hAnsi="IRNazanin" w:eastAsia="IRNazanin"/>
          <w:color w:val="111111"/>
          <w:sz w:val="28"/>
          <w:sz w:val="28"/>
          <w:szCs w:val="28"/>
          <w:rtl w:val="true"/>
          <w:lang w:bidi="fa-IR"/>
        </w:rPr>
        <w:t xml:space="preserve">، وهو ظاهر </w:t>
      </w:r>
    </w:p>
    <w:p>
      <w:pPr>
        <w:pStyle w:val="BookText"/>
        <w:rPr/>
      </w:pPr>
      <w:r>
        <w:rPr>
          <w:rFonts w:ascii="Amiri" w:hAnsi="Amiri" w:eastAsia="Amiri" w:cs="Amiri"/>
          <w:color w:val="111111"/>
          <w:sz w:val="28"/>
          <w:sz w:val="28"/>
          <w:szCs w:val="28"/>
          <w:rtl w:val="true"/>
          <w:lang w:bidi="ar-SA"/>
        </w:rPr>
        <w:t xml:space="preserve">الكليني </w:t>
      </w:r>
      <w:r>
        <w:rPr>
          <w:rStyle w:val="FootnoteAnchor"/>
          <w:rtl w:val="true"/>
        </w:rPr>
        <w:footnoteReference w:id="478"/>
      </w:r>
      <w:r>
        <w:rPr>
          <w:rFonts w:ascii="Amiri" w:hAnsi="Amiri" w:eastAsia="Amiri" w:cs="Amiri"/>
          <w:color w:val="111111"/>
          <w:sz w:val="28"/>
          <w:sz w:val="28"/>
          <w:szCs w:val="28"/>
          <w:rtl w:val="true"/>
          <w:lang w:bidi="ar-SA"/>
        </w:rPr>
        <w:t xml:space="preserve">، والمحكي عن النهاية ، والمبسوط ، والخلاف ، والمهذّب ، والجامع </w:t>
      </w:r>
      <w:r>
        <w:rPr>
          <w:rStyle w:val="FootnoteAnchor"/>
          <w:rtl w:val="true"/>
        </w:rPr>
        <w:footnoteReference w:id="479"/>
      </w:r>
      <w:r>
        <w:rPr>
          <w:rFonts w:ascii="Amiri" w:hAnsi="Amiri" w:eastAsia="Amiri" w:cs="Amiri"/>
          <w:color w:val="111111"/>
          <w:sz w:val="28"/>
          <w:sz w:val="28"/>
          <w:szCs w:val="28"/>
          <w:rtl w:val="true"/>
          <w:lang w:bidi="ar-SA"/>
        </w:rPr>
        <w:t xml:space="preserve">، والوسيلة ، والشرائع ، والإصباح ، والقواعد ، والمنتهى ، والتذكرة </w:t>
      </w:r>
      <w:r>
        <w:rPr>
          <w:rStyle w:val="FootnoteAnchor"/>
          <w:rtl w:val="true"/>
        </w:rPr>
        <w:footnoteReference w:id="480"/>
      </w:r>
      <w:r>
        <w:rPr>
          <w:rFonts w:ascii="Amiri" w:hAnsi="Amiri" w:eastAsia="Amiri" w:cs="Amiri"/>
          <w:color w:val="111111"/>
          <w:sz w:val="28"/>
          <w:sz w:val="28"/>
          <w:szCs w:val="28"/>
          <w:rtl w:val="true"/>
          <w:lang w:bidi="ar-SA"/>
        </w:rPr>
        <w:t xml:space="preserve">، واختاره عامّة المتأخّرين ، للصحاح المستفيضة وغيرها من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في السفر وليس معها ذو محرم ولا 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تدفن كما هي بثيابها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يموت وليس معه ذو محرم ولا رجال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كما هو بثيابه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ونحوها الرضوي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 السفر مع النساء ليس معهن رجل ، كيف يصنعن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يلفّفنه لفّا في ثيابه ويدفنه ولا يغسّلنه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مع رجال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 وتدفن ولا تغسل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في السفر في أرض ليس معه إلاّ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ولا يغسّل ، والمرأة تكون مع الرجال بتلك المنزلة تدفن ولا تغسل إلاّ أن يكون زوجها معها ، فإن كان زوجها معها غسّلها من فوق الدرع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منها خبر ابن سرحان ،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وبسكب عليها الماء سكبا ، </w:t>
      </w:r>
    </w:p>
    <w:p>
      <w:pPr>
        <w:pStyle w:val="BookText"/>
        <w:rPr/>
      </w:pPr>
      <w:r>
        <w:rPr>
          <w:rFonts w:ascii="IRNazanin" w:hAnsi="IRNazanin" w:eastAsia="IRNazanin"/>
          <w:color w:val="111111"/>
          <w:sz w:val="28"/>
          <w:sz w:val="28"/>
          <w:szCs w:val="28"/>
          <w:rtl w:val="true"/>
          <w:lang w:bidi="fa-IR"/>
        </w:rPr>
        <w:t xml:space="preserve">ولتغسله امرأته إذا مات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عنده إلاّ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امرأة ذات محرم منه وتصبّ النساء عليه الماء ولا يخلع ثوبه ، وإن كانت امرأة ماتت مع رجال وليس معها امرأة ولا محرم لها فلتدفن كما هي في ثيابها ، وإن كان معها ذو محرم لها غسلها من فوق ثيابها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وهي في موضع ليس معهم امرأة غيرها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فيهم لها زوج ولا ذو رحم دفنوها بثيابها ولا يغسّلونها ، وإن كان معهم زوجها أو ذو رحم لها فليغسّلها من غير أن ينظر إلى عورتها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مات في السفر مع نساء ليس معهن رجل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تكن له معهنّ امرأة فليدفن في ثيابه ولا يغسّل ، وإن كان له فيهنّ امرأة فليغسّل في قميص من غير أن ينظر إلى عورته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بين النساء لا محرم له منهن ، والمرأة كذلك تموت بين الرجال فلا يوجد من يغسّلهما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يدفنان بغير غسل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الأخبار الآمرة بغسل موضع الوضوء خاصة ، كخبر أبي بصير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كفّيها كذلك ، كخبري جابر </w:t>
      </w:r>
      <w:r>
        <w:rPr>
          <w:rStyle w:val="FootnoteAnchor"/>
          <w:rtl w:val="true"/>
        </w:rPr>
        <w:footnoteReference w:id="491"/>
      </w:r>
      <w:r>
        <w:rPr>
          <w:rFonts w:ascii="IRNazanin" w:hAnsi="IRNazanin" w:eastAsia="IRNazanin"/>
          <w:color w:val="111111"/>
          <w:sz w:val="28"/>
          <w:sz w:val="28"/>
          <w:szCs w:val="28"/>
          <w:rtl w:val="true"/>
          <w:lang w:bidi="fa-IR"/>
        </w:rPr>
        <w:t xml:space="preserve">وابن فرقد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موضع التيمّم ، </w:t>
      </w:r>
    </w:p>
    <w:p>
      <w:pPr>
        <w:pStyle w:val="BookText"/>
        <w:rPr/>
      </w:pPr>
      <w:r>
        <w:rPr>
          <w:rFonts w:ascii="Amiri" w:hAnsi="Amiri" w:eastAsia="Amiri" w:cs="Amiri"/>
          <w:color w:val="111111"/>
          <w:sz w:val="28"/>
          <w:sz w:val="28"/>
          <w:szCs w:val="28"/>
          <w:rtl w:val="true"/>
          <w:lang w:bidi="ar-SA"/>
        </w:rPr>
        <w:t xml:space="preserve">كرواية المفضّل </w:t>
      </w:r>
      <w:r>
        <w:rPr>
          <w:rStyle w:val="FootnoteAnchor"/>
          <w:rtl w:val="true"/>
        </w:rPr>
        <w:footnoteReference w:id="493"/>
      </w:r>
      <w:r>
        <w:rPr>
          <w:rFonts w:ascii="Amiri" w:hAnsi="Amiri" w:eastAsia="Amiri" w:cs="Amiri"/>
          <w:color w:val="111111"/>
          <w:sz w:val="28"/>
          <w:sz w:val="28"/>
          <w:szCs w:val="28"/>
          <w:rtl w:val="true"/>
          <w:lang w:bidi="ar-SA"/>
        </w:rPr>
        <w:t xml:space="preserve">، حيث إنّ هذه الأمور غير الغسل ، فالأمر بها دون الغسل مع كونه موضع البيان يدلّ على سقوطه ، بل في رواية داود </w:t>
      </w:r>
      <w:r>
        <w:rPr>
          <w:rStyle w:val="FootnoteAnchor"/>
          <w:rtl w:val="true"/>
        </w:rPr>
        <w:footnoteReference w:id="494"/>
      </w:r>
      <w:r>
        <w:rPr>
          <w:rFonts w:ascii="Amiri" w:hAnsi="Amiri" w:eastAsia="Amiri" w:cs="Amiri"/>
          <w:color w:val="111111"/>
          <w:sz w:val="28"/>
          <w:sz w:val="28"/>
          <w:szCs w:val="28"/>
          <w:rtl w:val="true"/>
          <w:lang w:bidi="ar-SA"/>
        </w:rPr>
        <w:t>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الأمور فليس شي‌ء منها واجبا ، للإجماع ، وخلوّ الروايات عن الدالّ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يحتمل استحبابها ، بل هو الأظهر كما يظهر من التهذيبين </w:t>
      </w:r>
      <w:r>
        <w:rPr>
          <w:rStyle w:val="FootnoteAnchor"/>
          <w:rtl w:val="true"/>
        </w:rPr>
        <w:footnoteReference w:id="495"/>
      </w:r>
      <w:r>
        <w:rPr>
          <w:rFonts w:ascii="IRNazanin" w:hAnsi="IRNazanin" w:eastAsia="IRNazanin"/>
          <w:color w:val="111111"/>
          <w:sz w:val="28"/>
          <w:sz w:val="28"/>
          <w:szCs w:val="28"/>
          <w:rtl w:val="true"/>
          <w:lang w:bidi="fa-IR"/>
        </w:rPr>
        <w:t xml:space="preserve">وعن المبسوط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تنافيه حرمة النظر ، لسهولتها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يستحب الغسل بصب الماء من فوق الثياب أم لا؟ ظاهر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للأصل ، وظهور الروايات في مطلوبية ترك الغسل ، بل صراحة خبر ابن فرقد ، ورواية زيد بن علي </w:t>
      </w:r>
      <w:r>
        <w:rPr>
          <w:rStyle w:val="FootnoteAnchor"/>
          <w:rtl w:val="true"/>
        </w:rPr>
        <w:footnoteReference w:id="497"/>
      </w:r>
      <w:r>
        <w:rPr>
          <w:rFonts w:ascii="Amiri" w:hAnsi="Amiri" w:eastAsia="Amiri" w:cs="Amiri"/>
          <w:color w:val="111111"/>
          <w:sz w:val="28"/>
          <w:sz w:val="28"/>
          <w:szCs w:val="28"/>
          <w:rtl w:val="true"/>
          <w:lang w:bidi="ar-SA"/>
        </w:rPr>
        <w:t>فيها ، حيث رتّب في الأول على الغسل الدخل عليهم أي العيب ، وأنكر في الثاني ترك التيمّم الدالّ على رجحانه الغير المجتمع مع الغسل إجماعا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الاستبصار ، وموضع من التهذيب </w:t>
      </w:r>
      <w:r>
        <w:rPr>
          <w:rStyle w:val="FootnoteAnchor"/>
          <w:rtl w:val="true"/>
        </w:rPr>
        <w:footnoteReference w:id="498"/>
      </w:r>
      <w:r>
        <w:rPr>
          <w:rFonts w:ascii="Amiri" w:hAnsi="Amiri" w:eastAsia="Amiri" w:cs="Amiri"/>
          <w:color w:val="111111"/>
          <w:sz w:val="28"/>
          <w:sz w:val="28"/>
          <w:szCs w:val="28"/>
          <w:rtl w:val="true"/>
          <w:lang w:bidi="ar-SA"/>
        </w:rPr>
        <w:t xml:space="preserve">، ومحتمل كلام ابن زهرة ، والحلبي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 ، لرواية زيد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في السفر مع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فيهنّ امرأته ولا ذو محرم يؤزرنه إلى الركبتين ويصببن عليه الماء صبا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ماتت المرأة مع قوم ليس فيهم لها محرم يصبون عليها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مات مع نسوة ليس فيهنّ له محرم ،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يصببن الماء عليه صبا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يحل لهن أن يمسسن منه ما كان يحل لهن أن ينظرن منه إليه وهو حي ، فإذا بلغن الموضع الذي لا يحل لهن النظر إليه ولا مسّه وهو حي صببن الماء عليه صبا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ومعه نسوة وليس معهنّ 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يصببن الماء من خلف الثوب ويلفّفنه في أكفانه من تحت الستر ويصلّين عليه صفا ويدخلنه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تموت مع الرجال ليس معهم امرأة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يصبّون الماء من خلف الثوب ويلفّونها في أكفانها ويصلّون ويدفنون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بمعارضتها مع ما مرّ ، فيرجع إلى الأصل ، مع أنّها موافقة للعامة </w:t>
      </w:r>
      <w:r>
        <w:rPr>
          <w:rStyle w:val="FootnoteAnchor"/>
          <w:rtl w:val="true"/>
        </w:rPr>
        <w:footnoteReference w:id="503"/>
      </w:r>
      <w:r>
        <w:rPr>
          <w:rFonts w:ascii="Amiri" w:hAnsi="Amiri" w:eastAsia="Amiri" w:cs="Amiri"/>
          <w:color w:val="111111"/>
          <w:sz w:val="28"/>
          <w:sz w:val="28"/>
          <w:szCs w:val="28"/>
          <w:rtl w:val="true"/>
          <w:lang w:bidi="ar-SA"/>
        </w:rPr>
        <w:t>، كما تصرّح به الرواية الثانية ، فبها تخرج عن صلاحية المعارضة وتحمل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صب الماء ليس صريحا ولا ظاهرا في الغسل ، فإرادة الصبّ على أحد المواضع المتقدمة أو زائدا عليه من دون تحقق الغسل ممكنة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يظهر ضعف الاستدلال بتلك الأخبار على وجوب التغسيل من </w:t>
      </w:r>
    </w:p>
    <w:p>
      <w:pPr>
        <w:pStyle w:val="BookText"/>
        <w:rPr/>
      </w:pPr>
      <w:r>
        <w:rPr>
          <w:rFonts w:ascii="Amiri" w:hAnsi="Amiri" w:eastAsia="Amiri" w:cs="Amiri"/>
          <w:color w:val="111111"/>
          <w:sz w:val="28"/>
          <w:sz w:val="28"/>
          <w:szCs w:val="28"/>
          <w:rtl w:val="true"/>
          <w:lang w:bidi="ar-SA"/>
        </w:rPr>
        <w:t xml:space="preserve">وراء الثياب ، كما عن المفيد </w:t>
      </w:r>
      <w:r>
        <w:rPr>
          <w:rStyle w:val="FootnoteAnchor"/>
          <w:rtl w:val="true"/>
        </w:rPr>
        <w:footnoteReference w:id="504"/>
      </w:r>
      <w:r>
        <w:rPr>
          <w:rFonts w:ascii="Amiri" w:hAnsi="Amiri" w:eastAsia="Amiri" w:cs="Amiri"/>
          <w:color w:val="111111"/>
          <w:sz w:val="28"/>
          <w:sz w:val="28"/>
          <w:szCs w:val="28"/>
          <w:rtl w:val="true"/>
          <w:lang w:bidi="ar-SA"/>
        </w:rPr>
        <w:t xml:space="preserve">وموضع من التهذيب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تغميض العينين ، كما عن ظاهر الحلبي </w:t>
      </w:r>
      <w:r>
        <w:rPr>
          <w:rStyle w:val="FootnoteAnchor"/>
          <w:rtl w:val="true"/>
        </w:rPr>
        <w:footnoteReference w:id="506"/>
      </w:r>
      <w:r>
        <w:rPr>
          <w:rFonts w:ascii="Amiri" w:hAnsi="Amiri" w:eastAsia="Amiri" w:cs="Amiri"/>
          <w:color w:val="111111"/>
          <w:sz w:val="28"/>
          <w:sz w:val="28"/>
          <w:szCs w:val="28"/>
          <w:rtl w:val="true"/>
          <w:lang w:bidi="ar-SA"/>
        </w:rPr>
        <w:t xml:space="preserve">، وجعله ابن زهرة الأحوط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خلوّها عن الدالّ على الوجوب ، مع كون الأخيرة عامة بالنسبة إلى وجود ذات المحارم وعدمها فيجب 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سقوط الاستدلال بروايتي الثمالي وابن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 الرجل المرأة إلاّ أن لا توجد امرأة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ماتت مع الرجال فلم يجدوا امرأة تغسّلها غسّلها بعض الرجال من وراء الثوب ، ويستحب أن يلفّ على يديه خرقة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ذيل الثانية إشعار باختصاصه بالمحارم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الشيخ في المبسوط ، والنهاية ، والخلاف </w:t>
      </w:r>
      <w:r>
        <w:rPr>
          <w:rStyle w:val="FootnoteAnchor"/>
          <w:rtl w:val="true"/>
        </w:rPr>
        <w:footnoteReference w:id="510"/>
      </w:r>
      <w:r>
        <w:rPr>
          <w:rFonts w:ascii="Amiri" w:hAnsi="Amiri" w:eastAsia="Amiri" w:cs="Amiri"/>
          <w:color w:val="111111"/>
          <w:sz w:val="28"/>
          <w:sz w:val="28"/>
          <w:szCs w:val="28"/>
          <w:rtl w:val="true"/>
          <w:lang w:bidi="ar-SA"/>
        </w:rPr>
        <w:t xml:space="preserve">، والمحقّق ، والفاضل في النهاية والتذكرة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أيضا ، بل نسب نفيه في الأخير إلى علمائنا ، وجعله في الأول في المرأة المذهب ، للأصل ، وخلوّ غير رواية زيد </w:t>
      </w:r>
      <w:r>
        <w:rPr>
          <w:rStyle w:val="FootnoteAnchor"/>
          <w:rtl w:val="true"/>
        </w:rPr>
        <w:footnoteReference w:id="512"/>
      </w:r>
      <w:r>
        <w:rPr>
          <w:rFonts w:ascii="Amiri" w:hAnsi="Amiri" w:eastAsia="Amiri" w:cs="Amiri"/>
          <w:color w:val="111111"/>
          <w:sz w:val="28"/>
          <w:sz w:val="28"/>
          <w:szCs w:val="28"/>
          <w:rtl w:val="true"/>
          <w:lang w:bidi="ar-SA"/>
        </w:rPr>
        <w:t>عنه ، مع كون المقام مقام البيان ، وأمّا هي فمع عدم دلالتها على الوجوب شاذة غير ناهضة لدفع الأصل ، مع أنّه نقل في المنتهى وجوب التيمّم عن مالك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وأبي حنيفة والشافعي في أحد الوجهين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Style w:val="FootnoteAnchor"/>
          <w:rtl w:val="true"/>
        </w:rPr>
        <w:footnoteReference w:id="51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تغسيل كلّ من الزوجين الآخر في حال الاضطرار ، ويدلّ عليه ما يأتي وبعض ما مرّ من الأخبار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الخلاف في الاختيار ، فالأظهر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التذكرة ، والمنتهى ، ونهاية الإحكام ، والكركي </w:t>
      </w:r>
      <w:r>
        <w:rPr>
          <w:rStyle w:val="FootnoteAnchor"/>
          <w:rtl w:val="true"/>
        </w:rPr>
        <w:footnoteReference w:id="516"/>
      </w:r>
      <w:r>
        <w:rPr>
          <w:rFonts w:ascii="Amiri" w:hAnsi="Amiri" w:eastAsia="Amiri" w:cs="Amiri"/>
          <w:color w:val="111111"/>
          <w:sz w:val="28"/>
          <w:sz w:val="28"/>
          <w:szCs w:val="28"/>
          <w:rtl w:val="true"/>
          <w:lang w:bidi="ar-SA"/>
        </w:rPr>
        <w:t xml:space="preserve">، وغيرهم </w:t>
      </w:r>
      <w:r>
        <w:rPr>
          <w:rStyle w:val="FootnoteAnchor"/>
          <w:rtl w:val="true"/>
        </w:rPr>
        <w:footnoteReference w:id="517"/>
      </w:r>
      <w:r>
        <w:rPr>
          <w:rFonts w:ascii="Amiri" w:hAnsi="Amiri" w:eastAsia="Amiri" w:cs="Amiri"/>
          <w:color w:val="111111"/>
          <w:sz w:val="28"/>
          <w:sz w:val="28"/>
          <w:szCs w:val="28"/>
          <w:rtl w:val="true"/>
          <w:lang w:bidi="ar-SA"/>
        </w:rPr>
        <w:t xml:space="preserve">ممن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وهو المحكي عن السيد ، والإسكافي ، والجعفي </w:t>
      </w:r>
      <w:r>
        <w:rPr>
          <w:rStyle w:val="FootnoteAnchor"/>
          <w:rtl w:val="true"/>
        </w:rPr>
        <w:footnoteReference w:id="518"/>
      </w:r>
      <w:r>
        <w:rPr>
          <w:rFonts w:ascii="Amiri" w:hAnsi="Amiri" w:eastAsia="Amiri" w:cs="Amiri"/>
          <w:color w:val="111111"/>
          <w:sz w:val="28"/>
          <w:sz w:val="28"/>
          <w:szCs w:val="28"/>
          <w:rtl w:val="true"/>
          <w:lang w:bidi="ar-SA"/>
        </w:rPr>
        <w:t xml:space="preserve">، والمراسم ، والسرائر ، والإشارة ، والمعتبر </w:t>
      </w:r>
      <w:r>
        <w:rPr>
          <w:rStyle w:val="FootnoteAnchor"/>
          <w:rtl w:val="true"/>
        </w:rPr>
        <w:footnoteReference w:id="519"/>
      </w:r>
      <w:r>
        <w:rPr>
          <w:rFonts w:ascii="Amiri" w:hAnsi="Amiri" w:eastAsia="Amiri" w:cs="Amiri"/>
          <w:color w:val="111111"/>
          <w:sz w:val="28"/>
          <w:sz w:val="28"/>
          <w:szCs w:val="28"/>
          <w:rtl w:val="true"/>
          <w:lang w:bidi="ar-SA"/>
        </w:rPr>
        <w:t xml:space="preserve">، وفي القواعد ، والمنتهى ، وظاهر المبسوط ، والخلاف ، والنافع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 والعمومات ، وما دلّ على تغسيل أولى الناس وأنّ الزوج أولى بزوجته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يغسّل امرأته؟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وراء الثوب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حسنته إلاّ أنّ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يمنعها أهلها تعصّبا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إذا ماتت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زوجها يده من تحت </w:t>
      </w:r>
    </w:p>
    <w:p>
      <w:pPr>
        <w:pStyle w:val="BookText"/>
        <w:rPr/>
      </w:pPr>
      <w:r>
        <w:rPr>
          <w:rFonts w:ascii="Amiri" w:hAnsi="Amiri" w:eastAsia="Amiri" w:cs="Amiri"/>
          <w:color w:val="111111"/>
          <w:sz w:val="28"/>
          <w:sz w:val="28"/>
          <w:szCs w:val="28"/>
          <w:rtl w:val="true"/>
          <w:lang w:bidi="ar-SA"/>
        </w:rPr>
        <w:t xml:space="preserve">قميصها إلى المرافق فيغسلها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السفر ومعه امرأته فتموت يغسّلها؟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وامّه وأخته ونحو هذا ، يلقي على عورتها خرقة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الرجل يغسّل امرأته؟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وراء الثياب لا ينظر إلى شعرها ولا إلى شي‌ء منها ، والمرأة تغسّل زوجها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وليس معه إلاّ 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امرأته لأنّها منه في عدّة ، وإذا ماتت لم يغسّلها لأنّه ليس منها في عدّة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فلا تصلح لمعارضة ما مرّ ، لمخالفتها للعمل من حيث الفصل بين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عدم الفصل مع الجزء الآخر ليس بأولى من ضمّه 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كون هذا الفرق محكيا عن الحنفية مطلقا وعن أحد قولي سائر الأربعة </w:t>
      </w:r>
      <w:r>
        <w:rPr>
          <w:rStyle w:val="FootnoteAnchor"/>
          <w:rtl w:val="true"/>
        </w:rPr>
        <w:footnoteReference w:id="527"/>
      </w:r>
      <w:r>
        <w:rPr>
          <w:rFonts w:ascii="Amiri" w:hAnsi="Amiri" w:eastAsia="Amiri" w:cs="Amiri"/>
          <w:color w:val="111111"/>
          <w:sz w:val="28"/>
          <w:sz w:val="28"/>
          <w:szCs w:val="28"/>
          <w:rtl w:val="true"/>
          <w:lang w:bidi="ar-SA"/>
        </w:rPr>
        <w:t>فتكون الرواية لهم موافقة ، وبها تصير مرجوحة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أنّها ظاهرة في الاضطرار الذي لم يقل أحد فيه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جزئها الأخير بالاختيار ليس بأولى من تخصيصها بحال التجرّد ، كما فعله في التهذيبين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أنّه ليس صريحا في النهي ، فيمكن أن تكون الجملة الخبرية تجوّزا عن عدم وجوب تغسيل الزوج ، أو عدم أولويته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تنافيه ولايته ، لإمكان الإذن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عن مفهوم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الزوج امرأته في السفر والمرأة زوجها في السفر إذا لم يكن معها رجل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والثمالي المتقدّمة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الأخيرة أعمّ من الأجنبية ، فتعارض ما مرّ بالعموم من وجه ، ويرجّح ما مرّ بالمخالفة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الترجيح أيضا يتساقطان وتبقى العمومات فارغة ، والاستثناء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التخصيص بالأجنبية تكون إشارة إلى ما استحب من غسل وجه الأجنبية وكفّيها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التهذيبين والغنية </w:t>
      </w:r>
      <w:r>
        <w:rPr>
          <w:rStyle w:val="FootnoteAnchor"/>
          <w:rtl w:val="true"/>
        </w:rPr>
        <w:footnoteReference w:id="532"/>
      </w:r>
      <w:r>
        <w:rPr>
          <w:rFonts w:ascii="Amiri" w:hAnsi="Amiri" w:eastAsia="Amiri" w:cs="Amiri"/>
          <w:color w:val="111111"/>
          <w:sz w:val="28"/>
          <w:sz w:val="28"/>
          <w:szCs w:val="28"/>
          <w:rtl w:val="true"/>
          <w:lang w:bidi="ar-SA"/>
        </w:rPr>
        <w:t>، فلم يجوّزوه اختيارا ، لما مرّ مع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ولوقوع التقييد بالضرورة في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وليس عنده من يغسّله إلاّ النساء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تغسّله امرأته أو ذو قرابة إن كانت له وتصبّ النساء عليه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المرأة إذا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زوجها يده تحت قميصها فيغسلها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أيصلح له أن ينظر إلى امرأته حين تموت أو يغسّلها إن لم يكن عندها من يغسّلها؟ وعن المرأة هل تنظر إلى مثل ذلك من </w:t>
      </w:r>
    </w:p>
    <w:p>
      <w:pPr>
        <w:pStyle w:val="BookText"/>
        <w:rPr/>
      </w:pPr>
      <w:r>
        <w:rPr>
          <w:rFonts w:ascii="Amiri" w:hAnsi="Amiri" w:eastAsia="Amiri" w:cs="Amiri"/>
          <w:color w:val="111111"/>
          <w:sz w:val="28"/>
          <w:sz w:val="28"/>
          <w:szCs w:val="28"/>
          <w:rtl w:val="true"/>
          <w:lang w:bidi="ar-SA"/>
        </w:rPr>
        <w:t xml:space="preserve">زوجها حين يموت؟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وليس عنده من يغسّله إلاّ النساء هل تغسّله النساء؟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امرأته أو ذات محرمه وتصبّ عليه النساء الماء صبّا من فوق الثياب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فيها إنّما وقع في السؤال ، وهو لا يوجب تخصيص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وجوب كون تغسيل كلّ من الزوجين من وراء الثياب ، وفاقا للمحكي عن ظاهر نهاية الشيخ ، ومبسوطه </w:t>
      </w:r>
      <w:r>
        <w:rPr>
          <w:rStyle w:val="FootnoteAnchor"/>
          <w:rtl w:val="true"/>
        </w:rPr>
        <w:footnoteReference w:id="536"/>
      </w:r>
      <w:r>
        <w:rPr>
          <w:rFonts w:ascii="Amiri" w:hAnsi="Amiri" w:eastAsia="Amiri" w:cs="Amiri"/>
          <w:color w:val="111111"/>
          <w:sz w:val="28"/>
          <w:sz w:val="28"/>
          <w:szCs w:val="28"/>
          <w:rtl w:val="true"/>
          <w:lang w:bidi="ar-SA"/>
        </w:rPr>
        <w:t xml:space="preserve">، وهو صريح الكركي ، واستجوده في المنتهى </w:t>
      </w:r>
      <w:r>
        <w:rPr>
          <w:rStyle w:val="FootnoteAnchor"/>
          <w:rtl w:val="true"/>
        </w:rPr>
        <w:footnoteReference w:id="537"/>
      </w:r>
      <w:r>
        <w:rPr>
          <w:rFonts w:ascii="Amiri" w:hAnsi="Amiri" w:eastAsia="Amiri" w:cs="Amiri"/>
          <w:color w:val="111111"/>
          <w:sz w:val="28"/>
          <w:sz w:val="28"/>
          <w:szCs w:val="28"/>
          <w:rtl w:val="true"/>
          <w:lang w:bidi="ar-SA"/>
        </w:rPr>
        <w:t xml:space="preserve">، ونسبه في اللوامع إلى الحلبي </w:t>
      </w:r>
      <w:r>
        <w:rPr>
          <w:rStyle w:val="FootnoteAnchor"/>
          <w:rtl w:val="true"/>
        </w:rPr>
        <w:footnoteReference w:id="538"/>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539"/>
      </w:r>
      <w:r>
        <w:rPr>
          <w:rFonts w:ascii="Amiri" w:hAnsi="Amiri" w:eastAsia="Amiri" w:cs="Amiri"/>
          <w:color w:val="111111"/>
          <w:sz w:val="28"/>
          <w:sz w:val="28"/>
          <w:szCs w:val="28"/>
          <w:rtl w:val="true"/>
          <w:lang w:bidi="ar-SA"/>
        </w:rPr>
        <w:t xml:space="preserve">، للأمر به في خبر الشحام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فيه وإن اختص في تغسيل الزوجة للزوج ، ولكنه يتعدّى إلى العكس بعدم القول بالفصل ، وإن كان في العكس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السيد ، والإسكافي ، والخلاف ، والجعفي ، </w:t>
      </w:r>
    </w:p>
    <w:p>
      <w:pPr>
        <w:pStyle w:val="BookText"/>
        <w:rPr/>
      </w:pPr>
      <w:r>
        <w:rPr>
          <w:rFonts w:ascii="Amiri" w:hAnsi="Amiri" w:eastAsia="Amiri" w:cs="Amiri"/>
          <w:color w:val="111111"/>
          <w:sz w:val="28"/>
          <w:sz w:val="28"/>
          <w:szCs w:val="28"/>
          <w:rtl w:val="true"/>
          <w:lang w:bidi="ar-SA"/>
        </w:rPr>
        <w:t xml:space="preserve">والتهذيب ، والجامع ، ونهاية الفاضل </w:t>
      </w:r>
      <w:r>
        <w:rPr>
          <w:rStyle w:val="FootnoteAnchor"/>
          <w:rtl w:val="true"/>
        </w:rPr>
        <w:footnoteReference w:id="542"/>
      </w:r>
      <w:r>
        <w:rPr>
          <w:rFonts w:ascii="Amiri" w:hAnsi="Amiri" w:eastAsia="Amiri" w:cs="Amiri"/>
          <w:color w:val="111111"/>
          <w:sz w:val="28"/>
          <w:sz w:val="28"/>
          <w:szCs w:val="28"/>
          <w:rtl w:val="true"/>
          <w:lang w:bidi="ar-SA"/>
        </w:rPr>
        <w:t xml:space="preserve">، واختاره من المتأخّرين صاحبا المدارك والكفاية </w:t>
      </w:r>
      <w:r>
        <w:rPr>
          <w:rStyle w:val="FootnoteAnchor"/>
          <w:rtl w:val="true"/>
        </w:rPr>
        <w:footnoteReference w:id="543"/>
      </w:r>
      <w:r>
        <w:rPr>
          <w:rFonts w:ascii="Amiri" w:hAnsi="Amiri" w:eastAsia="Amiri" w:cs="Amiri"/>
          <w:color w:val="111111"/>
          <w:sz w:val="28"/>
          <w:sz w:val="28"/>
          <w:szCs w:val="28"/>
          <w:rtl w:val="true"/>
          <w:lang w:bidi="ar-SA"/>
        </w:rPr>
        <w:t>، ووالدي العلاّمة ، فلم يوجبوا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الخالي عن معارض سوى التقييد الواقع في كثير من الأخبار المتقدّمة في هذه المسألة والمسألة السالفة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 في الأكثر على الزائد على الرجحان ، واختصاصه بتغسيل الزوج للزوجة فلا وجه 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بتصريح صحيحة ابن سنان بجواز النظر الغير المجامع مع وجوب الستر ، وبظهور صحيحة منصور </w:t>
      </w:r>
      <w:r>
        <w:rPr>
          <w:rStyle w:val="FootnoteAnchor"/>
          <w:rtl w:val="true"/>
        </w:rPr>
        <w:footnoteReference w:id="544"/>
      </w:r>
      <w:r>
        <w:rPr>
          <w:rFonts w:ascii="Amiri" w:hAnsi="Amiri" w:eastAsia="Amiri" w:cs="Amiri"/>
          <w:color w:val="111111"/>
          <w:sz w:val="28"/>
          <w:sz w:val="28"/>
          <w:szCs w:val="28"/>
          <w:rtl w:val="true"/>
          <w:lang w:bidi="ar-SA"/>
        </w:rPr>
        <w:t>في اختصاص العورة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دلالة الأكثر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دلالة خبر الشحام عليه للوقوع بلفظ الأمر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الاختصاص ، كيف والخبر المذكور بالعكس مصرّح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التعارض بين جواز النظر ووجوب الستر في الغسل ، لجواز كونه تعبّدا ، ومنع ظهور صحيحة منصور في التخصيص المذكور ، كما يأتي في المسألة الرابعة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وللمنقول عن الاستبصار </w:t>
      </w:r>
      <w:r>
        <w:rPr>
          <w:rStyle w:val="FootnoteAnchor"/>
          <w:rtl w:val="true"/>
        </w:rPr>
        <w:footnoteReference w:id="545"/>
      </w:r>
      <w:r>
        <w:rPr>
          <w:rFonts w:ascii="Amiri" w:hAnsi="Amiri" w:eastAsia="Amiri" w:cs="Amiri"/>
          <w:color w:val="111111"/>
          <w:sz w:val="28"/>
          <w:sz w:val="28"/>
          <w:szCs w:val="28"/>
          <w:rtl w:val="true"/>
          <w:lang w:bidi="ar-SA"/>
        </w:rPr>
        <w:t xml:space="preserve">، بل التهذيب </w:t>
      </w:r>
      <w:r>
        <w:rPr>
          <w:rStyle w:val="FootnoteAnchor"/>
          <w:rtl w:val="true"/>
        </w:rPr>
        <w:footnoteReference w:id="546"/>
      </w:r>
      <w:r>
        <w:rPr>
          <w:rFonts w:ascii="Amiri" w:hAnsi="Amiri" w:eastAsia="Amiri" w:cs="Amiri"/>
          <w:color w:val="111111"/>
          <w:sz w:val="28"/>
          <w:sz w:val="28"/>
          <w:szCs w:val="28"/>
          <w:rtl w:val="true"/>
          <w:lang w:bidi="ar-SA"/>
        </w:rPr>
        <w:t xml:space="preserve">أيضا ، وتبعهما بعض متأخّري المتأخرين </w:t>
      </w:r>
      <w:r>
        <w:rPr>
          <w:rStyle w:val="FootnoteAnchor"/>
          <w:rtl w:val="true"/>
        </w:rPr>
        <w:footnoteReference w:id="547"/>
      </w:r>
      <w:r>
        <w:rPr>
          <w:rFonts w:ascii="Amiri" w:hAnsi="Amiri" w:eastAsia="Amiri" w:cs="Amiri"/>
          <w:color w:val="111111"/>
          <w:sz w:val="28"/>
          <w:sz w:val="28"/>
          <w:szCs w:val="28"/>
          <w:rtl w:val="true"/>
          <w:lang w:bidi="ar-SA"/>
        </w:rPr>
        <w:t xml:space="preserve">، فأوجبوه في تغسيل الزوج للزوجة دون العكس ، لما ذكر من </w:t>
      </w:r>
    </w:p>
    <w:p>
      <w:pPr>
        <w:pStyle w:val="BookText"/>
        <w:rPr/>
      </w:pPr>
      <w:r>
        <w:rPr>
          <w:rFonts w:ascii="Amiri" w:hAnsi="Amiri" w:eastAsia="Amiri" w:cs="Amiri"/>
          <w:color w:val="111111"/>
          <w:sz w:val="28"/>
          <w:sz w:val="28"/>
          <w:szCs w:val="28"/>
          <w:rtl w:val="true"/>
          <w:lang w:bidi="ar-SA"/>
        </w:rPr>
        <w:t>اختصاص المقيّدات به ، وعرفت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ولطائفة من المتأخّرين في نقل الأقوال في المقام اختلاف فاحش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يجوز التغسيل مجردا يجوز النظر بل اللمس أيضا ، للأصل ، بل التصريح في بعض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الإطلاقات نصّا وفتوى عدم الفرق في الزوجة بين الحرّة والأمة ، والدائمة والمنقطعة ، والمدخول بها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 صدق الزوجة على المنقطعة حقيقة غير ضائر ، لصدق ذات المحرم وامرأته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وردتا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بائنا ليست بزوجة ، بخلاف الرجعية ، وإن انقضت عدّتها بعد الوفاة قبل الغسل ، لا إن انقضت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ليست بزوجة ولا امرأة له ، فلا يلحقها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من المحارم وإن انتقلت إلى الوارث ، لأنّ المراد بذات المحرم في حال الحياة كما في الزوجة ، ولا أقلّ من احتماله ، فلا يعلم خروجها من العمومات ، فتلحق بالمحارم ، ويأتي حكمها ، إلاّ إذا كانت مزوّجة للغير أو معتدّة ، فكالأجانب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تغسيل كلّ من الرجل والمرأة محارمه بالنسب ، أو الرضاع ، أو المصاهرة ، بلا خلاف ظاهر ، بل نفي الخلاف عنه متواتر ، وفي التذكرة نسبه إلى علمائنا </w:t>
      </w:r>
      <w:r>
        <w:rPr>
          <w:rStyle w:val="FootnoteAnchor"/>
          <w:rtl w:val="true"/>
        </w:rPr>
        <w:footnoteReference w:id="549"/>
      </w:r>
      <w:r>
        <w:rPr>
          <w:rFonts w:ascii="Amiri" w:hAnsi="Amiri" w:eastAsia="Amiri" w:cs="Amiri"/>
          <w:color w:val="111111"/>
          <w:sz w:val="28"/>
          <w:sz w:val="28"/>
          <w:szCs w:val="28"/>
          <w:rtl w:val="true"/>
          <w:lang w:bidi="ar-SA"/>
        </w:rPr>
        <w:t>، وفي اللوامع الإجماع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 والعمومات ، وأخبار تغسيل الأولى ، وللنصوص المستفيضة ، </w:t>
      </w:r>
    </w:p>
    <w:p>
      <w:pPr>
        <w:pStyle w:val="BookText"/>
        <w:rPr/>
      </w:pPr>
      <w:r>
        <w:rPr>
          <w:rFonts w:ascii="Amiri" w:hAnsi="Amiri" w:eastAsia="Amiri" w:cs="Amiri"/>
          <w:color w:val="111111"/>
          <w:sz w:val="28"/>
          <w:sz w:val="28"/>
          <w:szCs w:val="28"/>
          <w:rtl w:val="true"/>
          <w:lang w:bidi="ar-SA"/>
        </w:rPr>
        <w:t xml:space="preserve">كموثقة سماعة ، وخبر الشحام ، وصحيحة منصور ، وحسنة الحلبي ، وموثقة البصري المتقدمة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المسلم يموت في السفر وليس معه رجل مسلم ، ومعه رجال نصارى ، ومعه عمّته وخالته مسلمتان ، كيف يصنع في غسله؟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عمّته وخالته في قميصه ولا تقربه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تموت في السفر وليس معها امرأة مسلمة ، ومعهم نساء نصارى وعمّها وخالها معهم مسلمان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يغسلانها ولا تقربها النصرانية ، كما كانت المسلمة تغسلها ، غير أنّه يكون عليها درع فيصبّ الماء من فوق الدرع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الجوزاء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معه نساء ذوات محرم يؤزرنه ويصببن عليه الماء صبّا ، ويمسسن جسده ولا يمسسن فرجه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وبتلك الأخبار يخصّص عموم صحيحة البصري السابقة </w:t>
      </w:r>
      <w:r>
        <w:rPr>
          <w:rStyle w:val="FootnoteAnchor"/>
          <w:rtl w:val="true"/>
        </w:rPr>
        <w:footnoteReference w:id="553"/>
      </w:r>
      <w:r>
        <w:rPr>
          <w:rFonts w:ascii="Amiri" w:hAnsi="Amiri" w:eastAsia="Amiri" w:cs="Amiri"/>
          <w:color w:val="111111"/>
          <w:sz w:val="28"/>
          <w:sz w:val="28"/>
          <w:szCs w:val="28"/>
          <w:rtl w:val="true"/>
          <w:lang w:bidi="ar-SA"/>
        </w:rPr>
        <w:t xml:space="preserve">في المسألة الثانية الناشئ عن ترك الاستفصال ، وخبر الشحام </w:t>
      </w:r>
      <w:r>
        <w:rPr>
          <w:rStyle w:val="FootnoteAnchor"/>
          <w:rtl w:val="true"/>
        </w:rPr>
        <w:footnoteReference w:id="554"/>
      </w:r>
      <w:r>
        <w:rPr>
          <w:rFonts w:ascii="Amiri" w:hAnsi="Amiri" w:eastAsia="Amiri" w:cs="Amiri"/>
          <w:color w:val="111111"/>
          <w:sz w:val="28"/>
          <w:sz w:val="28"/>
          <w:szCs w:val="28"/>
          <w:rtl w:val="true"/>
          <w:lang w:bidi="ar-SA"/>
        </w:rPr>
        <w:t>الناشئ عن إطلاق نفي امرأة له مع احتمال إرادة ما يشمل ذات المحارم أيضا منها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الروايات الكثيرة من السؤال عن غسل من مات ولا محرم له ولا مماثل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اختصاصه بحال الاضطرار ، واشتراط كونه من وراء الثياب ، </w:t>
      </w:r>
    </w:p>
    <w:p>
      <w:pPr>
        <w:pStyle w:val="BookText"/>
        <w:rPr/>
      </w:pPr>
      <w:r>
        <w:rPr>
          <w:rFonts w:ascii="Amiri" w:hAnsi="Amiri" w:eastAsia="Amiri" w:cs="Amiri"/>
          <w:color w:val="111111"/>
          <w:sz w:val="28"/>
          <w:sz w:val="28"/>
          <w:szCs w:val="28"/>
          <w:rtl w:val="true"/>
          <w:lang w:bidi="ar-SA"/>
        </w:rPr>
        <w:t xml:space="preserve">ودعوى الشهرة عليهما متكرّرة في كلام الأصحاب </w:t>
      </w:r>
      <w:r>
        <w:rPr>
          <w:rStyle w:val="FootnoteAnchor"/>
          <w:rtl w:val="true"/>
        </w:rPr>
        <w:footnoteReference w:id="556"/>
      </w:r>
      <w:r>
        <w:rPr>
          <w:rFonts w:ascii="Amiri" w:hAnsi="Amiri" w:eastAsia="Amiri" w:cs="Amiri"/>
          <w:color w:val="111111"/>
          <w:sz w:val="28"/>
          <w:sz w:val="28"/>
          <w:szCs w:val="28"/>
          <w:rtl w:val="true"/>
          <w:lang w:bidi="ar-SA"/>
        </w:rPr>
        <w:t xml:space="preserve">، تمسّكا في الأول بمفهوم رواية الثمالي المتقدمة </w:t>
      </w:r>
      <w:r>
        <w:rPr>
          <w:rStyle w:val="FootnoteAnchor"/>
          <w:rtl w:val="true"/>
        </w:rPr>
        <w:footnoteReference w:id="557"/>
      </w:r>
      <w:r>
        <w:rPr>
          <w:rFonts w:ascii="Amiri" w:hAnsi="Amiri" w:eastAsia="Amiri" w:cs="Amiri"/>
          <w:color w:val="111111"/>
          <w:sz w:val="28"/>
          <w:sz w:val="28"/>
          <w:szCs w:val="28"/>
          <w:rtl w:val="true"/>
          <w:lang w:bidi="ar-SA"/>
        </w:rPr>
        <w:t>، واختصاص الأخبار المجوّزة بصورة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دلالته على الحرمة ، والمعارضة مع المجوّزة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الاختصاص أولا ، لإطلاق صحيحة منصور ، وعدم كونه ضائرا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في السؤال ، لكفاية الأصل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Style w:val="FootnoteAnchor"/>
          <w:rtl w:val="true"/>
        </w:rPr>
        <w:footnoteReference w:id="558"/>
      </w:r>
      <w:r>
        <w:rPr>
          <w:rFonts w:ascii="Amiri" w:hAnsi="Amiri" w:eastAsia="Amiri" w:cs="Amiri"/>
          <w:color w:val="111111"/>
          <w:sz w:val="28"/>
          <w:sz w:val="28"/>
          <w:szCs w:val="28"/>
          <w:rtl w:val="true"/>
          <w:lang w:bidi="ar-SA"/>
        </w:rPr>
        <w:t>بالأمر به في كثير من الأخبار المتقدّمة ، فتحمل عليها المطلقة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الأخبار المقيّدة مع صحيحة منصور </w:t>
      </w:r>
      <w:r>
        <w:rPr>
          <w:rStyle w:val="FootnoteAnchor"/>
          <w:rtl w:val="true"/>
        </w:rPr>
        <w:footnoteReference w:id="559"/>
      </w:r>
      <w:r>
        <w:rPr>
          <w:rFonts w:ascii="Amiri" w:hAnsi="Amiri" w:eastAsia="Amiri" w:cs="Amiri"/>
          <w:color w:val="111111"/>
          <w:sz w:val="28"/>
          <w:sz w:val="28"/>
          <w:szCs w:val="28"/>
          <w:rtl w:val="true"/>
          <w:lang w:bidi="ar-SA"/>
        </w:rPr>
        <w:t xml:space="preserve">، ورواية أبي الجوزاء </w:t>
      </w:r>
      <w:r>
        <w:rPr>
          <w:rStyle w:val="FootnoteAnchor"/>
          <w:rtl w:val="true"/>
        </w:rPr>
        <w:footnoteReference w:id="560"/>
      </w:r>
      <w:r>
        <w:rPr>
          <w:rFonts w:ascii="Amiri" w:hAnsi="Amiri" w:eastAsia="Amiri" w:cs="Amiri"/>
          <w:color w:val="111111"/>
          <w:sz w:val="28"/>
          <w:sz w:val="28"/>
          <w:szCs w:val="28"/>
          <w:rtl w:val="true"/>
          <w:lang w:bidi="ar-SA"/>
        </w:rPr>
        <w:t>اللتين هما كالنص ، بل نصّان في عدم وجوب ستر غير العورة ، وهما راجحتان بموافقة الأصل ، مع أنّ أكثر المقيّدات خال عن الدالّ على الوجوب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خالف الشيخ في المبسوط </w:t>
      </w:r>
      <w:r>
        <w:rPr>
          <w:rStyle w:val="FootnoteAnchor"/>
          <w:rtl w:val="true"/>
        </w:rPr>
        <w:footnoteReference w:id="561"/>
      </w:r>
      <w:r>
        <w:rPr>
          <w:rFonts w:ascii="Amiri" w:hAnsi="Amiri" w:eastAsia="Amiri" w:cs="Amiri"/>
          <w:color w:val="111111"/>
          <w:sz w:val="28"/>
          <w:sz w:val="28"/>
          <w:szCs w:val="28"/>
          <w:rtl w:val="true"/>
          <w:lang w:bidi="ar-SA"/>
        </w:rPr>
        <w:t xml:space="preserve">ظاهرا ، والحلّي </w:t>
      </w:r>
      <w:r>
        <w:rPr>
          <w:rStyle w:val="FootnoteAnchor"/>
          <w:rtl w:val="true"/>
        </w:rPr>
        <w:footnoteReference w:id="562"/>
      </w:r>
      <w:r>
        <w:rPr>
          <w:rFonts w:ascii="Amiri" w:hAnsi="Amiri" w:eastAsia="Amiri" w:cs="Amiri"/>
          <w:color w:val="111111"/>
          <w:sz w:val="28"/>
          <w:sz w:val="28"/>
          <w:szCs w:val="28"/>
          <w:rtl w:val="true"/>
          <w:lang w:bidi="ar-SA"/>
        </w:rPr>
        <w:t xml:space="preserve">، والفاضل في جملة من كتبه </w:t>
      </w:r>
      <w:r>
        <w:rPr>
          <w:rStyle w:val="FootnoteAnchor"/>
          <w:rtl w:val="true"/>
        </w:rPr>
        <w:footnoteReference w:id="563"/>
      </w:r>
      <w:r>
        <w:rPr>
          <w:rFonts w:ascii="Amiri" w:hAnsi="Amiri" w:eastAsia="Amiri" w:cs="Amiri"/>
          <w:color w:val="111111"/>
          <w:sz w:val="28"/>
          <w:sz w:val="28"/>
          <w:szCs w:val="28"/>
          <w:rtl w:val="true"/>
          <w:lang w:bidi="ar-SA"/>
        </w:rPr>
        <w:t>في الأول ، فقالوا بعدم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والحلبي </w:t>
      </w:r>
      <w:r>
        <w:rPr>
          <w:rStyle w:val="FootnoteAnchor"/>
          <w:rtl w:val="true"/>
        </w:rPr>
        <w:footnoteReference w:id="564"/>
      </w:r>
      <w:r>
        <w:rPr>
          <w:rFonts w:ascii="Amiri" w:hAnsi="Amiri" w:eastAsia="Amiri" w:cs="Amiri"/>
          <w:color w:val="111111"/>
          <w:sz w:val="28"/>
          <w:sz w:val="28"/>
          <w:szCs w:val="28"/>
          <w:rtl w:val="true"/>
          <w:lang w:bidi="ar-SA"/>
        </w:rPr>
        <w:t xml:space="preserve">، والغنية </w:t>
      </w:r>
      <w:r>
        <w:rPr>
          <w:rStyle w:val="FootnoteAnchor"/>
          <w:rtl w:val="true"/>
        </w:rPr>
        <w:footnoteReference w:id="565"/>
      </w:r>
      <w:r>
        <w:rPr>
          <w:rFonts w:ascii="IRNazanin" w:hAnsi="IRNazanin" w:eastAsia="IRNazanin"/>
          <w:color w:val="111111"/>
          <w:sz w:val="28"/>
          <w:sz w:val="28"/>
          <w:szCs w:val="28"/>
          <w:rtl w:val="true"/>
          <w:lang w:bidi="fa-IR"/>
        </w:rPr>
        <w:t xml:space="preserve">، والإصباح ، </w:t>
      </w:r>
    </w:p>
    <w:p>
      <w:pPr>
        <w:pStyle w:val="BookText"/>
        <w:rPr/>
      </w:pPr>
      <w:r>
        <w:rPr>
          <w:rFonts w:ascii="Amiri" w:hAnsi="Amiri" w:eastAsia="Amiri" w:cs="Amiri"/>
          <w:color w:val="111111"/>
          <w:sz w:val="28"/>
          <w:sz w:val="28"/>
          <w:szCs w:val="28"/>
          <w:rtl w:val="true"/>
          <w:lang w:bidi="ar-SA"/>
        </w:rPr>
        <w:t xml:space="preserve">والمدارك ، وأكثر الثالثة </w:t>
      </w:r>
      <w:r>
        <w:rPr>
          <w:rStyle w:val="FootnoteAnchor"/>
          <w:rtl w:val="true"/>
        </w:rPr>
        <w:footnoteReference w:id="566"/>
      </w:r>
      <w:r>
        <w:rPr>
          <w:rFonts w:ascii="Amiri" w:hAnsi="Amiri" w:eastAsia="Amiri" w:cs="Amiri"/>
          <w:color w:val="111111"/>
          <w:sz w:val="28"/>
          <w:sz w:val="28"/>
          <w:szCs w:val="28"/>
          <w:rtl w:val="true"/>
          <w:lang w:bidi="ar-SA"/>
        </w:rPr>
        <w:t>في الثاني ، فقالوا بعدم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في الأول في محلّها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فمشكلة ، لأن الأمر بستر العورة والتأزير في الصحيحة والرواية لا ينافي وجوب ستر سائر الأعضاء أيضا بدليل آخر وإن خصّها بالذكر للأهميّة ، فلا تعارضان المقيّدات ، وتبقى هي بلا معارض سوى بعض المطلقات الواجب حمله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وخلوّ أكثرها عن الدالّ على الوجوب بعد اشتمال بعضها عليه غير ضائر ، وهو موثّقة الساباطي </w:t>
      </w:r>
      <w:r>
        <w:rPr>
          <w:rStyle w:val="FootnoteAnchor"/>
          <w:rtl w:val="true"/>
        </w:rPr>
        <w:footnoteReference w:id="567"/>
      </w:r>
      <w:r>
        <w:rPr>
          <w:rFonts w:ascii="Amiri" w:hAnsi="Amiri" w:eastAsia="Amiri" w:cs="Amiri"/>
          <w:color w:val="111111"/>
          <w:sz w:val="28"/>
          <w:sz w:val="28"/>
          <w:szCs w:val="28"/>
          <w:rtl w:val="true"/>
          <w:lang w:bidi="ar-SA"/>
        </w:rPr>
        <w:t xml:space="preserve">حيث جعل المحرم كالمسلمة إلاّ في أنّه تكون في المحرم تحت الدرع ، ولا يجوز أن تكون التفرقة في مطلق الرجحان ، لثبوته في المسلمة أيضا ، وإن كان محلا للنظر ، فتكون في الوجوب ، وجعلها </w:t>
      </w:r>
      <w:r>
        <w:rPr>
          <w:rStyle w:val="FootnoteAnchor"/>
          <w:rtl w:val="true"/>
        </w:rPr>
        <w:footnoteReference w:id="568"/>
      </w:r>
      <w:r>
        <w:rPr>
          <w:rFonts w:ascii="Amiri" w:hAnsi="Amiri" w:eastAsia="Amiri" w:cs="Amiri"/>
          <w:color w:val="111111"/>
          <w:sz w:val="28"/>
          <w:sz w:val="28"/>
          <w:szCs w:val="28"/>
          <w:rtl w:val="true"/>
          <w:lang w:bidi="ar-SA"/>
        </w:rPr>
        <w:t>في مراتبه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جواز شمول قوله في خبر الشحام ، المتقدّم </w:t>
      </w:r>
      <w:r>
        <w:rPr>
          <w:rStyle w:val="FootnoteAnchor"/>
          <w:rtl w:val="true"/>
        </w:rPr>
        <w:footnoteReference w:id="5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له فيهن امرأة فليغسّل في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لذوات المحارم ، لثبوت نوع اختصاص ، وبعده يجبر بذكر ذي الرحم قبل ذلك دون ها هنا مع الاتّحاد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بالاشتراط في غاية القوة ، وبالاحتياط أوفق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تغسيل الأجنبية ابن أقلّ من ثلاث سنين إجماعا كما في المنتهى </w:t>
      </w:r>
      <w:r>
        <w:rPr>
          <w:rStyle w:val="FootnoteAnchor"/>
          <w:rtl w:val="true"/>
        </w:rPr>
        <w:footnoteReference w:id="570"/>
      </w:r>
      <w:r>
        <w:rPr>
          <w:rFonts w:ascii="Amiri" w:hAnsi="Amiri" w:eastAsia="Amiri" w:cs="Amiri"/>
          <w:color w:val="111111"/>
          <w:sz w:val="28"/>
          <w:sz w:val="28"/>
          <w:szCs w:val="28"/>
          <w:rtl w:val="true"/>
          <w:lang w:bidi="ar-SA"/>
        </w:rPr>
        <w:t xml:space="preserve">واللوامع ، وعن التذكرة ونهاية الإحكام </w:t>
      </w:r>
      <w:r>
        <w:rPr>
          <w:rStyle w:val="FootnoteAnchor"/>
          <w:rtl w:val="true"/>
        </w:rPr>
        <w:footnoteReference w:id="571"/>
      </w:r>
      <w:r>
        <w:rPr>
          <w:rFonts w:ascii="Amiri" w:hAnsi="Amiri" w:eastAsia="Amiri" w:cs="Amiri"/>
          <w:color w:val="111111"/>
          <w:sz w:val="28"/>
          <w:sz w:val="28"/>
          <w:szCs w:val="28"/>
          <w:rtl w:val="true"/>
          <w:lang w:bidi="ar-SA"/>
        </w:rPr>
        <w:t>في ابن الثلاث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الحجة فيه مضافا إلى العمومات ، وخبر ابن النمير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إلى </w:t>
      </w:r>
    </w:p>
    <w:p>
      <w:pPr>
        <w:pStyle w:val="BookText"/>
        <w:rPr/>
      </w:pPr>
      <w:r>
        <w:rPr>
          <w:rFonts w:ascii="Amiri" w:hAnsi="Amiri" w:eastAsia="Amiri" w:cs="Amiri"/>
          <w:color w:val="111111"/>
          <w:sz w:val="28"/>
          <w:sz w:val="28"/>
          <w:szCs w:val="28"/>
          <w:rtl w:val="true"/>
          <w:lang w:bidi="ar-SA"/>
        </w:rPr>
        <w:t xml:space="preserve">كم تغسّله النساء؟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ثلاث سنين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تغسّله امرأة؟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الصبيان النساء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مجرّدا ، للأصل وظاهر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وفاقا للأكثر ، للأصل والإطلاق ، وخلافا للمحكي عن النهاية ، وظاهر الوسيلة ، والسرائر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ابن الثلاث أو أكثر ، وفاقا لصريح الكركي ، والشرائع ، والمحكي عن المبسوط </w:t>
      </w:r>
      <w:r>
        <w:rPr>
          <w:rStyle w:val="FootnoteAnchor"/>
          <w:rtl w:val="true"/>
        </w:rPr>
        <w:footnoteReference w:id="575"/>
      </w:r>
      <w:r>
        <w:rPr>
          <w:rFonts w:ascii="Amiri" w:hAnsi="Amiri" w:eastAsia="Amiri" w:cs="Amiri"/>
          <w:color w:val="111111"/>
          <w:sz w:val="28"/>
          <w:sz w:val="28"/>
          <w:szCs w:val="28"/>
          <w:rtl w:val="true"/>
          <w:lang w:bidi="ar-SA"/>
        </w:rPr>
        <w:t>، والإصباح حيث قيّدوا بالأقلّ ، لمفهوم الغاية في الخبر المتقدّم الدالّ على عدم الجواز ، حيث إنّ السؤال في المنطوق عن الجواز قطعا ، لعدم رجحان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للأكثر في ابن الثلاث ، إمّا لدخول الغاية في المغيّى ، أو للإجماعات المحكية ، والعمومات وإطلاق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ممنوع ، بل الحق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بلزوم التقييد والتخصيص بمفهوم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وللمنقول عن الصدوق </w:t>
      </w:r>
      <w:r>
        <w:rPr>
          <w:rStyle w:val="FootnoteAnchor"/>
          <w:rtl w:val="true"/>
        </w:rPr>
        <w:footnoteReference w:id="576"/>
      </w:r>
      <w:r>
        <w:rPr>
          <w:rFonts w:ascii="Amiri" w:hAnsi="Amiri" w:eastAsia="Amiri" w:cs="Amiri"/>
          <w:color w:val="111111"/>
          <w:sz w:val="28"/>
          <w:sz w:val="28"/>
          <w:szCs w:val="28"/>
          <w:rtl w:val="true"/>
          <w:lang w:bidi="ar-SA"/>
        </w:rPr>
        <w:t xml:space="preserve">، والمفيد ، والديلمي </w:t>
      </w:r>
      <w:r>
        <w:rPr>
          <w:rStyle w:val="FootnoteAnchor"/>
          <w:rtl w:val="true"/>
        </w:rPr>
        <w:footnoteReference w:id="577"/>
      </w:r>
      <w:r>
        <w:rPr>
          <w:rFonts w:ascii="Amiri" w:hAnsi="Amiri" w:eastAsia="Amiri" w:cs="Amiri"/>
          <w:color w:val="111111"/>
          <w:sz w:val="28"/>
          <w:sz w:val="28"/>
          <w:szCs w:val="28"/>
          <w:rtl w:val="true"/>
          <w:lang w:bidi="ar-SA"/>
        </w:rPr>
        <w:t xml:space="preserve">في ابن الخمس مجرّدا ، وعن الأخيرين </w:t>
      </w:r>
      <w:r>
        <w:rPr>
          <w:rStyle w:val="FootnoteAnchor"/>
          <w:rtl w:val="true"/>
        </w:rPr>
        <w:footnoteReference w:id="578"/>
      </w:r>
      <w:r>
        <w:rPr>
          <w:rFonts w:ascii="Amiri" w:hAnsi="Amiri" w:eastAsia="Amiri" w:cs="Amiri"/>
          <w:color w:val="111111"/>
          <w:sz w:val="28"/>
          <w:sz w:val="28"/>
          <w:szCs w:val="28"/>
          <w:rtl w:val="true"/>
          <w:lang w:bidi="ar-SA"/>
        </w:rPr>
        <w:t>في ابن الأكثر فوق الثياب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الأول لإطلاق الموثّقة الواجب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لما اختاره من جواز التغاير مع الستر المتقدّم بطلانه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سعيد في ابن الأكثر من الثلاث مطلقا فوق الثياب </w:t>
      </w:r>
      <w:r>
        <w:rPr>
          <w:rStyle w:val="FootnoteAnchor"/>
          <w:rtl w:val="true"/>
        </w:rPr>
        <w:footnoteReference w:id="579"/>
      </w:r>
      <w:r>
        <w:rPr>
          <w:rFonts w:ascii="Amiri" w:hAnsi="Amiri" w:eastAsia="Amiri" w:cs="Amiri"/>
          <w:color w:val="111111"/>
          <w:sz w:val="28"/>
          <w:sz w:val="28"/>
          <w:szCs w:val="28"/>
          <w:rtl w:val="true"/>
          <w:lang w:bidi="ar-SA"/>
        </w:rPr>
        <w:t xml:space="preserve">وعن ابن حمزة فيه إلى أن يراهق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تامّا لهما والتمسّك بالأصل في بعض ما ذكر مع كون العبادة توقيفية فاسد ، وبالعمومات مع المفهوم المتقدّم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الأجنبي فيغسّل بنت أقلّ من ثلاث سنين ، وفاقا لغير المعتبر ، بل عن نهاية الإحكام الإجماع في بنت الثلاث </w:t>
      </w:r>
      <w:r>
        <w:rPr>
          <w:rStyle w:val="FootnoteAnchor"/>
          <w:rtl w:val="true"/>
        </w:rPr>
        <w:footnoteReference w:id="581"/>
      </w:r>
      <w:r>
        <w:rPr>
          <w:rFonts w:ascii="Amiri" w:hAnsi="Amiri" w:eastAsia="Amiri" w:cs="Amiri"/>
          <w:color w:val="111111"/>
          <w:sz w:val="28"/>
          <w:sz w:val="28"/>
          <w:szCs w:val="28"/>
          <w:rtl w:val="true"/>
          <w:lang w:bidi="ar-SA"/>
        </w:rPr>
        <w:t xml:space="preserve">لا للمروي عن جامع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تموت مع الرجال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معه بنت أقلّ من خمس سنين غسّلت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وإن كان ضعفه في المورد منجبرا بالشهرة والإجماع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لمعارضته مع مرسلة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تموت مع الرجل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بنت أقلّ من خمس سنين أو ست دفنت ولم تغسّل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وتضعيفها لما في متنها من الاختلاف </w:t>
      </w:r>
      <w:r>
        <w:rPr>
          <w:rStyle w:val="FootnoteAnchor"/>
          <w:rtl w:val="true"/>
        </w:rPr>
        <w:footnoteReference w:id="584"/>
      </w:r>
      <w:r>
        <w:rPr>
          <w:rFonts w:ascii="Amiri" w:hAnsi="Amiri" w:eastAsia="Amiri" w:cs="Amiri"/>
          <w:color w:val="111111"/>
          <w:sz w:val="28"/>
          <w:sz w:val="28"/>
          <w:szCs w:val="28"/>
          <w:rtl w:val="true"/>
          <w:lang w:bidi="ar-SA"/>
        </w:rPr>
        <w:t xml:space="preserve">ضعيف ، لأنّه إن أريد به نفي الغسل عن الأقل ، وعمومه مخالف للشهرة ، فكم من عام يخالف عمومه الأدلة الناطقة ، وإن أريد التخصيص بالأقل فكم من تخصيصات غير ظاهر وجهها لنا ، وإن أريد اضطرابها من جهة ظهور اتّحادها مع ذلك المروي واختلافهما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منع الظهور يوجب الوهن فيهما ، مع أن نسخ الفقيه في الأقلّ والأكثر في ذلك المروي مختلفة ، كما صرّح به الوافي </w:t>
      </w:r>
      <w:r>
        <w:rPr>
          <w:rStyle w:val="FootnoteAnchor"/>
          <w:rtl w:val="true"/>
        </w:rPr>
        <w:footnoteReference w:id="586"/>
      </w:r>
      <w:r>
        <w:rPr>
          <w:rFonts w:ascii="Amiri" w:hAnsi="Amiri" w:eastAsia="Amiri" w:cs="Amiri"/>
          <w:color w:val="111111"/>
          <w:sz w:val="28"/>
          <w:sz w:val="28"/>
          <w:szCs w:val="28"/>
          <w:rtl w:val="true"/>
          <w:lang w:bidi="ar-SA"/>
        </w:rPr>
        <w:t xml:space="preserve">، وعلى أيّ تقدير فهو </w:t>
      </w:r>
    </w:p>
    <w:p>
      <w:pPr>
        <w:pStyle w:val="BookText"/>
        <w:rPr/>
      </w:pPr>
      <w:r>
        <w:rPr>
          <w:rFonts w:ascii="Amiri" w:hAnsi="Amiri" w:eastAsia="Amiri" w:cs="Amiri"/>
          <w:color w:val="111111"/>
          <w:sz w:val="28"/>
          <w:sz w:val="28"/>
          <w:szCs w:val="28"/>
          <w:rtl w:val="true"/>
          <w:lang w:bidi="ar-SA"/>
        </w:rPr>
        <w:t>عن الحجية معزول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على الحي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 الخالية عن معارضة أدلّة اشتراط المماثلة مطلقا أو اختيارا ، لاختصاصها بالرجل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اختيارا </w:t>
      </w:r>
      <w:r>
        <w:rPr>
          <w:rStyle w:val="FootnoteAnchor"/>
          <w:rtl w:val="true"/>
        </w:rPr>
        <w:footnoteReference w:id="587"/>
      </w:r>
      <w:r>
        <w:rPr>
          <w:rFonts w:ascii="Amiri" w:hAnsi="Amiri" w:eastAsia="Amiri" w:cs="Amiri"/>
          <w:color w:val="111111"/>
          <w:sz w:val="28"/>
          <w:sz w:val="28"/>
          <w:szCs w:val="28"/>
          <w:rtl w:val="true"/>
          <w:lang w:bidi="ar-SA"/>
        </w:rPr>
        <w:t>مجرّدة ، للأصل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بنت الثلاث ، وفاقا لمن ذكر في الابن وإن شملها العمومات ، لخروجها بخبر ابن النمير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عدم القول بالمنع في الابن والجواز في البنت ، وإن كان في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فيها مطلقا للأكثر ، ومع الاضطرار لطائفة ذكرهم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الثياب لجمع آخر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 والديلمي ، وابنا حمزة وسعيد </w:t>
      </w:r>
      <w:r>
        <w:rPr>
          <w:rStyle w:val="FootnoteAnchor"/>
          <w:rtl w:val="true"/>
        </w:rPr>
        <w:footnoteReference w:id="591"/>
      </w:r>
      <w:r>
        <w:rPr>
          <w:rFonts w:ascii="Amiri" w:hAnsi="Amiri" w:eastAsia="Amiri" w:cs="Amiri"/>
          <w:color w:val="111111"/>
          <w:sz w:val="28"/>
          <w:sz w:val="28"/>
          <w:szCs w:val="28"/>
          <w:rtl w:val="true"/>
          <w:lang w:bidi="ar-SA"/>
        </w:rPr>
        <w:t>، مع تجويز التغسيل مجرّدا في الأقلّ كالأولين ، أو بدونه كالأخيرين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بنت الأقلّ من خمس للمحكي عن الصدوق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بنت الخمس لوالدي  قدس سره  وبعض آخر ممّن تأخّر ، ونقله في اللوامع عن المفيد ، والديلمي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جوّزا تغسيل بنت الأكثر من الثلاث فوق الثياب اضطرارا ، بناء على قولهم بعدم اشتراط المماثلة مع الاضطرار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الأصل والعمومات ، والمحكي من الإجماع ، والمروي عن الجامع </w:t>
      </w:r>
      <w:r>
        <w:rPr>
          <w:rStyle w:val="FootnoteAnchor"/>
          <w:rtl w:val="true"/>
        </w:rPr>
        <w:footnoteReference w:id="593"/>
      </w:r>
      <w:r>
        <w:rPr>
          <w:rFonts w:ascii="Amiri" w:hAnsi="Amiri" w:eastAsia="Amiri" w:cs="Amiri"/>
          <w:color w:val="111111"/>
          <w:sz w:val="28"/>
          <w:sz w:val="28"/>
          <w:szCs w:val="28"/>
          <w:rtl w:val="true"/>
          <w:lang w:bidi="ar-SA"/>
        </w:rPr>
        <w:t>، وما استدلّوا على تغسيل المغاير مع الاضطرار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وللمعتبر ، فلم يجوّزه مطلقا </w:t>
      </w:r>
      <w:r>
        <w:rPr>
          <w:rStyle w:val="FootnoteAnchor"/>
          <w:rtl w:val="true"/>
        </w:rPr>
        <w:footnoteReference w:id="594"/>
      </w:r>
      <w:r>
        <w:rPr>
          <w:rFonts w:ascii="Amiri" w:hAnsi="Amiri" w:eastAsia="Amiri" w:cs="Amiri"/>
          <w:color w:val="111111"/>
          <w:sz w:val="28"/>
          <w:sz w:val="28"/>
          <w:szCs w:val="28"/>
          <w:rtl w:val="true"/>
          <w:lang w:bidi="ar-SA"/>
        </w:rPr>
        <w:t>، لأصالة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نظر ، ولو سلّمت فالغسل لا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يتأيّد بذيل الموثّق المتقدّم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الصبية ، ولا تصاب امرأة تغسّلها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يغسّلها رجل أولى الناس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ظهوره في إطلاق المنع حتى فيما إذا لم يوجد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مطلوبه ، بل على خلافه أدلّ ، إذ الأولى كثيرا ما يكون أجنبيا كأبناء الأعمام والأخوال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النهاية ، والمقنعة ، والمبسوط </w:t>
      </w:r>
      <w:r>
        <w:rPr>
          <w:rStyle w:val="FootnoteAnchor"/>
          <w:rtl w:val="true"/>
        </w:rPr>
        <w:footnoteReference w:id="596"/>
      </w:r>
      <w:r>
        <w:rPr>
          <w:rFonts w:ascii="Amiri" w:hAnsi="Amiri" w:eastAsia="Amiri" w:cs="Amiri"/>
          <w:color w:val="111111"/>
          <w:sz w:val="28"/>
          <w:sz w:val="28"/>
          <w:szCs w:val="28"/>
          <w:rtl w:val="true"/>
          <w:lang w:bidi="ar-SA"/>
        </w:rPr>
        <w:t xml:space="preserve">، والإسكافي </w:t>
      </w:r>
      <w:r>
        <w:rPr>
          <w:rStyle w:val="FootnoteAnchor"/>
          <w:rtl w:val="true"/>
        </w:rPr>
        <w:footnoteReference w:id="597"/>
      </w:r>
      <w:r>
        <w:rPr>
          <w:rFonts w:ascii="Amiri" w:hAnsi="Amiri" w:eastAsia="Amiri" w:cs="Amiri"/>
          <w:color w:val="111111"/>
          <w:sz w:val="28"/>
          <w:sz w:val="28"/>
          <w:szCs w:val="28"/>
          <w:rtl w:val="true"/>
          <w:lang w:bidi="ar-SA"/>
        </w:rPr>
        <w:t xml:space="preserve">، والمراسم ، والوسيلة </w:t>
      </w:r>
      <w:r>
        <w:rPr>
          <w:rStyle w:val="FootnoteAnchor"/>
          <w:rtl w:val="true"/>
        </w:rPr>
        <w:footnoteReference w:id="598"/>
      </w:r>
      <w:r>
        <w:rPr>
          <w:rFonts w:ascii="Amiri" w:hAnsi="Amiri" w:eastAsia="Amiri" w:cs="Amiri"/>
          <w:color w:val="111111"/>
          <w:sz w:val="28"/>
          <w:sz w:val="28"/>
          <w:szCs w:val="28"/>
          <w:rtl w:val="true"/>
          <w:lang w:bidi="ar-SA"/>
        </w:rPr>
        <w:t xml:space="preserve">، والصهرشتي </w:t>
      </w:r>
      <w:r>
        <w:rPr>
          <w:rStyle w:val="FootnoteAnchor"/>
          <w:rtl w:val="true"/>
        </w:rPr>
        <w:footnoteReference w:id="599"/>
      </w:r>
      <w:r>
        <w:rPr>
          <w:rFonts w:ascii="Amiri" w:hAnsi="Amiri" w:eastAsia="Amiri" w:cs="Amiri"/>
          <w:color w:val="111111"/>
          <w:sz w:val="28"/>
          <w:sz w:val="28"/>
          <w:szCs w:val="28"/>
          <w:rtl w:val="true"/>
          <w:lang w:bidi="ar-SA"/>
        </w:rPr>
        <w:t xml:space="preserve">وابن سعيد ، والتذكرة </w:t>
      </w:r>
      <w:r>
        <w:rPr>
          <w:rStyle w:val="FootnoteAnchor"/>
          <w:rtl w:val="true"/>
        </w:rPr>
        <w:footnoteReference w:id="600"/>
      </w:r>
      <w:r>
        <w:rPr>
          <w:rFonts w:ascii="Amiri" w:hAnsi="Amiri" w:eastAsia="Amiri" w:cs="Amiri"/>
          <w:color w:val="111111"/>
          <w:sz w:val="28"/>
          <w:sz w:val="28"/>
          <w:szCs w:val="28"/>
          <w:rtl w:val="true"/>
          <w:lang w:bidi="ar-SA"/>
        </w:rPr>
        <w:t xml:space="preserve">، وفي الشرائع ، والمنتهى ، والقواعد </w:t>
      </w:r>
      <w:r>
        <w:rPr>
          <w:rStyle w:val="FootnoteAnchor"/>
          <w:rtl w:val="true"/>
        </w:rPr>
        <w:footnoteReference w:id="601"/>
      </w:r>
      <w:r>
        <w:rPr>
          <w:rFonts w:ascii="Amiri" w:hAnsi="Amiri" w:eastAsia="Amiri" w:cs="Amiri"/>
          <w:color w:val="111111"/>
          <w:sz w:val="28"/>
          <w:sz w:val="28"/>
          <w:szCs w:val="28"/>
          <w:rtl w:val="true"/>
          <w:lang w:bidi="ar-SA"/>
        </w:rPr>
        <w:t xml:space="preserve">وغيرها ، بل هو المشهور كما صرّح به جماعة </w:t>
      </w:r>
      <w:r>
        <w:rPr>
          <w:rStyle w:val="FootnoteAnchor"/>
          <w:rtl w:val="true"/>
        </w:rPr>
        <w:footnoteReference w:id="602"/>
      </w:r>
      <w:r>
        <w:rPr>
          <w:rFonts w:ascii="Amiri" w:hAnsi="Amiri" w:eastAsia="Amiri" w:cs="Amiri"/>
          <w:color w:val="111111"/>
          <w:sz w:val="28"/>
          <w:sz w:val="28"/>
          <w:szCs w:val="28"/>
          <w:rtl w:val="true"/>
          <w:lang w:bidi="ar-SA"/>
        </w:rPr>
        <w:t xml:space="preserve">، بل عن التذكرة النسبة إلى علمائنا </w:t>
      </w:r>
      <w:r>
        <w:rPr>
          <w:rStyle w:val="FootnoteAnchor"/>
          <w:rtl w:val="true"/>
        </w:rPr>
        <w:footnoteReference w:id="603"/>
      </w:r>
      <w:r>
        <w:rPr>
          <w:rFonts w:ascii="Amiri" w:hAnsi="Amiri" w:eastAsia="Amiri" w:cs="Amiri"/>
          <w:color w:val="111111"/>
          <w:sz w:val="28"/>
          <w:sz w:val="28"/>
          <w:szCs w:val="28"/>
          <w:rtl w:val="true"/>
          <w:lang w:bidi="ar-SA"/>
        </w:rPr>
        <w:t xml:space="preserve">، وفي الذكرى لا أعلم لهذا الحكم مخالفا سوى المحقق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فقد المماثل المسلم والمحرم ووجود المماثل الكافر يغسّل وجوبا بعد اغتساله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موثّقة عمّار </w:t>
      </w:r>
      <w:r>
        <w:rPr>
          <w:rStyle w:val="FootnoteAnchor"/>
          <w:rtl w:val="true"/>
        </w:rPr>
        <w:footnoteReference w:id="605"/>
      </w:r>
      <w:r>
        <w:rPr>
          <w:rFonts w:ascii="Amiri" w:hAnsi="Amiri" w:eastAsia="Amiri" w:cs="Amiri"/>
          <w:color w:val="111111"/>
          <w:sz w:val="28"/>
          <w:sz w:val="28"/>
          <w:szCs w:val="28"/>
          <w:rtl w:val="true"/>
          <w:lang w:bidi="ar-SA"/>
        </w:rPr>
        <w:t xml:space="preserve">، ورواية زيد </w:t>
      </w:r>
      <w:r>
        <w:rPr>
          <w:rStyle w:val="FootnoteAnchor"/>
          <w:rtl w:val="true"/>
        </w:rPr>
        <w:footnoteReference w:id="606"/>
      </w:r>
      <w:r>
        <w:rPr>
          <w:rFonts w:ascii="Amiri" w:hAnsi="Amiri" w:eastAsia="Amiri" w:cs="Amiri"/>
          <w:color w:val="111111"/>
          <w:sz w:val="28"/>
          <w:sz w:val="28"/>
          <w:szCs w:val="28"/>
          <w:rtl w:val="true"/>
          <w:lang w:bidi="ar-SA"/>
        </w:rPr>
        <w:t xml:space="preserve">، والرضوي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ولا يضرّ خلوّها عن الدال على الوجوب ، لأنّ عمومات وجوب غسل الميت بعد كون الكافر مكلفا بالفروع تكفي في إثباته ، غاية الأمر اشتراط صحة العبادات عنه بالإسلام ، للتوقّف على النية المتوقّفة عليه ، وهو منتف للأخبار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بها حقيقة على نفي شرطية الإسلام حين التعذّر دون الوجوب ، ولازمه نفي اشتراط النية حينئذ ، ولا ضير فيه بعد دلالة الأخبار ، وإن قلنا باشتراطها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ومدخليتها في حقيقة الغسل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لازمه صحة نية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المتأخّرين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 لعدم تأتّي نيّة التقرّب بذلك منه ، وإلاّ لما كان كافرا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للمحقّقين في المعتبر وشرح القواعد فنفياه </w:t>
      </w:r>
      <w:r>
        <w:rPr>
          <w:rStyle w:val="FootnoteAnchor"/>
          <w:rtl w:val="true"/>
        </w:rPr>
        <w:footnoteReference w:id="609"/>
      </w:r>
      <w:r>
        <w:rPr>
          <w:rFonts w:ascii="Amiri" w:hAnsi="Amiri" w:eastAsia="Amiri" w:cs="Amiri"/>
          <w:color w:val="111111"/>
          <w:sz w:val="28"/>
          <w:sz w:val="28"/>
          <w:szCs w:val="28"/>
          <w:rtl w:val="true"/>
          <w:lang w:bidi="ar-SA"/>
        </w:rPr>
        <w:t xml:space="preserve">، ونسب إلى ابن سعيد أيضا </w:t>
      </w:r>
      <w:r>
        <w:rPr>
          <w:rStyle w:val="FootnoteAnchor"/>
          <w:rtl w:val="true"/>
        </w:rPr>
        <w:footnoteReference w:id="610"/>
      </w:r>
      <w:r>
        <w:rPr>
          <w:rFonts w:ascii="Amiri" w:hAnsi="Amiri" w:eastAsia="Amiri" w:cs="Amiri"/>
          <w:color w:val="111111"/>
          <w:sz w:val="28"/>
          <w:sz w:val="28"/>
          <w:szCs w:val="28"/>
          <w:rtl w:val="true"/>
          <w:lang w:bidi="ar-SA"/>
        </w:rPr>
        <w:t xml:space="preserve">، بل هو ظاهر من لم يذكر الحكم كالعماني ، والجعفي </w:t>
      </w:r>
      <w:r>
        <w:rPr>
          <w:rStyle w:val="FootnoteAnchor"/>
          <w:rtl w:val="true"/>
        </w:rPr>
        <w:footnoteReference w:id="611"/>
      </w:r>
      <w:r>
        <w:rPr>
          <w:rFonts w:ascii="Amiri" w:hAnsi="Amiri" w:eastAsia="Amiri" w:cs="Amiri"/>
          <w:color w:val="111111"/>
          <w:sz w:val="28"/>
          <w:sz w:val="28"/>
          <w:szCs w:val="28"/>
          <w:rtl w:val="true"/>
          <w:lang w:bidi="ar-SA"/>
        </w:rPr>
        <w:t xml:space="preserve">، والقاضي ، والحلبي ، وابن زهرة الحلبي ، والشيخ في الخلاف </w:t>
      </w:r>
      <w:r>
        <w:rPr>
          <w:rStyle w:val="FootnoteAnchor"/>
          <w:rtl w:val="true"/>
        </w:rPr>
        <w:footnoteReference w:id="612"/>
      </w:r>
      <w:r>
        <w:rPr>
          <w:rFonts w:ascii="Amiri" w:hAnsi="Amiri" w:eastAsia="Amiri" w:cs="Amiri"/>
          <w:color w:val="111111"/>
          <w:sz w:val="28"/>
          <w:sz w:val="28"/>
          <w:szCs w:val="28"/>
          <w:rtl w:val="true"/>
          <w:lang w:bidi="ar-SA"/>
        </w:rPr>
        <w:t xml:space="preserve">، وتوقّف في الذكرى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لضعف الأخبار ، وما في نية الكافر من عدم الاعتبار ، ونجاسته فلا يفيد الطهارة للأغيار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العمومات مع ما لضعفها من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الاعتبار بعد دلالة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الغسل في الكثير أو الجاري ، أو من غير ملاقاته الماء ، غايته تنجّس الميت بنجاسة عرضية لمباشرته بعد التغسيل أو عنده ، وهو غير ضائر ، وتطهير المسلم المغاير له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الاقتصار على الذمّي ، كما هو مورد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بعضهم ، وصريح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واجبا إلاّ أنّه ليس بغسل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إن ثبت مدخلية النية في حقيقة الغسل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يعاد الغسل بعد رفع الضرورة كسائر موارد الامتثال ، لدلالة الأمر على الإجزاء ، وعدم اجتماع البدل والمبدل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ومن اشتبهت ذكوريته وأنوثيته إن لم يبلغ الثلاث فأمره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بلغ فالحقّ جواز تغسيله لكلّ من الذكر والأنثى وبالعكس ، للعمومات الخالية عن المخصّص سوى الأخبار المانعة عن تغسيل المغاير الذي هو في المورد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الغسل من غير المكلّف من المميّز ، وعدمها قولان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عن الفاضلين في بعض كتبهما </w:t>
      </w:r>
      <w:r>
        <w:rPr>
          <w:rStyle w:val="FootnoteAnchor"/>
          <w:rtl w:val="true"/>
        </w:rPr>
        <w:footnoteReference w:id="614"/>
      </w:r>
      <w:r>
        <w:rPr>
          <w:rFonts w:ascii="Amiri" w:hAnsi="Amiri" w:eastAsia="Amiri" w:cs="Amiri"/>
          <w:color w:val="111111"/>
          <w:sz w:val="28"/>
          <w:sz w:val="28"/>
          <w:szCs w:val="28"/>
          <w:rtl w:val="true"/>
          <w:lang w:bidi="ar-SA"/>
        </w:rPr>
        <w:t xml:space="preserve">، لصحة نية القربة منه ، ودلالة الأخبار على جواز عتقه ووصيته وصدقته </w:t>
      </w:r>
      <w:r>
        <w:rPr>
          <w:rStyle w:val="FootnoteAnchor"/>
          <w:rtl w:val="true"/>
        </w:rPr>
        <w:footnoteReference w:id="615"/>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والثاني عن الدروس </w:t>
      </w:r>
      <w:r>
        <w:rPr>
          <w:rStyle w:val="FootnoteAnchor"/>
          <w:rtl w:val="true"/>
        </w:rPr>
        <w:footnoteReference w:id="616"/>
      </w:r>
      <w:r>
        <w:rPr>
          <w:rFonts w:ascii="Amiri" w:hAnsi="Amiri" w:eastAsia="Amiri" w:cs="Amiri"/>
          <w:color w:val="111111"/>
          <w:sz w:val="28"/>
          <w:sz w:val="28"/>
          <w:szCs w:val="28"/>
          <w:rtl w:val="true"/>
          <w:lang w:bidi="ar-SA"/>
        </w:rPr>
        <w:t>، لعدم وقوع النية منه على الوجه المعتبر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الذكرى </w:t>
      </w:r>
      <w:r>
        <w:rPr>
          <w:rStyle w:val="FootnoteAnchor"/>
          <w:rtl w:val="true"/>
        </w:rPr>
        <w:footnoteReference w:id="617"/>
      </w:r>
      <w:r>
        <w:rPr>
          <w:rFonts w:ascii="IRNazanin" w:hAnsi="IRNazanin" w:eastAsia="IRNazanin"/>
          <w:color w:val="111111"/>
          <w:sz w:val="28"/>
          <w:sz w:val="28"/>
          <w:szCs w:val="28"/>
          <w:rtl w:val="true"/>
          <w:lang w:bidi="fa-IR"/>
        </w:rPr>
        <w:t>واللوامع 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يبنى القولان على اعتبار النية في الغسل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إمّا في وجوبه ، أو جوازه بمعنى الصحة والامتثال أو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فعدمه ظاهر ، وإلاّ لم يكن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جواز العتق ونحوه منه إن جعلت أدلّة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كبعضهم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الموضوع ، وإلاّ فجواز بعض الأمور منه بدليل لا يوجب تعلّق أمر 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فلتوقّف العلم بترتّب الأثر وحصول الامتثال بشمول العمومات الطلبية له يبتني عليه ، فإن قلنا بالشمول صحّ ، وتأتّي النية منه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وإن لم يتوقّف الغسل على النية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بالصحة لا يجب عليه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المكلّف الغير المحرم ولا المماثل أمره ، لعدم الدليل</w:t>
      </w:r>
      <w:r>
        <w:rPr>
          <w:rFonts w:eastAsia="Amiri" w:cs="Amiri" w:ascii="Amiri" w:hAnsi="Amiri"/>
          <w:color w:val="111111"/>
          <w:sz w:val="28"/>
          <w:szCs w:val="28"/>
          <w:rtl w:val="true"/>
          <w:lang w:bidi="ar-SA"/>
        </w:rPr>
        <w:t xml:space="preserve">. </w:t>
      </w:r>
      <w:bookmarkStart w:id="59" w:name="pg11616_94565"/>
    </w:p>
    <w:p>
      <w:pPr>
        <w:pStyle w:val="Heading4"/>
        <w:numPr>
          <w:ilvl w:val="3"/>
          <w:numId w:val="1"/>
        </w:numPr>
        <w:rPr/>
      </w:pPr>
      <w:bookmarkStart w:id="60" w:name="__RefHeading___Toc5588093_73709187"/>
      <w:bookmarkStart w:id="61" w:name="_Toc24"/>
      <w:bookmarkEnd w:id="59"/>
      <w:bookmarkEnd w:id="60"/>
      <w:r>
        <w:rPr>
          <w:rtl w:val="true"/>
        </w:rPr>
        <w:t xml:space="preserve">الفصل الثاني </w:t>
      </w:r>
      <w:r>
        <w:rPr>
          <w:rtl w:val="true"/>
        </w:rPr>
        <w:t xml:space="preserve">: </w:t>
      </w:r>
      <w:r>
        <w:rPr>
          <w:rtl w:val="true"/>
        </w:rPr>
        <w:t>في المغسول</w:t>
      </w:r>
      <w:bookmarkEnd w:id="6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تغسيل كلّ مسلم إن كان معتقدا للحق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المخالف فإن لم يكن محكوما بكفره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القواعد والتحرير </w:t>
      </w:r>
      <w:r>
        <w:rPr>
          <w:rStyle w:val="FootnoteAnchor"/>
          <w:rtl w:val="true"/>
        </w:rPr>
        <w:footnoteReference w:id="619"/>
      </w:r>
      <w:r>
        <w:rPr>
          <w:rFonts w:ascii="IRNazanin" w:hAnsi="IRNazanin" w:eastAsia="IRNazanin"/>
          <w:color w:val="111111"/>
          <w:sz w:val="28"/>
          <w:sz w:val="28"/>
          <w:szCs w:val="28"/>
          <w:rtl w:val="true"/>
          <w:lang w:bidi="fa-IR"/>
        </w:rPr>
        <w:t xml:space="preserve">، والإرشاد </w:t>
      </w:r>
      <w:r>
        <w:rPr>
          <w:rStyle w:val="FootnoteAnchor"/>
          <w:rtl w:val="true"/>
        </w:rPr>
        <w:footnoteReference w:id="620"/>
      </w:r>
      <w:r>
        <w:rPr>
          <w:rFonts w:ascii="Amiri" w:hAnsi="Amiri" w:eastAsia="Amiri" w:cs="Amiri"/>
          <w:color w:val="111111"/>
          <w:sz w:val="28"/>
          <w:sz w:val="28"/>
          <w:szCs w:val="28"/>
          <w:rtl w:val="true"/>
          <w:lang w:bidi="ar-SA"/>
        </w:rPr>
        <w:t xml:space="preserve">، واللوامع ، مدّعيا عليه في الأخير وفي غيره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تغسيله ، وكان نظره إلى أنّه مراد من جوّزه بإزاء من حرّمه كما صرّح بذلك بعض المشايخ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للعمومات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الميت واجب على الحي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أبي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كلّ شي‌ء من الموتى الغريق وأكيل السبع وكلّ شي‌ء ، إلاّ ما قتل بين الصفّين ، فإن كان به رمق غسّل وإلاّ فلا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كراهيّته للمؤمن ، كما في القواعد والمنتهى والشرائع وعن المبسوط والنهاية والجامع </w:t>
      </w:r>
      <w:r>
        <w:rPr>
          <w:rStyle w:val="FootnoteAnchor"/>
          <w:rtl w:val="true"/>
        </w:rPr>
        <w:footnoteReference w:id="624"/>
      </w:r>
      <w:r>
        <w:rPr>
          <w:rFonts w:ascii="Amiri" w:hAnsi="Amiri" w:eastAsia="Amiri" w:cs="Amiri"/>
          <w:color w:val="111111"/>
          <w:sz w:val="28"/>
          <w:sz w:val="28"/>
          <w:szCs w:val="28"/>
          <w:rtl w:val="true"/>
          <w:lang w:bidi="ar-SA"/>
        </w:rPr>
        <w:t xml:space="preserve">، ونسبها الكركي إلى المشهور بين الأصحاب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التعين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بها ،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هنا بمعنى المرجوحية بالإضافة إلى ارتكاب المخالف له ، كما كانت الأولوية في الولي بمعنى الراجحية بالإضافة إلى ارتكاب غيره ، كما إذا طلب سلطان من واحد من جماعة حاضرين لديه إحضار سوقي كان حضوره لازما البتة ، فارتكاب الوزير بنفسه له مرجوح بالإضافة إلى العبيد ، لا بمعنى أقلية الثواب ، إذ لا معنى محصّل له هنا ، ولا بالمعنى المصطلح في غير العبادات ، لمنافاته الوجوب ، بل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للمقنعة والمحكي عن المراسم </w:t>
      </w:r>
      <w:r>
        <w:rPr>
          <w:rStyle w:val="FootnoteAnchor"/>
          <w:rtl w:val="true"/>
        </w:rPr>
        <w:footnoteReference w:id="626"/>
      </w:r>
      <w:r>
        <w:rPr>
          <w:rFonts w:ascii="IRNazanin" w:hAnsi="IRNazanin" w:eastAsia="IRNazanin"/>
          <w:color w:val="111111"/>
          <w:sz w:val="28"/>
          <w:sz w:val="28"/>
          <w:szCs w:val="28"/>
          <w:rtl w:val="true"/>
          <w:lang w:bidi="fa-IR"/>
        </w:rPr>
        <w:t xml:space="preserve">، والمهذب والسرائر </w:t>
      </w:r>
      <w:r>
        <w:rPr>
          <w:rStyle w:val="FootnoteAnchor"/>
          <w:rtl w:val="true"/>
        </w:rPr>
        <w:footnoteReference w:id="627"/>
      </w:r>
      <w:r>
        <w:rPr>
          <w:rFonts w:ascii="Amiri" w:hAnsi="Amiri" w:eastAsia="Amiri" w:cs="Amiri"/>
          <w:color w:val="111111"/>
          <w:sz w:val="28"/>
          <w:sz w:val="28"/>
          <w:szCs w:val="28"/>
          <w:rtl w:val="true"/>
          <w:lang w:bidi="ar-SA"/>
        </w:rPr>
        <w:t xml:space="preserve">، وبعض الثالثة </w:t>
      </w:r>
      <w:r>
        <w:rPr>
          <w:rStyle w:val="FootnoteAnchor"/>
          <w:rtl w:val="true"/>
        </w:rPr>
        <w:footnoteReference w:id="628"/>
      </w:r>
      <w:r>
        <w:rPr>
          <w:rFonts w:ascii="Amiri" w:hAnsi="Amiri" w:eastAsia="Amiri" w:cs="Amiri"/>
          <w:color w:val="111111"/>
          <w:sz w:val="28"/>
          <w:sz w:val="28"/>
          <w:szCs w:val="28"/>
          <w:rtl w:val="true"/>
          <w:lang w:bidi="ar-SA"/>
        </w:rPr>
        <w:t>، فحرّموه ، إمّا لكفره ، وهو ممنوع ، أو لكونه عبادة فيحرم بدون التوقيف ولا توقيف ، وقد عرفت ثبوته ، ودعوى عدم انصراف الإطلاقات إلى مثله غريبة ، أو لأنّ تغسيل الميت لاحترامه ولا احترام له ، وانحصار العلة فيه ، مع أنّه صرّح في الأخبار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نفى وجوبه كالمدارك والكفاية والذخيرة </w:t>
      </w:r>
      <w:r>
        <w:rPr>
          <w:rStyle w:val="FootnoteAnchor"/>
          <w:rtl w:val="true"/>
        </w:rPr>
        <w:footnoteReference w:id="629"/>
      </w:r>
      <w:r>
        <w:rPr>
          <w:rFonts w:ascii="Amiri" w:hAnsi="Amiri" w:eastAsia="Amiri" w:cs="Amiri"/>
          <w:color w:val="111111"/>
          <w:sz w:val="28"/>
          <w:sz w:val="28"/>
          <w:szCs w:val="28"/>
          <w:rtl w:val="true"/>
          <w:lang w:bidi="ar-SA"/>
        </w:rPr>
        <w:t>، وهو بين احتمال الحرمة لأحد الوجهين ، وقد عرفت ضعفها ، والاستحباب لعموم مرغّبات الغسل دون موجباته التي تصلح للحجية ، وضعفه ظاهر ، والإباحة لفقد العموم والأصل ، فإن أراد ما أمر به الشارع ، ورتّب عليه الطهارة ، وعدم وجوب الغسل بالمسّ ، فلا يستباح بالأصل ، وإن أراد صورة الغسل فهي غير محل النزاع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ولبعض الأجلة </w:t>
      </w:r>
      <w:r>
        <w:rPr>
          <w:rStyle w:val="FootnoteAnchor"/>
          <w:rtl w:val="true"/>
        </w:rPr>
        <w:footnoteReference w:id="630"/>
      </w:r>
      <w:r>
        <w:rPr>
          <w:rFonts w:ascii="Amiri" w:hAnsi="Amiri" w:eastAsia="Amiri" w:cs="Amiri"/>
          <w:color w:val="111111"/>
          <w:sz w:val="28"/>
          <w:sz w:val="28"/>
          <w:szCs w:val="28"/>
          <w:rtl w:val="true"/>
          <w:lang w:bidi="ar-SA"/>
        </w:rPr>
        <w:t xml:space="preserve">فحرّمه مع قصد الكرامة له ، أو للنحلة ، وجوّزه بقصد </w:t>
      </w:r>
    </w:p>
    <w:p>
      <w:pPr>
        <w:pStyle w:val="BookText"/>
        <w:rPr/>
      </w:pPr>
      <w:r>
        <w:rPr>
          <w:rFonts w:ascii="Amiri" w:hAnsi="Amiri" w:eastAsia="Amiri" w:cs="Amiri"/>
          <w:color w:val="111111"/>
          <w:sz w:val="28"/>
          <w:sz w:val="28"/>
          <w:szCs w:val="28"/>
          <w:rtl w:val="true"/>
          <w:lang w:bidi="ar-SA"/>
        </w:rPr>
        <w:t>إكرام إظهار الشهادة أو من غير إرادة الكرامة ، وهو خروج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شرح القواعد أنّه لا نعرف من أحد تصريحا بخلافه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يغسل غسلهم ،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 نظر ، والأولى بالنظر ما قالوا من أنّه يغسل غسلنا لو لم نعرف كيفية غسلهم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تغسيله كغسلنا مطلقا ، إلاّ أنّه إذا غسله المخالف كغسلهم يسقط عنّا ، لظاهر الإجماع ، والخبر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كافرا فلا يجوز غسله ولا كفنه ولا دفنه ولا الصلاة عليه ، بإجماعنا المحقّق ، والمحكي </w:t>
      </w:r>
      <w:r>
        <w:rPr>
          <w:rStyle w:val="FootnoteAnchor"/>
          <w:rtl w:val="true"/>
        </w:rPr>
        <w:footnoteReference w:id="633"/>
      </w:r>
      <w:r>
        <w:rPr>
          <w:rFonts w:ascii="Amiri" w:hAnsi="Amiri" w:eastAsia="Amiri" w:cs="Amiri"/>
          <w:color w:val="111111"/>
          <w:sz w:val="28"/>
          <w:sz w:val="28"/>
          <w:szCs w:val="28"/>
          <w:rtl w:val="true"/>
          <w:lang w:bidi="ar-SA"/>
        </w:rPr>
        <w:t>متواترا ، وهو الحجة في جميع أقسامه ، من الذمي والحربي ، والغلاة ، والخوارج ، والنواصب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بأصنافه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النصراني يكون في السفر وهو مع المسلمين فيموت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يغسّله مسلم ولا كرامة ، ولا يدفنه ، ولا يقوم على قبره وإن كان أباه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وفي الثاني والثالث إلى المنقول في المعتبر عن شرح الرسالة للسيد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تغسيل المسلم قرابته الذمي والمشرك ، وأن يكفّنه ويصلّي عليه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الأخيرين إلى المرويّ في الاحتجاج من قول مولانا الحسين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قتلنا شيعتك ما كفنّاهم ولا غسّلناهم ولا صلّينا عليهم ولا دفناهم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من صار كافرا بإنكار الضروري ، لظاهر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ميت ولم يعلم هل هو مسلم أم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دار الإسلام غسّل وكفّن وصلّي عليه ،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دار الكفر فهو بحكم الكافر ولو كان فيه علامة المسلم ، إذ لا علامة إلاّ ويشارك فيه كافر ، كذا قيل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العمومات هنا أيضا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موتى المسلمين بالكفّار في غير الشهداء يغسّل الجميع ، لوجوب مقدّمة الواجب ، إذ لا تعارضه حرمة سبب الحرام ، لدخول كلّ فرد في العمومات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تغسيل أطفال المسلمين ومجانينهم ، بالإجماع ، والعمومات ، وما تقدم في تغسيل الصبي والصبية ، وفحوى أخبار السقط ،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السقط منهم إذا استكمل أربعة أشهر ، فيغسّل وجوبا بلا خلاف يعرف من غير العامّة ، كما صرّح به بعض الخاصة </w:t>
      </w:r>
      <w:r>
        <w:rPr>
          <w:rStyle w:val="FootnoteAnchor"/>
          <w:rtl w:val="true"/>
        </w:rPr>
        <w:footnoteReference w:id="638"/>
      </w:r>
      <w:r>
        <w:rPr>
          <w:rFonts w:ascii="Amiri" w:hAnsi="Amiri" w:eastAsia="Amiri" w:cs="Amiri"/>
          <w:color w:val="111111"/>
          <w:sz w:val="28"/>
          <w:sz w:val="28"/>
          <w:szCs w:val="28"/>
          <w:rtl w:val="true"/>
          <w:lang w:bidi="ar-SA"/>
        </w:rPr>
        <w:t xml:space="preserve">، ونسبه في المنتهى إلى أكثر أهل العلم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السقط إذا تمَّ به أربعة أشهر غسّل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ونحوها مرفوعة أحمد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أسقطت المرأة وكان السقط تامّا غسّل </w:t>
      </w:r>
    </w:p>
    <w:p>
      <w:pPr>
        <w:pStyle w:val="BookText"/>
        <w:rPr/>
      </w:pPr>
      <w:r>
        <w:rPr>
          <w:rFonts w:ascii="Amiri" w:hAnsi="Amiri" w:eastAsia="Amiri" w:cs="Amiri"/>
          <w:color w:val="111111"/>
          <w:sz w:val="28"/>
          <w:sz w:val="28"/>
          <w:szCs w:val="28"/>
          <w:rtl w:val="true"/>
          <w:lang w:bidi="ar-SA"/>
        </w:rPr>
        <w:t xml:space="preserve">وحنّط وكفّن ودفن ، وإن لم يكن تامّا فلا يغسّل ويدفن بدنه ، وحدّ إتمامه إذا أتى عليه أربعة أشهر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لم يثبت زيادة من الرجحان إلاّ أنّه يثبت الوجوب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وبموثّقتي سماعة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السقط إذا استوى خلقته يجب عليه الغسل واللحد والكفن؟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يجب عليه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واستواء الخلقة إنّما هو بتمام أربعة أشهر ، لا لما قيل </w:t>
      </w:r>
      <w:r>
        <w:rPr>
          <w:rStyle w:val="FootnoteAnchor"/>
          <w:rtl w:val="true"/>
        </w:rPr>
        <w:footnoteReference w:id="644"/>
      </w:r>
      <w:r>
        <w:rPr>
          <w:rFonts w:ascii="Amiri" w:hAnsi="Amiri" w:eastAsia="Amiri" w:cs="Amiri"/>
          <w:color w:val="111111"/>
          <w:sz w:val="28"/>
          <w:sz w:val="28"/>
          <w:szCs w:val="28"/>
          <w:rtl w:val="true"/>
          <w:lang w:bidi="ar-SA"/>
        </w:rPr>
        <w:t xml:space="preserve">من الأخبار الدالّة على بعث الملكين الخلاقين بعد تمام أربعة أشهر </w:t>
      </w:r>
      <w:r>
        <w:rPr>
          <w:rStyle w:val="FootnoteAnchor"/>
          <w:rtl w:val="true"/>
        </w:rPr>
        <w:footnoteReference w:id="645"/>
      </w:r>
      <w:r>
        <w:rPr>
          <w:rFonts w:ascii="Amiri" w:hAnsi="Amiri" w:eastAsia="Amiri" w:cs="Amiri"/>
          <w:color w:val="111111"/>
          <w:sz w:val="28"/>
          <w:sz w:val="28"/>
          <w:szCs w:val="28"/>
          <w:rtl w:val="true"/>
          <w:lang w:bidi="ar-SA"/>
        </w:rPr>
        <w:t>، لعدم دلالتها على تمام الخلقة في الأربعة أصلا ، بل للرضوي المنجبر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يعارضه مفهوم مرفوعة أحمد ، ورواية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 له ستة أشهر فهو تام ، وذلك أن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وهو ابن ستة أشهر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الثانية </w:t>
      </w:r>
      <w:r>
        <w:rPr>
          <w:rStyle w:val="FootnoteAnchor"/>
          <w:rtl w:val="true"/>
        </w:rPr>
        <w:footnoteReference w:id="647"/>
      </w:r>
      <w:r>
        <w:rPr>
          <w:rFonts w:ascii="Amiri" w:hAnsi="Amiri" w:eastAsia="Amiri" w:cs="Amiri"/>
          <w:color w:val="111111"/>
          <w:sz w:val="28"/>
          <w:sz w:val="28"/>
          <w:szCs w:val="28"/>
          <w:rtl w:val="true"/>
          <w:lang w:bidi="ar-SA"/>
        </w:rPr>
        <w:t xml:space="preserve">، غير أنّ فيها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له ستة أشهر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سقط لستة أشهر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معهما ، إلاّ أنّ الظاهر أنّ التمامية تكون في أمور في الخلقة والحياة والنموّ وغيرها ، فبالأربعة أشهر تتم الخلقة وبالستة الحياة ، ويشعر به التعليل بتولّد الحسين حيث بقي ، ويتم بعض مراتبها بالبلوغ ، وبعضها ببدوّ سن الوقوف ، </w:t>
      </w:r>
    </w:p>
    <w:p>
      <w:pPr>
        <w:pStyle w:val="BookText"/>
        <w:rPr/>
      </w:pPr>
      <w:r>
        <w:rPr>
          <w:rFonts w:ascii="Amiri" w:hAnsi="Amiri" w:eastAsia="Amiri" w:cs="Amiri"/>
          <w:color w:val="111111"/>
          <w:sz w:val="28"/>
          <w:sz w:val="28"/>
          <w:szCs w:val="28"/>
          <w:rtl w:val="true"/>
          <w:lang w:bidi="ar-SA"/>
        </w:rPr>
        <w:t>وهكذا ، فلا يعلم التعارض ، ويتعيّن العمل بالرضوي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وبسائر ما مرّ يقيد إطلاق خبر ابن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السقط كيف أصنع به؟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السقط يدفن بدمه في موضعه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المستفاد من الرضوي والموثقتين وجوب التكفين والتدفين ، كما عن المبسوط ، والمقنعة ، والنهاية ، والمراسم ، والجامع </w:t>
      </w:r>
      <w:r>
        <w:rPr>
          <w:rStyle w:val="FootnoteAnchor"/>
          <w:rtl w:val="true"/>
        </w:rPr>
        <w:footnoteReference w:id="649"/>
      </w:r>
      <w:r>
        <w:rPr>
          <w:rFonts w:ascii="Amiri" w:hAnsi="Amiri" w:eastAsia="Amiri" w:cs="Amiri"/>
          <w:color w:val="111111"/>
          <w:sz w:val="28"/>
          <w:sz w:val="28"/>
          <w:szCs w:val="28"/>
          <w:rtl w:val="true"/>
          <w:lang w:bidi="ar-SA"/>
        </w:rPr>
        <w:t xml:space="preserve">، والمنتهى ، والتبصرة ، والإرشاد ، والتذكرة ، والتلخيص ، ونهاية الإحكام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ظاهر الشرائع ، والتحرير ، اللف في خرقة حملا للتكفين عليه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مشكل ، بل ضعيف ، لبيان التكفين في الأخبار بأنّه كذا وكذا ، مع أنّ عمومات التكفين تشمل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الرضوي وجوب التحنيط ، كما عن ظاهر الإرشاد والتلخيص ، ولكن ضعفه الخالي عن الجابر المعلوم يمنع عن إثباته إلاّ أن يثبت بعموم أدلّة تحنيط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تركه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يستكمل الأربعة لم يغسّل إجماعا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العلماء خلا ابن سيرين </w:t>
      </w:r>
      <w:r>
        <w:rPr>
          <w:rStyle w:val="FootnoteAnchor"/>
          <w:rtl w:val="true"/>
        </w:rPr>
        <w:footnoteReference w:id="652"/>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خلاف </w:t>
      </w:r>
      <w:r>
        <w:rPr>
          <w:rStyle w:val="FootnoteAnchor"/>
          <w:rtl w:val="true"/>
        </w:rPr>
        <w:footnoteReference w:id="653"/>
      </w:r>
      <w:r>
        <w:rPr>
          <w:rFonts w:ascii="Amiri" w:hAnsi="Amiri" w:eastAsia="Amiri" w:cs="Amiri"/>
          <w:color w:val="111111"/>
          <w:sz w:val="28"/>
          <w:sz w:val="28"/>
          <w:szCs w:val="28"/>
          <w:rtl w:val="true"/>
          <w:lang w:bidi="ar-SA"/>
        </w:rPr>
        <w:t>، للأصل ، والرضوي ، وخبر ابن الفضيل ، ومفهوم الموثقتين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يدفن بدمه كما في الأولين ، وظاهرهما عدم الأمر بشي‌ء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في المعتبر ، والشرائع ، والنافع ، والمنتهى </w:t>
      </w:r>
      <w:r>
        <w:rPr>
          <w:rStyle w:val="FootnoteAnchor"/>
          <w:rtl w:val="true"/>
        </w:rPr>
        <w:footnoteReference w:id="654"/>
      </w:r>
      <w:r>
        <w:rPr>
          <w:rFonts w:ascii="Amiri" w:hAnsi="Amiri" w:eastAsia="Amiri" w:cs="Amiri"/>
          <w:color w:val="111111"/>
          <w:sz w:val="28"/>
          <w:sz w:val="28"/>
          <w:szCs w:val="28"/>
          <w:rtl w:val="true"/>
          <w:lang w:bidi="ar-SA"/>
        </w:rPr>
        <w:t xml:space="preserve">، وعن المفيد ، والديلمي ، والقاضي </w:t>
      </w:r>
      <w:r>
        <w:rPr>
          <w:rStyle w:val="FootnoteAnchor"/>
          <w:rtl w:val="true"/>
        </w:rPr>
        <w:footnoteReference w:id="655"/>
      </w:r>
      <w:r>
        <w:rPr>
          <w:rFonts w:ascii="Amiri" w:hAnsi="Amiri" w:eastAsia="Amiri" w:cs="Amiri"/>
          <w:color w:val="111111"/>
          <w:sz w:val="28"/>
          <w:sz w:val="28"/>
          <w:szCs w:val="28"/>
          <w:rtl w:val="true"/>
          <w:lang w:bidi="ar-SA"/>
        </w:rPr>
        <w:t xml:space="preserve">، والكيدري ، بل في اللوامع أنه ظاهر الأكثر ، بل ظاهر المعتبر </w:t>
      </w:r>
      <w:r>
        <w:rPr>
          <w:rStyle w:val="FootnoteAnchor"/>
          <w:rtl w:val="true"/>
        </w:rPr>
        <w:footnoteReference w:id="656"/>
      </w:r>
      <w:r>
        <w:rPr>
          <w:rFonts w:ascii="Amiri" w:hAnsi="Amiri" w:eastAsia="Amiri" w:cs="Amiri"/>
          <w:color w:val="111111"/>
          <w:sz w:val="28"/>
          <w:sz w:val="28"/>
          <w:szCs w:val="28"/>
          <w:rtl w:val="true"/>
          <w:lang w:bidi="ar-SA"/>
        </w:rPr>
        <w:t xml:space="preserve">أنه مذهب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يلفّ في خرقة ويدفن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أولى ، لفتوى هؤلاء الأجلاّء ، بل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والجنين الميت في بطن الميت لا يغسّل ، للأصل ، بل هو كجزء أصله يكفي غسلها عن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أو اخرج بعد الموت عن الحي أو الميت يغسّل ، لعمومات غسل السقط أو الميت ، سواء اخرج منقطعا أو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حامل وخرج بعض قطع الجنين الميت منه ففي تغسيل الخارج نظر ، والعدم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خرج بعضه وبقي البعض متّصلا من غير تقطّع سواء أمكن إخراج التمام أو لا ، وإن كان الإخراج والتغسيل مع الإمكان أحوط ، بل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كما صرّح به جماعة ، وفي المعتبر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إجماع أهل العلم خلا شاذّ من العامّة </w:t>
      </w:r>
      <w:r>
        <w:rPr>
          <w:rStyle w:val="FootnoteAnchor"/>
          <w:rtl w:val="true"/>
        </w:rPr>
        <w:footnoteReference w:id="658"/>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علماؤنا أجمع ولا خلاف فيه بين علماء الأمصار إلاّ الحسن البصري وسعيد بن المسيب </w:t>
      </w:r>
      <w:r>
        <w:rPr>
          <w:rStyle w:val="FootnoteAnchor"/>
          <w:rtl w:val="true"/>
        </w:rPr>
        <w:footnoteReference w:id="659"/>
      </w:r>
      <w:r>
        <w:rPr>
          <w:rFonts w:ascii="Amiri" w:hAnsi="Amiri" w:eastAsia="Amiri" w:cs="Amiri"/>
          <w:color w:val="111111"/>
          <w:sz w:val="28"/>
          <w:sz w:val="28"/>
          <w:szCs w:val="28"/>
          <w:rtl w:val="true"/>
          <w:lang w:bidi="ar-SA"/>
        </w:rPr>
        <w:t xml:space="preserve">، بل عليه إجماع المسلمين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الميت في معركة القتال لا يغسّل ولا يكفّن ، بل يصلّى عليه ويدفن ، واستفاضت به النصوص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كحسنة زرارة وابن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الشهيد يدفن بدمائه؟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في ثيابه بدمائه ، ولا يحنّط ولا يغسّل ويدفن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مريم على طريق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إذا كان به رمق غسّل وكفّن وحنّط وصلّي عليه ، وإن لم يكن به رمق دفن في ثيابه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يقتل في سبيل اللّه أيغسّل ويكفّن ويحنّط؟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كما هو في ثيابه بدمه إلاّ أن يكون به رمق ثمَّ مات ، فإنّه يغسّل ويكفّن ويحنّط ويصلّى عليه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يقتل في سبيل اللّه يدفن في ثيابه ولا يغسّل ، إلاّ أن يدركه المسلمون وبه رمق ثمَّ يموت بعد ، فإنّه يغسّل ويكفّن ويحنّط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أبي خالد ، المتقدّمة في المسألة الاولى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الميت قتيل المعركة في طاعة اللّه لم يغسّل ، ودفن في ثيابه التي قتل فيها بدمائه ، ولا ينزع منه من ثيابه شي‌ء إلاّ أنّه لا يترك عليه شي‌ء معقود ، مثل الخف ، وتحل تكته ، ومثل المنطقة والفروة ، وإن أصابه شي‌ء من دم لم ينزع عنه شي‌ء إلاّ أنّه يحل المعقود ، ولم يغسّل إلاّ أن يكون به رمق ثمَّ يموت بعد ذلك ، فإذا مات بعد ذلك غسّل كما يغسّل الميت ، وكفّن كما يكفّن الميت ، ولا </w:t>
      </w:r>
    </w:p>
    <w:p>
      <w:pPr>
        <w:pStyle w:val="BookText"/>
        <w:rPr/>
      </w:pPr>
      <w:r>
        <w:rPr>
          <w:rFonts w:ascii="Amiri" w:hAnsi="Amiri" w:eastAsia="Amiri" w:cs="Amiri"/>
          <w:color w:val="111111"/>
          <w:sz w:val="28"/>
          <w:sz w:val="28"/>
          <w:szCs w:val="28"/>
          <w:rtl w:val="true"/>
          <w:lang w:bidi="ar-SA"/>
        </w:rPr>
        <w:t xml:space="preserve">يترك عليه شي‌ء من ثيابه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الخلاف في تعيين الشهيد الذي ذلك حكمه أنّه هل هو المقتول بين يدي المعصوم خاصة؟ كما في الشرائع ، والقواعد ، وعن المقنعة ، والمراسم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نائبه الخاص أيضا؟ كما عن المبسوط ، والنهاية ، والمهذب ، والوسيلة ، والسرائر ، والجامع ، والمنتهى </w:t>
      </w:r>
      <w:r>
        <w:rPr>
          <w:rStyle w:val="FootnoteAnchor"/>
          <w:rtl w:val="true"/>
        </w:rPr>
        <w:footnoteReference w:id="667"/>
      </w:r>
      <w:r>
        <w:rPr>
          <w:rFonts w:ascii="Amiri" w:hAnsi="Amiri" w:eastAsia="Amiri" w:cs="Amiri"/>
          <w:color w:val="111111"/>
          <w:sz w:val="28"/>
          <w:sz w:val="28"/>
          <w:szCs w:val="28"/>
          <w:rtl w:val="true"/>
          <w:lang w:bidi="ar-SA"/>
        </w:rPr>
        <w:t xml:space="preserve">، وفي اللوامع نسبه إلى الأكثر ، ومال إليه جمع ممّن تأخّر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كلّ جهاد مأمور به ولو حال الغيبة؟ كما عن المعتبر ، والغنية ، والإشارة </w:t>
      </w:r>
      <w:r>
        <w:rPr>
          <w:rStyle w:val="FootnoteAnchor"/>
          <w:rtl w:val="true"/>
        </w:rPr>
        <w:footnoteReference w:id="669"/>
      </w:r>
      <w:r>
        <w:rPr>
          <w:rFonts w:ascii="Amiri" w:hAnsi="Amiri" w:eastAsia="Amiri" w:cs="Amiri"/>
          <w:color w:val="111111"/>
          <w:sz w:val="28"/>
          <w:sz w:val="28"/>
          <w:szCs w:val="28"/>
          <w:rtl w:val="true"/>
          <w:lang w:bidi="ar-SA"/>
        </w:rPr>
        <w:t xml:space="preserve">، وظاهر الكافي </w:t>
      </w:r>
      <w:r>
        <w:rPr>
          <w:rStyle w:val="FootnoteAnchor"/>
          <w:rtl w:val="true"/>
        </w:rPr>
        <w:footnoteReference w:id="670"/>
      </w:r>
      <w:r>
        <w:rPr>
          <w:rFonts w:ascii="Amiri" w:hAnsi="Amiri" w:eastAsia="Amiri" w:cs="Amiri"/>
          <w:color w:val="111111"/>
          <w:sz w:val="28"/>
          <w:sz w:val="28"/>
          <w:szCs w:val="28"/>
          <w:rtl w:val="true"/>
          <w:lang w:bidi="ar-SA"/>
        </w:rPr>
        <w:t xml:space="preserve">، والذكرى ، والمدارك </w:t>
      </w:r>
      <w:r>
        <w:rPr>
          <w:rStyle w:val="FootnoteAnchor"/>
          <w:rtl w:val="true"/>
        </w:rPr>
        <w:footnoteReference w:id="671"/>
      </w:r>
      <w:r>
        <w:rPr>
          <w:rFonts w:ascii="Amiri" w:hAnsi="Amiri" w:eastAsia="Amiri" w:cs="Amiri"/>
          <w:color w:val="111111"/>
          <w:sz w:val="28"/>
          <w:sz w:val="28"/>
          <w:szCs w:val="28"/>
          <w:rtl w:val="true"/>
          <w:lang w:bidi="ar-SA"/>
        </w:rPr>
        <w:t xml:space="preserve">، وصريح الكركي </w:t>
      </w:r>
      <w:r>
        <w:rPr>
          <w:rStyle w:val="FootnoteAnchor"/>
          <w:rtl w:val="true"/>
        </w:rPr>
        <w:footnoteReference w:id="672"/>
      </w:r>
      <w:r>
        <w:rPr>
          <w:rFonts w:ascii="Amiri" w:hAnsi="Amiri" w:eastAsia="Amiri" w:cs="Amiri"/>
          <w:color w:val="111111"/>
          <w:sz w:val="28"/>
          <w:sz w:val="28"/>
          <w:szCs w:val="28"/>
          <w:rtl w:val="true"/>
          <w:lang w:bidi="ar-SA"/>
        </w:rPr>
        <w:t xml:space="preserve">، ووالدي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ومحتمل نهاية الإحكام ، والتذكرة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هو الثاني ، فلا يغسّل المقتول بين يدي الإمام أو نائبه الخاص ، ويغسّل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فللرضوي المنجبر ضعفه بالشهرة ، المؤيّد بسائر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فللعمومات الخالية عن المخصّص المعلوم ، إذ ليس إلاّ روايات السقوط عن الشهيد والمقتول في سبيل اللّه ، وفي طاعة اللّه ، وما قتل بين الصفّين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وثبوت الحقيقة الشرعية للأولين في غير من ذكرنا لنا غير معلوم ، واستعمالهما </w:t>
      </w:r>
    </w:p>
    <w:p>
      <w:pPr>
        <w:pStyle w:val="BookText"/>
        <w:rPr/>
      </w:pPr>
      <w:r>
        <w:rPr>
          <w:rFonts w:ascii="Amiri" w:hAnsi="Amiri" w:eastAsia="Amiri" w:cs="Amiri"/>
          <w:color w:val="111111"/>
          <w:sz w:val="28"/>
          <w:sz w:val="28"/>
          <w:szCs w:val="28"/>
          <w:rtl w:val="true"/>
          <w:lang w:bidi="ar-SA"/>
        </w:rPr>
        <w:t xml:space="preserve">فيه في الأخبار لا يفيده ، لأنّه أعم من الحقيقة ، كإرادة كلّ قربة من الثاني في آية الصدقات </w:t>
      </w:r>
      <w:r>
        <w:rPr>
          <w:rStyle w:val="FootnoteAnchor"/>
          <w:rtl w:val="true"/>
        </w:rPr>
        <w:footnoteReference w:id="674"/>
      </w:r>
      <w:r>
        <w:rPr>
          <w:rFonts w:ascii="Amiri" w:hAnsi="Amiri" w:eastAsia="Amiri" w:cs="Amiri"/>
          <w:color w:val="111111"/>
          <w:sz w:val="28"/>
          <w:sz w:val="28"/>
          <w:szCs w:val="28"/>
          <w:rtl w:val="true"/>
          <w:lang w:bidi="ar-SA"/>
        </w:rPr>
        <w:t>، وتبادره منه في العرف المتأخّر لا يثبته ، لأصالة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المتضمّن للثالث ، الخالي عن الجابر في غير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بعضهم </w:t>
      </w:r>
      <w:r>
        <w:rPr>
          <w:rStyle w:val="FootnoteAnchor"/>
          <w:rtl w:val="true"/>
        </w:rPr>
        <w:footnoteReference w:id="675"/>
      </w:r>
      <w:r>
        <w:rPr>
          <w:rFonts w:ascii="Amiri" w:hAnsi="Amiri" w:eastAsia="Amiri" w:cs="Amiri"/>
          <w:color w:val="111111"/>
          <w:sz w:val="28"/>
          <w:sz w:val="28"/>
          <w:szCs w:val="28"/>
          <w:rtl w:val="true"/>
          <w:lang w:bidi="ar-SA"/>
        </w:rPr>
        <w:t xml:space="preserve">بمخالفة التعدّي إليه للشهرة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ثبوت إفادة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الواردة في الرابع </w:t>
      </w:r>
      <w:r>
        <w:rPr>
          <w:rStyle w:val="FootnoteAnchor"/>
          <w:rtl w:val="true"/>
        </w:rPr>
        <w:footnoteReference w:id="676"/>
      </w:r>
      <w:r>
        <w:rPr>
          <w:rFonts w:ascii="Amiri" w:hAnsi="Amiri" w:eastAsia="Amiri" w:cs="Amiri"/>
          <w:color w:val="111111"/>
          <w:sz w:val="28"/>
          <w:sz w:val="28"/>
          <w:szCs w:val="28"/>
          <w:rtl w:val="true"/>
          <w:lang w:bidi="ar-SA"/>
        </w:rPr>
        <w:t>للعموم ، يضعّف 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والأولون احتجّوا للسقوط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 ولعدمه بالعمومات مع ضعف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والآخرون استدلّوا للسقوط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عدم ثبوت السقوط في غير الحاضر عند الحجة أو نائبه الخاص تعلم أنّه لا تترتّب فائدة في بحثنا عن سائر متعلّقات تلك المسألة وفروعها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بعض الميت ، فإن كان قطعة فيه عظم ، يجب تغسيله سواء كانت ممّا فيه الصدر والقلب أو الصدر وحده أو غيره ، على المشهور ،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خلاف بين علمائنا </w:t>
      </w:r>
      <w:r>
        <w:rPr>
          <w:rStyle w:val="FootnoteAnchor"/>
          <w:rtl w:val="true"/>
        </w:rPr>
        <w:footnoteReference w:id="677"/>
      </w:r>
      <w:r>
        <w:rPr>
          <w:rFonts w:ascii="Amiri" w:hAnsi="Amiri" w:eastAsia="Amiri" w:cs="Amiri"/>
          <w:color w:val="111111"/>
          <w:sz w:val="28"/>
          <w:sz w:val="28"/>
          <w:szCs w:val="28"/>
          <w:rtl w:val="true"/>
          <w:lang w:bidi="ar-SA"/>
        </w:rPr>
        <w:t xml:space="preserve">، وعن الخلاف الإجماع عليه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لعدم سقوط الميسور بالمعسور ، لعدم دلالته كما هو في محلّه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للصحيح الآتي الآمر بتغسيل عظام الميت وتكفينها والصلاة عليها ، لظهوره في مجموع العظام ، مع اشتماله على ما لم يقل به أحد لو عمّمت بحيث تشمل الأبعاض أيضا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الصدر أو ما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الدالّة على وجوب الصلاة عليه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بضميمة استلزامه لباقي الأحكام ، لمنع الاستلزام ، كما صرّح به بعض الأعلام </w:t>
      </w:r>
      <w:r>
        <w:rPr>
          <w:rStyle w:val="FootnoteAnchor"/>
          <w:rtl w:val="true"/>
        </w:rPr>
        <w:footnoteReference w:id="680"/>
      </w:r>
      <w:r>
        <w:rPr>
          <w:rFonts w:ascii="Amiri" w:hAnsi="Amiri" w:eastAsia="Amiri" w:cs="Amiri"/>
          <w:color w:val="111111"/>
          <w:sz w:val="28"/>
          <w:sz w:val="28"/>
          <w:szCs w:val="28"/>
          <w:rtl w:val="true"/>
          <w:lang w:bidi="ar-SA"/>
        </w:rPr>
        <w:t>، وتخلّف في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الاستصحاب في المبان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لمضمرة أبي خالد ، المتقدّمة </w:t>
      </w:r>
      <w:r>
        <w:rPr>
          <w:rStyle w:val="FootnoteAnchor"/>
          <w:rtl w:val="true"/>
        </w:rPr>
        <w:footnoteReference w:id="681"/>
      </w:r>
      <w:r>
        <w:rPr>
          <w:rFonts w:ascii="Amiri" w:hAnsi="Amiri" w:eastAsia="Amiri" w:cs="Amiri"/>
          <w:color w:val="111111"/>
          <w:sz w:val="28"/>
          <w:sz w:val="28"/>
          <w:szCs w:val="28"/>
          <w:rtl w:val="true"/>
          <w:lang w:bidi="ar-SA"/>
        </w:rPr>
        <w:t>، دلّت على وجوب الغسل في أكيل السبع أي ما بقي منه ، وهو عام لكلّ أكيل حتى اللحم ، خرج منه ما خرج بالدليل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جعلت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لا بيانية لكانت دلالته أوضح وأظهر ، وإن كانت على البيانية أيضا ظاهرة ، سيما بملاحظة مرسلة أيوب بن نوح ، المتقدّمة </w:t>
      </w:r>
      <w:r>
        <w:rPr>
          <w:rStyle w:val="FootnoteAnchor"/>
          <w:rtl w:val="true"/>
        </w:rPr>
        <w:footnoteReference w:id="682"/>
      </w:r>
      <w:r>
        <w:rPr>
          <w:rFonts w:ascii="Amiri" w:hAnsi="Amiri" w:eastAsia="Amiri" w:cs="Amiri"/>
          <w:color w:val="111111"/>
          <w:sz w:val="28"/>
          <w:sz w:val="28"/>
          <w:szCs w:val="28"/>
          <w:rtl w:val="true"/>
          <w:lang w:bidi="ar-SA"/>
        </w:rPr>
        <w:t xml:space="preserve">في غسل المسّ ، المصرّحة بصدق الميتة على القطعة ، والرضوي المنجبر ضعفه 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الميت أكله السبع فاغسل ما بقي منه ، وإن لم يبق منه إلاّ عظام جمعتها وغسلتها وصليت عليها ودفنتها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الأخير بل الاولى وجوب تغسيل جميع العظام أيضا لو وجدت وإن كانت خالية عن اللحم ، كما عن الصدوقين في الرسالة </w:t>
      </w:r>
      <w:r>
        <w:rPr>
          <w:rStyle w:val="FootnoteAnchor"/>
          <w:rtl w:val="true"/>
        </w:rPr>
        <w:footnoteReference w:id="684"/>
      </w:r>
      <w:r>
        <w:rPr>
          <w:rFonts w:ascii="IRNazanin" w:hAnsi="IRNazanin" w:eastAsia="IRNazanin"/>
          <w:color w:val="111111"/>
          <w:sz w:val="28"/>
          <w:sz w:val="28"/>
          <w:szCs w:val="28"/>
          <w:rtl w:val="true"/>
          <w:lang w:bidi="fa-IR"/>
        </w:rPr>
        <w:t xml:space="preserve">والمقنع </w:t>
      </w:r>
      <w:r>
        <w:rPr>
          <w:rStyle w:val="FootnoteAnchor"/>
          <w:rtl w:val="true"/>
        </w:rPr>
        <w:footnoteReference w:id="685"/>
      </w:r>
      <w:r>
        <w:rPr>
          <w:rFonts w:ascii="Amiri" w:hAnsi="Amiri" w:eastAsia="Amiri" w:cs="Amiri"/>
          <w:color w:val="111111"/>
          <w:sz w:val="28"/>
          <w:sz w:val="28"/>
          <w:szCs w:val="28"/>
          <w:rtl w:val="true"/>
          <w:lang w:bidi="ar-SA"/>
        </w:rPr>
        <w:t xml:space="preserve">، والإسكافي </w:t>
      </w:r>
      <w:r>
        <w:rPr>
          <w:rStyle w:val="FootnoteAnchor"/>
          <w:rtl w:val="true"/>
        </w:rPr>
        <w:footnoteReference w:id="686"/>
      </w:r>
      <w:r>
        <w:rPr>
          <w:rFonts w:ascii="Amiri" w:hAnsi="Amiri" w:eastAsia="Amiri" w:cs="Amiri"/>
          <w:color w:val="111111"/>
          <w:sz w:val="28"/>
          <w:sz w:val="28"/>
          <w:szCs w:val="28"/>
          <w:rtl w:val="true"/>
          <w:lang w:bidi="ar-SA"/>
        </w:rPr>
        <w:t xml:space="preserve">، وفي المعتبر </w:t>
      </w:r>
      <w:r>
        <w:rPr>
          <w:rStyle w:val="FootnoteAnchor"/>
          <w:rtl w:val="true"/>
        </w:rPr>
        <w:footnoteReference w:id="687"/>
      </w:r>
      <w:r>
        <w:rPr>
          <w:rFonts w:ascii="Amiri" w:hAnsi="Amiri" w:eastAsia="Amiri" w:cs="Amiri"/>
          <w:color w:val="111111"/>
          <w:sz w:val="28"/>
          <w:sz w:val="28"/>
          <w:szCs w:val="28"/>
          <w:rtl w:val="true"/>
          <w:lang w:bidi="ar-SA"/>
        </w:rPr>
        <w:t xml:space="preserve">، والذكرى </w:t>
      </w:r>
      <w:r>
        <w:rPr>
          <w:rStyle w:val="FootnoteAnchor"/>
          <w:rtl w:val="true"/>
        </w:rPr>
        <w:footnoteReference w:id="688"/>
      </w:r>
      <w:r>
        <w:rPr>
          <w:rFonts w:ascii="Amiri" w:hAnsi="Amiri" w:eastAsia="Amiri" w:cs="Amiri"/>
          <w:color w:val="111111"/>
          <w:sz w:val="28"/>
          <w:sz w:val="28"/>
          <w:szCs w:val="28"/>
          <w:rtl w:val="true"/>
          <w:lang w:bidi="ar-SA"/>
        </w:rPr>
        <w:t xml:space="preserve">، بل عزي إلى الأكثر أيضا ، لما ذكر ، ولصحيحة علي ، ورواية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يأكله السبع والطير فتبقى عظامه بغير لحم ، كيف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ويكفّن ويصلّى عليه ويدفن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كان لحما مجرّدا أو عظما منفردا ، فظاهر الأكثر عدم الوجوب ، بل صرّح به في الأول الحلّي ، والديلمي ، والمنتهى ، والقواعد ، والذكرى ، والمختلف </w:t>
      </w:r>
      <w:r>
        <w:rPr>
          <w:rStyle w:val="FootnoteAnchor"/>
          <w:rtl w:val="true"/>
        </w:rPr>
        <w:footnoteReference w:id="690"/>
      </w:r>
      <w:r>
        <w:rPr>
          <w:rFonts w:ascii="Amiri" w:hAnsi="Amiri" w:eastAsia="Amiri" w:cs="Amiri"/>
          <w:color w:val="111111"/>
          <w:sz w:val="28"/>
          <w:sz w:val="28"/>
          <w:szCs w:val="28"/>
          <w:rtl w:val="true"/>
          <w:lang w:bidi="ar-SA"/>
        </w:rPr>
        <w:t>، ناسبا له إلى المشهور بين علمائنا ، وبالثاني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الاتّفاق على العدم في الأول ونفي القول بالوجوب في الثاني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ثبت الإجماع فيهما ، وإلاّ فيشكل ترك الغسل ، ولذا أثبته الإسكافي </w:t>
      </w:r>
      <w:r>
        <w:rPr>
          <w:rStyle w:val="FootnoteAnchor"/>
          <w:rtl w:val="true"/>
        </w:rPr>
        <w:footnoteReference w:id="692"/>
      </w:r>
      <w:r>
        <w:rPr>
          <w:rFonts w:ascii="Amiri" w:hAnsi="Amiri" w:eastAsia="Amiri" w:cs="Amiri"/>
          <w:color w:val="111111"/>
          <w:sz w:val="28"/>
          <w:sz w:val="28"/>
          <w:szCs w:val="28"/>
          <w:rtl w:val="true"/>
          <w:lang w:bidi="ar-SA"/>
        </w:rPr>
        <w:t>في الثاني ، واحتمله بعض آخر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للنفي فيهما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المضمرة 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بما دلّ على نفي الصلاة فيه ، للتلازم بعد ما عرفت من عدم ثبوته سيما مع التخلّف في السقط والصبي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ينبغي أن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التغسيل ، وأمّا التكفين فالمشهور بين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في كلّ قطعة ذات عظم ، ونسبه الكركي </w:t>
      </w:r>
      <w:r>
        <w:rPr>
          <w:rStyle w:val="FootnoteAnchor"/>
          <w:rtl w:val="true"/>
        </w:rPr>
        <w:footnoteReference w:id="694"/>
      </w:r>
      <w:r>
        <w:rPr>
          <w:rFonts w:ascii="Amiri" w:hAnsi="Amiri" w:eastAsia="Amiri" w:cs="Amiri"/>
          <w:color w:val="111111"/>
          <w:sz w:val="28"/>
          <w:sz w:val="28"/>
          <w:szCs w:val="28"/>
          <w:rtl w:val="true"/>
          <w:lang w:bidi="ar-SA"/>
        </w:rPr>
        <w:t xml:space="preserve">إلى الأصحاب ، وبه صرّح في المنتهى ، والنافع </w:t>
      </w:r>
      <w:r>
        <w:rPr>
          <w:rStyle w:val="FootnoteAnchor"/>
          <w:rtl w:val="true"/>
        </w:rPr>
        <w:footnoteReference w:id="695"/>
      </w:r>
      <w:r>
        <w:rPr>
          <w:rFonts w:ascii="Amiri" w:hAnsi="Amiri" w:eastAsia="Amiri" w:cs="Amiri"/>
          <w:color w:val="111111"/>
          <w:sz w:val="28"/>
          <w:sz w:val="28"/>
          <w:szCs w:val="28"/>
          <w:rtl w:val="true"/>
          <w:lang w:bidi="ar-SA"/>
        </w:rPr>
        <w:t xml:space="preserve">، وحكي عن المقنعة ، والنهاية ، والمبسوط ، والسرائر ، والمراسم </w:t>
      </w:r>
      <w:r>
        <w:rPr>
          <w:rStyle w:val="FootnoteAnchor"/>
          <w:rtl w:val="true"/>
        </w:rPr>
        <w:footnoteReference w:id="696"/>
      </w:r>
      <w:r>
        <w:rPr>
          <w:rFonts w:ascii="Amiri" w:hAnsi="Amiri" w:eastAsia="Amiri" w:cs="Amiri"/>
          <w:color w:val="111111"/>
          <w:sz w:val="28"/>
          <w:sz w:val="28"/>
          <w:szCs w:val="28"/>
          <w:rtl w:val="true"/>
          <w:lang w:bidi="ar-SA"/>
        </w:rPr>
        <w:t xml:space="preserve">، والجامع ، والإرشاد ، والتلخيص ، والتبصرة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عدم سقوط 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أيوب المذكور </w:t>
      </w:r>
      <w:r>
        <w:rPr>
          <w:rStyle w:val="FootnoteAnchor"/>
          <w:rtl w:val="true"/>
        </w:rPr>
        <w:footnoteReference w:id="699"/>
      </w:r>
      <w:r>
        <w:rPr>
          <w:rFonts w:ascii="Amiri" w:hAnsi="Amiri" w:eastAsia="Amiri" w:cs="Amiri"/>
          <w:color w:val="111111"/>
          <w:sz w:val="28"/>
          <w:sz w:val="28"/>
          <w:szCs w:val="28"/>
          <w:rtl w:val="true"/>
          <w:lang w:bidi="ar-SA"/>
        </w:rPr>
        <w:t>بضميمة عمومات تكفين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علي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الثابت منه كون القطعة ميتة ، والعمومات تثبت التكفين للميت ، واتّحادهما غير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فلاختصاصه بالعظام ، وعدم إفادته بنفسه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التكفين لا بالنحو المعهود لا دليل له ، وبه في المقام قد لا يمكن ، ولذا قيل باعتبار القطع الثلاث وإن لم تكن بتلك الخصوصيات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احتمل اختصاص وجوبها بما تناله الثلاث عند الاتصال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ممّا تناله اثنتان منها لفّ فيهما ، وإن كان مما لا تناله إلاّ واحدة لفّ فيها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الشرائع ، وعن التحرير والتذكرة ، ونهاية الإحكام ، 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التكفين بالصدر أو ما فيه ، ولفّ غيرهما مما فيه عظم في خرقة ، كما في اللحم والعظم المنفردين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شي‌ء من تلك الأقوال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بعدم وجوب التكفين في غير جملة يصدق عليها الميت عرفا قويّ ، وإن كان الأحوط عدم تركه فيما فيه الصدر ، كما ينبغي أن لا يترك اللفّ في خرقة </w:t>
      </w:r>
    </w:p>
    <w:p>
      <w:pPr>
        <w:pStyle w:val="BookText"/>
        <w:rPr/>
      </w:pPr>
      <w:r>
        <w:rPr>
          <w:rFonts w:ascii="Amiri" w:hAnsi="Amiri" w:eastAsia="Amiri" w:cs="Amiri"/>
          <w:color w:val="111111"/>
          <w:sz w:val="28"/>
          <w:sz w:val="28"/>
          <w:szCs w:val="28"/>
          <w:rtl w:val="true"/>
          <w:lang w:bidi="ar-SA"/>
        </w:rPr>
        <w:t>في 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التحنيط لو كان الباقي محلّه ، كما عن التذكرة </w:t>
      </w:r>
      <w:r>
        <w:rPr>
          <w:rStyle w:val="FootnoteAnchor"/>
          <w:rtl w:val="true"/>
        </w:rPr>
        <w:footnoteReference w:id="705"/>
      </w:r>
      <w:r>
        <w:rPr>
          <w:rFonts w:ascii="Amiri" w:hAnsi="Amiri" w:eastAsia="Amiri" w:cs="Amiri"/>
          <w:color w:val="111111"/>
          <w:sz w:val="28"/>
          <w:sz w:val="28"/>
          <w:szCs w:val="28"/>
          <w:rtl w:val="true"/>
          <w:lang w:bidi="ar-SA"/>
        </w:rPr>
        <w:t>، وعليه يحمل كلام من أطلق كجماعة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الأكثر اختصاص الأحكام المذكورة لذات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القطع الخالية عن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بالمبانة من الميت وعدم جريانها في المبانة من الحي ، للأصل ، وعدم جريان الأدلّة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 والمعتمد ، وجماعة </w:t>
      </w:r>
      <w:r>
        <w:rPr>
          <w:rStyle w:val="FootnoteAnchor"/>
          <w:rtl w:val="true"/>
        </w:rPr>
        <w:footnoteReference w:id="706"/>
      </w:r>
      <w:r>
        <w:rPr>
          <w:rFonts w:ascii="Amiri" w:hAnsi="Amiri" w:eastAsia="Amiri" w:cs="Amiri"/>
          <w:color w:val="111111"/>
          <w:sz w:val="28"/>
          <w:sz w:val="28"/>
          <w:szCs w:val="28"/>
          <w:rtl w:val="true"/>
          <w:lang w:bidi="ar-SA"/>
        </w:rPr>
        <w:t>فيهما ، لمرسلة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فيها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أحوط ، وإن كان التخصيص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الرجم أو القود يغتسل قبله بالإجماع المحقّق ، والمحكي في اللوامع والحدائق </w:t>
      </w:r>
      <w:r>
        <w:rPr>
          <w:rStyle w:val="FootnoteAnchor"/>
          <w:rtl w:val="true"/>
        </w:rPr>
        <w:footnoteReference w:id="708"/>
      </w:r>
      <w:r>
        <w:rPr>
          <w:rFonts w:ascii="Amiri" w:hAnsi="Amiri" w:eastAsia="Amiri" w:cs="Amiri"/>
          <w:color w:val="111111"/>
          <w:sz w:val="28"/>
          <w:sz w:val="28"/>
          <w:szCs w:val="28"/>
          <w:rtl w:val="true"/>
          <w:lang w:bidi="ar-SA"/>
        </w:rPr>
        <w:t xml:space="preserve">، وعن المعتبر والذكرى نفي العلم بالخلاف فيه عن الأصحاب </w:t>
      </w:r>
      <w:r>
        <w:rPr>
          <w:rStyle w:val="FootnoteAnchor"/>
          <w:rtl w:val="true"/>
        </w:rPr>
        <w:footnoteReference w:id="709"/>
      </w:r>
      <w:r>
        <w:rPr>
          <w:rFonts w:ascii="Amiri" w:hAnsi="Amiri" w:eastAsia="Amiri" w:cs="Amiri"/>
          <w:color w:val="111111"/>
          <w:sz w:val="28"/>
          <w:sz w:val="28"/>
          <w:szCs w:val="28"/>
          <w:rtl w:val="true"/>
          <w:lang w:bidi="ar-SA"/>
        </w:rPr>
        <w:t xml:space="preserve">، له ، ولرواية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المرجوم والمرجومة يغتسلان ويتحنطان ويلبسان الكفن قبل ذلك ، ثمَّ يرجمان ويصلّى عليهما ، والمقتصّ منه بمنزلة ذلك يغتسل ويحنّط ويلبس الكفن ثمَّ يقاد ويصلّى عليه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الميت مرجوما بدأ بغسله وتحنيطه وتكفينه ثمَّ يرجم بعد ذلك ، وكذلك القاتل إذا أريد قتله قودا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ذلك على الوجوب فيكون عزيمة؟ كما عن ظاهر الأكثر ، وهو صريح </w:t>
      </w:r>
    </w:p>
    <w:p>
      <w:pPr>
        <w:pStyle w:val="BookText"/>
        <w:rPr/>
      </w:pPr>
      <w:r>
        <w:rPr>
          <w:rFonts w:ascii="Amiri" w:hAnsi="Amiri" w:eastAsia="Amiri" w:cs="Amiri"/>
          <w:color w:val="111111"/>
          <w:sz w:val="28"/>
          <w:sz w:val="28"/>
          <w:szCs w:val="28"/>
          <w:rtl w:val="true"/>
          <w:lang w:bidi="ar-SA"/>
        </w:rPr>
        <w:t xml:space="preserve">الديلمي ، والحلّي </w:t>
      </w:r>
      <w:r>
        <w:rPr>
          <w:rStyle w:val="FootnoteAnchor"/>
          <w:rtl w:val="true"/>
        </w:rPr>
        <w:footnoteReference w:id="712"/>
      </w:r>
      <w:r>
        <w:rPr>
          <w:rFonts w:ascii="Amiri" w:hAnsi="Amiri" w:eastAsia="Amiri" w:cs="Amiri"/>
          <w:color w:val="111111"/>
          <w:sz w:val="28"/>
          <w:sz w:val="28"/>
          <w:szCs w:val="28"/>
          <w:rtl w:val="true"/>
          <w:lang w:bidi="ar-SA"/>
        </w:rPr>
        <w:t>، ووالدي رحمه اللّه ، لظاهر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فرخصة؟ كما يحتمله كلام جماعة ، وتنظّر فيه في الذكرى </w:t>
      </w:r>
      <w:r>
        <w:rPr>
          <w:rStyle w:val="FootnoteAnchor"/>
          <w:rtl w:val="true"/>
        </w:rPr>
        <w:footnoteReference w:id="713"/>
      </w:r>
      <w:r>
        <w:rPr>
          <w:rFonts w:ascii="Amiri" w:hAnsi="Amiri" w:eastAsia="Amiri" w:cs="Amiri"/>
          <w:color w:val="111111"/>
          <w:sz w:val="28"/>
          <w:sz w:val="28"/>
          <w:szCs w:val="28"/>
          <w:rtl w:val="true"/>
          <w:lang w:bidi="ar-SA"/>
        </w:rPr>
        <w:t>، للأصل ، وعدم صراحتهما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أمره به ، لعدم المقتضي ، وإن استحب لو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بوجوبه على الإمام أو نائبه لا دليل له وإن قلنا بوجوب الاغتسال ، إلاّ من باب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الموافق لقصر الحكم المخالف للأصل على مورده تخصيصه بالمرجوم والمقتول قودا ، كما هو صريح المنتهى ، ونهاية الإحكام </w:t>
      </w:r>
      <w:r>
        <w:rPr>
          <w:rStyle w:val="FootnoteAnchor"/>
          <w:rtl w:val="true"/>
        </w:rPr>
        <w:footnoteReference w:id="714"/>
      </w:r>
      <w:r>
        <w:rPr>
          <w:rFonts w:ascii="Amiri" w:hAnsi="Amiri" w:eastAsia="Amiri" w:cs="Amiri"/>
          <w:color w:val="111111"/>
          <w:sz w:val="28"/>
          <w:sz w:val="28"/>
          <w:szCs w:val="28"/>
          <w:rtl w:val="true"/>
          <w:lang w:bidi="ar-SA"/>
        </w:rPr>
        <w:t xml:space="preserve">، وغير واحد من الثالثة </w:t>
      </w:r>
      <w:r>
        <w:rPr>
          <w:rStyle w:val="FootnoteAnchor"/>
          <w:rtl w:val="true"/>
        </w:rPr>
        <w:footnoteReference w:id="715"/>
      </w:r>
      <w:r>
        <w:rPr>
          <w:rFonts w:ascii="Amiri" w:hAnsi="Amiri" w:eastAsia="Amiri" w:cs="Amiri"/>
          <w:color w:val="111111"/>
          <w:sz w:val="28"/>
          <w:sz w:val="28"/>
          <w:szCs w:val="28"/>
          <w:rtl w:val="true"/>
          <w:lang w:bidi="ar-SA"/>
        </w:rPr>
        <w:t xml:space="preserve">، وحكي عن ظاهر الأكثر </w:t>
      </w:r>
      <w:r>
        <w:rPr>
          <w:rStyle w:val="FootnoteAnchor"/>
          <w:rtl w:val="true"/>
        </w:rPr>
        <w:footnoteReference w:id="716"/>
      </w:r>
      <w:r>
        <w:rPr>
          <w:rFonts w:ascii="Amiri" w:hAnsi="Amiri" w:eastAsia="Amiri" w:cs="Amiri"/>
          <w:color w:val="111111"/>
          <w:sz w:val="28"/>
          <w:sz w:val="28"/>
          <w:szCs w:val="28"/>
          <w:rtl w:val="true"/>
          <w:lang w:bidi="ar-SA"/>
        </w:rPr>
        <w:t xml:space="preserve">، بل عن المفيد ، والديلمي </w:t>
      </w:r>
      <w:r>
        <w:rPr>
          <w:rStyle w:val="FootnoteAnchor"/>
          <w:rtl w:val="true"/>
        </w:rPr>
        <w:footnoteReference w:id="717"/>
      </w:r>
      <w:r>
        <w:rPr>
          <w:rFonts w:ascii="Amiri" w:hAnsi="Amiri" w:eastAsia="Amiri" w:cs="Amiri"/>
          <w:color w:val="111111"/>
          <w:sz w:val="28"/>
          <w:sz w:val="28"/>
          <w:szCs w:val="28"/>
          <w:rtl w:val="true"/>
          <w:lang w:bidi="ar-SA"/>
        </w:rPr>
        <w:t>الاقتصار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الشرائع ، والقواعد ، وعن الجامع ، والذكرى </w:t>
      </w:r>
      <w:r>
        <w:rPr>
          <w:rStyle w:val="FootnoteAnchor"/>
          <w:rtl w:val="true"/>
        </w:rPr>
        <w:footnoteReference w:id="718"/>
      </w:r>
      <w:r>
        <w:rPr>
          <w:rFonts w:ascii="Amiri" w:hAnsi="Amiri" w:eastAsia="Amiri" w:cs="Amiri"/>
          <w:color w:val="111111"/>
          <w:sz w:val="28"/>
          <w:sz w:val="28"/>
          <w:szCs w:val="28"/>
          <w:rtl w:val="true"/>
          <w:lang w:bidi="ar-SA"/>
        </w:rPr>
        <w:t>، وفي اللوامع نسبه إلى الجماعة ، للمشاركة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باطل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الكركي </w:t>
      </w:r>
      <w:r>
        <w:rPr>
          <w:rStyle w:val="FootnoteAnchor"/>
          <w:rtl w:val="true"/>
        </w:rPr>
        <w:footnoteReference w:id="719"/>
      </w:r>
      <w:r>
        <w:rPr>
          <w:rFonts w:ascii="IRNazanin" w:hAnsi="IRNazanin" w:eastAsia="IRNazanin"/>
          <w:color w:val="111111"/>
          <w:sz w:val="28"/>
          <w:sz w:val="28"/>
          <w:szCs w:val="28"/>
          <w:rtl w:val="true"/>
          <w:lang w:bidi="fa-IR"/>
        </w:rPr>
        <w:t xml:space="preserve">وبعض آخر </w:t>
      </w:r>
      <w:r>
        <w:rPr>
          <w:rStyle w:val="FootnoteAnchor"/>
          <w:rtl w:val="true"/>
        </w:rPr>
        <w:footnoteReference w:id="720"/>
      </w:r>
      <w:r>
        <w:rPr>
          <w:rFonts w:ascii="Amiri" w:hAnsi="Amiri" w:eastAsia="Amiri" w:cs="Amiri"/>
          <w:color w:val="111111"/>
          <w:sz w:val="28"/>
          <w:sz w:val="28"/>
          <w:szCs w:val="28"/>
          <w:rtl w:val="true"/>
          <w:lang w:bidi="ar-SA"/>
        </w:rPr>
        <w:t xml:space="preserve">، واستقربه في نهاية الإحكام </w:t>
      </w:r>
      <w:r>
        <w:rPr>
          <w:rStyle w:val="FootnoteAnchor"/>
          <w:rtl w:val="true"/>
        </w:rPr>
        <w:footnoteReference w:id="721"/>
      </w:r>
      <w:r>
        <w:rPr>
          <w:rFonts w:ascii="Amiri" w:hAnsi="Amiri" w:eastAsia="Amiri" w:cs="Amiri"/>
          <w:color w:val="111111"/>
          <w:sz w:val="28"/>
          <w:sz w:val="28"/>
          <w:szCs w:val="28"/>
          <w:rtl w:val="true"/>
          <w:lang w:bidi="ar-SA"/>
        </w:rPr>
        <w:t>أنّه يغتسل غسل الميت فيجب فيه ما يجب فيه حتى التثليث ، لبدليته الموجبة للمماثلة ، واقترانه بالتحنيط والتكفين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روض الجنان </w:t>
      </w:r>
      <w:r>
        <w:rPr>
          <w:rStyle w:val="FootnoteAnchor"/>
          <w:rtl w:val="true"/>
        </w:rPr>
        <w:footnoteReference w:id="722"/>
      </w:r>
      <w:r>
        <w:rPr>
          <w:rFonts w:ascii="Amiri" w:hAnsi="Amiri" w:eastAsia="Amiri" w:cs="Amiri"/>
          <w:color w:val="111111"/>
          <w:sz w:val="28"/>
          <w:sz w:val="28"/>
          <w:szCs w:val="28"/>
          <w:rtl w:val="true"/>
          <w:lang w:bidi="ar-SA"/>
        </w:rPr>
        <w:t>احتمال الاكتفاء بغسل واحد ، للأصل ، ومعهودية الوحدة في غسل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توقّف ، وإن كان مقتضى الأصل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والتثليث أحوط ، بل يومئ إليه إضافة الغسل إلى الضمير في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ويسقط الغسل عنه بعد الموت لو اغتسل قبله ، كما عن الخلاف ، والمبسوط ، والمهذب ، والسرائر ، والمعتبر </w:t>
      </w:r>
      <w:r>
        <w:rPr>
          <w:rStyle w:val="FootnoteAnchor"/>
          <w:rtl w:val="true"/>
        </w:rPr>
        <w:footnoteReference w:id="723"/>
      </w:r>
      <w:r>
        <w:rPr>
          <w:rFonts w:ascii="Amiri" w:hAnsi="Amiri" w:eastAsia="Amiri" w:cs="Amiri"/>
          <w:color w:val="111111"/>
          <w:sz w:val="28"/>
          <w:sz w:val="28"/>
          <w:szCs w:val="28"/>
          <w:rtl w:val="true"/>
          <w:lang w:bidi="ar-SA"/>
        </w:rPr>
        <w:t xml:space="preserve">، نافيا فيه عنه الريب ، وفي الشرائع والمدارك </w:t>
      </w:r>
      <w:r>
        <w:rPr>
          <w:rStyle w:val="FootnoteAnchor"/>
          <w:rtl w:val="true"/>
        </w:rPr>
        <w:footnoteReference w:id="724"/>
      </w:r>
      <w:r>
        <w:rPr>
          <w:rFonts w:ascii="Amiri" w:hAnsi="Amiri" w:eastAsia="Amiri" w:cs="Amiri"/>
          <w:color w:val="111111"/>
          <w:sz w:val="28"/>
          <w:sz w:val="28"/>
          <w:szCs w:val="28"/>
          <w:rtl w:val="true"/>
          <w:lang w:bidi="ar-SA"/>
        </w:rPr>
        <w:t xml:space="preserve">مصرّحا فيه بكونه ظاهرا ، لظهور الأمر بتقديم التحنيط والتكفين ، والاقتصار على الصلاة بعد القتل في النص فيه ، بل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الرضوي ، وفي إضافة الغسل إلى الضمير الراجع إليه إشعار بل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مرفوعة البرقي </w:t>
      </w:r>
      <w:r>
        <w:rPr>
          <w:rStyle w:val="FootnoteAnchor"/>
          <w:rtl w:val="true"/>
        </w:rPr>
        <w:footnoteReference w:id="725"/>
      </w:r>
      <w:r>
        <w:rPr>
          <w:rFonts w:ascii="Amiri" w:hAnsi="Amiri" w:eastAsia="Amiri" w:cs="Amiri"/>
          <w:color w:val="111111"/>
          <w:sz w:val="28"/>
          <w:sz w:val="28"/>
          <w:szCs w:val="28"/>
          <w:rtl w:val="true"/>
          <w:lang w:bidi="ar-SA"/>
        </w:rPr>
        <w:t>، الصريحة في عدم تغسيل أمير المؤمنين المرجوم بعد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اختصاص السقوط بما إذا قتل بالسبب الذي له اغتسل ، فلو سبق موته قتله أو قتل بسبب آخر غير السببين غسّل ،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غسل لأحد السببين وقتل للآخر ففي وجوب التغسيل أو استحباب الغسل ثانيا نظر ، والعدم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تداخل باقي الأغسال فيه فيكتفي به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بها عنه أيضا ، لما مرّ في بحث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عدمه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التحنيط والتكفين أيضا ، كما صرّح الفاضل في المنتهى بهما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عدم تعرّض الصدوقين ، والمفيد </w:t>
      </w:r>
      <w:r>
        <w:rPr>
          <w:rStyle w:val="FootnoteAnchor"/>
          <w:rtl w:val="true"/>
        </w:rPr>
        <w:footnoteReference w:id="727"/>
      </w:r>
      <w:r>
        <w:rPr>
          <w:rFonts w:ascii="IRNazanin" w:hAnsi="IRNazanin" w:eastAsia="IRNazanin"/>
          <w:color w:val="111111"/>
          <w:sz w:val="28"/>
          <w:sz w:val="28"/>
          <w:szCs w:val="28"/>
          <w:rtl w:val="true"/>
          <w:lang w:bidi="fa-IR"/>
        </w:rPr>
        <w:t xml:space="preserve">، والجامع ، للأول ،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والمبسوط ، للثاني ، والشرائع </w:t>
      </w:r>
      <w:r>
        <w:rPr>
          <w:rStyle w:val="FootnoteAnchor"/>
          <w:rtl w:val="true"/>
        </w:rPr>
        <w:footnoteReference w:id="728"/>
      </w:r>
      <w:r>
        <w:rPr>
          <w:rFonts w:ascii="IRNazanin" w:hAnsi="IRNazanin" w:eastAsia="IRNazanin"/>
          <w:color w:val="111111"/>
          <w:sz w:val="28"/>
          <w:sz w:val="28"/>
          <w:szCs w:val="28"/>
          <w:rtl w:val="true"/>
          <w:lang w:bidi="fa-IR"/>
        </w:rPr>
        <w:t>لهما ، بعد اشتمال النص</w:t>
      </w:r>
      <w:r>
        <w:rPr>
          <w:rFonts w:eastAsia="IRNazanin" w:cs="IRNazanin"/>
          <w:color w:val="111111"/>
          <w:sz w:val="28"/>
          <w:szCs w:val="28"/>
          <w:rtl w:val="true"/>
          <w:lang w:bidi="fa-IR"/>
        </w:rPr>
        <w:t xml:space="preserve">. </w:t>
      </w:r>
      <w:bookmarkStart w:id="62" w:name="pg11616_94582"/>
    </w:p>
    <w:p>
      <w:pPr>
        <w:pStyle w:val="Heading4"/>
        <w:numPr>
          <w:ilvl w:val="3"/>
          <w:numId w:val="1"/>
        </w:numPr>
        <w:rPr/>
      </w:pPr>
      <w:bookmarkStart w:id="63" w:name="__RefHeading___Toc5588095_73709187"/>
      <w:bookmarkStart w:id="64" w:name="_Toc25"/>
      <w:bookmarkEnd w:id="62"/>
      <w:bookmarkEnd w:id="63"/>
      <w:r>
        <w:rPr>
          <w:rtl w:val="true"/>
        </w:rPr>
        <w:t xml:space="preserve">الفصل الثالث </w:t>
      </w:r>
      <w:r>
        <w:rPr>
          <w:rtl w:val="true"/>
        </w:rPr>
        <w:t xml:space="preserve">: </w:t>
      </w:r>
      <w:r>
        <w:rPr>
          <w:rtl w:val="true"/>
        </w:rPr>
        <w:t>في الغسل</w:t>
      </w:r>
      <w:bookmarkEnd w:id="64"/>
    </w:p>
    <w:p>
      <w:pPr>
        <w:pStyle w:val="Heading5"/>
        <w:numPr>
          <w:ilvl w:val="4"/>
          <w:numId w:val="1"/>
        </w:numPr>
        <w:rPr/>
      </w:pPr>
      <w:bookmarkStart w:id="65" w:name="__RefHeading___Toc5588097_73709187"/>
      <w:bookmarkStart w:id="66" w:name="_Toc26"/>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والكلام إمّا في واجباته ، أو مستحباته ومكروهاته ، أو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ثلاث مقامات </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588099_73709187"/>
      <w:bookmarkStart w:id="68" w:name="_Toc27"/>
      <w:bookmarkEnd w:id="67"/>
      <w:r>
        <w:rPr>
          <w:rtl w:val="true"/>
        </w:rPr>
        <w:t xml:space="preserve">المقام الأول </w:t>
      </w:r>
      <w:r>
        <w:rPr>
          <w:rtl w:val="true"/>
        </w:rPr>
        <w:t xml:space="preserve">: </w:t>
      </w:r>
      <w:r>
        <w:rPr>
          <w:rtl w:val="true"/>
        </w:rPr>
        <w:t>في واجباته</w:t>
      </w:r>
      <w:bookmarkEnd w:id="68"/>
    </w:p>
    <w:p>
      <w:pPr>
        <w:pStyle w:val="Heading6"/>
        <w:numPr>
          <w:ilvl w:val="5"/>
          <w:numId w:val="1"/>
        </w:numPr>
        <w:rPr/>
      </w:pPr>
      <w:bookmarkStart w:id="69" w:name="__RefHeading___Toc5588101_73709187"/>
      <w:bookmarkStart w:id="70" w:name="_Toc28"/>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النجاسة العارضة عنه قبل الغسل ، على الحقّ المشهور ، بل بلا خلاف كما في المنتهى </w:t>
      </w:r>
      <w:r>
        <w:rPr>
          <w:rStyle w:val="FootnoteAnchor"/>
          <w:rtl w:val="true"/>
        </w:rPr>
        <w:footnoteReference w:id="729"/>
      </w:r>
      <w:r>
        <w:rPr>
          <w:rFonts w:ascii="Amiri" w:hAnsi="Amiri" w:eastAsia="Amiri" w:cs="Amiri"/>
          <w:color w:val="111111"/>
          <w:sz w:val="28"/>
          <w:sz w:val="28"/>
          <w:szCs w:val="28"/>
          <w:rtl w:val="true"/>
          <w:lang w:bidi="ar-SA"/>
        </w:rPr>
        <w:t xml:space="preserve">، وإجماعا كما في اللوامع ، وعن التذكرة ونهاية الإحكام </w:t>
      </w:r>
      <w:r>
        <w:rPr>
          <w:rStyle w:val="FootnoteAnchor"/>
          <w:rtl w:val="true"/>
        </w:rPr>
        <w:footnoteReference w:id="730"/>
      </w:r>
      <w:r>
        <w:rPr>
          <w:rFonts w:ascii="Amiri" w:hAnsi="Amiri" w:eastAsia="Amiri" w:cs="Amiri"/>
          <w:color w:val="111111"/>
          <w:sz w:val="28"/>
          <w:sz w:val="28"/>
          <w:szCs w:val="28"/>
          <w:rtl w:val="true"/>
          <w:lang w:bidi="ar-SA"/>
        </w:rPr>
        <w:t xml:space="preserve">، ونفى عنه الشبهة في شرح القواعد للكركي </w:t>
      </w:r>
      <w:r>
        <w:rPr>
          <w:rStyle w:val="FootnoteAnchor"/>
          <w:rtl w:val="true"/>
        </w:rPr>
        <w:footnoteReference w:id="731"/>
      </w:r>
      <w:r>
        <w:rPr>
          <w:rFonts w:ascii="Amiri" w:hAnsi="Amiri" w:eastAsia="Amiri" w:cs="Amiri"/>
          <w:color w:val="111111"/>
          <w:sz w:val="28"/>
          <w:sz w:val="28"/>
          <w:szCs w:val="28"/>
          <w:rtl w:val="true"/>
          <w:lang w:bidi="ar-SA"/>
        </w:rPr>
        <w:t xml:space="preserve">، وجعله في المدارك </w:t>
      </w:r>
      <w:r>
        <w:rPr>
          <w:rStyle w:val="FootnoteAnchor"/>
          <w:rtl w:val="true"/>
        </w:rPr>
        <w:footnoteReference w:id="732"/>
      </w:r>
      <w:r>
        <w:rPr>
          <w:rFonts w:ascii="Amiri" w:hAnsi="Amiri" w:eastAsia="Amiri" w:cs="Amiri"/>
          <w:color w:val="111111"/>
          <w:sz w:val="28"/>
          <w:sz w:val="28"/>
          <w:szCs w:val="28"/>
          <w:rtl w:val="true"/>
          <w:lang w:bidi="ar-SA"/>
        </w:rPr>
        <w:t>مقطوعا به في كلام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للإجماع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ووجوب إزالة النجاسة الحكمية عنه والعينية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وإيقاع ماء الغسل على محل طاهر ، وصون ماء الغسل من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الشغل اليقيني على البراءة اليقينية التي لا تحصل إلاّ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ووجوبها في غسل الجنابة المستلزم لوجوبها في غسل الأموات ، للمعتبرة الدالّة على اتّحادهما بل في بعضها أنّه عينه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والنصوص المستفيضة الآمرة بتقديم غسل الفرج على الغسل هنا ، </w:t>
      </w:r>
    </w:p>
    <w:p>
      <w:pPr>
        <w:pStyle w:val="BookText"/>
        <w:rPr/>
      </w:pPr>
      <w:r>
        <w:rPr>
          <w:rFonts w:ascii="Amiri" w:hAnsi="Amiri" w:eastAsia="Amiri" w:cs="Amiri"/>
          <w:color w:val="111111"/>
          <w:sz w:val="28"/>
          <w:sz w:val="28"/>
          <w:szCs w:val="28"/>
          <w:rtl w:val="true"/>
          <w:lang w:bidi="ar-SA"/>
        </w:rPr>
        <w:t xml:space="preserve">كروايات ابن عبيد </w:t>
      </w:r>
      <w:r>
        <w:rPr>
          <w:rStyle w:val="FootnoteAnchor"/>
          <w:rtl w:val="true"/>
        </w:rPr>
        <w:footnoteReference w:id="733"/>
      </w:r>
      <w:r>
        <w:rPr>
          <w:rFonts w:ascii="Amiri" w:hAnsi="Amiri" w:eastAsia="Amiri" w:cs="Amiri"/>
          <w:color w:val="111111"/>
          <w:sz w:val="28"/>
          <w:sz w:val="28"/>
          <w:szCs w:val="28"/>
          <w:rtl w:val="true"/>
          <w:lang w:bidi="ar-SA"/>
        </w:rPr>
        <w:t xml:space="preserve">، وحريز </w:t>
      </w:r>
      <w:r>
        <w:rPr>
          <w:rStyle w:val="FootnoteAnchor"/>
          <w:rtl w:val="true"/>
        </w:rPr>
        <w:footnoteReference w:id="734"/>
      </w:r>
      <w:r>
        <w:rPr>
          <w:rFonts w:ascii="Amiri" w:hAnsi="Amiri" w:eastAsia="Amiri" w:cs="Amiri"/>
          <w:color w:val="111111"/>
          <w:sz w:val="28"/>
          <w:sz w:val="28"/>
          <w:szCs w:val="28"/>
          <w:rtl w:val="true"/>
          <w:lang w:bidi="ar-SA"/>
        </w:rPr>
        <w:t xml:space="preserve">، والكاهلي </w:t>
      </w:r>
      <w:r>
        <w:rPr>
          <w:rStyle w:val="FootnoteAnchor"/>
          <w:rtl w:val="true"/>
        </w:rPr>
        <w:footnoteReference w:id="735"/>
      </w:r>
      <w:r>
        <w:rPr>
          <w:rFonts w:ascii="IRNazanin" w:hAnsi="IRNazanin" w:eastAsia="IRNazanin"/>
          <w:color w:val="111111"/>
          <w:sz w:val="28"/>
          <w:sz w:val="28"/>
          <w:szCs w:val="28"/>
          <w:rtl w:val="true"/>
          <w:lang w:bidi="fa-IR"/>
        </w:rPr>
        <w:t xml:space="preserve">، وأم أنس </w:t>
      </w:r>
      <w:r>
        <w:rPr>
          <w:rStyle w:val="FootnoteAnchor"/>
          <w:rtl w:val="true"/>
        </w:rPr>
        <w:footnoteReference w:id="736"/>
      </w:r>
      <w:r>
        <w:rPr>
          <w:rFonts w:ascii="Amiri" w:hAnsi="Amiri" w:eastAsia="Amiri" w:cs="Amiri"/>
          <w:color w:val="111111"/>
          <w:sz w:val="28"/>
          <w:sz w:val="28"/>
          <w:szCs w:val="28"/>
          <w:rtl w:val="true"/>
          <w:lang w:bidi="ar-SA"/>
        </w:rPr>
        <w:t xml:space="preserve">، وفي غسل الجنابة بضميمة ما يستفاد من المعتبرة من الاتّحاد ، وبتقديم تنقية الفرج كخبر يونس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بتهيئة ماء السدر وغسل اليدين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اغسل فرجه ونقّه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 مع عدم استلزامه لوجوب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تنجّسه مطلقا ، لكونه واردا أو غسالة مطهّرة أو قبل حصول التطهير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فبمنع اشتراط طهارته مطلقا ، بل المسلّم منه ليس إلاّ المجمع عليه ، وهو قبل الوصول إلى المحل ، وأمّا بعده فلا ، ولذا يزيل الخبث مع أنّ دليل الاشتراط فيهما واحد ، ولا تضرّ النجاسة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عبادة صحته تتوقّف على البيان ، وليس إلاّ فيما صين ماؤه عن النجاسة مطلقا ، وحيث لا يمكن من الذاتية اغتفر بالإضافة إليها للضرورة دون غيرها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بإطلاقات أوامر الاغتسال ، الشاملة للمورد أيضا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عدم تبادر مثل ذلك الماء إن أريد منها عدم تبادره بخصوصه فهو كذلك ، ومثله جميع أفراد الماء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عدم تبادر ما يشمله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فيما هو بصدده تبادر الغير ، وهو غير 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العلم بالاشتغال بالزائد ، مع أنّه يحصل العلم بالبراءة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الوجوب في غسل الجنابة أولا ، وبمنع الاستلزام لو ثبت فيه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غسل الميت مثل غسل الجنب كما في الأخبار لا يفيد المماثلة في جميع الأحكام ، ولو أفاد لما أفاد إلاّ في جميع أجزاء الغسل وكيفياته لا الأمور الخارجة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معارضته بأخبار أخر أقوى سندا دالّة على الابتداء باليدين والرأس ، كحسنة الحلبي </w:t>
      </w:r>
      <w:r>
        <w:rPr>
          <w:rStyle w:val="FootnoteAnchor"/>
          <w:rtl w:val="true"/>
        </w:rPr>
        <w:footnoteReference w:id="739"/>
      </w:r>
      <w:r>
        <w:rPr>
          <w:rFonts w:ascii="Amiri" w:hAnsi="Amiri" w:eastAsia="Amiri" w:cs="Amiri"/>
          <w:color w:val="111111"/>
          <w:sz w:val="28"/>
          <w:sz w:val="28"/>
          <w:szCs w:val="28"/>
          <w:rtl w:val="true"/>
          <w:lang w:bidi="ar-SA"/>
        </w:rPr>
        <w:t xml:space="preserve">، وصحيحة يعقوب </w:t>
      </w:r>
      <w:r>
        <w:rPr>
          <w:rStyle w:val="FootnoteAnchor"/>
          <w:rtl w:val="true"/>
        </w:rPr>
        <w:footnoteReference w:id="740"/>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الدلالة ، لأنّ في الأمر بغسل الفرج الشامل للنجس وغيره لا دلالة على أنّه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أنّه لولاه لزم إخراج الأمر عن حقيقته ، لعدم القول بوجوب البدأة بغسل الفرج بنفسه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معه أيضا يلزم التقييد بصورة العلم بخروج النجاسة ، لعدم القول بالوجوب بدونه ، وليس أحدهما أولى من الآخر ، مع أنّ خروجها ليس أغلبيا بحيث لا يلتفت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 فلعلّه يكون لإزالة العين المانعة عن وصول الماء لغلبة خروج الغائط</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الأمر به في أكثر الروايات لا يختص بالغسلة الاولى ، بل بماء الكافور والقراح أيضا ، وذلك قرينة واضحة على إرادة المستحب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الروايتين الأوليين لا تدلاّن على الوجوب ، وفي الثالثة أمر بالغسل </w:t>
      </w:r>
    </w:p>
    <w:p>
      <w:pPr>
        <w:pStyle w:val="BookText"/>
        <w:rPr/>
      </w:pPr>
      <w:r>
        <w:rPr>
          <w:rFonts w:ascii="IRNazanin" w:hAnsi="IRNazanin" w:eastAsia="IRNazanin"/>
          <w:color w:val="111111"/>
          <w:sz w:val="28"/>
          <w:sz w:val="28"/>
          <w:szCs w:val="28"/>
          <w:rtl w:val="true"/>
          <w:lang w:bidi="fa-IR"/>
        </w:rPr>
        <w:t xml:space="preserve">بماء السدر والحرض </w:t>
      </w:r>
      <w:r>
        <w:rPr>
          <w:rStyle w:val="FootnoteAnchor"/>
          <w:rtl w:val="true"/>
        </w:rPr>
        <w:footnoteReference w:id="741"/>
      </w:r>
      <w:r>
        <w:rPr>
          <w:rFonts w:ascii="Amiri" w:hAnsi="Amiri" w:eastAsia="Amiri" w:cs="Amiri"/>
          <w:color w:val="111111"/>
          <w:sz w:val="28"/>
          <w:sz w:val="28"/>
          <w:szCs w:val="28"/>
          <w:rtl w:val="true"/>
          <w:lang w:bidi="ar-SA"/>
        </w:rPr>
        <w:t>ثلاثا ، وهو ليس بواجب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742"/>
      </w:r>
      <w:r>
        <w:rPr>
          <w:rFonts w:ascii="Amiri" w:hAnsi="Amiri" w:eastAsia="Amiri" w:cs="Amiri"/>
          <w:color w:val="111111"/>
          <w:sz w:val="28"/>
          <w:sz w:val="28"/>
          <w:szCs w:val="28"/>
          <w:rtl w:val="true"/>
          <w:lang w:bidi="ar-SA"/>
        </w:rPr>
        <w:t xml:space="preserve">لقوله في خبر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بإعداد ماء الكافور وغسل اليدين والفرج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وامسح بطنه مسحا رفيقا ، فإن خرج منه شي‌ء فأنقه ثمَّ اغسل رأسه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واغمز بطنه غمزا رفيقا ، ثمَّ طهره من غمز البطن ، ثمَّ تضجعه ثمَّ تغسله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وتبدأ بغسل كفيه ، ثمَّ تطهر ما خرج من بطنه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ثبوت الحقيقة الشرعية للإنقاء والتطهير ، فلعلّ المراد إزالة العين المانعة من وصول الماء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برجحان تقديم إزالة المانع على الغسل قطعا ، بل غايته تقديمها في كلّ جزء على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ما في الثانية من تأخير الإضجاع الغير الواجب قطعا ، إذ خروج جزء من الحديث عن ظاهره لا يخرج غيره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تلك الروايات بنجاسة خاصة وعضو مخصوص بعد عدم القائل بالفرق غير ضائر ، ولعلّه للغلبة لا للتغاير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الثابت فيه الإجماع المركّب النجاسة العارضة قبل كل غسل فتجب إزالتها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العارضة في أثنائه سيما ما لا ينفك عنه غالبا كيد الغاسل وساتر المغسول ونحوهما فلا ، بل يكفي ماء الغسل عنه وعنها على الأصح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التشكيك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أجلّة المتأخرين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موقعه ، </w:t>
      </w:r>
    </w:p>
    <w:p>
      <w:pPr>
        <w:pStyle w:val="BookText"/>
        <w:rPr/>
      </w:pPr>
      <w:r>
        <w:rPr>
          <w:rFonts w:ascii="Amiri" w:hAnsi="Amiri" w:eastAsia="Amiri" w:cs="Amiri"/>
          <w:color w:val="111111"/>
          <w:sz w:val="28"/>
          <w:sz w:val="28"/>
          <w:szCs w:val="28"/>
          <w:rtl w:val="true"/>
          <w:lang w:bidi="ar-SA"/>
        </w:rPr>
        <w:t>وحصول الطهارة من نجاسة دون اخرى بعد دلالة النصوص لا بعد فيه ، مع أنّه يجوز زوال العرضية بما يزول به سائر النجاسات وتوقف زوال الذاتية على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ووجوبها فيه هو الأصح ، وفاقا للمعظم ، بل عن الخلاف الإجماع عليه </w:t>
      </w:r>
      <w:r>
        <w:rPr>
          <w:rStyle w:val="FootnoteAnchor"/>
          <w:rtl w:val="true"/>
        </w:rPr>
        <w:footnoteReference w:id="747"/>
      </w:r>
      <w:r>
        <w:rPr>
          <w:rFonts w:ascii="Amiri" w:hAnsi="Amiri" w:eastAsia="Amiri" w:cs="Amiri"/>
          <w:color w:val="111111"/>
          <w:sz w:val="28"/>
          <w:sz w:val="28"/>
          <w:szCs w:val="28"/>
          <w:rtl w:val="true"/>
          <w:lang w:bidi="ar-SA"/>
        </w:rPr>
        <w:t xml:space="preserve">، وفي شرح القواعد للكركي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المذهب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لتشبيهه بغسل الجنابة ، لأنّه لا يوجب النية على غير المغسول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لوجوب الترتيب فيه فيكون غسلا حقيقيا ، لعدم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لعموم ما دلّ على اعتبارها في العمل ، خرج ما على خروجه دليل دلّ ، وبقي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ولتوقّف صدق امتثال الأوامر الواجب بديهة عليها بحكم العرف كما مرّ ، وبذلك يثبت اشتراط القربة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 وظاهر كفاية الأحكام ، وعن المعتبر ، ونهاية الإحكام ، والتذكرة </w:t>
      </w:r>
      <w:r>
        <w:rPr>
          <w:rStyle w:val="FootnoteAnchor"/>
          <w:rtl w:val="true"/>
        </w:rPr>
        <w:footnoteReference w:id="749"/>
      </w:r>
      <w:r>
        <w:rPr>
          <w:rFonts w:ascii="IRNazanin" w:hAnsi="IRNazanin" w:eastAsia="IRNazanin"/>
          <w:color w:val="111111"/>
          <w:sz w:val="28"/>
          <w:sz w:val="28"/>
          <w:szCs w:val="28"/>
          <w:rtl w:val="true"/>
          <w:lang w:bidi="fa-IR"/>
        </w:rPr>
        <w:t xml:space="preserve">، بل هو ظاهر الشرائع والنافع </w:t>
      </w:r>
      <w:r>
        <w:rPr>
          <w:rStyle w:val="FootnoteAnchor"/>
          <w:rtl w:val="true"/>
        </w:rPr>
        <w:footnoteReference w:id="750"/>
      </w:r>
      <w:r>
        <w:rPr>
          <w:rFonts w:ascii="Amiri" w:hAnsi="Amiri" w:eastAsia="Amiri" w:cs="Amiri"/>
          <w:color w:val="111111"/>
          <w:sz w:val="28"/>
          <w:sz w:val="28"/>
          <w:szCs w:val="28"/>
          <w:rtl w:val="true"/>
          <w:lang w:bidi="ar-SA"/>
        </w:rPr>
        <w:t xml:space="preserve">، حيث لم يذكرها فيهما ، أو نفي اعتبارها فيه مطلقا كما عن مصريات السيد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المنتهى </w:t>
      </w:r>
      <w:r>
        <w:rPr>
          <w:rStyle w:val="FootnoteAnchor"/>
          <w:rtl w:val="true"/>
        </w:rPr>
        <w:footnoteReference w:id="7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عندنا من نسخته المصحّحة مصرّحة بالوجوب ، وإن لم تكن عبارتها خالية عن الاضطراب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وجوب تعدّد النية بتعدّد الغسلات ، كما عن الإشارة ، وروض </w:t>
      </w:r>
    </w:p>
    <w:p>
      <w:pPr>
        <w:pStyle w:val="BookText"/>
        <w:rPr/>
      </w:pPr>
      <w:r>
        <w:rPr>
          <w:rFonts w:ascii="IRNazanin" w:hAnsi="IRNazanin" w:eastAsia="IRNazanin"/>
          <w:color w:val="111111"/>
          <w:sz w:val="28"/>
          <w:sz w:val="28"/>
          <w:szCs w:val="28"/>
          <w:rtl w:val="true"/>
          <w:lang w:bidi="fa-IR"/>
        </w:rPr>
        <w:t xml:space="preserve">الجنان </w:t>
      </w:r>
      <w:r>
        <w:rPr>
          <w:rStyle w:val="FootnoteAnchor"/>
          <w:rtl w:val="true"/>
        </w:rPr>
        <w:footnoteReference w:id="753"/>
      </w:r>
      <w:r>
        <w:rPr>
          <w:rFonts w:ascii="Amiri" w:hAnsi="Amiri" w:eastAsia="Amiri" w:cs="Amiri"/>
          <w:color w:val="111111"/>
          <w:sz w:val="28"/>
          <w:sz w:val="28"/>
          <w:szCs w:val="28"/>
          <w:rtl w:val="true"/>
          <w:lang w:bidi="ar-SA"/>
        </w:rPr>
        <w:t>، وجماعة ، واختاره والدي رحمه اللّه ، للتغاير بينها اسما وصورة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بل كفاية واحدة للثلاث في أولها ، كما عن اللمعة والذكرى </w:t>
      </w:r>
      <w:r>
        <w:rPr>
          <w:rStyle w:val="FootnoteAnchor"/>
          <w:rtl w:val="true"/>
        </w:rPr>
        <w:footnoteReference w:id="754"/>
      </w:r>
      <w:r>
        <w:rPr>
          <w:rFonts w:ascii="Amiri" w:hAnsi="Amiri" w:eastAsia="Amiri" w:cs="Amiri"/>
          <w:color w:val="111111"/>
          <w:sz w:val="28"/>
          <w:sz w:val="28"/>
          <w:szCs w:val="28"/>
          <w:rtl w:val="true"/>
          <w:lang w:bidi="ar-SA"/>
        </w:rPr>
        <w:t xml:space="preserve">، وفي المدارك وكفاية الأحكام </w:t>
      </w:r>
      <w:r>
        <w:rPr>
          <w:rStyle w:val="FootnoteAnchor"/>
          <w:rtl w:val="true"/>
        </w:rPr>
        <w:footnoteReference w:id="755"/>
      </w:r>
      <w:r>
        <w:rPr>
          <w:rFonts w:ascii="Amiri" w:hAnsi="Amiri" w:eastAsia="Amiri" w:cs="Amiri"/>
          <w:color w:val="111111"/>
          <w:sz w:val="28"/>
          <w:sz w:val="28"/>
          <w:szCs w:val="28"/>
          <w:rtl w:val="true"/>
          <w:lang w:bidi="ar-SA"/>
        </w:rPr>
        <w:t xml:space="preserve">، أي بشرط الاستدامة الحكمية إلى آخر الثلاث ، لظهور عدم قولهم بصحة الباقي ولو فعل رياء أو بلا قصد ، قولان ،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وصدق الامتثال ، كما في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للتغاير في وجوب التعدّد بعد إرادة الجميع أولا من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اتّحد الغاسل تولّى النية ولم تجزئ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تعدّدوا واشتركوا في الصبّ والتقليب نووا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البعض يصبّ والآخر يقلّب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الصابّ ، لأنّه الغاسل حقيقة ، إذ حقيقة الغسل إجراء الماء ، وهو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الذكرى </w:t>
      </w:r>
      <w:r>
        <w:rPr>
          <w:rStyle w:val="FootnoteAnchor"/>
          <w:rtl w:val="true"/>
        </w:rPr>
        <w:footnoteReference w:id="756"/>
      </w:r>
      <w:r>
        <w:rPr>
          <w:rFonts w:ascii="Amiri" w:hAnsi="Amiri" w:eastAsia="Amiri" w:cs="Amiri"/>
          <w:color w:val="111111"/>
          <w:sz w:val="28"/>
          <w:sz w:val="28"/>
          <w:szCs w:val="28"/>
          <w:rtl w:val="true"/>
          <w:lang w:bidi="ar-SA"/>
        </w:rPr>
        <w:t>إجزاؤها من المقلّب أيضا ، وقوّاه والدي في اللوامع ، لأنّ الجريان في بعض الأعضاء وإن حصل بفعل الأول إلاّ أنّ حصوله في البعض الآخر يتوقّف على فعل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ولتصريح المعتبرة بأنّ الثاني هو الغاسل ، كموثّقة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عنده إلاّ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امرأة ذات محرم تصبّ النساء عليها الماء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موثّقة البصري </w:t>
      </w:r>
      <w:r>
        <w:rPr>
          <w:rStyle w:val="FootnoteAnchor"/>
          <w:rtl w:val="true"/>
        </w:rPr>
        <w:footnoteReference w:id="758"/>
      </w:r>
      <w:r>
        <w:rPr>
          <w:rFonts w:ascii="Amiri" w:hAnsi="Amiri" w:eastAsia="Amiri" w:cs="Amiri"/>
          <w:color w:val="111111"/>
          <w:sz w:val="28"/>
          <w:sz w:val="28"/>
          <w:szCs w:val="28"/>
          <w:rtl w:val="true"/>
          <w:lang w:bidi="ar-SA"/>
        </w:rPr>
        <w:t xml:space="preserve">، وحسنة الحلبي </w:t>
      </w:r>
      <w:r>
        <w:rPr>
          <w:rStyle w:val="FootnoteAnchor"/>
          <w:rtl w:val="true"/>
        </w:rPr>
        <w:footnoteReference w:id="759"/>
      </w:r>
      <w:r>
        <w:rPr>
          <w:rFonts w:ascii="Amiri" w:hAnsi="Amiri" w:eastAsia="Amiri" w:cs="Amiri"/>
          <w:color w:val="111111"/>
          <w:sz w:val="28"/>
          <w:sz w:val="28"/>
          <w:szCs w:val="28"/>
          <w:rtl w:val="true"/>
          <w:lang w:bidi="ar-SA"/>
        </w:rPr>
        <w:t xml:space="preserve">، والرضوي </w:t>
      </w:r>
      <w:r>
        <w:rPr>
          <w:rStyle w:val="FootnoteAnchor"/>
          <w:rtl w:val="true"/>
        </w:rPr>
        <w:footnoteReference w:id="760"/>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مقتضى الدليل الأوّل اشتراكهما ، ومقتضى الثاني اختصاص الثاني ، فلا وجه لإجزاء نية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إجراء الماء على العضو ، فإن حصل ذلك من الصابّ في جميع الأعضاء وإن توقّف إجراؤه على تقليب الغير ، فالغاسل هو الصابّ والنية عليه ، والمقلّب ليس إلاّ كنازع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منهما بأن يصبّ أحدهما إلى عضو ويجري الآخر إلى الباقي بمعونة يد أو تحريك عضو بعد الصبّ ، فالغسل منهما والنية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الصبّ من أحدهما ويدلك الآخر جميع الأعضاء بحيث يحصل غسل الجميع منه أيضا وإن جرى الجزء الأول من الصاب فيكفي نية الدالك ، لحصول الغسل بفعله ، والصابّ آلة له ، وعليه تنزّل المعتبرة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التعدّد لو ترتّبوا بأن يغسل كلّ واحد منهم بعضا اعتبرت من كلّ واحد عند ابتداء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السدر ، وبماء الكافور ، وبالقراح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لغير الديلمي </w:t>
      </w:r>
      <w:r>
        <w:rPr>
          <w:rStyle w:val="FootnoteAnchor"/>
          <w:rtl w:val="true"/>
        </w:rPr>
        <w:footnoteReference w:id="761"/>
      </w:r>
      <w:r>
        <w:rPr>
          <w:rFonts w:ascii="Amiri" w:hAnsi="Amiri" w:eastAsia="Amiri" w:cs="Amiri"/>
          <w:color w:val="111111"/>
          <w:sz w:val="28"/>
          <w:sz w:val="28"/>
          <w:szCs w:val="28"/>
          <w:rtl w:val="true"/>
          <w:lang w:bidi="ar-SA"/>
        </w:rPr>
        <w:t xml:space="preserve">في التثليث ، كما في المدارك ، وروض الجنان ، والمعتبر </w:t>
      </w:r>
      <w:r>
        <w:rPr>
          <w:rStyle w:val="FootnoteAnchor"/>
          <w:rtl w:val="true"/>
        </w:rPr>
        <w:footnoteReference w:id="762"/>
      </w:r>
      <w:r>
        <w:rPr>
          <w:rFonts w:ascii="Amiri" w:hAnsi="Amiri" w:eastAsia="Amiri" w:cs="Amiri"/>
          <w:color w:val="111111"/>
          <w:sz w:val="28"/>
          <w:sz w:val="28"/>
          <w:szCs w:val="28"/>
          <w:rtl w:val="true"/>
          <w:lang w:bidi="ar-SA"/>
        </w:rPr>
        <w:t xml:space="preserve">، بل عن الخلاف الإجماع عليه </w:t>
      </w:r>
      <w:r>
        <w:rPr>
          <w:rStyle w:val="FootnoteAnchor"/>
          <w:rtl w:val="true"/>
        </w:rPr>
        <w:footnoteReference w:id="763"/>
      </w:r>
      <w:r>
        <w:rPr>
          <w:rFonts w:ascii="Amiri" w:hAnsi="Amiri" w:eastAsia="Amiri" w:cs="Amiri"/>
          <w:color w:val="111111"/>
          <w:sz w:val="28"/>
          <w:sz w:val="28"/>
          <w:szCs w:val="28"/>
          <w:rtl w:val="true"/>
          <w:lang w:bidi="ar-SA"/>
        </w:rPr>
        <w:t xml:space="preserve">، للنصوص المستفيضة ، كصحيحتي ابن مسكان وخالد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بماء وسدر ، ثمَّ اغسله على أثر ذلك غسلة اخرى بماء وكافور وذريرة </w:t>
      </w:r>
      <w:r>
        <w:rPr>
          <w:rStyle w:val="FootnoteAnchor"/>
          <w:rtl w:val="true"/>
        </w:rPr>
        <w:footnoteReference w:id="764"/>
      </w:r>
      <w:r>
        <w:rPr>
          <w:rFonts w:ascii="Amiri" w:hAnsi="Amiri" w:eastAsia="Amiri" w:cs="Amiri"/>
          <w:color w:val="111111"/>
          <w:sz w:val="28"/>
          <w:sz w:val="28"/>
          <w:szCs w:val="28"/>
          <w:rtl w:val="true"/>
          <w:lang w:bidi="ar-SA"/>
        </w:rPr>
        <w:t xml:space="preserve">إن كانت ، واغسله ثالثة بماء 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غسلات لجسده كله؟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كيف يغسل؟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بماء وسدر ، واغسل جسده كله ، واغسله اخرى بماء وكافور ، ثمَّ اغسله اخرى بماء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غسل الميت فاجعل بينك وبينه ثوبا يستر عورته إما قميصا أو غيره ، ثمَّ تبدأ بكفيه ، وتغسل رأسه ثلاث مرات بالسدر ثمَّ سائر جسده ، وابدأ بشقه الأيمن ، فإذا أردت أن تغسل فرجه فخذ خرقة نظيفة فلفّها على يدك اليسرى ، ثمَّ أدخل يدك من تحت الثوب الذي على فرج الميت فاغسله من غير أن ترى عورته ، فإذا فرغت من غسله بالسدر فاغسله مرة أخرى بماء وكافور وشي‌ء من حنوطه ، ثمَّ اغسله بماء بحت غسلة اخرى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ثلاث 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بالسدر ، ومرة بالماء يطرح فيه الكافور ، ومرة أخرى بالماء القراح ، ثمَّ يكفّن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بباطن قدميه القبلة حتى يكون وجهه مستقبل القبلة ، ثمَّ تلين مفاصله ، فإن امتنعت عليك فدعها ، ثمَّ ابدأ بفرجه بماء السدر والحرض ، فاغسله ثلاث غسلات وأكثر من الماء ، وامسح بطنه مسحا رفيقا ، ثمَّ تحول إلى رأسه فابدأ بشقه الأيمن من لحيته ورأسه ، ثمَّ تثني بشقه الأيسر من رأسه ولحيته ووجهه ، واغسله برفق ، وإياك والعنف ، واغسله غسلا ناعما ، ثمَّ أضجعه على شقه الأيسر ليبدو لك الأيمن ، ثمَّ اغسله من قرنه إلى قدمه ، وامسح يدك على بطنه وظهره بثلاث غسلات ، ثمَّ رده إلى جنبه الأيمن حتى يبدو لك الأيسر ، فاغسله ما بين قرنه إلى قدمه ، وامسح يدك على ظهره وبطنه بثلاث غسلات ، ثمَّ ردّه إلى قفاه فابدأ بفرجيه بماء الكافور ، فاصنع كما صنعت أول مرة ، اغسله ثلاث </w:t>
      </w:r>
    </w:p>
    <w:p>
      <w:pPr>
        <w:pStyle w:val="BookText"/>
        <w:rPr/>
      </w:pPr>
      <w:r>
        <w:rPr>
          <w:rFonts w:ascii="Amiri" w:hAnsi="Amiri" w:eastAsia="Amiri" w:cs="Amiri"/>
          <w:color w:val="111111"/>
          <w:sz w:val="28"/>
          <w:sz w:val="28"/>
          <w:szCs w:val="28"/>
          <w:rtl w:val="true"/>
          <w:lang w:bidi="ar-SA"/>
        </w:rPr>
        <w:t xml:space="preserve">غسلات بماء الكافور والحرض ، وامسح يدك على بطنه مسحا رفيقا ، ثمَّ تحوّل إلى رأسه فاصنع كما صنعت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ردّه على ظهره ، ثمَّ اغسله بماء القراح كما صنعت أولا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فضعه على المغتسل مستقبل القبلة ، فإن كان عليه قميص فأخرج يده من القميص واجمع قميصه على عورته وارفع من رجليه إلى فوق الركبة ، فان لم يكن عليه قميص فألق على عورته خرقة ، واعمد إلى السدر فصيّره في طست ، وصبّ عليه الماء واضربه بيدك حتى ترتفع رغوته واعزل الرغوة في شي‌ء ، وصبّ الآخر في الإجّانة التي فيها الماء ، ثمَّ اغسل يديه ثلاث مرات كما يغسل الإنسان من الجنابة إلى نصف الذراع ، ثمَّ اغسل فرجه ونقّه ، ثمَّ اغسل رأسه بالرغوة وبالغ في ذلك واجتهد أن لا يدخل الماء منخريه ومسامعه ، ثمَّ أضجعه إلى جانبه الأيسر وصبّ الماء من نصف رأسه إلى قدميه ثلاث مرات ، وادلك بدنه دلكا رفيقا ، وكذلك ظهره وبطنه ، ثمَّ أضجعه على جانبه الأيمن وافعل به مثل ذلك ، ثمَّ صبّ الماء من الإجّانة واغسل الإجّانة بماء قراح ، واغسل يديك إلى المرفقين ، ثمَّ صبّ الماء في الآنية وألق فيها حبّات كافور ، وافعل به كما فعلت في المرة الأولى ابدأ بيديه ثمَّ بفرجه ، وامسح بطنه مسحا رفيقا فإن خرج شي‌ء فأنقه ، ثمَّ اغسل رأسه ، ثمَّ أضجعه على جنبه الأيسر ، واغسل جنبه الأيمن وظهره وبطنه ، ثمَّ أضجعه على جنبه الأيمن واغسل جنبه الأيسر كما فعلت أول مرة ، ثمَّ اغسل يديك إلى المرفقين والآنية وصبّ فيه الماء القراح ، واغسله بالماء القراح كما غسلت في المرتين الأوليين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الميت مثل غسل الحي من الجنابة ، إلاّ أنّ غسل الحي </w:t>
      </w:r>
      <w:r>
        <w:rPr>
          <w:rFonts w:eastAsia="Amiri" w:cs="Amiri" w:ascii="Amiri" w:hAnsi="Amiri"/>
          <w:color w:val="111111"/>
          <w:sz w:val="28"/>
          <w:szCs w:val="28"/>
          <w:rtl w:val="true"/>
          <w:lang w:bidi="ar-SA"/>
        </w:rPr>
        <w:t xml:space="preserve">» </w:t>
      </w:r>
      <w:bookmarkStart w:id="71" w:name="pg11616_94591"/>
    </w:p>
    <w:p>
      <w:pPr>
        <w:pStyle w:val="BookText"/>
        <w:rPr/>
      </w:pPr>
      <w:bookmarkEnd w:id="71"/>
      <w:r>
        <w:rPr>
          <w:rFonts w:ascii="Amiri" w:hAnsi="Amiri" w:eastAsia="Amiri" w:cs="Amiri"/>
          <w:color w:val="111111"/>
          <w:sz w:val="28"/>
          <w:sz w:val="28"/>
          <w:szCs w:val="28"/>
          <w:rtl w:val="true"/>
          <w:lang w:bidi="ar-SA"/>
        </w:rPr>
        <w:t xml:space="preserve">مرّة واحدة بتلك الصفات ، وغسل الميت ثلاث مرّات على تلك الصفات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لمن ذكر </w:t>
      </w:r>
      <w:r>
        <w:rPr>
          <w:rStyle w:val="FootnoteAnchor"/>
          <w:rtl w:val="true"/>
        </w:rPr>
        <w:footnoteReference w:id="772"/>
      </w:r>
      <w:r>
        <w:rPr>
          <w:rFonts w:ascii="Amiri" w:hAnsi="Amiri" w:eastAsia="Amiri" w:cs="Amiri"/>
          <w:color w:val="111111"/>
          <w:sz w:val="28"/>
          <w:sz w:val="28"/>
          <w:szCs w:val="28"/>
          <w:rtl w:val="true"/>
          <w:lang w:bidi="ar-SA"/>
        </w:rPr>
        <w:t>، فاكتفى بالواحد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بما مرّ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والتشبيه بغسل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عدا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أفاد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سيما الرضوي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الميت وهو جنب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يغسّل غسلا واحدا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 بالنوع منه متبادر ، ولذا فسّره الأصحاب كذلك ، فالمراد منه التداخل ، ولو لا تبادره يجب الحمل عليه أو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ابني حمزة وسعيد </w:t>
      </w:r>
      <w:r>
        <w:rPr>
          <w:rStyle w:val="FootnoteAnchor"/>
          <w:rtl w:val="true"/>
        </w:rPr>
        <w:footnoteReference w:id="774"/>
      </w:r>
      <w:r>
        <w:rPr>
          <w:rFonts w:ascii="Amiri" w:hAnsi="Amiri" w:eastAsia="Amiri" w:cs="Amiri"/>
          <w:color w:val="111111"/>
          <w:sz w:val="28"/>
          <w:sz w:val="28"/>
          <w:szCs w:val="28"/>
          <w:rtl w:val="true"/>
          <w:lang w:bidi="ar-SA"/>
        </w:rPr>
        <w:t xml:space="preserve">في الوجوب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الخليطين وإن أوجبا ثلاثة أغسال ، لمثل ما مرّ مع دفعه قطعا</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5588103_73709187"/>
      <w:bookmarkStart w:id="73" w:name="_Toc29"/>
      <w:bookmarkEnd w:id="72"/>
      <w:r>
        <w:rPr>
          <w:rtl w:val="true"/>
        </w:rPr>
        <w:t xml:space="preserve">فروع </w:t>
      </w:r>
      <w:r>
        <w:rPr>
          <w:rtl w:val="true"/>
        </w:rPr>
        <w:t>:</w:t>
      </w:r>
      <w:bookmarkEnd w:id="7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الخليط ما يصحّح الإضافة عرفا ولا يلزمها ، أي يصدق معه ماء السدر والكافور ، ولا يخرجه عن الإطلاق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كما هو المنقول عن الخلاف ، والمصباح </w:t>
      </w:r>
      <w:r>
        <w:rPr>
          <w:rStyle w:val="FootnoteAnchor"/>
          <w:rtl w:val="true"/>
        </w:rPr>
        <w:footnoteReference w:id="775"/>
      </w:r>
      <w:r>
        <w:rPr>
          <w:rFonts w:ascii="Amiri" w:hAnsi="Amiri" w:eastAsia="Amiri" w:cs="Amiri"/>
          <w:color w:val="111111"/>
          <w:sz w:val="28"/>
          <w:sz w:val="28"/>
          <w:szCs w:val="28"/>
          <w:rtl w:val="true"/>
          <w:lang w:bidi="ar-SA"/>
        </w:rPr>
        <w:t xml:space="preserve">، ومختصره ، والجملين </w:t>
      </w:r>
      <w:r>
        <w:rPr>
          <w:rStyle w:val="FootnoteAnchor"/>
          <w:rtl w:val="true"/>
        </w:rPr>
        <w:footnoteReference w:id="776"/>
      </w:r>
      <w:r>
        <w:rPr>
          <w:rFonts w:ascii="Amiri" w:hAnsi="Amiri" w:eastAsia="Amiri" w:cs="Amiri"/>
          <w:color w:val="111111"/>
          <w:sz w:val="28"/>
          <w:sz w:val="28"/>
          <w:szCs w:val="28"/>
          <w:rtl w:val="true"/>
          <w:lang w:bidi="ar-SA"/>
        </w:rPr>
        <w:t xml:space="preserve">، والفقيه ، والهداية ، والمقنع </w:t>
      </w:r>
      <w:r>
        <w:rPr>
          <w:rStyle w:val="FootnoteAnchor"/>
          <w:rtl w:val="true"/>
        </w:rPr>
        <w:footnoteReference w:id="777"/>
      </w:r>
      <w:r>
        <w:rPr>
          <w:rFonts w:ascii="Amiri" w:hAnsi="Amiri" w:eastAsia="Amiri" w:cs="Amiri"/>
          <w:color w:val="111111"/>
          <w:sz w:val="28"/>
          <w:sz w:val="28"/>
          <w:szCs w:val="28"/>
          <w:rtl w:val="true"/>
          <w:lang w:bidi="ar-SA"/>
        </w:rPr>
        <w:t xml:space="preserve">، والوسيلة ، والإصباح ، والغنية ، والكافي </w:t>
      </w:r>
      <w:r>
        <w:rPr>
          <w:rStyle w:val="FootnoteAnchor"/>
          <w:rtl w:val="true"/>
        </w:rPr>
        <w:footnoteReference w:id="778"/>
      </w:r>
      <w:r>
        <w:rPr>
          <w:rFonts w:ascii="Amiri" w:hAnsi="Amiri" w:eastAsia="Amiri" w:cs="Amiri"/>
          <w:color w:val="111111"/>
          <w:sz w:val="28"/>
          <w:sz w:val="28"/>
          <w:szCs w:val="28"/>
          <w:rtl w:val="true"/>
          <w:lang w:bidi="ar-SA"/>
        </w:rPr>
        <w:t xml:space="preserve">، والإشارة </w:t>
      </w:r>
      <w:r>
        <w:rPr>
          <w:rStyle w:val="FootnoteAnchor"/>
          <w:rtl w:val="true"/>
        </w:rPr>
        <w:footnoteReference w:id="779"/>
      </w:r>
      <w:r>
        <w:rPr>
          <w:rFonts w:ascii="Amiri" w:hAnsi="Amiri" w:eastAsia="Amiri" w:cs="Amiri"/>
          <w:color w:val="111111"/>
          <w:sz w:val="28"/>
          <w:sz w:val="28"/>
          <w:szCs w:val="28"/>
          <w:rtl w:val="true"/>
          <w:lang w:bidi="ar-SA"/>
        </w:rPr>
        <w:t xml:space="preserve">، والإرشاد ، والتبصرة ، والتحرير </w:t>
      </w:r>
      <w:r>
        <w:rPr>
          <w:rStyle w:val="FootnoteAnchor"/>
          <w:rtl w:val="true"/>
        </w:rPr>
        <w:footnoteReference w:id="780"/>
      </w:r>
      <w:r>
        <w:rPr>
          <w:rFonts w:ascii="IRNazanin" w:hAnsi="IRNazanin" w:eastAsia="IRNazanin"/>
          <w:color w:val="111111"/>
          <w:sz w:val="28"/>
          <w:sz w:val="28"/>
          <w:szCs w:val="28"/>
          <w:rtl w:val="true"/>
          <w:lang w:bidi="fa-IR"/>
        </w:rPr>
        <w:t xml:space="preserve">، والنافع ، ومحتمل </w:t>
      </w:r>
    </w:p>
    <w:p>
      <w:pPr>
        <w:pStyle w:val="BookText"/>
        <w:rPr/>
      </w:pPr>
      <w:r>
        <w:rPr>
          <w:rFonts w:ascii="IRNazanin" w:hAnsi="IRNazanin" w:eastAsia="IRNazanin"/>
          <w:color w:val="111111"/>
          <w:sz w:val="28"/>
          <w:sz w:val="28"/>
          <w:szCs w:val="28"/>
          <w:rtl w:val="true"/>
          <w:lang w:bidi="fa-IR"/>
        </w:rPr>
        <w:t xml:space="preserve">الشرائع </w:t>
      </w:r>
      <w:r>
        <w:rPr>
          <w:rStyle w:val="FootnoteAnchor"/>
          <w:rtl w:val="true"/>
        </w:rPr>
        <w:footnoteReference w:id="781"/>
      </w:r>
      <w:r>
        <w:rPr>
          <w:rFonts w:ascii="Amiri" w:hAnsi="Amiri" w:eastAsia="Amiri" w:cs="Amiri"/>
          <w:color w:val="111111"/>
          <w:sz w:val="28"/>
          <w:sz w:val="28"/>
          <w:szCs w:val="28"/>
          <w:rtl w:val="true"/>
          <w:lang w:bidi="ar-SA"/>
        </w:rPr>
        <w:t xml:space="preserve">، وصريح المدارك </w:t>
      </w:r>
      <w:r>
        <w:rPr>
          <w:rStyle w:val="FootnoteAnchor"/>
          <w:rtl w:val="true"/>
        </w:rPr>
        <w:footnoteReference w:id="782"/>
      </w:r>
      <w:r>
        <w:rPr>
          <w:rFonts w:ascii="Amiri" w:hAnsi="Amiri" w:eastAsia="Amiri" w:cs="Amiri"/>
          <w:color w:val="111111"/>
          <w:sz w:val="28"/>
          <w:sz w:val="28"/>
          <w:szCs w:val="28"/>
          <w:rtl w:val="true"/>
          <w:lang w:bidi="ar-SA"/>
        </w:rPr>
        <w:t xml:space="preserve">، بل عزاه بعض من تأخّر إلى الأكثر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فللأمر بالغسل بماء السدر وماء الكافور في رواية الكاهلي ، المتقدّمة </w:t>
      </w:r>
      <w:r>
        <w:rPr>
          <w:rStyle w:val="FootnoteAnchor"/>
          <w:rtl w:val="true"/>
        </w:rPr>
        <w:footnoteReference w:id="784"/>
      </w:r>
      <w:r>
        <w:rPr>
          <w:rFonts w:ascii="Amiri" w:hAnsi="Amiri" w:eastAsia="Amiri" w:cs="Amiri"/>
          <w:color w:val="111111"/>
          <w:sz w:val="28"/>
          <w:sz w:val="28"/>
          <w:szCs w:val="28"/>
          <w:rtl w:val="true"/>
          <w:lang w:bidi="ar-SA"/>
        </w:rPr>
        <w:t xml:space="preserve">، وموثّقة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الجرة الأولى التي يغسل بها الميت بماء السدر ، والجرة الثانية بماء الكافور تفتّ فيها فتّا قدر نصف حبة ، والجرة الثالثة بماء القراح </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فلا بد من صدق الاسم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وبهما يقيّد ما أطلق فيه الغسل بالسدر ، أو بماء وسدر ، وماء وكافور ، أو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المتبادر من الغسل به أو به وبماء أو بماء وشي‌ء منهما وجود قدر يصدق معه ماء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التبادر فلا شك في احتماله ، ومعه يجب تحصيلا للبراءة اليقينية ، فلا يجزئ القليل الذي لا يصدق معه اسم الماءين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فاكتفوا بمسمّى السدر والكافور ، وإن لم تثبت الإضافة عرفا ، ونسبه في البحار ، والحدائق </w:t>
      </w:r>
      <w:r>
        <w:rPr>
          <w:rStyle w:val="FootnoteAnchor"/>
          <w:rtl w:val="true"/>
        </w:rPr>
        <w:footnoteReference w:id="786"/>
      </w:r>
      <w:r>
        <w:rPr>
          <w:rFonts w:ascii="IRNazanin" w:hAnsi="IRNazanin" w:eastAsia="IRNazanin"/>
          <w:color w:val="111111"/>
          <w:sz w:val="28"/>
          <w:sz w:val="28"/>
          <w:szCs w:val="28"/>
          <w:rtl w:val="true"/>
          <w:lang w:bidi="fa-IR"/>
        </w:rPr>
        <w:t>، واللوامع ،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وجه الاختلاف في دعوى الشهرة الاختلاف في فهم المراد ممّا أطلقوا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عليه الاسم ، على أنه أسماء الماءين أو أسماء السدر والكافور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مستندهم إطلاق السدر والكافور وشي‌ء منهما ، مع عدم نصوصية </w:t>
      </w:r>
    </w:p>
    <w:p>
      <w:pPr>
        <w:pStyle w:val="BookText"/>
        <w:rPr/>
      </w:pPr>
      <w:r>
        <w:rPr>
          <w:rFonts w:ascii="Amiri" w:hAnsi="Amiri" w:eastAsia="Amiri" w:cs="Amiri"/>
          <w:color w:val="111111"/>
          <w:sz w:val="28"/>
          <w:sz w:val="28"/>
          <w:szCs w:val="28"/>
          <w:rtl w:val="true"/>
          <w:lang w:bidi="ar-SA"/>
        </w:rPr>
        <w:t>ما قيد الأول بسبع ورقات ، والثاني بنصف حبّة أو حبّات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وإن كانا مطلقين صادقين على المسمّى أيضا إلاّ أنّ الغسل بهما المأمور به لا يتحقّق عرفا بمطلق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ماء السدر والكافور لا يصدقان على ما يدخله قدر رأس إبرة أو نصف حنطة منهما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 لوجوب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المفيد ، فقدّر السدر برطل ونحوه </w:t>
      </w:r>
      <w:r>
        <w:rPr>
          <w:rStyle w:val="FootnoteAnchor"/>
          <w:rtl w:val="true"/>
        </w:rPr>
        <w:footnoteReference w:id="787"/>
      </w:r>
      <w:r>
        <w:rPr>
          <w:rFonts w:ascii="Amiri" w:hAnsi="Amiri" w:eastAsia="Amiri" w:cs="Amiri"/>
          <w:color w:val="111111"/>
          <w:sz w:val="28"/>
          <w:sz w:val="28"/>
          <w:szCs w:val="28"/>
          <w:rtl w:val="true"/>
          <w:lang w:bidi="ar-SA"/>
        </w:rPr>
        <w:t xml:space="preserve">، وعن القاضي فبرطل ونصفه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لهما على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فبسبع ورقات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لخبر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تطرح عليه خرقة ثمَّ يغسل فرجه ، ويوضّأ وضوء الصلاة ، ثمَّ يغسل رأسه بالسدر والأشنان ، ثمَّ الماء والكافور ، ثمَّ بالماء القراح ، يطرح فيه سبع ورقات صحاح في الماء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خبر حريز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يوضّأ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ظاهرهما إلقاؤها في القراح كما صرّح به في رواية ابن عمار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أعصر بطنه ثمَّ أوضّيه ، ثمَّ أغسله بالأشنان ، ثمَّ أغسل رأسه بالسدر ولحيته ، ثمَّ أفيض على جسده ، ثمَّ أدلك به جسده ثمَّ أفيض عليه ثلاثا ، ثمَّ أغسله بالماء القراح ، ثمَّ أفيض عليه الماء بالكافور وبالماء القراح وأطرح فيه سبع ورقات سدر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المستفاد من تلك الروايات حيث جوّزت طرح الأوراق الصحاح في الماء القراح عدم صدق الغسل بماء السدر معه ، ويلزمه وجوب كونه مطحونا أو ممروسا </w:t>
      </w:r>
      <w:r>
        <w:rPr>
          <w:rStyle w:val="FootnoteAnchor"/>
          <w:rtl w:val="true"/>
        </w:rPr>
        <w:footnoteReference w:id="793"/>
      </w:r>
      <w:r>
        <w:rPr>
          <w:rFonts w:ascii="Amiri" w:hAnsi="Amiri" w:eastAsia="Amiri" w:cs="Amiri"/>
          <w:color w:val="111111"/>
          <w:sz w:val="28"/>
          <w:sz w:val="28"/>
          <w:szCs w:val="28"/>
          <w:rtl w:val="true"/>
          <w:lang w:bidi="ar-SA"/>
        </w:rPr>
        <w:t>في الغسل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وفاقا لجماعة </w:t>
      </w:r>
      <w:r>
        <w:rPr>
          <w:rStyle w:val="FootnoteAnchor"/>
          <w:rtl w:val="true"/>
        </w:rPr>
        <w:footnoteReference w:id="794"/>
      </w:r>
      <w:r>
        <w:rPr>
          <w:rFonts w:ascii="Amiri" w:hAnsi="Amiri" w:eastAsia="Amiri" w:cs="Amiri"/>
          <w:color w:val="111111"/>
          <w:sz w:val="28"/>
          <w:sz w:val="28"/>
          <w:szCs w:val="28"/>
          <w:rtl w:val="true"/>
          <w:lang w:bidi="ar-SA"/>
        </w:rPr>
        <w:t xml:space="preserve">،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لتوقف صدق مائه والغسل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لبعض من اكتفى بمسمّاه ، لصدق المسمّى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797"/>
      </w:r>
      <w:r>
        <w:rPr>
          <w:rFonts w:ascii="Amiri" w:hAnsi="Amiri" w:eastAsia="Amiri" w:cs="Amiri"/>
          <w:color w:val="111111"/>
          <w:sz w:val="28"/>
          <w:sz w:val="28"/>
          <w:szCs w:val="28"/>
          <w:rtl w:val="true"/>
          <w:lang w:bidi="ar-SA"/>
        </w:rPr>
        <w:t xml:space="preserve">، كما هو صريح القواعد ، والتذكرة ، ونهاية الإحكام </w:t>
      </w:r>
      <w:r>
        <w:rPr>
          <w:rStyle w:val="FootnoteAnchor"/>
          <w:rtl w:val="true"/>
        </w:rPr>
        <w:footnoteReference w:id="798"/>
      </w:r>
      <w:r>
        <w:rPr>
          <w:rFonts w:ascii="Amiri" w:hAnsi="Amiri" w:eastAsia="Amiri" w:cs="Amiri"/>
          <w:color w:val="111111"/>
          <w:sz w:val="28"/>
          <w:sz w:val="28"/>
          <w:szCs w:val="28"/>
          <w:rtl w:val="true"/>
          <w:lang w:bidi="ar-SA"/>
        </w:rPr>
        <w:t xml:space="preserve">، ومحكي عن الإشارة ، والجامع </w:t>
      </w:r>
      <w:r>
        <w:rPr>
          <w:rStyle w:val="FootnoteAnchor"/>
          <w:rtl w:val="true"/>
        </w:rPr>
        <w:footnoteReference w:id="799"/>
      </w:r>
      <w:r>
        <w:rPr>
          <w:rFonts w:ascii="Amiri" w:hAnsi="Amiri" w:eastAsia="Amiri" w:cs="Amiri"/>
          <w:color w:val="111111"/>
          <w:sz w:val="28"/>
          <w:sz w:val="28"/>
          <w:szCs w:val="28"/>
          <w:rtl w:val="true"/>
          <w:lang w:bidi="ar-SA"/>
        </w:rPr>
        <w:t xml:space="preserve">، ونسبه في الحدائق واللوامع إلى المشهور </w:t>
      </w:r>
      <w:r>
        <w:rPr>
          <w:rStyle w:val="FootnoteAnchor"/>
          <w:rtl w:val="true"/>
        </w:rPr>
        <w:footnoteReference w:id="800"/>
      </w:r>
      <w:r>
        <w:rPr>
          <w:rFonts w:ascii="Amiri" w:hAnsi="Amiri" w:eastAsia="Amiri" w:cs="Amiri"/>
          <w:color w:val="111111"/>
          <w:sz w:val="28"/>
          <w:sz w:val="28"/>
          <w:szCs w:val="28"/>
          <w:rtl w:val="true"/>
          <w:lang w:bidi="ar-SA"/>
        </w:rPr>
        <w:t xml:space="preserve">، فللأمر في عدّة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بماء وسدر وماء وكافور ، أو ماء فيه شي‌ء منهما ، والمضاف ليس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والتجوّز في السدر والكافور بعلاقة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خرجا بالتمريس والتفتيت والاستهلاك في الماء عن حقيقتهما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التجوّز في 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بمطهّرية الماءين ، وغير المطلق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والمقدّمتان ممنوعتان في المقام ، وإثبات الأولى بوجوب الترتيب وطهارة الماء وإزالة الخبث ضعيف غايته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لظاهر المنتهى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غسل الرأس بالرغوة من </w:t>
      </w:r>
    </w:p>
    <w:p>
      <w:pPr>
        <w:pStyle w:val="BookText"/>
        <w:rPr/>
      </w:pPr>
      <w:r>
        <w:rPr>
          <w:rFonts w:ascii="Amiri" w:hAnsi="Amiri" w:eastAsia="Amiri" w:cs="Amiri"/>
          <w:color w:val="111111"/>
          <w:sz w:val="28"/>
          <w:sz w:val="28"/>
          <w:szCs w:val="28"/>
          <w:rtl w:val="true"/>
          <w:lang w:bidi="ar-SA"/>
        </w:rPr>
        <w:t xml:space="preserve">الواجب ، والمدارك ، والبحار ، والحدائق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 وشيخنا البهائي التردّد فيه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أكثر الأصحاب أنّ غسل الرأس برغوة السدر محسوب من غسل السدر الواجب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ورغوة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لأصالة عدم الاشتراط ، والأمر بغسل الرأس من الرغوة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ليس ماء مطلقا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يونس ، المتقدّم </w:t>
      </w:r>
      <w:r>
        <w:rPr>
          <w:rStyle w:val="FootnoteAnchor"/>
          <w:rtl w:val="true"/>
        </w:rPr>
        <w:footnoteReference w:id="805"/>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تغسل رأسه ولحيته برغوة السدر ، وتتبعه بثلاث حميديات ، ولا تقعده إن صعب عليك ، ثمَّ تقلبه على جنبه الأيسر </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بالرغوة ما يشبهها من الماء المطلق بقرينة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واجهد أن لا يدخل الماء منخريه ومسامعه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جوّز العكس لم يفد أيضا ، لحصول الاحتمال الموجب للإجمال ، المسقط للاستدلال ، المانع من ترك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كون هذا الغسل من الواجب دون المستحب الذي ذكره الجماعة لا يعلم إلاّ من عدم ذكر غسل آخر للرأس ، ومجرد ذلك لا يعارض الأمر بغسله بالماء المطلق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ردّه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استلزام الإرغاء إضافة الماء الذي تحت الرغوة فغريب ، للتصريح بالغسل بالرغوة دون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مأخوذ من كلام بعض </w:t>
      </w:r>
    </w:p>
    <w:p>
      <w:pPr>
        <w:pStyle w:val="BookText"/>
        <w:rPr/>
      </w:pPr>
      <w:r>
        <w:rPr>
          <w:rFonts w:ascii="Amiri" w:hAnsi="Amiri" w:eastAsia="Amiri" w:cs="Amiri"/>
          <w:color w:val="111111"/>
          <w:sz w:val="28"/>
          <w:sz w:val="28"/>
          <w:szCs w:val="28"/>
          <w:rtl w:val="true"/>
          <w:lang w:bidi="ar-SA"/>
        </w:rPr>
        <w:t xml:space="preserve">الأجلاّء </w:t>
      </w:r>
      <w:r>
        <w:rPr>
          <w:rStyle w:val="FootnoteAnchor"/>
          <w:rtl w:val="true"/>
        </w:rPr>
        <w:footnoteReference w:id="808"/>
      </w:r>
      <w:r>
        <w:rPr>
          <w:rFonts w:ascii="Amiri" w:hAnsi="Amiri" w:eastAsia="Amiri" w:cs="Amiri"/>
          <w:color w:val="111111"/>
          <w:sz w:val="28"/>
          <w:sz w:val="28"/>
          <w:szCs w:val="28"/>
          <w:rtl w:val="true"/>
          <w:lang w:bidi="ar-SA"/>
        </w:rPr>
        <w:t>، ولكنه ذكر ذلك لقصد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كونه هو الواجب ، ولعلّه ما يتبعه من الحميديات ، بل هو الظاهر ، وإلاّ لزم استحباب أربع غسلات في عضو ،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كافور الخليط حدّ واجب غير ما يفيد الإضافة ، وليس في خبر يونس المقدّر له بحبات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تقديره في الموثّق السابق </w:t>
      </w:r>
      <w:r>
        <w:rPr>
          <w:rStyle w:val="FootnoteAnchor"/>
          <w:rtl w:val="true"/>
        </w:rPr>
        <w:footnoteReference w:id="809"/>
      </w:r>
      <w:r>
        <w:rPr>
          <w:rFonts w:ascii="IRNazanin" w:hAnsi="IRNazanin" w:eastAsia="IRNazanin"/>
          <w:color w:val="111111"/>
          <w:sz w:val="28"/>
          <w:sz w:val="28"/>
          <w:szCs w:val="28"/>
          <w:rtl w:val="true"/>
          <w:lang w:bidi="fa-IR"/>
        </w:rPr>
        <w:t xml:space="preserve">بنصف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الوجوب مفيدة لتقييد المطلقات ، كما لا يقيده ما روي أنّ أمير المؤمنين عليه السلام غسّل النبي صلی اللّه عليه وآله بثلاثة مثاقيل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وتقدير المفيد ، والديلمي ، وابن سعيد </w:t>
      </w:r>
      <w:r>
        <w:rPr>
          <w:rStyle w:val="FootnoteAnchor"/>
          <w:rtl w:val="true"/>
        </w:rPr>
        <w:footnoteReference w:id="811"/>
      </w:r>
      <w:r>
        <w:rPr>
          <w:rFonts w:ascii="Amiri" w:hAnsi="Amiri" w:eastAsia="Amiri" w:cs="Amiri"/>
          <w:color w:val="111111"/>
          <w:sz w:val="28"/>
          <w:sz w:val="28"/>
          <w:szCs w:val="28"/>
          <w:rtl w:val="true"/>
          <w:lang w:bidi="ar-SA"/>
        </w:rPr>
        <w:t>، بنصف مثقال خال عن الدليل ، مع أنّ كلامهم ليس نصّا في الوجوب ،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لا يرى وجوب غير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يتعيّن الخام منه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لنادر ، لوجه قاصر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التغسيل بماء الكافور مخصوص بالمحلّ ، فلا يغسل المحرم بمائه إجماعا ، كما عن الغنية </w:t>
      </w:r>
      <w:r>
        <w:rPr>
          <w:rStyle w:val="FootnoteAnchor"/>
          <w:rtl w:val="true"/>
        </w:rPr>
        <w:footnoteReference w:id="813"/>
      </w:r>
      <w:r>
        <w:rPr>
          <w:rFonts w:ascii="Amiri" w:hAnsi="Amiri" w:eastAsia="Amiri" w:cs="Amiri"/>
          <w:color w:val="111111"/>
          <w:sz w:val="28"/>
          <w:sz w:val="28"/>
          <w:szCs w:val="28"/>
          <w:rtl w:val="true"/>
          <w:lang w:bidi="ar-SA"/>
        </w:rPr>
        <w:t xml:space="preserve">، وفي المنتهى ، وشرح القواعد للكركي </w:t>
      </w:r>
      <w:r>
        <w:rPr>
          <w:rStyle w:val="FootnoteAnchor"/>
          <w:rtl w:val="true"/>
        </w:rPr>
        <w:footnoteReference w:id="814"/>
      </w:r>
      <w:r>
        <w:rPr>
          <w:rFonts w:ascii="Amiri" w:hAnsi="Amiri" w:eastAsia="Amiri" w:cs="Amiri"/>
          <w:color w:val="111111"/>
          <w:sz w:val="28"/>
          <w:sz w:val="28"/>
          <w:szCs w:val="28"/>
          <w:rtl w:val="true"/>
          <w:lang w:bidi="ar-SA"/>
        </w:rPr>
        <w:t xml:space="preserve">، للنهي عن تقريبه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المستفيضة الآتية في بحث التحنيط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خلوصه عن الخليطين ، لأنّه المتبادر </w:t>
      </w:r>
    </w:p>
    <w:p>
      <w:pPr>
        <w:pStyle w:val="BookText"/>
        <w:rPr/>
      </w:pPr>
      <w:r>
        <w:rPr>
          <w:rFonts w:ascii="Amiri" w:hAnsi="Amiri" w:eastAsia="Amiri" w:cs="Amiri"/>
          <w:color w:val="111111"/>
          <w:sz w:val="28"/>
          <w:sz w:val="28"/>
          <w:szCs w:val="28"/>
          <w:rtl w:val="true"/>
          <w:lang w:bidi="ar-SA"/>
        </w:rPr>
        <w:t>من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الخليط مطلقا حتى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يخرجه عن الإطلاق ، وإن كان اعتباره مطلقا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باعتبار خلوصه عنهما اشتراطه لا عدم اشتراطهما ، كما تدلّ عليه أوامر الغسل بالقراح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في خلوصه عنهما خلوصه عمّا يجعله ماء سدر وكافور ، والغسل غسلا بهما ، فلا يضرّ القليل منهما ، أو الغير الممتزج من السدر ، لأنّه الثابت من التقابل ، مع ما مرّ </w:t>
      </w:r>
      <w:r>
        <w:rPr>
          <w:rStyle w:val="FootnoteAnchor"/>
          <w:rtl w:val="true"/>
        </w:rPr>
        <w:footnoteReference w:id="817"/>
      </w:r>
      <w:r>
        <w:rPr>
          <w:rFonts w:ascii="Amiri" w:hAnsi="Amiri" w:eastAsia="Amiri" w:cs="Amiri"/>
          <w:color w:val="111111"/>
          <w:sz w:val="28"/>
          <w:sz w:val="28"/>
          <w:szCs w:val="28"/>
          <w:rtl w:val="true"/>
          <w:lang w:bidi="ar-SA"/>
        </w:rPr>
        <w:t xml:space="preserve">من الخبرين الآمرين بإلقاء سبع ورقات في الماء القراح ، ولأجله يحمل الخبر المتقدّم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بغسل الآنية عن الماءين قبل صبّ القراح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سيما مع اشتماله على كثير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 الغسلات الثلاث ، فيبدأ بالسدر ثمَّ الكافور ثمَّ القراح ، وفي كلّ منها بين الأعضاء ، فيبدأ بالرأس ثمَّ الأيمن ثمَّ الأيسر ، بالإجماع ، كما على الأول في اللوامع عن المعتبر </w:t>
      </w:r>
      <w:r>
        <w:rPr>
          <w:rStyle w:val="FootnoteAnchor"/>
          <w:rtl w:val="true"/>
        </w:rPr>
        <w:footnoteReference w:id="819"/>
      </w:r>
      <w:r>
        <w:rPr>
          <w:rFonts w:ascii="Amiri" w:hAnsi="Amiri" w:eastAsia="Amiri" w:cs="Amiri"/>
          <w:color w:val="111111"/>
          <w:sz w:val="28"/>
          <w:sz w:val="28"/>
          <w:szCs w:val="28"/>
          <w:rtl w:val="true"/>
          <w:lang w:bidi="ar-SA"/>
        </w:rPr>
        <w:t xml:space="preserve">، وفي الحدائق أنّه مذهب الأصحاب </w:t>
      </w:r>
      <w:r>
        <w:rPr>
          <w:rStyle w:val="FootnoteAnchor"/>
          <w:rtl w:val="true"/>
        </w:rPr>
        <w:footnoteReference w:id="820"/>
      </w:r>
      <w:r>
        <w:rPr>
          <w:rFonts w:ascii="Amiri" w:hAnsi="Amiri" w:eastAsia="Amiri" w:cs="Amiri"/>
          <w:color w:val="111111"/>
          <w:sz w:val="28"/>
          <w:sz w:val="28"/>
          <w:szCs w:val="28"/>
          <w:rtl w:val="true"/>
          <w:lang w:bidi="ar-SA"/>
        </w:rPr>
        <w:t xml:space="preserve">، وعلى الثاني عنه وعن الانتصار ، والخلاف ، وظاهر التذكرة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لصحيحتي ابن مسكان </w:t>
      </w:r>
      <w:r>
        <w:rPr>
          <w:rStyle w:val="FootnoteAnchor"/>
          <w:rtl w:val="true"/>
        </w:rPr>
        <w:footnoteReference w:id="822"/>
      </w:r>
      <w:r>
        <w:rPr>
          <w:rFonts w:ascii="IRNazanin" w:hAnsi="IRNazanin" w:eastAsia="IRNazanin"/>
          <w:color w:val="111111"/>
          <w:sz w:val="28"/>
          <w:sz w:val="28"/>
          <w:szCs w:val="28"/>
          <w:rtl w:val="true"/>
          <w:lang w:bidi="fa-IR"/>
        </w:rPr>
        <w:t xml:space="preserve">وخالد </w:t>
      </w:r>
      <w:r>
        <w:rPr>
          <w:rStyle w:val="FootnoteAnchor"/>
          <w:rtl w:val="true"/>
        </w:rPr>
        <w:footnoteReference w:id="823"/>
      </w:r>
      <w:r>
        <w:rPr>
          <w:rFonts w:ascii="Amiri" w:hAnsi="Amiri" w:eastAsia="Amiri" w:cs="Amiri"/>
          <w:color w:val="111111"/>
          <w:sz w:val="28"/>
          <w:sz w:val="28"/>
          <w:szCs w:val="28"/>
          <w:rtl w:val="true"/>
          <w:lang w:bidi="ar-SA"/>
        </w:rPr>
        <w:t xml:space="preserve">، وموثّقة الساباطي </w:t>
      </w:r>
      <w:r>
        <w:rPr>
          <w:rStyle w:val="FootnoteAnchor"/>
          <w:rtl w:val="true"/>
        </w:rPr>
        <w:footnoteReference w:id="824"/>
      </w:r>
      <w:r>
        <w:rPr>
          <w:rFonts w:ascii="Amiri" w:hAnsi="Amiri" w:eastAsia="Amiri" w:cs="Amiri"/>
          <w:color w:val="111111"/>
          <w:sz w:val="28"/>
          <w:sz w:val="28"/>
          <w:szCs w:val="28"/>
          <w:rtl w:val="true"/>
          <w:lang w:bidi="ar-SA"/>
        </w:rPr>
        <w:t xml:space="preserve">، وخبري ابن عبيد </w:t>
      </w:r>
    </w:p>
    <w:p>
      <w:pPr>
        <w:pStyle w:val="BookText"/>
        <w:rPr/>
      </w:pPr>
      <w:r>
        <w:rPr>
          <w:rFonts w:ascii="Amiri" w:hAnsi="Amiri" w:eastAsia="Amiri" w:cs="Amiri"/>
          <w:color w:val="111111"/>
          <w:sz w:val="28"/>
          <w:sz w:val="28"/>
          <w:szCs w:val="28"/>
          <w:rtl w:val="true"/>
          <w:lang w:bidi="ar-SA"/>
        </w:rPr>
        <w:t xml:space="preserve">وحريز </w:t>
      </w:r>
      <w:r>
        <w:rPr>
          <w:rStyle w:val="FootnoteAnchor"/>
          <w:rtl w:val="true"/>
        </w:rPr>
        <w:footnoteReference w:id="825"/>
      </w:r>
      <w:r>
        <w:rPr>
          <w:rFonts w:ascii="Amiri" w:hAnsi="Amiri" w:eastAsia="Amiri" w:cs="Amiri"/>
          <w:color w:val="111111"/>
          <w:sz w:val="28"/>
          <w:sz w:val="28"/>
          <w:szCs w:val="28"/>
          <w:rtl w:val="true"/>
          <w:lang w:bidi="ar-SA"/>
        </w:rPr>
        <w:t>،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الحلبي ، وروايتي الكاهلي ويونس </w:t>
      </w:r>
      <w:r>
        <w:rPr>
          <w:rStyle w:val="FootnoteAnchor"/>
          <w:rtl w:val="true"/>
        </w:rPr>
        <w:footnoteReference w:id="826"/>
      </w:r>
      <w:r>
        <w:rPr>
          <w:rFonts w:ascii="Amiri" w:hAnsi="Amiri" w:eastAsia="Amiri" w:cs="Amiri"/>
          <w:color w:val="111111"/>
          <w:sz w:val="28"/>
          <w:sz w:val="28"/>
          <w:szCs w:val="28"/>
          <w:rtl w:val="true"/>
          <w:lang w:bidi="ar-SA"/>
        </w:rPr>
        <w:t>فيهما ، مضافة إلى غيرها ممّا لم يذكر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تقيّد الأخبار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واشتمالها على كثير من المستحبات غير قادح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باستحباب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حمزة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ضعيف ، مع أنّ في النسبة أيضا كلاما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أخلّ بالترتيب في الثاني أعاد على ما يتضمّنه إجماعا ، وكذا في الأول على الأصح ، لمخالفة الأمر ، فلم يأت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 ونهاية الإحكام التردّد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الارتماس هنا كالجنابة فيسقط ثاني الترتيبين؟ كما ذكره في القواعد وشرحه </w:t>
      </w:r>
      <w:r>
        <w:rPr>
          <w:rStyle w:val="FootnoteAnchor"/>
          <w:rtl w:val="true"/>
        </w:rPr>
        <w:footnoteReference w:id="830"/>
      </w:r>
      <w:r>
        <w:rPr>
          <w:rFonts w:ascii="Amiri" w:hAnsi="Amiri" w:eastAsia="Amiri" w:cs="Amiri"/>
          <w:color w:val="111111"/>
          <w:sz w:val="28"/>
          <w:sz w:val="28"/>
          <w:szCs w:val="28"/>
          <w:rtl w:val="true"/>
          <w:lang w:bidi="ar-SA"/>
        </w:rPr>
        <w:t xml:space="preserve">وجمع من المتأخّرين </w:t>
      </w:r>
      <w:r>
        <w:rPr>
          <w:rStyle w:val="FootnoteAnchor"/>
          <w:rtl w:val="true"/>
        </w:rPr>
        <w:footnoteReference w:id="831"/>
      </w:r>
      <w:r>
        <w:rPr>
          <w:rFonts w:ascii="Amiri" w:hAnsi="Amiri" w:eastAsia="Amiri" w:cs="Amiri"/>
          <w:color w:val="111111"/>
          <w:sz w:val="28"/>
          <w:sz w:val="28"/>
          <w:szCs w:val="28"/>
          <w:rtl w:val="true"/>
          <w:lang w:bidi="ar-SA"/>
        </w:rPr>
        <w:t xml:space="preserve">، للمستفيضة المسوّية بين غسل الميت وغسل الجنابة </w:t>
      </w:r>
      <w:r>
        <w:rPr>
          <w:rStyle w:val="FootnoteAnchor"/>
          <w:rtl w:val="true"/>
        </w:rPr>
        <w:footnoteReference w:id="832"/>
      </w:r>
      <w:r>
        <w:rPr>
          <w:rFonts w:ascii="Amiri" w:hAnsi="Amiri" w:eastAsia="Amiri" w:cs="Amiri"/>
          <w:color w:val="111111"/>
          <w:sz w:val="28"/>
          <w:sz w:val="28"/>
          <w:szCs w:val="28"/>
          <w:rtl w:val="true"/>
          <w:lang w:bidi="ar-SA"/>
        </w:rPr>
        <w:t>، ولإيجاب جوازه فيه جوازه هنا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يجوز؟ كما استشكل فيه جمع آخر ، منهم المدارك ، والبحار </w:t>
      </w:r>
      <w:r>
        <w:rPr>
          <w:rStyle w:val="FootnoteAnchor"/>
          <w:rtl w:val="true"/>
        </w:rPr>
        <w:footnoteReference w:id="833"/>
      </w:r>
      <w:r>
        <w:rPr>
          <w:rFonts w:ascii="Amiri" w:hAnsi="Amiri" w:eastAsia="Amiri" w:cs="Amiri"/>
          <w:color w:val="111111"/>
          <w:sz w:val="28"/>
          <w:sz w:val="28"/>
          <w:szCs w:val="28"/>
          <w:rtl w:val="true"/>
          <w:lang w:bidi="ar-SA"/>
        </w:rPr>
        <w:t>، للأمر بالترتيب المنافي للارتماس في الأخبار ، الموجب لتقييد ما أطلق فيه الغسل ، وعدم اقتضاء المماثلة التسوية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موقعه ، بل الأظهر عدم الجواز ، لما ذكر</w:t>
      </w:r>
      <w:r>
        <w:rPr>
          <w:rFonts w:eastAsia="Amiri" w:cs="Amiri" w:ascii="Amiri" w:hAnsi="Amiri"/>
          <w:color w:val="111111"/>
          <w:sz w:val="28"/>
          <w:szCs w:val="28"/>
          <w:rtl w:val="true"/>
          <w:lang w:bidi="ar-SA"/>
        </w:rPr>
        <w:t xml:space="preserve">. </w:t>
      </w:r>
      <w:bookmarkStart w:id="74" w:name="pg11616_94599"/>
    </w:p>
    <w:p>
      <w:pPr>
        <w:pStyle w:val="BookText"/>
        <w:rPr/>
      </w:pPr>
      <w:bookmarkEnd w:id="74"/>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وإباحته وإطلاقه ، بالإجماع في الثلاثة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مكان الغسل والآنية والخليطين ، ويظهر وجهه مما يأتي في التيمّم في المكان المغصوب ، والصلاة في اللباس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عورته باتفاق الأصحاب كما في اللوامع ، للأمر به في حسنة الحلبي ورواية يونس ، المتقدّمتين </w:t>
      </w:r>
      <w:r>
        <w:rPr>
          <w:rStyle w:val="FootnoteAnchor"/>
          <w:rtl w:val="true"/>
        </w:rPr>
        <w:footnoteReference w:id="83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إطلاقهما عدم الفرق بين الزوج أو الزوجة وغيرهما ، بل صرّح به في بعض أخبارهما </w:t>
      </w:r>
      <w:r>
        <w:rPr>
          <w:rStyle w:val="FootnoteAnchor"/>
          <w:rtl w:val="true"/>
        </w:rPr>
        <w:footnoteReference w:id="835"/>
      </w:r>
      <w:r>
        <w:rPr>
          <w:rFonts w:ascii="Amiri" w:hAnsi="Amiri" w:eastAsia="Amiri" w:cs="Amiri"/>
          <w:color w:val="111111"/>
          <w:sz w:val="28"/>
          <w:sz w:val="28"/>
          <w:szCs w:val="28"/>
          <w:rtl w:val="true"/>
          <w:lang w:bidi="ar-SA"/>
        </w:rPr>
        <w:t>أيضا ، فالقول بعدم الوجوب فيهما غير جيد ، وجواز النظر لو سلّم لا يوجب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الصغير الذي يجوز غسله لغير المماثل ، بل في المماثل 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يقتضي الوجوب على الأعمى والواثق من نفسه بكفّ البصر ، وإن كان شمول الإطلاقات للأعمى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الغاسل خرقة على يده عند غسل العورة ، للأمر به في حسنة الحلبي ، المتقدّمة ، وتؤيّده موثّقة الساباطي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على يدك خرقة تنقي بها دبره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5588105_73709187"/>
      <w:bookmarkStart w:id="76" w:name="_Toc30"/>
      <w:bookmarkEnd w:id="75"/>
      <w:r>
        <w:rPr>
          <w:rtl w:val="true"/>
        </w:rPr>
        <w:t xml:space="preserve">المقام الثاني </w:t>
      </w:r>
      <w:r>
        <w:rPr>
          <w:rtl w:val="true"/>
        </w:rPr>
        <w:t xml:space="preserve">: </w:t>
      </w:r>
      <w:r>
        <w:rPr>
          <w:rtl w:val="true"/>
        </w:rPr>
        <w:t>في مستحباته ومكروهاته</w:t>
      </w:r>
      <w:bookmarkEnd w:id="76"/>
    </w:p>
    <w:p>
      <w:pPr>
        <w:pStyle w:val="BookText"/>
        <w:rPr/>
      </w:pPr>
      <w:r>
        <w:rPr>
          <w:rFonts w:ascii="IRNazanin" w:hAnsi="IRNazanin" w:eastAsia="IRNazanin"/>
          <w:color w:val="111111"/>
          <w:sz w:val="28"/>
          <w:sz w:val="28"/>
          <w:szCs w:val="28"/>
          <w:rtl w:val="true"/>
          <w:lang w:bidi="fa-IR"/>
        </w:rPr>
        <w:t xml:space="preserve">أمّا المستحبات فأمور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الميت على شي‌ء مرتفع من ساجة أو سرير ، بلا خلاف كما في المنتهى </w:t>
      </w:r>
      <w:r>
        <w:rPr>
          <w:rStyle w:val="FootnoteAnchor"/>
          <w:rtl w:val="true"/>
        </w:rPr>
        <w:footnoteReference w:id="837"/>
      </w:r>
      <w:r>
        <w:rPr>
          <w:rFonts w:ascii="Amiri" w:hAnsi="Amiri" w:eastAsia="Amiri" w:cs="Amiri"/>
          <w:color w:val="111111"/>
          <w:sz w:val="28"/>
          <w:sz w:val="28"/>
          <w:szCs w:val="28"/>
          <w:rtl w:val="true"/>
          <w:lang w:bidi="ar-SA"/>
        </w:rPr>
        <w:t xml:space="preserve">، وأسنده في اللوامع إلى عمل الفرقة شائعا ، وهو فيه الحجة ، لكونه مقام المسامحة ، مضافا إلى أقربيته إلى الاحترام ، وأوفقيته لحفظ الجسد عن التلطخ ، </w:t>
      </w:r>
    </w:p>
    <w:p>
      <w:pPr>
        <w:pStyle w:val="BookText"/>
        <w:rPr/>
      </w:pPr>
      <w:r>
        <w:rPr>
          <w:rFonts w:ascii="Amiri" w:hAnsi="Amiri" w:eastAsia="Amiri" w:cs="Amiri"/>
          <w:color w:val="111111"/>
          <w:sz w:val="28"/>
          <w:sz w:val="28"/>
          <w:szCs w:val="28"/>
          <w:rtl w:val="true"/>
          <w:lang w:bidi="ar-SA"/>
        </w:rPr>
        <w:t xml:space="preserve">وأبعد عن الهوام ، ويومئ إليه الأمر بوضعه على المغتسل في بعض الأخبار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منحدرا مكان الرجلين ، لفتوى جمع الأجلّة </w:t>
      </w:r>
      <w:r>
        <w:rPr>
          <w:rStyle w:val="FootnoteAnchor"/>
          <w:rtl w:val="true"/>
        </w:rPr>
        <w:footnoteReference w:id="839"/>
      </w:r>
      <w:r>
        <w:rPr>
          <w:rFonts w:ascii="Amiri" w:hAnsi="Amiri" w:eastAsia="Amiri" w:cs="Amiri"/>
          <w:color w:val="111111"/>
          <w:sz w:val="28"/>
          <w:sz w:val="28"/>
          <w:szCs w:val="28"/>
          <w:rtl w:val="true"/>
          <w:lang w:bidi="ar-SA"/>
        </w:rPr>
        <w:t>، ولئلاّ يجتمع الماء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موجّها إلى القبلة نحو حال الاحتضار ، وفاقا للمصريات </w:t>
      </w:r>
      <w:r>
        <w:rPr>
          <w:rStyle w:val="FootnoteAnchor"/>
          <w:rtl w:val="true"/>
        </w:rPr>
        <w:footnoteReference w:id="840"/>
      </w:r>
      <w:r>
        <w:rPr>
          <w:rFonts w:ascii="Amiri" w:hAnsi="Amiri" w:eastAsia="Amiri" w:cs="Amiri"/>
          <w:color w:val="111111"/>
          <w:sz w:val="28"/>
          <w:sz w:val="28"/>
          <w:szCs w:val="28"/>
          <w:rtl w:val="true"/>
          <w:lang w:bidi="ar-SA"/>
        </w:rPr>
        <w:t xml:space="preserve">والوسيلة والغنية </w:t>
      </w:r>
      <w:r>
        <w:rPr>
          <w:rStyle w:val="FootnoteAnchor"/>
          <w:rtl w:val="true"/>
        </w:rPr>
        <w:footnoteReference w:id="841"/>
      </w:r>
      <w:r>
        <w:rPr>
          <w:rFonts w:ascii="IRNazanin" w:hAnsi="IRNazanin" w:eastAsia="IRNazanin"/>
          <w:color w:val="111111"/>
          <w:sz w:val="28"/>
          <w:sz w:val="28"/>
          <w:szCs w:val="28"/>
          <w:rtl w:val="true"/>
          <w:lang w:bidi="fa-IR"/>
        </w:rPr>
        <w:t xml:space="preserve">، والإصباح </w:t>
      </w:r>
      <w:r>
        <w:rPr>
          <w:rStyle w:val="FootnoteAnchor"/>
          <w:rtl w:val="true"/>
        </w:rPr>
        <w:footnoteReference w:id="842"/>
      </w:r>
      <w:r>
        <w:rPr>
          <w:rFonts w:ascii="IRNazanin" w:hAnsi="IRNazanin" w:eastAsia="IRNazanin"/>
          <w:color w:val="111111"/>
          <w:sz w:val="28"/>
          <w:sz w:val="28"/>
          <w:szCs w:val="28"/>
          <w:rtl w:val="true"/>
          <w:lang w:bidi="fa-IR"/>
        </w:rPr>
        <w:t xml:space="preserve">، والمعتبر ، والشرائع ، والنافع </w:t>
      </w:r>
      <w:r>
        <w:rPr>
          <w:rStyle w:val="FootnoteAnchor"/>
          <w:rtl w:val="true"/>
        </w:rPr>
        <w:footnoteReference w:id="843"/>
      </w:r>
      <w:r>
        <w:rPr>
          <w:rFonts w:ascii="Amiri" w:hAnsi="Amiri" w:eastAsia="Amiri" w:cs="Amiri"/>
          <w:color w:val="111111"/>
          <w:sz w:val="28"/>
          <w:sz w:val="28"/>
          <w:szCs w:val="28"/>
          <w:rtl w:val="true"/>
          <w:lang w:bidi="ar-SA"/>
        </w:rPr>
        <w:t xml:space="preserve">، واللوامع ، والقواعد والمدارك </w:t>
      </w:r>
      <w:r>
        <w:rPr>
          <w:rStyle w:val="FootnoteAnchor"/>
          <w:rtl w:val="true"/>
        </w:rPr>
        <w:footnoteReference w:id="844"/>
      </w:r>
      <w:r>
        <w:rPr>
          <w:rFonts w:ascii="Amiri" w:hAnsi="Amiri" w:eastAsia="Amiri" w:cs="Amiri"/>
          <w:color w:val="111111"/>
          <w:sz w:val="28"/>
          <w:sz w:val="28"/>
          <w:szCs w:val="28"/>
          <w:rtl w:val="true"/>
          <w:lang w:bidi="ar-SA"/>
        </w:rPr>
        <w:t xml:space="preserve">، بل هو الأشهر ، كما صرّح به جمع ممن تأخّر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دعوى الشهرة ، بل اتّفاق أهل العلم ، كما في المعتبر </w:t>
      </w:r>
      <w:r>
        <w:rPr>
          <w:rStyle w:val="FootnoteAnchor"/>
          <w:rtl w:val="true"/>
        </w:rPr>
        <w:footnoteReference w:id="846"/>
      </w:r>
      <w:r>
        <w:rPr>
          <w:rFonts w:ascii="Amiri" w:hAnsi="Amiri" w:eastAsia="Amiri" w:cs="Amiri"/>
          <w:color w:val="111111"/>
          <w:sz w:val="28"/>
          <w:sz w:val="28"/>
          <w:szCs w:val="28"/>
          <w:rtl w:val="true"/>
          <w:lang w:bidi="ar-SA"/>
        </w:rPr>
        <w:t xml:space="preserve">، وما تقدّم من خبري الكاهلي ويونس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مستقبل القبلة ، ويجعل باطن رجليه إلى القبلة وهو على المغتسل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لأحدكم ميت فسجّوه تجاه القبلة ، وكذلك إذا غسل يحفر له موضع المغتسل تجاه القبلة فيكون مستقبل باطن قدميه ووجهه إلى القبلة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 وخلوّ غير الأوّلين عن الدالّ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هما وإن اشتملا على الأمر ولكن يتعيّن حملهما على الاستحباب ، لصحيحة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كيف يوضع على المغتسل ، موجّها وجهه نحو القبلة ، أو يوضع على يمينه ووجهه نحو القبلة؟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يوضع كيف تيسّر فإذا طهر وضع كما يوضع في قبره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للمنتهى ، والكركي ، وشيخنا البهائي </w:t>
      </w:r>
      <w:r>
        <w:rPr>
          <w:rStyle w:val="FootnoteAnchor"/>
          <w:rtl w:val="true"/>
        </w:rPr>
        <w:footnoteReference w:id="851"/>
      </w:r>
      <w:r>
        <w:rPr>
          <w:rFonts w:ascii="Amiri" w:hAnsi="Amiri" w:eastAsia="Amiri" w:cs="Amiri"/>
          <w:color w:val="111111"/>
          <w:sz w:val="28"/>
          <w:sz w:val="28"/>
          <w:szCs w:val="28"/>
          <w:rtl w:val="true"/>
          <w:lang w:bidi="ar-SA"/>
        </w:rPr>
        <w:t xml:space="preserve">، وعن المبسوط ، والدروس ، والمسالك </w:t>
      </w:r>
      <w:r>
        <w:rPr>
          <w:rStyle w:val="FootnoteAnchor"/>
          <w:rtl w:val="true"/>
        </w:rPr>
        <w:footnoteReference w:id="852"/>
      </w:r>
      <w:r>
        <w:rPr>
          <w:rFonts w:ascii="Amiri" w:hAnsi="Amiri" w:eastAsia="Amiri" w:cs="Amiri"/>
          <w:color w:val="111111"/>
          <w:sz w:val="28"/>
          <w:sz w:val="28"/>
          <w:szCs w:val="28"/>
          <w:rtl w:val="true"/>
          <w:lang w:bidi="ar-SA"/>
        </w:rPr>
        <w:t xml:space="preserve">، فأوجبوه لما ذكر ، وأجابوا عن الصحيحة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المنافاة ، لأنّ ما تعسّر لا يجب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منها التخيير بين الأمرين المذكورين فيها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غايتها التعميم باعتبار الجهة فيجب التخصيص بما مرّ لكونه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يتيسر جميع الجهات فيدلّ على عدم وجوب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اختصاص السؤال لا يخصّص 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التخصيص غير جائز ، لإيجابه خروج غير الواحد ، فالتعارض متحقّق ، والحمل على الاستحباب متعيّن ،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الغسل تحت الظلال لا في الفضاء ، بالإجماع ، كما عن المحقّق والشهيدين </w:t>
      </w:r>
      <w:r>
        <w:rPr>
          <w:rStyle w:val="FootnoteAnchor"/>
          <w:rtl w:val="true"/>
        </w:rPr>
        <w:footnoteReference w:id="853"/>
      </w:r>
      <w:r>
        <w:rPr>
          <w:rFonts w:ascii="Amiri" w:hAnsi="Amiri" w:eastAsia="Amiri" w:cs="Amiri"/>
          <w:color w:val="111111"/>
          <w:sz w:val="28"/>
          <w:sz w:val="28"/>
          <w:szCs w:val="28"/>
          <w:rtl w:val="true"/>
          <w:lang w:bidi="ar-SA"/>
        </w:rPr>
        <w:t xml:space="preserve">، لصحيحة علي </w:t>
      </w:r>
      <w:r>
        <w:rPr>
          <w:rStyle w:val="FootnoteAnchor"/>
          <w:rtl w:val="true"/>
        </w:rPr>
        <w:footnoteReference w:id="854"/>
      </w:r>
      <w:r>
        <w:rPr>
          <w:rFonts w:ascii="Amiri" w:hAnsi="Amiri" w:eastAsia="Amiri" w:cs="Amiri"/>
          <w:color w:val="111111"/>
          <w:sz w:val="28"/>
          <w:sz w:val="28"/>
          <w:szCs w:val="28"/>
          <w:rtl w:val="true"/>
          <w:lang w:bidi="ar-SA"/>
        </w:rPr>
        <w:t xml:space="preserve">وخبر طلحة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تغسيله عاريا مستور العورة ، كما صرّح به الصدوق في الهداية ، </w:t>
      </w:r>
    </w:p>
    <w:p>
      <w:pPr>
        <w:pStyle w:val="BookText"/>
        <w:rPr/>
      </w:pPr>
      <w:r>
        <w:rPr>
          <w:rFonts w:ascii="Amiri" w:hAnsi="Amiri" w:eastAsia="Amiri" w:cs="Amiri"/>
          <w:color w:val="111111"/>
          <w:sz w:val="28"/>
          <w:sz w:val="28"/>
          <w:szCs w:val="28"/>
          <w:rtl w:val="true"/>
          <w:lang w:bidi="ar-SA"/>
        </w:rPr>
        <w:t xml:space="preserve">والشيخ في الخلاف </w:t>
      </w:r>
      <w:r>
        <w:rPr>
          <w:rStyle w:val="FootnoteAnchor"/>
          <w:rtl w:val="true"/>
        </w:rPr>
        <w:footnoteReference w:id="856"/>
      </w:r>
      <w:r>
        <w:rPr>
          <w:rFonts w:ascii="Amiri" w:hAnsi="Amiri" w:eastAsia="Amiri" w:cs="Amiri"/>
          <w:color w:val="111111"/>
          <w:sz w:val="28"/>
          <w:sz w:val="28"/>
          <w:szCs w:val="28"/>
          <w:rtl w:val="true"/>
          <w:lang w:bidi="ar-SA"/>
        </w:rPr>
        <w:t xml:space="preserve">، بل الظاهر عدم الخلاف فيه ، وهو الدليل عليه ، مضافا إلى قوله في خبر يونس ، المتقدّم </w:t>
      </w:r>
      <w:r>
        <w:rPr>
          <w:rStyle w:val="FootnoteAnchor"/>
          <w:rtl w:val="true"/>
        </w:rPr>
        <w:footnoteReference w:id="8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عليه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وقع الخلاف في أنّ الأفضل هل هو ستر العورة بالقميص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يجمعه من الفوق والتحت عليها ، أو نزعه وسترها بغيره؟</w:t>
      </w:r>
    </w:p>
    <w:p>
      <w:pPr>
        <w:pStyle w:val="BookText"/>
        <w:rPr/>
      </w:pPr>
      <w:r>
        <w:rPr>
          <w:rFonts w:ascii="Amiri" w:hAnsi="Amiri" w:eastAsia="Amiri" w:cs="Amiri"/>
          <w:color w:val="111111"/>
          <w:sz w:val="28"/>
          <w:sz w:val="28"/>
          <w:szCs w:val="28"/>
          <w:rtl w:val="true"/>
          <w:lang w:bidi="ar-SA"/>
        </w:rPr>
        <w:t xml:space="preserve">والحقّ هو الأول ، وفاقا لصريح الصدوق </w:t>
      </w:r>
      <w:r>
        <w:rPr>
          <w:rStyle w:val="FootnoteAnchor"/>
          <w:rtl w:val="true"/>
        </w:rPr>
        <w:footnoteReference w:id="858"/>
      </w:r>
      <w:r>
        <w:rPr>
          <w:rFonts w:ascii="Amiri" w:hAnsi="Amiri" w:eastAsia="Amiri" w:cs="Amiri"/>
          <w:color w:val="111111"/>
          <w:sz w:val="28"/>
          <w:sz w:val="28"/>
          <w:szCs w:val="28"/>
          <w:rtl w:val="true"/>
          <w:lang w:bidi="ar-SA"/>
        </w:rPr>
        <w:t xml:space="preserve">، بل أكثر الثالثة </w:t>
      </w:r>
      <w:r>
        <w:rPr>
          <w:rStyle w:val="FootnoteAnchor"/>
          <w:rtl w:val="true"/>
        </w:rPr>
        <w:footnoteReference w:id="859"/>
      </w:r>
      <w:r>
        <w:rPr>
          <w:rFonts w:ascii="Amiri" w:hAnsi="Amiri" w:eastAsia="Amiri" w:cs="Amiri"/>
          <w:color w:val="111111"/>
          <w:sz w:val="28"/>
          <w:sz w:val="28"/>
          <w:szCs w:val="28"/>
          <w:rtl w:val="true"/>
          <w:lang w:bidi="ar-SA"/>
        </w:rPr>
        <w:t xml:space="preserve">كما في اللوامع ، بل الأكثر مطلقا كما عن الروضة </w:t>
      </w:r>
      <w:r>
        <w:rPr>
          <w:rStyle w:val="FootnoteAnchor"/>
          <w:rtl w:val="true"/>
        </w:rPr>
        <w:footnoteReference w:id="860"/>
      </w:r>
      <w:r>
        <w:rPr>
          <w:rFonts w:ascii="Amiri" w:hAnsi="Amiri" w:eastAsia="Amiri" w:cs="Amiri"/>
          <w:color w:val="111111"/>
          <w:sz w:val="28"/>
          <w:sz w:val="28"/>
          <w:szCs w:val="28"/>
          <w:rtl w:val="true"/>
          <w:lang w:bidi="ar-SA"/>
        </w:rPr>
        <w:t xml:space="preserve">، ونسب إلى العماني </w:t>
      </w:r>
      <w:r>
        <w:rPr>
          <w:rStyle w:val="FootnoteAnchor"/>
          <w:rtl w:val="true"/>
        </w:rPr>
        <w:footnoteReference w:id="861"/>
      </w:r>
      <w:r>
        <w:rPr>
          <w:rFonts w:ascii="Amiri" w:hAnsi="Amiri" w:eastAsia="Amiri" w:cs="Amiri"/>
          <w:color w:val="111111"/>
          <w:sz w:val="28"/>
          <w:sz w:val="28"/>
          <w:szCs w:val="28"/>
          <w:rtl w:val="true"/>
          <w:lang w:bidi="ar-SA"/>
        </w:rPr>
        <w:t xml:space="preserve">، وفيه نظر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مرّ من خبر يونس ، وللصحاح الثلاث لأبناء مسكان وخالد ويقطين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 ثوب إذا 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أن يكون عليه قميص فغسله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تغسّلوه إلاّ في قميص يدخل رجل يده ويصب عليه من فوقه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الحقيقة في الاولى والأخيرة وإن كان الوجوب ، إلاّ أنّ عدم القول به ، بل الإجماع على التخيير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الخلاف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الرضوي المنجبر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وتنزع قميصه من تحته أو تتركه عليه إلى أن تفرغ عن </w:t>
      </w:r>
    </w:p>
    <w:p>
      <w:pPr>
        <w:pStyle w:val="BookText"/>
        <w:rPr/>
      </w:pPr>
      <w:r>
        <w:rPr>
          <w:rFonts w:ascii="Amiri" w:hAnsi="Amiri" w:eastAsia="Amiri" w:cs="Amiri"/>
          <w:color w:val="111111"/>
          <w:sz w:val="28"/>
          <w:sz w:val="28"/>
          <w:szCs w:val="28"/>
          <w:rtl w:val="true"/>
          <w:lang w:bidi="ar-SA"/>
        </w:rPr>
        <w:t xml:space="preserve">غسله لتستر به عورته ، وإن لم يكن عليه القميص ألقيت على عورته شيئا مما يستر عورته </w:t>
      </w:r>
      <w:r>
        <w:rPr>
          <w:rFonts w:eastAsia="Amiri" w:cs="Amiri" w:ascii="Amiri" w:hAnsi="Amiri"/>
          <w:color w:val="111111"/>
          <w:sz w:val="28"/>
          <w:szCs w:val="28"/>
          <w:rtl w:val="true"/>
          <w:lang w:bidi="ar-SA"/>
        </w:rPr>
        <w:t xml:space="preserve">» </w:t>
      </w:r>
      <w:r>
        <w:rPr>
          <w:rStyle w:val="FootnoteAnchor"/>
          <w:rtl w:val="true"/>
        </w:rPr>
        <w:footnoteReference w:id="865"/>
      </w:r>
      <w:r>
        <w:rPr>
          <w:rFonts w:ascii="IRNazanin" w:hAnsi="IRNazanin" w:eastAsia="IRNazanin"/>
          <w:color w:val="111111"/>
          <w:sz w:val="28"/>
          <w:sz w:val="28"/>
          <w:szCs w:val="28"/>
          <w:rtl w:val="true"/>
          <w:lang w:bidi="fa-IR"/>
        </w:rPr>
        <w:t>الخبر ، أوجب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وخلافا للمنتهى ، وعن المفيد ، والنهاية ، والمبسوط </w:t>
      </w:r>
      <w:r>
        <w:rPr>
          <w:rStyle w:val="FootnoteAnchor"/>
          <w:rtl w:val="true"/>
        </w:rPr>
        <w:footnoteReference w:id="866"/>
      </w:r>
      <w:r>
        <w:rPr>
          <w:rFonts w:ascii="Amiri" w:hAnsi="Amiri" w:eastAsia="Amiri" w:cs="Amiri"/>
          <w:color w:val="111111"/>
          <w:sz w:val="28"/>
          <w:sz w:val="28"/>
          <w:szCs w:val="28"/>
          <w:rtl w:val="true"/>
          <w:lang w:bidi="ar-SA"/>
        </w:rPr>
        <w:t xml:space="preserve">فعكسا ، بل عن المختلف نسبته إلى الأكثر </w:t>
      </w:r>
      <w:r>
        <w:rPr>
          <w:rStyle w:val="FootnoteAnchor"/>
          <w:rtl w:val="true"/>
        </w:rPr>
        <w:footnoteReference w:id="867"/>
      </w:r>
      <w:r>
        <w:rPr>
          <w:rFonts w:ascii="Amiri" w:hAnsi="Amiri" w:eastAsia="Amiri" w:cs="Amiri"/>
          <w:color w:val="111111"/>
          <w:sz w:val="28"/>
          <w:sz w:val="28"/>
          <w:szCs w:val="28"/>
          <w:rtl w:val="true"/>
          <w:lang w:bidi="ar-SA"/>
        </w:rPr>
        <w:t xml:space="preserve">، لأنّه أبلغ للتطهير ، ولموثّقة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فتطرح على سوءته خرقة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وروايتي ابن عبيد وحريز ، المتقدّمتين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أم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غسلها فابدئي بسفليها فألقي على عورتها ثوبا ستيرا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صلاحيته لتأسيس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أعم من أن يكون عليه القميص أولا ، فيخصّص بما مرّ لكونه أخصّ ، مع أنه صرّح بذلك في الرضوي كما مرّ </w:t>
      </w:r>
      <w:r>
        <w:rPr>
          <w:rStyle w:val="FootnoteAnchor"/>
          <w:rtl w:val="true"/>
        </w:rPr>
        <w:footnoteReference w:id="871"/>
      </w:r>
      <w:r>
        <w:rPr>
          <w:rFonts w:ascii="Amiri" w:hAnsi="Amiri" w:eastAsia="Amiri" w:cs="Amiri"/>
          <w:color w:val="111111"/>
          <w:sz w:val="28"/>
          <w:sz w:val="28"/>
          <w:szCs w:val="28"/>
          <w:rtl w:val="true"/>
          <w:lang w:bidi="ar-SA"/>
        </w:rPr>
        <w:t>، بل لنا أن نقول بأعمية الخرقة والثوب من القميص</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وللخلاف ، فخيّر بين الأمرين ، لدعوى الإجماع فيه عليه </w:t>
      </w:r>
      <w:r>
        <w:rPr>
          <w:rStyle w:val="FootnoteAnchor"/>
          <w:rtl w:val="true"/>
        </w:rPr>
        <w:footnoteReference w:id="872"/>
      </w:r>
      <w:r>
        <w:rPr>
          <w:rFonts w:ascii="Amiri" w:hAnsi="Amiri" w:eastAsia="Amiri" w:cs="Amiri"/>
          <w:color w:val="111111"/>
          <w:sz w:val="28"/>
          <w:sz w:val="28"/>
          <w:szCs w:val="28"/>
          <w:rtl w:val="true"/>
          <w:lang w:bidi="ar-SA"/>
        </w:rPr>
        <w:t xml:space="preserve">، وللجمع بين الأخبار ، ولحسنة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بينك وبينه ثوبا يستر عورته إمّا قميصا أو غيره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بالتخصيص مقدّم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لا ينافيان أفضلية أحد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وللمنقول عن ابن حمزة ، فأوجب النزع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له على حجة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اشتبهت المسألة على بعض متأخّري المتأخّرين </w:t>
      </w:r>
      <w:r>
        <w:rPr>
          <w:rStyle w:val="FootnoteAnchor"/>
          <w:rtl w:val="true"/>
        </w:rPr>
        <w:footnoteReference w:id="875"/>
      </w:r>
      <w:r>
        <w:rPr>
          <w:rFonts w:ascii="Amiri" w:hAnsi="Amiri" w:eastAsia="Amiri" w:cs="Amiri"/>
          <w:color w:val="111111"/>
          <w:sz w:val="28"/>
          <w:sz w:val="28"/>
          <w:szCs w:val="28"/>
          <w:rtl w:val="true"/>
          <w:lang w:bidi="ar-SA"/>
        </w:rPr>
        <w:t xml:space="preserve">، وحمل الغسل في القميص على اشتماله على جملة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الشافعي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استحبابه وجعل الغسل عاريا مقابلا له ولوضع الخرقة ، وجوّز جمع القميص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الوصي بالنبي ، وأخبار الغسل في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غفلة عن المراد ، والغسل في القميص الوارد في الأخبار أعم منه ومن جمعه على العورة ، فيجب الحمل عليه ، لخبر يونس والرضوي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فعل الوصي لعلّه كان مختصا بالنبي صلی اللّه عليه وآله ، بل هو المستفاد من المروي في الطرف لابن طاوس ، ومصباح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غسلت رسول اللّه صلی اللّه عليه وآله أنا وحدي وهو في قميصه ، فذهبت أنزع منه القميص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تجرّد أخاك فإن اللّه لم يجرّده </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أخذت في غسله سمعت قائلا من جانب البيت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تنزع القميص منه ، فغسلته في قميصه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 الغسل في القميص يستحب نزعه من تحته بعد فتقه ، لصحيحة ابن سنان ، المروية في الكافي ، وفيها بعد ذكر الشدّ بالخرقة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تخرق القميص </w:t>
      </w:r>
    </w:p>
    <w:p>
      <w:pPr>
        <w:pStyle w:val="BookText"/>
        <w:rPr/>
      </w:pPr>
      <w:r>
        <w:rPr>
          <w:rFonts w:ascii="Amiri" w:hAnsi="Amiri" w:eastAsia="Amiri" w:cs="Amiri"/>
          <w:color w:val="111111"/>
          <w:sz w:val="28"/>
          <w:sz w:val="28"/>
          <w:szCs w:val="28"/>
          <w:rtl w:val="true"/>
          <w:lang w:bidi="ar-SA"/>
        </w:rPr>
        <w:t xml:space="preserve">إذا غسل وتنزع من رجليه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ولضعف الرواية </w:t>
      </w:r>
      <w:r>
        <w:rPr>
          <w:rStyle w:val="FootnoteAnchor"/>
          <w:rtl w:val="true"/>
        </w:rPr>
        <w:footnoteReference w:id="880"/>
      </w:r>
      <w:r>
        <w:rPr>
          <w:rFonts w:ascii="Amiri" w:hAnsi="Amiri" w:eastAsia="Amiri" w:cs="Amiri"/>
          <w:color w:val="111111"/>
          <w:sz w:val="28"/>
          <w:sz w:val="28"/>
          <w:szCs w:val="28"/>
          <w:rtl w:val="true"/>
          <w:lang w:bidi="ar-SA"/>
        </w:rPr>
        <w:t>لا تنتهض حجة على الفتق إذا لم يأذن الورثة ، ولذا استثناه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يحتاج القميص أو الخرقة الملقاة بعد النزع إلى التطهير أم لا؟ صرّح جماعة </w:t>
      </w:r>
      <w:r>
        <w:rPr>
          <w:rStyle w:val="FootnoteAnchor"/>
          <w:rtl w:val="true"/>
        </w:rPr>
        <w:footnoteReference w:id="881"/>
      </w:r>
      <w:r>
        <w:rPr>
          <w:rFonts w:ascii="Amiri" w:hAnsi="Amiri" w:eastAsia="Amiri" w:cs="Amiri"/>
          <w:color w:val="111111"/>
          <w:sz w:val="28"/>
          <w:sz w:val="28"/>
          <w:szCs w:val="28"/>
          <w:rtl w:val="true"/>
          <w:lang w:bidi="ar-SA"/>
        </w:rPr>
        <w:t>بأنّ الظاهر من الإطلاقات طهره بماء الغسل وإن لم يعصر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لي وجه الظهور منها ، ولعلّه لأنه لولاه لزم تنجّس بدن الميت بملاقاته قبل تمام الغسل مع لزوم إزالته قبل الغسل وبعد الغسل ، مع أنه لو كان كذلك لأمر بتطهيره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تقديم إزالة مثل تلك النجاسة على الغسل أيضا بالإجماع المركّب غير ثابت ، بل لا يجب تقديمه على غسل الموضع ، أيضا ، فإنه يطهّر عن الحدث والخبث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والتنجيس بعد الغسل لا يلزم الأمر بالتطهير في تلك الأخبار ، لأنّه يعلم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توقّف تطهير كلّ ثوب عن كلّ نجاسة على العصر إنّما هو بالإجماع المركّب المعلوم انتفاؤه في المورد ، فهو الدليل على عدم الحاجة إلى العصر دون الإطلاقات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أصابعه ومفاصله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كما عن الخلاف والمعتبر </w:t>
      </w:r>
      <w:r>
        <w:rPr>
          <w:rStyle w:val="FootnoteAnchor"/>
          <w:rtl w:val="true"/>
        </w:rPr>
        <w:footnoteReference w:id="882"/>
      </w:r>
      <w:r>
        <w:rPr>
          <w:rFonts w:ascii="Amiri" w:hAnsi="Amiri" w:eastAsia="Amiri" w:cs="Amiri"/>
          <w:color w:val="111111"/>
          <w:sz w:val="28"/>
          <w:sz w:val="28"/>
          <w:szCs w:val="28"/>
          <w:rtl w:val="true"/>
          <w:lang w:bidi="ar-SA"/>
        </w:rPr>
        <w:t xml:space="preserve">، له ، ولخبر الكاهلي ، المتقدّم </w:t>
      </w:r>
      <w:r>
        <w:rPr>
          <w:rStyle w:val="FootnoteAnchor"/>
          <w:rtl w:val="true"/>
        </w:rPr>
        <w:footnoteReference w:id="883"/>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وليّن مفاصله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وتليين أصابعه ومفاصله ما قدرت بالرفق ، وإن كان صعب عليك فدعها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مقدّما على غسل الفرج ، لدلالة الخبرين عليه ، قبل غسل اليدين أو معه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النهي عن غمز المفصل في حسنة حمران </w:t>
      </w:r>
      <w:r>
        <w:rPr>
          <w:rStyle w:val="FootnoteAnchor"/>
          <w:rtl w:val="true"/>
        </w:rPr>
        <w:footnoteReference w:id="885"/>
      </w:r>
      <w:r>
        <w:rPr>
          <w:rFonts w:ascii="Amiri" w:hAnsi="Amiri" w:eastAsia="Amiri" w:cs="Amiri"/>
          <w:color w:val="111111"/>
          <w:sz w:val="28"/>
          <w:sz w:val="28"/>
          <w:szCs w:val="28"/>
          <w:rtl w:val="true"/>
          <w:lang w:bidi="ar-SA"/>
        </w:rPr>
        <w:t xml:space="preserve">، وتكريهه في خبر طلحة </w:t>
      </w:r>
      <w:r>
        <w:rPr>
          <w:rStyle w:val="FootnoteAnchor"/>
          <w:rtl w:val="true"/>
        </w:rPr>
        <w:footnoteReference w:id="886"/>
      </w:r>
      <w:r>
        <w:rPr>
          <w:rFonts w:ascii="Amiri" w:hAnsi="Amiri" w:eastAsia="Amiri" w:cs="Amiri"/>
          <w:color w:val="111111"/>
          <w:sz w:val="28"/>
          <w:sz w:val="28"/>
          <w:szCs w:val="28"/>
          <w:rtl w:val="true"/>
          <w:lang w:bidi="ar-SA"/>
        </w:rPr>
        <w:t>، لجواز كون التليين غير الغمز لاشتماله على العنف دونه ، مع أنّ المنهي عنه مطلقه والمأمور به مع الرفق ، فيحمل المطلق على المقيّد لو لم يتغايرا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على ما بعد الغسل ، وفيه بعد ، إلاّ أنّ إرادة أثناء الغسل ممكنة ، والتليين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المنع منه </w:t>
      </w:r>
      <w:r>
        <w:rPr>
          <w:rStyle w:val="FootnoteAnchor"/>
          <w:rtl w:val="true"/>
        </w:rPr>
        <w:footnoteReference w:id="887"/>
      </w:r>
      <w:r>
        <w:rPr>
          <w:rFonts w:ascii="Amiri" w:hAnsi="Amiri" w:eastAsia="Amiri" w:cs="Amiri"/>
          <w:color w:val="111111"/>
          <w:sz w:val="28"/>
          <w:sz w:val="28"/>
          <w:szCs w:val="28"/>
          <w:rtl w:val="true"/>
          <w:lang w:bidi="ar-SA"/>
        </w:rPr>
        <w:t>، ولكن فتواه مضمون الخبر ، فيجري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كفّيه ، بالإجماع المحكي عن الغنية </w:t>
      </w:r>
      <w:r>
        <w:rPr>
          <w:rStyle w:val="FootnoteAnchor"/>
          <w:rtl w:val="true"/>
        </w:rPr>
        <w:footnoteReference w:id="888"/>
      </w:r>
      <w:r>
        <w:rPr>
          <w:rFonts w:ascii="Amiri" w:hAnsi="Amiri" w:eastAsia="Amiri" w:cs="Amiri"/>
          <w:color w:val="111111"/>
          <w:sz w:val="28"/>
          <w:sz w:val="28"/>
          <w:szCs w:val="28"/>
          <w:rtl w:val="true"/>
          <w:lang w:bidi="ar-SA"/>
        </w:rPr>
        <w:t xml:space="preserve">، له ، ولقوله في حسنة الحلبي ، المتقدّمة </w:t>
      </w:r>
      <w:r>
        <w:rPr>
          <w:rStyle w:val="FootnoteAnchor"/>
          <w:rtl w:val="true"/>
        </w:rPr>
        <w:footnoteReference w:id="8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يبدأ بكفّيه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خثيمة </w:t>
      </w:r>
      <w:r>
        <w:rPr>
          <w:rStyle w:val="FootnoteAnchor"/>
          <w:rtl w:val="true"/>
        </w:rPr>
        <w:footnoteReference w:id="89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فيغسل يديه ، ثمَّ يوضّئه وضوء الصلاة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رؤوس الأصابع إلى نصف الذراع ، كما في الدروس وشرح القواعد والمدارك </w:t>
      </w:r>
      <w:r>
        <w:rPr>
          <w:rStyle w:val="FootnoteAnchor"/>
          <w:rtl w:val="true"/>
        </w:rPr>
        <w:footnoteReference w:id="892"/>
      </w:r>
      <w:r>
        <w:rPr>
          <w:rFonts w:ascii="Amiri" w:hAnsi="Amiri" w:eastAsia="Amiri" w:cs="Amiri"/>
          <w:color w:val="111111"/>
          <w:sz w:val="28"/>
          <w:sz w:val="28"/>
          <w:szCs w:val="28"/>
          <w:rtl w:val="true"/>
          <w:lang w:bidi="ar-SA"/>
        </w:rPr>
        <w:t xml:space="preserve">، لخبر يونس ، المتقدّم </w:t>
      </w:r>
      <w:r>
        <w:rPr>
          <w:rStyle w:val="FootnoteAnchor"/>
          <w:rtl w:val="true"/>
        </w:rPr>
        <w:footnoteReference w:id="893"/>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بغسل اليدين إلى نصف </w:t>
      </w:r>
    </w:p>
    <w:p>
      <w:pPr>
        <w:pStyle w:val="BookText"/>
        <w:rPr/>
      </w:pPr>
      <w:r>
        <w:rPr>
          <w:rFonts w:ascii="Amiri" w:hAnsi="Amiri" w:eastAsia="Amiri" w:cs="Amiri"/>
          <w:color w:val="111111"/>
          <w:sz w:val="28"/>
          <w:sz w:val="28"/>
          <w:szCs w:val="28"/>
          <w:rtl w:val="true"/>
          <w:lang w:bidi="ar-SA"/>
        </w:rPr>
        <w:t xml:space="preserve">المرفقين ثلاثا ثلاثا ، ثمَّ الفرج ثلاثا </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ينافيه التعبير في سابقة باليدين ،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بالكفّين ، 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استحباب شي‌ء لا ينافي استحباب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ثلاثا ، كما في الكتب الثلاثة المتقدّمة </w:t>
      </w:r>
      <w:r>
        <w:rPr>
          <w:rStyle w:val="FootnoteAnchor"/>
          <w:rtl w:val="true"/>
        </w:rPr>
        <w:footnoteReference w:id="895"/>
      </w:r>
      <w:r>
        <w:rPr>
          <w:rFonts w:ascii="IRNazanin" w:hAnsi="IRNazanin" w:eastAsia="IRNazanin"/>
          <w:color w:val="111111"/>
          <w:sz w:val="28"/>
          <w:sz w:val="28"/>
          <w:szCs w:val="28"/>
          <w:rtl w:val="true"/>
          <w:lang w:bidi="fa-IR"/>
        </w:rPr>
        <w:t xml:space="preserve">، وعن الاقتصاد ، والمصباح ، ومختصره ، والسرائر </w:t>
      </w:r>
      <w:r>
        <w:rPr>
          <w:rStyle w:val="FootnoteAnchor"/>
          <w:rtl w:val="true"/>
        </w:rPr>
        <w:footnoteReference w:id="896"/>
      </w:r>
      <w:r>
        <w:rPr>
          <w:rFonts w:ascii="Amiri" w:hAnsi="Amiri" w:eastAsia="Amiri" w:cs="Amiri"/>
          <w:color w:val="111111"/>
          <w:sz w:val="28"/>
          <w:sz w:val="28"/>
          <w:szCs w:val="28"/>
          <w:rtl w:val="true"/>
          <w:lang w:bidi="ar-SA"/>
        </w:rPr>
        <w:t xml:space="preserve">، والفقيه ، ورسالة والده </w:t>
      </w:r>
      <w:r>
        <w:rPr>
          <w:rStyle w:val="FootnoteAnchor"/>
          <w:rtl w:val="true"/>
        </w:rPr>
        <w:footnoteReference w:id="897"/>
      </w:r>
      <w:r>
        <w:rPr>
          <w:rFonts w:ascii="Amiri" w:hAnsi="Amiri" w:eastAsia="Amiri" w:cs="Amiri"/>
          <w:color w:val="111111"/>
          <w:sz w:val="28"/>
          <w:sz w:val="28"/>
          <w:szCs w:val="28"/>
          <w:rtl w:val="true"/>
          <w:lang w:bidi="ar-SA"/>
        </w:rPr>
        <w:t>، للخبرين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بماء السدر ، كما صرّح به في الفقيه والرسالة </w:t>
      </w:r>
      <w:r>
        <w:rPr>
          <w:rStyle w:val="FootnoteAnchor"/>
          <w:rtl w:val="true"/>
        </w:rPr>
        <w:footnoteReference w:id="898"/>
      </w:r>
      <w:r>
        <w:rPr>
          <w:rFonts w:ascii="Amiri" w:hAnsi="Amiri" w:eastAsia="Amiri" w:cs="Amiri"/>
          <w:color w:val="111111"/>
          <w:sz w:val="28"/>
          <w:sz w:val="28"/>
          <w:szCs w:val="28"/>
          <w:rtl w:val="true"/>
          <w:lang w:bidi="ar-SA"/>
        </w:rPr>
        <w:t>،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مقدّما على غسل الفرج ، كما في الأخير </w:t>
      </w:r>
      <w:r>
        <w:rPr>
          <w:rStyle w:val="FootnoteAnchor"/>
          <w:rtl w:val="true"/>
        </w:rPr>
        <w:footnoteReference w:id="899"/>
      </w:r>
      <w:r>
        <w:rPr>
          <w:rFonts w:ascii="Amiri" w:hAnsi="Amiri" w:eastAsia="Amiri" w:cs="Amiri"/>
          <w:color w:val="111111"/>
          <w:sz w:val="28"/>
          <w:sz w:val="28"/>
          <w:szCs w:val="28"/>
          <w:rtl w:val="true"/>
          <w:lang w:bidi="ar-SA"/>
        </w:rPr>
        <w:t>، للخبرين ، فإنّهما مصرّحان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يعارضهما قوله في رواية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ابدأ بفرجه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بإزائها الروايات المصرّحة بالبدأة باليدين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 المراد البدأة بالإضافة إلى ما ذكر فيها ، مع أنها أعم ممّا إذا غسل اليدين أوّلا ، فتحمل على المقيدين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فرجيه إن لم يعلم فيهما نجاسة ، وإلاّ وجب كما مرّ ، لأخبار يونس </w:t>
      </w:r>
      <w:r>
        <w:rPr>
          <w:rStyle w:val="FootnoteAnchor"/>
          <w:rtl w:val="true"/>
        </w:rPr>
        <w:footnoteReference w:id="900"/>
      </w:r>
      <w:r>
        <w:rPr>
          <w:rFonts w:ascii="Amiri" w:hAnsi="Amiri" w:eastAsia="Amiri" w:cs="Amiri"/>
          <w:color w:val="111111"/>
          <w:sz w:val="28"/>
          <w:sz w:val="28"/>
          <w:szCs w:val="28"/>
          <w:rtl w:val="true"/>
          <w:lang w:bidi="ar-SA"/>
        </w:rPr>
        <w:t xml:space="preserve">، وابن عبيد وحريز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ثلاثا ، للرضوي المتقدّم </w:t>
      </w:r>
      <w:r>
        <w:rPr>
          <w:rStyle w:val="FootnoteAnchor"/>
          <w:rtl w:val="true"/>
        </w:rPr>
        <w:footnoteReference w:id="902"/>
      </w:r>
      <w:r>
        <w:rPr>
          <w:rFonts w:ascii="Amiri" w:hAnsi="Amiri" w:eastAsia="Amiri" w:cs="Amiri"/>
          <w:color w:val="111111"/>
          <w:sz w:val="28"/>
          <w:sz w:val="28"/>
          <w:szCs w:val="28"/>
          <w:rtl w:val="true"/>
          <w:lang w:bidi="ar-SA"/>
        </w:rPr>
        <w:t xml:space="preserve">، 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 اليدين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ويلف غاسله على يده خرقة ، ويصبّ غيره الماء من فوق يديه ، ثمَّ تضجعه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وتغسل قبله ودبره بثلاث حميديات ، ولا يقطع الماء عنه ، ثمَّ تغسل رأسه </w:t>
      </w:r>
    </w:p>
    <w:p>
      <w:pPr>
        <w:pStyle w:val="BookText"/>
        <w:rPr/>
      </w:pPr>
      <w:r>
        <w:rPr>
          <w:rFonts w:ascii="Amiri" w:hAnsi="Amiri" w:eastAsia="Amiri" w:cs="Amiri"/>
          <w:color w:val="111111"/>
          <w:sz w:val="28"/>
          <w:sz w:val="28"/>
          <w:szCs w:val="28"/>
          <w:rtl w:val="true"/>
          <w:lang w:bidi="ar-SA"/>
        </w:rPr>
        <w:t xml:space="preserve">ولحيته برغوة السدر ، وتتبعه بثلاث جريات </w:t>
      </w:r>
      <w:r>
        <w:rPr>
          <w:rStyle w:val="FootnoteAnchor"/>
          <w:rtl w:val="true"/>
        </w:rPr>
        <w:footnoteReference w:id="903"/>
      </w:r>
      <w:r>
        <w:rPr>
          <w:rFonts w:ascii="Amiri" w:hAnsi="Amiri" w:eastAsia="Amiri" w:cs="Amiri"/>
          <w:color w:val="111111"/>
          <w:sz w:val="28"/>
          <w:sz w:val="28"/>
          <w:szCs w:val="28"/>
          <w:rtl w:val="true"/>
          <w:lang w:bidi="ar-SA"/>
        </w:rPr>
        <w:t xml:space="preserve">، ولا تقعده إن صعب عليك ، ثمَّ اقلبه على جنبه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في رواية الكاهلي ، المتقدّمة </w:t>
      </w:r>
      <w:r>
        <w:rPr>
          <w:rStyle w:val="FootnoteAnchor"/>
          <w:rtl w:val="true"/>
        </w:rPr>
        <w:footnoteReference w:id="9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ابدأ بفرجه بماء السدر والحرض ، واغسله ثلاث غسلات ، وأكثر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مكثرا عليه الماء ، كما عن النهاية ، والمبسوط ، وفي المنتهى </w:t>
      </w:r>
      <w:r>
        <w:rPr>
          <w:rStyle w:val="FootnoteAnchor"/>
          <w:rtl w:val="true"/>
        </w:rPr>
        <w:footnoteReference w:id="905"/>
      </w:r>
      <w:r>
        <w:rPr>
          <w:rFonts w:ascii="Amiri" w:hAnsi="Amiri" w:eastAsia="Amiri" w:cs="Amiri"/>
          <w:color w:val="111111"/>
          <w:sz w:val="28"/>
          <w:sz w:val="28"/>
          <w:szCs w:val="28"/>
          <w:rtl w:val="true"/>
          <w:lang w:bidi="ar-SA"/>
        </w:rPr>
        <w:t>، لتلك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بماء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رسالة الصدوق </w:t>
      </w:r>
      <w:r>
        <w:rPr>
          <w:rStyle w:val="FootnoteAnchor"/>
          <w:rtl w:val="true"/>
        </w:rPr>
        <w:footnoteReference w:id="906"/>
      </w:r>
      <w:r>
        <w:rPr>
          <w:rFonts w:ascii="Amiri" w:hAnsi="Amiri" w:eastAsia="Amiri" w:cs="Amiri"/>
          <w:color w:val="111111"/>
          <w:sz w:val="28"/>
          <w:sz w:val="28"/>
          <w:szCs w:val="28"/>
          <w:rtl w:val="true"/>
          <w:lang w:bidi="ar-SA"/>
        </w:rPr>
        <w:t xml:space="preserve">، والنافع ، وعن المقنعة ، والاقتصاد ، والمصباح ومختصره ، والمراسم ، والسرائر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إضافة السدر كما في المنتهى ، والقواعد ، وعن النهاية ، والمبسوط </w:t>
      </w:r>
      <w:r>
        <w:rPr>
          <w:rStyle w:val="FootnoteAnchor"/>
          <w:rtl w:val="true"/>
        </w:rPr>
        <w:footnoteReference w:id="908"/>
      </w:r>
      <w:r>
        <w:rPr>
          <w:rFonts w:ascii="Amiri" w:hAnsi="Amiri" w:eastAsia="Amiri" w:cs="Amiri"/>
          <w:color w:val="111111"/>
          <w:sz w:val="28"/>
          <w:sz w:val="28"/>
          <w:szCs w:val="28"/>
          <w:rtl w:val="true"/>
          <w:lang w:bidi="ar-SA"/>
        </w:rPr>
        <w:t xml:space="preserve">، والوسيلة ، والمهذب ، والشرائع ، والجامع </w:t>
      </w:r>
      <w:r>
        <w:rPr>
          <w:rStyle w:val="FootnoteAnchor"/>
          <w:rtl w:val="true"/>
        </w:rPr>
        <w:footnoteReference w:id="909"/>
      </w:r>
      <w:r>
        <w:rPr>
          <w:rFonts w:ascii="Amiri" w:hAnsi="Amiri" w:eastAsia="Amiri" w:cs="Amiri"/>
          <w:color w:val="111111"/>
          <w:sz w:val="28"/>
          <w:sz w:val="28"/>
          <w:szCs w:val="28"/>
          <w:rtl w:val="true"/>
          <w:lang w:bidi="ar-SA"/>
        </w:rPr>
        <w:t>، للرواية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 اشتمالها على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مشايخنا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مقدّما على الوضوء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غسل اليدين والفرجين ثلاثا في كلّ غسلة ، إلاّ أنّهما يغسلان في الثانية بماء الكافور ، وفي الثالثة بالقراح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لروايتي الكاهلي ويونس ، السابقتين ، والرضوي ، وفيه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الفرج ثلاثا ، ثمَّ الرأس ثلاثا ، ثمَّ الجانب الأيمن ثلاثا ، ثمَّ الجانب الأيسر ثلاثا بالماء والسدر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تغسله مرة أخرى بالماء والكافور على هذه الصفة ، ثمَّ بالماء القراح مرة ثالثة ، فيكون الغسل ثلاث مرات كلّ مرّة خمس عشرة صبّة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توضئته وضوء الصلاة في الغسلة الأولى ، وفاقا للمنتهى ، والقواعد ، وشرحه ، والنافع </w:t>
      </w:r>
      <w:r>
        <w:rPr>
          <w:rStyle w:val="FootnoteAnchor"/>
          <w:rtl w:val="true"/>
        </w:rPr>
        <w:footnoteReference w:id="912"/>
      </w:r>
      <w:r>
        <w:rPr>
          <w:rFonts w:ascii="IRNazanin" w:hAnsi="IRNazanin" w:eastAsia="IRNazanin"/>
          <w:color w:val="111111"/>
          <w:sz w:val="28"/>
          <w:sz w:val="28"/>
          <w:szCs w:val="28"/>
          <w:rtl w:val="true"/>
          <w:lang w:bidi="fa-IR"/>
        </w:rPr>
        <w:t xml:space="preserve">، وظاهر الشرائع </w:t>
      </w:r>
      <w:r>
        <w:rPr>
          <w:rStyle w:val="FootnoteAnchor"/>
          <w:rtl w:val="true"/>
        </w:rPr>
        <w:footnoteReference w:id="913"/>
      </w:r>
      <w:r>
        <w:rPr>
          <w:rFonts w:ascii="Amiri" w:hAnsi="Amiri" w:eastAsia="Amiri" w:cs="Amiri"/>
          <w:color w:val="111111"/>
          <w:sz w:val="28"/>
          <w:sz w:val="28"/>
          <w:szCs w:val="28"/>
          <w:rtl w:val="true"/>
          <w:lang w:bidi="ar-SA"/>
        </w:rPr>
        <w:t xml:space="preserve">، وصريح اللوامع ، وعن المفيد ، والاستبصار والمصباح ، ومختصره والمهذب </w:t>
      </w:r>
      <w:r>
        <w:rPr>
          <w:rStyle w:val="FootnoteAnchor"/>
          <w:rtl w:val="true"/>
        </w:rPr>
        <w:footnoteReference w:id="914"/>
      </w:r>
      <w:r>
        <w:rPr>
          <w:rFonts w:ascii="Amiri" w:hAnsi="Amiri" w:eastAsia="Amiri" w:cs="Amiri"/>
          <w:color w:val="111111"/>
          <w:sz w:val="28"/>
          <w:sz w:val="28"/>
          <w:szCs w:val="28"/>
          <w:rtl w:val="true"/>
          <w:lang w:bidi="ar-SA"/>
        </w:rPr>
        <w:t xml:space="preserve">، والجامع ، والمختلف ، والذكرى </w:t>
      </w:r>
      <w:r>
        <w:rPr>
          <w:rStyle w:val="FootnoteAnchor"/>
          <w:rtl w:val="true"/>
        </w:rPr>
        <w:footnoteReference w:id="915"/>
      </w:r>
      <w:r>
        <w:rPr>
          <w:rFonts w:ascii="Amiri" w:hAnsi="Amiri" w:eastAsia="Amiri" w:cs="Amiri"/>
          <w:color w:val="111111"/>
          <w:sz w:val="28"/>
          <w:sz w:val="28"/>
          <w:szCs w:val="28"/>
          <w:rtl w:val="true"/>
          <w:lang w:bidi="ar-SA"/>
        </w:rPr>
        <w:t xml:space="preserve">، بل للمشهور بين المتأخّرين كما في الحدائق </w:t>
      </w:r>
      <w:r>
        <w:rPr>
          <w:rStyle w:val="FootnoteAnchor"/>
          <w:rtl w:val="true"/>
        </w:rPr>
        <w:footnoteReference w:id="916"/>
      </w:r>
      <w:r>
        <w:rPr>
          <w:rFonts w:ascii="Amiri" w:hAnsi="Amiri" w:eastAsia="Amiri" w:cs="Amiri"/>
          <w:color w:val="111111"/>
          <w:sz w:val="28"/>
          <w:sz w:val="28"/>
          <w:szCs w:val="28"/>
          <w:rtl w:val="true"/>
          <w:lang w:bidi="ar-SA"/>
        </w:rPr>
        <w:t xml:space="preserve">، بل مطلقا كما في كفاية الأحكام </w:t>
      </w:r>
      <w:r>
        <w:rPr>
          <w:rStyle w:val="FootnoteAnchor"/>
          <w:rtl w:val="true"/>
        </w:rPr>
        <w:footnoteReference w:id="917"/>
      </w:r>
      <w:r>
        <w:rPr>
          <w:rFonts w:ascii="IRNazanin" w:hAnsi="IRNazanin" w:eastAsia="IRNazanin"/>
          <w:color w:val="111111"/>
          <w:sz w:val="28"/>
          <w:sz w:val="28"/>
          <w:szCs w:val="28"/>
          <w:rtl w:val="true"/>
          <w:lang w:bidi="fa-IR"/>
        </w:rPr>
        <w:t>واللوامع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غسل وضوء إلاّ غسل الجنابة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روايات ابن عبيد وحريز وابني عمار وخثيمة المتقدمة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فيوضّئه كوضوء الصلاة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أم أنس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 الفرج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وضّئيها بماء فيه سدر </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ومقتضى الأمر في الأخيرة وإن كان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صريح النزهة </w:t>
      </w:r>
      <w:r>
        <w:rPr>
          <w:rStyle w:val="FootnoteAnchor"/>
          <w:rtl w:val="true"/>
        </w:rPr>
        <w:footnoteReference w:id="922"/>
      </w:r>
      <w:r>
        <w:rPr>
          <w:rFonts w:ascii="Amiri" w:hAnsi="Amiri" w:eastAsia="Amiri" w:cs="Amiri"/>
          <w:color w:val="111111"/>
          <w:sz w:val="28"/>
          <w:sz w:val="28"/>
          <w:szCs w:val="28"/>
          <w:rtl w:val="true"/>
          <w:lang w:bidi="ar-SA"/>
        </w:rPr>
        <w:t xml:space="preserve">والحلبي </w:t>
      </w:r>
      <w:r>
        <w:rPr>
          <w:rStyle w:val="FootnoteAnchor"/>
          <w:rtl w:val="true"/>
        </w:rPr>
        <w:footnoteReference w:id="923"/>
      </w:r>
      <w:r>
        <w:rPr>
          <w:rFonts w:ascii="IRNazanin" w:hAnsi="IRNazanin" w:eastAsia="IRNazanin"/>
          <w:color w:val="111111"/>
          <w:sz w:val="28"/>
          <w:sz w:val="28"/>
          <w:szCs w:val="28"/>
          <w:rtl w:val="true"/>
          <w:lang w:bidi="fa-IR"/>
        </w:rPr>
        <w:t xml:space="preserve">، ونسب إلى الاستبصار </w:t>
      </w:r>
      <w:r>
        <w:rPr>
          <w:rStyle w:val="FootnoteAnchor"/>
          <w:rtl w:val="true"/>
        </w:rPr>
        <w:footnoteReference w:id="924"/>
      </w:r>
      <w:r>
        <w:rPr>
          <w:rFonts w:ascii="Amiri" w:hAnsi="Amiri" w:eastAsia="Amiri" w:cs="Amiri"/>
          <w:color w:val="111111"/>
          <w:sz w:val="28"/>
          <w:sz w:val="28"/>
          <w:szCs w:val="28"/>
          <w:rtl w:val="true"/>
          <w:lang w:bidi="ar-SA"/>
        </w:rPr>
        <w:t xml:space="preserve">، والمحقّق الطوسي </w:t>
      </w:r>
      <w:r>
        <w:rPr>
          <w:rStyle w:val="FootnoteAnchor"/>
          <w:rtl w:val="true"/>
        </w:rPr>
        <w:footnoteReference w:id="925"/>
      </w:r>
      <w:r>
        <w:rPr>
          <w:rFonts w:ascii="Amiri" w:hAnsi="Amiri" w:eastAsia="Amiri" w:cs="Amiri"/>
          <w:color w:val="111111"/>
          <w:sz w:val="28"/>
          <w:sz w:val="28"/>
          <w:szCs w:val="28"/>
          <w:rtl w:val="true"/>
          <w:lang w:bidi="ar-SA"/>
        </w:rPr>
        <w:t xml:space="preserve">ويحتمله كلام المقنعة والمهذب </w:t>
      </w:r>
      <w:r>
        <w:rPr>
          <w:rStyle w:val="FootnoteAnchor"/>
          <w:rtl w:val="true"/>
        </w:rPr>
        <w:footnoteReference w:id="926"/>
      </w:r>
      <w:r>
        <w:rPr>
          <w:rFonts w:ascii="Amiri" w:hAnsi="Amiri" w:eastAsia="Amiri" w:cs="Amiri"/>
          <w:color w:val="111111"/>
          <w:sz w:val="28"/>
          <w:sz w:val="28"/>
          <w:szCs w:val="28"/>
          <w:rtl w:val="true"/>
          <w:lang w:bidi="ar-SA"/>
        </w:rPr>
        <w:t xml:space="preserve">، وجعله الشيخ في النهاية أحوط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تعقيب الأمر بماء السدر الغير الواجب إجماعا يمنع من الإبقاء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إشعار خلوّ 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أفيه وضوء الصلاة أم 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بمرافقه فيغسل بالحرض ، ثمَّ يغسل وجهه ورأسه بالسدر ، ثمَّ يفاض عليه الماء ثلاث مرات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الحديث ، عنه مع السؤال عنه ، بل أمره بغيره من المستحبات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يجعل في ذلك مع عدم التمكّن من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لإطباق العامة على الوضوء كما في المنتهى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بعدم الاستحباب أيضا ، كخلوّ المعتبرة الواردة في </w:t>
      </w:r>
    </w:p>
    <w:p>
      <w:pPr>
        <w:pStyle w:val="BookText"/>
        <w:rPr/>
      </w:pPr>
      <w:r>
        <w:rPr>
          <w:rFonts w:ascii="Amiri" w:hAnsi="Amiri" w:eastAsia="Amiri" w:cs="Amiri"/>
          <w:color w:val="111111"/>
          <w:sz w:val="28"/>
          <w:sz w:val="28"/>
          <w:szCs w:val="28"/>
          <w:rtl w:val="true"/>
          <w:lang w:bidi="ar-SA"/>
        </w:rPr>
        <w:t xml:space="preserve">البيان مع تضمّن كثير منها المستحبات ، فيكون حراما كما عن الخلاف ، وظاهر السرائر ، ومحتمل كلام الديلمي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 به بعض متأخّري المتأخّرين </w:t>
      </w:r>
      <w:r>
        <w:rPr>
          <w:rStyle w:val="FootnoteAnchor"/>
          <w:rtl w:val="true"/>
        </w:rPr>
        <w:footnoteReference w:id="931"/>
      </w:r>
      <w:r>
        <w:rPr>
          <w:rFonts w:ascii="Amiri" w:hAnsi="Amiri" w:eastAsia="Amiri" w:cs="Amiri"/>
          <w:color w:val="111111"/>
          <w:sz w:val="28"/>
          <w:sz w:val="28"/>
          <w:szCs w:val="28"/>
          <w:rtl w:val="true"/>
          <w:lang w:bidi="ar-SA"/>
        </w:rPr>
        <w:t>تمسّكا بما ذكر ، وتشبيه غسل الميت في المستفيضة بغسل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صلاحية الإشعار لمعارضة صريح المستفيضة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الإشعار أيضا نظرا ، إذ يمكن أن يكون عدم التعرض له مع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الاستفسار 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التقية عن التصريح بالاستحباب ، والإغراء بالوجوب بدونه ، فيعدل إلى ما لا يعلم استحبابه ووجوبه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سرّ خلوّ كثير من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التشبيه فلا يفيد العموم ،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مؤخّرا عن غسل الفرج ، لروايتي حريز وأم أنس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وبماء فيه سدر ، للأخيرة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رأسه برغوة السدر أمام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لخبر يونس </w:t>
      </w:r>
      <w:r>
        <w:rPr>
          <w:rStyle w:val="FootnoteAnchor"/>
          <w:rtl w:val="true"/>
        </w:rPr>
        <w:footnoteReference w:id="933"/>
      </w:r>
      <w:r>
        <w:rPr>
          <w:rFonts w:ascii="Amiri" w:hAnsi="Amiri" w:eastAsia="Amiri" w:cs="Amiri"/>
          <w:color w:val="111111"/>
          <w:sz w:val="28"/>
          <w:sz w:val="28"/>
          <w:szCs w:val="28"/>
          <w:rtl w:val="true"/>
          <w:lang w:bidi="ar-SA"/>
        </w:rPr>
        <w:t>، لعدم صراحته في خروج ذلك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للرضوي </w:t>
      </w:r>
      <w:r>
        <w:rPr>
          <w:rStyle w:val="FootnoteAnchor"/>
          <w:rtl w:val="true"/>
        </w:rPr>
        <w:footnoteReference w:id="934"/>
      </w:r>
      <w:r>
        <w:rPr>
          <w:rFonts w:ascii="Amiri" w:hAnsi="Amiri" w:eastAsia="Amiri" w:cs="Amiri"/>
          <w:color w:val="111111"/>
          <w:sz w:val="28"/>
          <w:sz w:val="28"/>
          <w:szCs w:val="28"/>
          <w:rtl w:val="true"/>
          <w:lang w:bidi="ar-SA"/>
        </w:rPr>
        <w:t xml:space="preserve">المتقدّم </w:t>
      </w:r>
      <w:r>
        <w:rPr>
          <w:rStyle w:val="FootnoteAnchor"/>
          <w:rtl w:val="true"/>
        </w:rPr>
        <w:footnoteReference w:id="935"/>
      </w:r>
      <w:r>
        <w:rPr>
          <w:rFonts w:ascii="Amiri" w:hAnsi="Amiri" w:eastAsia="Amiri" w:cs="Amiri"/>
          <w:color w:val="111111"/>
          <w:sz w:val="28"/>
          <w:sz w:val="28"/>
          <w:szCs w:val="28"/>
          <w:rtl w:val="true"/>
          <w:lang w:bidi="ar-SA"/>
        </w:rPr>
        <w:t xml:space="preserve">، حيث إنّ الأمر بإتباع ثلاث جريات للغسل بالرغوة منضما مع 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غسل الرأس في كل مرة ثلاث صبّات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عدم استحباب الزيادة 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السابق عن الغسل 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ويشعر به صحيحة ابن يقطين ورواية ابن عمّار ، المتقدّمتان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تشعران بتقديم غسل سائر الجسد به أيضا ، كما صرّح به في النافع ، وعن التذكرة ونهاية الإحكام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ما عن المعتبر </w:t>
      </w:r>
      <w:r>
        <w:rPr>
          <w:rStyle w:val="FootnoteAnchor"/>
          <w:rtl w:val="true"/>
        </w:rPr>
        <w:footnoteReference w:id="939"/>
      </w:r>
      <w:r>
        <w:rPr>
          <w:rFonts w:ascii="Amiri" w:hAnsi="Amiri" w:eastAsia="Amiri" w:cs="Amiri"/>
          <w:color w:val="111111"/>
          <w:sz w:val="28"/>
          <w:sz w:val="28"/>
          <w:szCs w:val="28"/>
          <w:rtl w:val="true"/>
          <w:lang w:bidi="ar-SA"/>
        </w:rPr>
        <w:t>من دعوى اتّفاق فقهاء أهل البيت عليه وعلى غسل الرأس بها كاف في إثبات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في غسل الرأس بشقّه الأيمن إجماعا ، كما عن المعتبر والتذكرة ، لرواية الكاهلي </w:t>
      </w:r>
      <w:r>
        <w:rPr>
          <w:rStyle w:val="FootnoteAnchor"/>
          <w:rtl w:val="true"/>
        </w:rPr>
        <w:footnoteReference w:id="940"/>
      </w:r>
      <w:r>
        <w:rPr>
          <w:rFonts w:ascii="Amiri" w:hAnsi="Amiri" w:eastAsia="Amiri" w:cs="Amiri"/>
          <w:color w:val="111111"/>
          <w:sz w:val="28"/>
          <w:sz w:val="28"/>
          <w:szCs w:val="28"/>
          <w:rtl w:val="true"/>
          <w:lang w:bidi="ar-SA"/>
        </w:rPr>
        <w:t xml:space="preserve">، وخبر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بميامنه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وبعمومه يثبت ذلك في غسل الرأس المستحب أيضا كما عن النفلية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يستحب في غسل كلّ من الجانبين إضافة شق من الرأس ثلاثة ، للأمر به في خبري الكاهلي ويونس </w:t>
      </w:r>
      <w:r>
        <w:rPr>
          <w:rStyle w:val="FootnoteAnchor"/>
          <w:rtl w:val="true"/>
        </w:rPr>
        <w:footnoteReference w:id="943"/>
      </w:r>
      <w:r>
        <w:rPr>
          <w:rFonts w:ascii="Amiri" w:hAnsi="Amiri" w:eastAsia="Amiri" w:cs="Amiri"/>
          <w:color w:val="111111"/>
          <w:sz w:val="28"/>
          <w:sz w:val="28"/>
          <w:szCs w:val="28"/>
          <w:rtl w:val="true"/>
          <w:lang w:bidi="ar-SA"/>
        </w:rPr>
        <w:t>، المتعيّن حمله على الاستحباب ، لعدم القول بالوجوب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في كلّ غسل الرأس والجانبين في كلّ من الغسلات الثلاث ، بالإجماع عن الكتابين </w:t>
      </w:r>
      <w:r>
        <w:rPr>
          <w:rStyle w:val="FootnoteAnchor"/>
          <w:rtl w:val="true"/>
        </w:rPr>
        <w:footnoteReference w:id="944"/>
      </w:r>
      <w:r>
        <w:rPr>
          <w:rFonts w:ascii="Amiri" w:hAnsi="Amiri" w:eastAsia="Amiri" w:cs="Amiri"/>
          <w:color w:val="111111"/>
          <w:sz w:val="28"/>
          <w:sz w:val="28"/>
          <w:szCs w:val="28"/>
          <w:rtl w:val="true"/>
          <w:lang w:bidi="ar-SA"/>
        </w:rPr>
        <w:t>، وفي اللوامع ، له ، وللخبرين المذكورين ، والرضوي المذكور ، فيصير عدد الغسلات في كلّ غسل تسعا ، ومع الستّ المستحبة المتقدّمة لليدين والفرجين خمس عشرة ، وفي الأغسال الثلاثة خمسا وأربعين ، ولو جعلت اليدان عضوين وكذلك الفرجان زادت في كلّ غسل ستا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بطنه في الغسلين الأولين قبلهما ، بالإجماع كما عن المعتبر ، لخبري يونس ، والكاهلي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في الحامل التي مات ولدها ، فيكره كما عن صريح الوسيلة ، والجامع ، وفي المنتهى ، والقواعد </w:t>
      </w:r>
      <w:r>
        <w:rPr>
          <w:rStyle w:val="FootnoteAnchor"/>
          <w:rtl w:val="true"/>
        </w:rPr>
        <w:footnoteReference w:id="945"/>
      </w:r>
      <w:r>
        <w:rPr>
          <w:rFonts w:ascii="IRNazanin" w:hAnsi="IRNazanin" w:eastAsia="IRNazanin"/>
          <w:color w:val="111111"/>
          <w:sz w:val="28"/>
          <w:sz w:val="28"/>
          <w:szCs w:val="28"/>
          <w:rtl w:val="true"/>
          <w:lang w:bidi="fa-IR"/>
        </w:rPr>
        <w:t xml:space="preserve">، واللوامع ، حذرا من الإجهاض </w:t>
      </w:r>
      <w:r>
        <w:rPr>
          <w:rStyle w:val="FootnoteAnchor"/>
          <w:rtl w:val="true"/>
        </w:rPr>
        <w:footnoteReference w:id="946"/>
      </w:r>
      <w:r>
        <w:rPr>
          <w:rFonts w:ascii="Amiri" w:hAnsi="Amiri" w:eastAsia="Amiri" w:cs="Amiri"/>
          <w:color w:val="111111"/>
          <w:sz w:val="28"/>
          <w:sz w:val="28"/>
          <w:szCs w:val="28"/>
          <w:rtl w:val="true"/>
          <w:lang w:bidi="ar-SA"/>
        </w:rPr>
        <w:t xml:space="preserve">، لخبر أم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توفيت المرأة فأرادوا أن يغسلوها فليبدءوا ببطنها فليمسح مسحا رفيقا إن لم تكن حبلى ، فإن كانت حبلى فلا تحرّكيها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يستحب في الثالثة مطلقا ، اتّفاقا كما عن المعتبر ، والتذكرة والذكرى </w:t>
      </w:r>
      <w:r>
        <w:rPr>
          <w:rStyle w:val="FootnoteAnchor"/>
          <w:rtl w:val="true"/>
        </w:rPr>
        <w:footnoteReference w:id="948"/>
      </w:r>
      <w:r>
        <w:rPr>
          <w:rFonts w:ascii="Amiri" w:hAnsi="Amiri" w:eastAsia="Amiri" w:cs="Amiri"/>
          <w:color w:val="111111"/>
          <w:sz w:val="28"/>
          <w:sz w:val="28"/>
          <w:szCs w:val="28"/>
          <w:rtl w:val="true"/>
          <w:lang w:bidi="ar-SA"/>
        </w:rPr>
        <w:t xml:space="preserve">، وظاهر نهاية الإحكام </w:t>
      </w:r>
      <w:r>
        <w:rPr>
          <w:rStyle w:val="FootnoteAnchor"/>
          <w:rtl w:val="true"/>
        </w:rPr>
        <w:footnoteReference w:id="949"/>
      </w:r>
      <w:r>
        <w:rPr>
          <w:rFonts w:ascii="Amiri" w:hAnsi="Amiri" w:eastAsia="Amiri" w:cs="Amiri"/>
          <w:color w:val="111111"/>
          <w:sz w:val="28"/>
          <w:sz w:val="28"/>
          <w:szCs w:val="28"/>
          <w:rtl w:val="true"/>
          <w:lang w:bidi="ar-SA"/>
        </w:rPr>
        <w:t>، للأصل ، وخلوّ الأخبار البيانية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تمسح بطنه في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كراهته ، وهو كذلك كما في اللوامع ، وعن الخلاف ، والوسيلة ، والجامع ، والذكرى ، والدروس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يكون المسح برفق ، كما في الخبرين ، ورواية أم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الرفق بالميت حال الغسل مطلقا ، كما في المنتهى </w:t>
      </w:r>
      <w:r>
        <w:rPr>
          <w:rStyle w:val="FootnoteAnchor"/>
          <w:rtl w:val="true"/>
        </w:rPr>
        <w:footnoteReference w:id="951"/>
      </w:r>
      <w:r>
        <w:rPr>
          <w:rFonts w:ascii="Amiri" w:hAnsi="Amiri" w:eastAsia="Amiri" w:cs="Amiri"/>
          <w:color w:val="111111"/>
          <w:sz w:val="28"/>
          <w:sz w:val="28"/>
          <w:szCs w:val="28"/>
          <w:rtl w:val="true"/>
          <w:lang w:bidi="ar-SA"/>
        </w:rPr>
        <w:t xml:space="preserve">، واللوامع ، لحسنة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غسّلتم الميت منكم فارفقوا به ولا تعصروه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النواء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غسّلت ميتا فارفق به ولا تعصره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الدبر بالقطن ، كما عن الخلاف </w:t>
      </w:r>
      <w:r>
        <w:rPr>
          <w:rStyle w:val="FootnoteAnchor"/>
          <w:rtl w:val="true"/>
        </w:rPr>
        <w:footnoteReference w:id="954"/>
      </w:r>
      <w:r>
        <w:rPr>
          <w:rFonts w:ascii="Amiri" w:hAnsi="Amiri" w:eastAsia="Amiri" w:cs="Amiri"/>
          <w:color w:val="111111"/>
          <w:sz w:val="28"/>
          <w:sz w:val="28"/>
          <w:szCs w:val="28"/>
          <w:rtl w:val="true"/>
          <w:lang w:bidi="ar-SA"/>
        </w:rPr>
        <w:t xml:space="preserve">، والإسكافي </w:t>
      </w:r>
      <w:r>
        <w:rPr>
          <w:rStyle w:val="FootnoteAnchor"/>
          <w:rtl w:val="true"/>
        </w:rPr>
        <w:footnoteReference w:id="955"/>
      </w:r>
      <w:r>
        <w:rPr>
          <w:rFonts w:ascii="IRNazanin" w:hAnsi="IRNazanin" w:eastAsia="IRNazanin"/>
          <w:color w:val="111111"/>
          <w:sz w:val="28"/>
          <w:sz w:val="28"/>
          <w:szCs w:val="28"/>
          <w:rtl w:val="true"/>
          <w:lang w:bidi="fa-IR"/>
        </w:rPr>
        <w:t xml:space="preserve">، والجامع </w:t>
      </w:r>
      <w:r>
        <w:rPr>
          <w:rStyle w:val="FootnoteAnchor"/>
          <w:rtl w:val="true"/>
        </w:rPr>
        <w:footnoteReference w:id="956"/>
      </w:r>
      <w:r>
        <w:rPr>
          <w:rFonts w:ascii="Amiri" w:hAnsi="Amiri" w:eastAsia="Amiri" w:cs="Amiri"/>
          <w:color w:val="111111"/>
          <w:sz w:val="28"/>
          <w:sz w:val="28"/>
          <w:szCs w:val="28"/>
          <w:rtl w:val="true"/>
          <w:lang w:bidi="ar-SA"/>
        </w:rPr>
        <w:t xml:space="preserve">والفقيه ، والكافي ، والمبسوط ، والوسيلة </w:t>
      </w:r>
      <w:r>
        <w:rPr>
          <w:rStyle w:val="FootnoteAnchor"/>
          <w:rtl w:val="true"/>
        </w:rPr>
        <w:footnoteReference w:id="957"/>
      </w:r>
      <w:r>
        <w:rPr>
          <w:rFonts w:ascii="Amiri" w:hAnsi="Amiri" w:eastAsia="Amiri" w:cs="Amiri"/>
          <w:color w:val="111111"/>
          <w:sz w:val="28"/>
          <w:sz w:val="28"/>
          <w:szCs w:val="28"/>
          <w:rtl w:val="true"/>
          <w:lang w:bidi="ar-SA"/>
        </w:rPr>
        <w:t xml:space="preserve">، وفي الشرائع ، والقواعد ، والمنتهى </w:t>
      </w:r>
      <w:r>
        <w:rPr>
          <w:rStyle w:val="FootnoteAnchor"/>
          <w:rtl w:val="true"/>
        </w:rPr>
        <w:footnoteReference w:id="958"/>
      </w:r>
      <w:r>
        <w:rPr>
          <w:rFonts w:ascii="Amiri" w:hAnsi="Amiri" w:eastAsia="Amiri" w:cs="Amiri"/>
          <w:color w:val="111111"/>
          <w:sz w:val="28"/>
          <w:sz w:val="28"/>
          <w:szCs w:val="28"/>
          <w:rtl w:val="true"/>
          <w:lang w:bidi="ar-SA"/>
        </w:rPr>
        <w:t xml:space="preserve">، وغيره ، بل عن الخلاف الإجماع عليه </w:t>
      </w:r>
      <w:r>
        <w:rPr>
          <w:rStyle w:val="FootnoteAnchor"/>
          <w:rtl w:val="true"/>
        </w:rPr>
        <w:footnoteReference w:id="959"/>
      </w:r>
      <w:r>
        <w:rPr>
          <w:rFonts w:ascii="Amiri" w:hAnsi="Amiri" w:eastAsia="Amiri" w:cs="Amiri"/>
          <w:color w:val="111111"/>
          <w:sz w:val="28"/>
          <w:sz w:val="28"/>
          <w:szCs w:val="28"/>
          <w:rtl w:val="true"/>
          <w:lang w:bidi="ar-SA"/>
        </w:rPr>
        <w:t xml:space="preserve">، وعن المعتبر حكايته عن المعظم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في خبر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نشّفه بثوب طاهر ، واعمد إلى قطن فذرّ عليه شيئا من حنوطه وضعه على فرجه قبل ودبر ، واحش القطن في دبره لئلا يخرج منه شي‌ء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المضمر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 لها القطن أكثر مما يضع للرجال ، ويحشى القبل والدبر بالقطن والحنوط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وتدخل في مقعدته من القطن ما دخل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شيئا من القطن ويجعل عليه حنوطا ويحشو به دبره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القطن في مقعدة الميت لئلاّ يبدو منه شي‌ء ، ويجعل منه على فرجه وبين رجليه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الأخبار عدم التقييد بشي‌ء ، وصريح الكتب الثلاثة الأخيرة وظاهر المحكي عن الثلاثة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بخوف خروج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أنه منعه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على حلقة دبره </w:t>
      </w:r>
      <w:r>
        <w:rPr>
          <w:rStyle w:val="FootnoteAnchor"/>
          <w:rtl w:val="true"/>
        </w:rPr>
        <w:footnoteReference w:id="966"/>
      </w:r>
      <w:r>
        <w:rPr>
          <w:rFonts w:ascii="Amiri" w:hAnsi="Amiri" w:eastAsia="Amiri" w:cs="Amiri"/>
          <w:color w:val="111111"/>
          <w:sz w:val="28"/>
          <w:sz w:val="28"/>
          <w:szCs w:val="28"/>
          <w:rtl w:val="true"/>
          <w:lang w:bidi="ar-SA"/>
        </w:rPr>
        <w:t xml:space="preserve">، وهو ظاهر الديلمي </w:t>
      </w:r>
      <w:r>
        <w:rPr>
          <w:rStyle w:val="FootnoteAnchor"/>
          <w:rtl w:val="true"/>
        </w:rPr>
        <w:footnoteReference w:id="967"/>
      </w:r>
      <w:r>
        <w:rPr>
          <w:rFonts w:ascii="Amiri" w:hAnsi="Amiri" w:eastAsia="Amiri" w:cs="Amiri"/>
          <w:color w:val="111111"/>
          <w:sz w:val="28"/>
          <w:sz w:val="28"/>
          <w:szCs w:val="28"/>
          <w:rtl w:val="true"/>
          <w:lang w:bidi="ar-SA"/>
        </w:rPr>
        <w:t>، لمنافاة الحشو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ولتتمة موثّقة الساباطي في التكفين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على مقعدته شيئا من القطن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لإرادة الحشو محتملة ، 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لولاها أيضا فللحشو غير منافية ، فيحتمل استحبابه أيضا ، كما عن المقنعة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فيعمد إلى قطن ويذر عليه شيئا من الذريرة ويضعه على فرجيه قبله ودبره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والمراسم ، والوسيلة ، والمصباح ، ومختصره ، والإصباح ، والتحرير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والشرائع ، والنافع ، والقواعد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فيستحب الأمران ، كما هو ظاهر خبر يونس والدعائم والمضمرة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استحباب الوضع على القبل أيضا ، بل فيه كما عن الإسكافي </w:t>
      </w:r>
      <w:r>
        <w:rPr>
          <w:rStyle w:val="FootnoteAnchor"/>
          <w:rtl w:val="true"/>
        </w:rPr>
        <w:footnoteReference w:id="9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لمرفوعة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ويوضع لها القطن أكثر مما يوضع للرجال ، ويحشى القبل والدبر بالقطن والحنوط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تحنّط القطن أيضا كما 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الماء المنحدر منه في حفيرة تجاه القبلة ، فإن لم تكن هناك حفيرة حفرت ، لأنه ماء متقذّر فيحفر له ليؤمن تعدّي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المعتبر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ولحسنة ابن خالد </w:t>
      </w:r>
      <w:r>
        <w:rPr>
          <w:rStyle w:val="FootnoteAnchor"/>
          <w:rtl w:val="true"/>
        </w:rPr>
        <w:footnoteReference w:id="973"/>
      </w:r>
      <w:r>
        <w:rPr>
          <w:rFonts w:ascii="Amiri" w:hAnsi="Amiri" w:eastAsia="Amiri" w:cs="Amiri"/>
          <w:color w:val="111111"/>
          <w:sz w:val="28"/>
          <w:sz w:val="28"/>
          <w:szCs w:val="28"/>
          <w:rtl w:val="true"/>
          <w:lang w:bidi="ar-SA"/>
        </w:rPr>
        <w:t xml:space="preserve">وصحيحته المتقدّمة </w:t>
      </w:r>
      <w:r>
        <w:rPr>
          <w:rStyle w:val="FootnoteAnchor"/>
          <w:rtl w:val="true"/>
        </w:rPr>
        <w:footnoteReference w:id="974"/>
      </w:r>
      <w:r>
        <w:rPr>
          <w:rFonts w:ascii="Amiri" w:hAnsi="Amiri" w:eastAsia="Amiri" w:cs="Amiri"/>
          <w:color w:val="111111"/>
          <w:sz w:val="28"/>
          <w:sz w:val="28"/>
          <w:szCs w:val="28"/>
          <w:rtl w:val="true"/>
          <w:lang w:bidi="ar-SA"/>
        </w:rPr>
        <w:t>في 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البالوعة ، لصحيحة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يغسّل الميت وماؤه الذي يصبّ عليه يدخل إلى بئر كنيف؟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ذلك في بلاليع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يدخل ما ينصبّ على الميت من غسله في كنيف ، ولكن يجوز أن يدخل في بلاليع لا يبال فيها أو في حفيرة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واشتراط البالوعة بتعذّر الحفيرة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 والنهاية ، والوسيلة والمهذب </w:t>
      </w:r>
      <w:r>
        <w:rPr>
          <w:rStyle w:val="FootnoteAnchor"/>
          <w:rtl w:val="true"/>
        </w:rPr>
        <w:footnoteReference w:id="977"/>
      </w:r>
      <w:r>
        <w:rPr>
          <w:rFonts w:ascii="Amiri" w:hAnsi="Amiri" w:eastAsia="Amiri" w:cs="Amiri"/>
          <w:color w:val="111111"/>
          <w:sz w:val="28"/>
          <w:sz w:val="28"/>
          <w:szCs w:val="28"/>
          <w:rtl w:val="true"/>
          <w:lang w:bidi="ar-SA"/>
        </w:rPr>
        <w:t xml:space="preserve">، والتذكرة ، ونهاية الإحكام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عن وجه تامّ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الأخير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كون البالوعة معدّة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ومن </w:t>
      </w:r>
    </w:p>
    <w:p>
      <w:pPr>
        <w:pStyle w:val="BookText"/>
        <w:rPr/>
      </w:pPr>
      <w:r>
        <w:rPr>
          <w:rFonts w:ascii="Amiri" w:hAnsi="Amiri" w:eastAsia="Amiri" w:cs="Amiri"/>
          <w:color w:val="111111"/>
          <w:sz w:val="28"/>
          <w:sz w:val="28"/>
          <w:szCs w:val="28"/>
          <w:rtl w:val="true"/>
          <w:lang w:bidi="ar-SA"/>
        </w:rPr>
        <w:t xml:space="preserve">الثانية 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شرح القواعد وعن الذكرى </w:t>
      </w:r>
      <w:r>
        <w:rPr>
          <w:rStyle w:val="FootnoteAnchor"/>
          <w:rtl w:val="true"/>
        </w:rPr>
        <w:footnoteReference w:id="980"/>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كراهة الصبّ في الكنيف المعدّ للبول أو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الفقيه </w:t>
      </w:r>
      <w:r>
        <w:rPr>
          <w:rStyle w:val="FootnoteAnchor"/>
          <w:rtl w:val="true"/>
        </w:rPr>
        <w:footnoteReference w:id="981"/>
      </w:r>
      <w:r>
        <w:rPr>
          <w:rFonts w:ascii="Amiri" w:hAnsi="Amiri" w:eastAsia="Amiri" w:cs="Amiri"/>
          <w:color w:val="111111"/>
          <w:sz w:val="28"/>
          <w:sz w:val="28"/>
          <w:szCs w:val="28"/>
          <w:rtl w:val="true"/>
          <w:lang w:bidi="ar-SA"/>
        </w:rPr>
        <w:t xml:space="preserve">عدم الجواز كما هو ظاهر الأخير ، ولكن ضعفه الخالي عن الجابر يمنع عن الفتوى به ، مع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ينشف بعد الفراغ بثوب إجماعا ، كما عن المعتبر ، والتذكرة ، ونهاية الإحكام </w:t>
      </w:r>
      <w:r>
        <w:rPr>
          <w:rStyle w:val="FootnoteAnchor"/>
          <w:rtl w:val="true"/>
        </w:rPr>
        <w:footnoteReference w:id="982"/>
      </w:r>
      <w:r>
        <w:rPr>
          <w:rFonts w:ascii="Amiri" w:hAnsi="Amiri" w:eastAsia="Amiri" w:cs="Amiri"/>
          <w:color w:val="111111"/>
          <w:sz w:val="28"/>
          <w:sz w:val="28"/>
          <w:szCs w:val="28"/>
          <w:rtl w:val="true"/>
          <w:lang w:bidi="ar-SA"/>
        </w:rPr>
        <w:t xml:space="preserve">، للمستفيضة كخبر يونس ، المتقدّم </w:t>
      </w:r>
      <w:r>
        <w:rPr>
          <w:rStyle w:val="FootnoteAnchor"/>
          <w:rtl w:val="true"/>
        </w:rPr>
        <w:footnoteReference w:id="983"/>
      </w:r>
      <w:r>
        <w:rPr>
          <w:rFonts w:ascii="Amiri" w:hAnsi="Amiri" w:eastAsia="Amiri" w:cs="Amiri"/>
          <w:color w:val="111111"/>
          <w:sz w:val="28"/>
          <w:sz w:val="28"/>
          <w:szCs w:val="28"/>
          <w:rtl w:val="true"/>
          <w:lang w:bidi="ar-SA"/>
        </w:rPr>
        <w:t xml:space="preserve">، وحسنة الحلبي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فرغت من تلك جعلته في ثوب ثمَّ جففته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من الغسلة الثالثة فاغسل يديك من المرفقين إلى أطراف أصابعك ، وألق عليه ثوبا تنشف به الماء عنه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الغاسل عن يمينه ، كما عن النهاية ، والمصباح ومختصره ، والجمل والعقود </w:t>
      </w:r>
      <w:r>
        <w:rPr>
          <w:rStyle w:val="FootnoteAnchor"/>
          <w:rtl w:val="true"/>
        </w:rPr>
        <w:footnoteReference w:id="986"/>
      </w:r>
      <w:r>
        <w:rPr>
          <w:rFonts w:ascii="Amiri" w:hAnsi="Amiri" w:eastAsia="Amiri" w:cs="Amiri"/>
          <w:color w:val="111111"/>
          <w:sz w:val="28"/>
          <w:sz w:val="28"/>
          <w:szCs w:val="28"/>
          <w:rtl w:val="true"/>
          <w:lang w:bidi="ar-SA"/>
        </w:rPr>
        <w:t xml:space="preserve">، والمهذب ، والوسيلة ، والسرائر ، والجامع </w:t>
      </w:r>
      <w:r>
        <w:rPr>
          <w:rStyle w:val="FootnoteAnchor"/>
          <w:rtl w:val="true"/>
        </w:rPr>
        <w:footnoteReference w:id="987"/>
      </w:r>
      <w:r>
        <w:rPr>
          <w:rFonts w:ascii="Amiri" w:hAnsi="Amiri" w:eastAsia="Amiri" w:cs="Amiri"/>
          <w:color w:val="111111"/>
          <w:sz w:val="28"/>
          <w:sz w:val="28"/>
          <w:szCs w:val="28"/>
          <w:rtl w:val="true"/>
          <w:lang w:bidi="ar-SA"/>
        </w:rPr>
        <w:t xml:space="preserve">، والشرائع ، والنافع ، والغنية </w:t>
      </w:r>
      <w:r>
        <w:rPr>
          <w:rStyle w:val="FootnoteAnchor"/>
          <w:rtl w:val="true"/>
        </w:rPr>
        <w:footnoteReference w:id="988"/>
      </w:r>
      <w:r>
        <w:rPr>
          <w:rFonts w:ascii="Amiri" w:hAnsi="Amiri" w:eastAsia="Amiri" w:cs="Amiri"/>
          <w:color w:val="111111"/>
          <w:sz w:val="28"/>
          <w:sz w:val="28"/>
          <w:szCs w:val="28"/>
          <w:rtl w:val="true"/>
          <w:lang w:bidi="ar-SA"/>
        </w:rPr>
        <w:t>مدّعيا فيه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فيه الحجة للمسامحة ، مؤيّدا بعموم التيامن المندوب في الأخبار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له بخبر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يجعله بين رجليه في غسله ، بل يقف من </w:t>
      </w:r>
    </w:p>
    <w:p>
      <w:pPr>
        <w:pStyle w:val="BookText"/>
        <w:rPr/>
      </w:pPr>
      <w:r>
        <w:rPr>
          <w:rFonts w:ascii="IRNazanin" w:hAnsi="IRNazanin" w:eastAsia="IRNazanin"/>
          <w:color w:val="111111"/>
          <w:sz w:val="28"/>
          <w:sz w:val="28"/>
          <w:szCs w:val="28"/>
          <w:rtl w:val="true"/>
          <w:lang w:bidi="fa-IR"/>
        </w:rPr>
        <w:t xml:space="preserve">جانبه </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غير جيّد ، لأنّه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هو يصلح دليلا لما عن المقنعة ، والمبسوط ، والمراسم ، والمنتهى </w:t>
      </w:r>
      <w:r>
        <w:rPr>
          <w:rStyle w:val="FootnoteAnchor"/>
          <w:rtl w:val="true"/>
        </w:rPr>
        <w:footnoteReference w:id="991"/>
      </w:r>
      <w:r>
        <w:rPr>
          <w:rFonts w:ascii="Amiri" w:hAnsi="Amiri" w:eastAsia="Amiri" w:cs="Amiri"/>
          <w:color w:val="111111"/>
          <w:sz w:val="28"/>
          <w:sz w:val="28"/>
          <w:szCs w:val="28"/>
          <w:rtl w:val="true"/>
          <w:lang w:bidi="ar-SA"/>
        </w:rPr>
        <w:t xml:space="preserve">من الاقتصار على الوقوف على الجانب ، ولما ذكره الأكثر ، بل عن الغنية الإجماع عليه </w:t>
      </w:r>
      <w:r>
        <w:rPr>
          <w:rStyle w:val="FootnoteAnchor"/>
          <w:rtl w:val="true"/>
        </w:rPr>
        <w:footnoteReference w:id="992"/>
      </w:r>
      <w:r>
        <w:rPr>
          <w:rFonts w:ascii="Amiri" w:hAnsi="Amiri" w:eastAsia="Amiri" w:cs="Amiri"/>
          <w:color w:val="111111"/>
          <w:sz w:val="28"/>
          <w:sz w:val="28"/>
          <w:szCs w:val="28"/>
          <w:rtl w:val="true"/>
          <w:lang w:bidi="ar-SA"/>
        </w:rPr>
        <w:t>من كراهة جعله بين رجلي الغاسل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تعيّن كونه نهيا ، واحتمال النفي لا يصلح لإثبات الزائد عن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الحرمة منفية بالإجماع وخبر ابن سيابة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تجعل الميت بين رجليك وأن تقوم من فوقه فتغسله إذا قلبته يمينا وشمالا تضبطه برجليك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يضع خرقة على يده اليسرى حال الغسل ، لقوله في ذيل صحيحة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لمن غسّل الميت أن يلفّ على يده الخرقة حتى يغسّل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ويلف الغاسل على يده خرقة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يدعو بالمأثور ، كما هو في الأخبار مذكور </w:t>
      </w:r>
      <w:r>
        <w:rPr>
          <w:rStyle w:val="FootnoteAnchor"/>
          <w:rtl w:val="true"/>
        </w:rPr>
        <w:footnoteReference w:id="996"/>
      </w:r>
      <w:r>
        <w:rPr>
          <w:rFonts w:ascii="IRNazanin" w:hAnsi="IRNazanin" w:eastAsia="IRNazanin"/>
          <w:color w:val="111111"/>
          <w:sz w:val="28"/>
          <w:sz w:val="28"/>
          <w:szCs w:val="28"/>
          <w:rtl w:val="true"/>
          <w:lang w:bidi="fa-IR"/>
        </w:rPr>
        <w:t>، وعند الأصحاب مشهور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يغسل يديه بعد كلّ من الغسلين الأولين إلى المرفقين ، كما عن المهذب </w:t>
      </w:r>
      <w:r>
        <w:rPr>
          <w:rStyle w:val="FootnoteAnchor"/>
          <w:rtl w:val="true"/>
        </w:rPr>
        <w:footnoteReference w:id="997"/>
      </w:r>
      <w:r>
        <w:rPr>
          <w:rFonts w:ascii="Amiri" w:hAnsi="Amiri" w:eastAsia="Amiri" w:cs="Amiri"/>
          <w:color w:val="111111"/>
          <w:sz w:val="28"/>
          <w:sz w:val="28"/>
          <w:szCs w:val="28"/>
          <w:rtl w:val="true"/>
          <w:lang w:bidi="ar-SA"/>
        </w:rPr>
        <w:t xml:space="preserve">وفي اللوامع ، لخبر يونس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بعد الثالثة أيضا ، كما في القواعد ، وعن النهاية ، والمبسوط ، والوسيلة </w:t>
      </w:r>
      <w:r>
        <w:rPr>
          <w:rStyle w:val="FootnoteAnchor"/>
          <w:rtl w:val="true"/>
        </w:rPr>
        <w:footnoteReference w:id="999"/>
      </w:r>
      <w:r>
        <w:rPr>
          <w:rFonts w:ascii="IRNazanin" w:hAnsi="IRNazanin" w:eastAsia="IRNazanin"/>
          <w:color w:val="111111"/>
          <w:sz w:val="28"/>
          <w:sz w:val="28"/>
          <w:szCs w:val="28"/>
          <w:rtl w:val="true"/>
          <w:lang w:bidi="fa-IR"/>
        </w:rPr>
        <w:t xml:space="preserve">، والإصباح ، والجامع ، والشرائع </w:t>
      </w:r>
      <w:r>
        <w:rPr>
          <w:rStyle w:val="FootnoteAnchor"/>
          <w:rtl w:val="true"/>
        </w:rPr>
        <w:footnoteReference w:id="1000"/>
      </w:r>
      <w:r>
        <w:rPr>
          <w:rFonts w:ascii="Amiri" w:hAnsi="Amiri" w:eastAsia="Amiri" w:cs="Amiri"/>
          <w:color w:val="111111"/>
          <w:sz w:val="28"/>
          <w:sz w:val="28"/>
          <w:szCs w:val="28"/>
          <w:rtl w:val="true"/>
          <w:lang w:bidi="ar-SA"/>
        </w:rPr>
        <w:t xml:space="preserve">، لموثّقة الساباطي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الأغسال الثلاثة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تغسل يديك إلى المرافق ورجليك إلى الركبتين ثمَّ تكفّنه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وللرضوي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صحيحة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يغسل الذي غسله يده قبل أن يكفّنه ثلاث مرّات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الغسل في الثالثة إلى المنكبين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غسل الإجّانة بعد كلّ من الأوليين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المكروهات ، فغير ما مرّ من إرسال الماء إلى الكنيف وجعل الميت بين الرجلين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إقعاد الميت إجماعا كما عن الخلاف </w:t>
      </w:r>
      <w:r>
        <w:rPr>
          <w:rStyle w:val="FootnoteAnchor"/>
          <w:rtl w:val="true"/>
        </w:rPr>
        <w:footnoteReference w:id="1003"/>
      </w:r>
      <w:r>
        <w:rPr>
          <w:rFonts w:ascii="Amiri" w:hAnsi="Amiri" w:eastAsia="Amiri" w:cs="Amiri"/>
          <w:color w:val="111111"/>
          <w:sz w:val="28"/>
          <w:sz w:val="28"/>
          <w:szCs w:val="28"/>
          <w:rtl w:val="true"/>
          <w:lang w:bidi="ar-SA"/>
        </w:rPr>
        <w:t xml:space="preserve">، لقوله في خبر الكاهلي </w:t>
      </w:r>
      <w:r>
        <w:rPr>
          <w:rStyle w:val="FootnoteAnchor"/>
          <w:rtl w:val="true"/>
        </w:rPr>
        <w:footnoteReference w:id="10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تقعده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يجلسه لأنه إذا أجلسه اندقّ ظهره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ويؤيّده الأمر بالرفق كما مرّ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الأول وإن كان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ابني سعيد وزهرة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اشتهار الجواز جدّا بل الإجماع عليه كما عن المعتبر </w:t>
      </w:r>
      <w:r>
        <w:rPr>
          <w:rStyle w:val="FootnoteAnchor"/>
          <w:rtl w:val="true"/>
        </w:rPr>
        <w:footnoteReference w:id="1007"/>
      </w:r>
      <w:r>
        <w:rPr>
          <w:rFonts w:ascii="Amiri" w:hAnsi="Amiri" w:eastAsia="Amiri" w:cs="Amiri"/>
          <w:color w:val="111111"/>
          <w:sz w:val="28"/>
          <w:sz w:val="28"/>
          <w:szCs w:val="28"/>
          <w:rtl w:val="true"/>
          <w:lang w:bidi="ar-SA"/>
        </w:rPr>
        <w:t xml:space="preserve">ضعّفه وأخرجه عن صلاحية </w:t>
      </w:r>
    </w:p>
    <w:p>
      <w:pPr>
        <w:pStyle w:val="BookText"/>
        <w:rPr/>
      </w:pPr>
      <w:r>
        <w:rPr>
          <w:rFonts w:ascii="Amiri" w:hAnsi="Amiri" w:eastAsia="Amiri" w:cs="Amiri"/>
          <w:color w:val="111111"/>
          <w:sz w:val="28"/>
          <w:sz w:val="28"/>
          <w:szCs w:val="28"/>
          <w:rtl w:val="true"/>
          <w:lang w:bidi="ar-SA"/>
        </w:rPr>
        <w:t>إثبات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كالتشكيك في الكراهة ، كما هو ظاهر المعتبر ، بناء على الأمر به في صحيحة البقباق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أقعده واغمز بطنه غمزا رفيقا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ونحوه الرضوي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لمعارضتها مع ما مرّ ، وترجيحه بموافقتها العامة ، لاتّفاقهم على استحبابه كما في النافع والمنتهى </w:t>
      </w:r>
      <w:r>
        <w:rPr>
          <w:rStyle w:val="FootnoteAnchor"/>
          <w:rtl w:val="true"/>
        </w:rPr>
        <w:footnoteReference w:id="101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دلالتها على الطلب كلاما ، لاحتمال ورودها مورد توهّم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شي‌ء من أظفاره ، وتسريح شعره ، أو نتفه وجزه ، وحلقه ، وفاقا للأكثر ، بل عليه الإجماع عن التذكرة ، والمعتبر </w:t>
      </w:r>
      <w:r>
        <w:rPr>
          <w:rStyle w:val="FootnoteAnchor"/>
          <w:rtl w:val="true"/>
        </w:rPr>
        <w:footnoteReference w:id="1011"/>
      </w:r>
      <w:r>
        <w:rPr>
          <w:rFonts w:ascii="Amiri" w:hAnsi="Amiri" w:eastAsia="Amiri" w:cs="Amiri"/>
          <w:color w:val="111111"/>
          <w:sz w:val="28"/>
          <w:sz w:val="28"/>
          <w:szCs w:val="28"/>
          <w:rtl w:val="true"/>
          <w:lang w:bidi="ar-SA"/>
        </w:rPr>
        <w:t xml:space="preserve">، وعلى حلق العانة في المنتهى </w:t>
      </w:r>
      <w:r>
        <w:rPr>
          <w:rStyle w:val="FootnoteAnchor"/>
          <w:rtl w:val="true"/>
        </w:rPr>
        <w:footnoteReference w:id="1012"/>
      </w:r>
      <w:r>
        <w:rPr>
          <w:rFonts w:ascii="Amiri" w:hAnsi="Amiri" w:eastAsia="Amiri" w:cs="Amiri"/>
          <w:color w:val="111111"/>
          <w:sz w:val="28"/>
          <w:sz w:val="28"/>
          <w:szCs w:val="28"/>
          <w:rtl w:val="true"/>
          <w:lang w:bidi="ar-SA"/>
        </w:rPr>
        <w:t xml:space="preserve">، للمستفيضة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أمير المؤمنين عليه السلام أن يحلق عانة الميت إذا غسل ، أو يقلم له ظفر ، أو يجز له شعر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أن يقص من الميت ظفر ، أو يقص له شعر ، أو يحلق له عانة ، أو يغمز له مفصل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من الميت شعر ولا ظفر ، وإن سقط منه شي‌ء فاجعله في كفنه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يكون عليه الشعر يقص عنه أو يقلم ظفره؟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منه شي‌ء اغسله وادفنه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يتوفى ، أيقلم أظافيره وينتف إبطه ويحلق عانته إن طال به المرض؟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تقلمن أظافيره ، ولا تقص شاربه ، ولا شيئا من شعره ، فإن سقط منه شي‌ء فاجعله في أكفانه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 شي‌ء منها على الحرمة ، لأنّ الكراهة في الأولين أعم منها ، والبواقي لا يتضمّن إلاّ الجملة الخبرية ، وهي عن إفادة الحرمة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بها في الظفر والشعر ، كما عن ابني سعيد ، وحمزة </w:t>
      </w:r>
      <w:r>
        <w:rPr>
          <w:rStyle w:val="FootnoteAnchor"/>
          <w:rtl w:val="true"/>
        </w:rPr>
        <w:footnoteReference w:id="1019"/>
      </w:r>
      <w:r>
        <w:rPr>
          <w:rFonts w:ascii="Amiri" w:hAnsi="Amiri" w:eastAsia="Amiri" w:cs="Amiri"/>
          <w:color w:val="111111"/>
          <w:sz w:val="28"/>
          <w:sz w:val="28"/>
          <w:szCs w:val="28"/>
          <w:rtl w:val="true"/>
          <w:lang w:bidi="ar-SA"/>
        </w:rPr>
        <w:t xml:space="preserve">، وفي المنتهى مدّعيا عليه الإجماع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لا يجوز قص شي‌ء من شعر الميت ولا من ظفره ولا تسريح رأسه ولا لحيته </w:t>
      </w:r>
      <w:r>
        <w:rPr>
          <w:rStyle w:val="FootnoteAnchor"/>
          <w:rtl w:val="true"/>
        </w:rPr>
        <w:footnoteReference w:id="1020"/>
      </w:r>
      <w:r>
        <w:rPr>
          <w:rFonts w:ascii="Amiri" w:hAnsi="Amiri" w:eastAsia="Amiri" w:cs="Amiri"/>
          <w:color w:val="111111"/>
          <w:sz w:val="28"/>
          <w:sz w:val="28"/>
          <w:szCs w:val="28"/>
          <w:rtl w:val="true"/>
          <w:lang w:bidi="ar-SA"/>
        </w:rPr>
        <w:t xml:space="preserve">، وفي الأول كما عن المقنعة ، والمبسوط ، والخلاف </w:t>
      </w:r>
      <w:r>
        <w:rPr>
          <w:rStyle w:val="FootnoteAnchor"/>
          <w:rtl w:val="true"/>
        </w:rPr>
        <w:footnoteReference w:id="1021"/>
      </w:r>
      <w:r>
        <w:rPr>
          <w:rFonts w:ascii="Amiri" w:hAnsi="Amiri" w:eastAsia="Amiri" w:cs="Amiri"/>
          <w:color w:val="111111"/>
          <w:sz w:val="28"/>
          <w:sz w:val="28"/>
          <w:szCs w:val="28"/>
          <w:rtl w:val="true"/>
          <w:lang w:bidi="ar-SA"/>
        </w:rPr>
        <w:t>مدّعيا عليه الإجماع في الأخير ،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احتمال إرادتهم الكراهة قائم ، فإنّ غير الأولين عبّر بعدم الجواز ، واستعماله في نفي الإباحة شائع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التصريح بالكراهة بعد ذلك ودعوى الإجماع عليها في الخلاف </w:t>
      </w:r>
      <w:r>
        <w:rPr>
          <w:rStyle w:val="FootnoteAnchor"/>
          <w:rtl w:val="true"/>
        </w:rPr>
        <w:footnoteReference w:id="10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في عطف البدعة على المكروه تنصيص على الحرمة إلاّ مع قصد الشرعية ، وهو كذلك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بعد ما نقلنا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تكون الأظفار طويلة أو قصيرة ، وبين أن يكون تحتها وسخ أو لا يكون ، في كراهة القص </w:t>
      </w:r>
      <w:r>
        <w:rPr>
          <w:rStyle w:val="FootnoteAnchor"/>
          <w:rtl w:val="true"/>
        </w:rPr>
        <w:footnoteReference w:id="10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يقول بإفادة الخبرية للتحريم يلزمه القول به هنا ، لعدم معارض لها سوى الخبرين المصرحين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العرف المتقدّم أعمّ من الكراهة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 الغمز المكروه بالاصطلاح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لا يعيّن إرادة الاصطلاحية ، لجواز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والإجماعات المحكية متعارضة ، واحتمال إرادة غير الظاهر في الطرفين قائم ، وتضعيف المعارض بمخالفة المعظم ، مع موافقة هؤلاء الأجلة ودعوى الإجماع ولو بالاحتمال ضعيف ، وردّ الروايات مع أنّ فيها ما صحّ عن ابن أبي عمير 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ويكره أيضا تنظيف ما تحت ظفره بالخلال من الوسخ ، كما صرّح به في المنتهى </w:t>
      </w:r>
      <w:r>
        <w:rPr>
          <w:rStyle w:val="FootnoteAnchor"/>
          <w:rtl w:val="true"/>
        </w:rPr>
        <w:footnoteReference w:id="1024"/>
      </w:r>
      <w:r>
        <w:rPr>
          <w:rFonts w:ascii="Amiri" w:hAnsi="Amiri" w:eastAsia="Amiri" w:cs="Amiri"/>
          <w:color w:val="111111"/>
          <w:sz w:val="28"/>
          <w:sz w:val="28"/>
          <w:szCs w:val="28"/>
          <w:rtl w:val="true"/>
          <w:lang w:bidi="ar-SA"/>
        </w:rPr>
        <w:t xml:space="preserve">وغيره </w:t>
      </w:r>
      <w:r>
        <w:rPr>
          <w:rStyle w:val="FootnoteAnchor"/>
          <w:rtl w:val="true"/>
        </w:rPr>
        <w:footnoteReference w:id="1025"/>
      </w:r>
      <w:r>
        <w:rPr>
          <w:rFonts w:ascii="Amiri" w:hAnsi="Amiri" w:eastAsia="Amiri" w:cs="Amiri"/>
          <w:color w:val="111111"/>
          <w:sz w:val="28"/>
          <w:sz w:val="28"/>
          <w:szCs w:val="28"/>
          <w:rtl w:val="true"/>
          <w:lang w:bidi="ar-SA"/>
        </w:rPr>
        <w:t xml:space="preserve">، بل عليه الإجماع عن الشيخ </w:t>
      </w:r>
      <w:r>
        <w:rPr>
          <w:rStyle w:val="FootnoteAnchor"/>
          <w:rtl w:val="true"/>
        </w:rPr>
        <w:footnoteReference w:id="1026"/>
      </w:r>
      <w:r>
        <w:rPr>
          <w:rFonts w:ascii="Amiri" w:hAnsi="Amiri" w:eastAsia="Amiri" w:cs="Amiri"/>
          <w:color w:val="111111"/>
          <w:sz w:val="28"/>
          <w:sz w:val="28"/>
          <w:szCs w:val="28"/>
          <w:rtl w:val="true"/>
          <w:lang w:bidi="ar-SA"/>
        </w:rPr>
        <w:t xml:space="preserve">، ويدلّ عليه خبر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تخلّل أظافيره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ختانه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مختونا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تحريمه ، كما نص عليه في المنتهى مدّعيا عليه الإجماع </w:t>
      </w:r>
      <w:r>
        <w:rPr>
          <w:rStyle w:val="FootnoteAnchor"/>
          <w:rtl w:val="true"/>
        </w:rPr>
        <w:footnoteReference w:id="1028"/>
      </w:r>
      <w:r>
        <w:rPr>
          <w:rFonts w:ascii="Amiri" w:hAnsi="Amiri" w:eastAsia="Amiri" w:cs="Amiri"/>
          <w:color w:val="111111"/>
          <w:sz w:val="28"/>
          <w:sz w:val="28"/>
          <w:szCs w:val="28"/>
          <w:rtl w:val="true"/>
          <w:lang w:bidi="ar-SA"/>
        </w:rPr>
        <w:t>، لأصالة عدم جواز قطع عضو ، خرج الحي بالدليل فيبقى الباقي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الأمر بالرفق والنهي عن التعنيف في المستفيضة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77" w:name="pg11616_94623"/>
    </w:p>
    <w:p>
      <w:pPr>
        <w:pStyle w:val="BookText"/>
        <w:rPr/>
      </w:pPr>
      <w:bookmarkEnd w:id="77"/>
      <w:r>
        <w:rPr>
          <w:rFonts w:ascii="Amiri" w:hAnsi="Amiri" w:eastAsia="Amiri" w:cs="Amiri"/>
          <w:color w:val="111111"/>
          <w:sz w:val="28"/>
          <w:sz w:val="28"/>
          <w:szCs w:val="28"/>
          <w:rtl w:val="true"/>
          <w:lang w:bidi="ar-SA"/>
        </w:rPr>
        <w:t xml:space="preserve">واستدلّ في المنتهى برواية البصري ، المتقدمة </w:t>
      </w:r>
      <w:r>
        <w:rPr>
          <w:rStyle w:val="FootnoteAnchor"/>
          <w:rtl w:val="true"/>
        </w:rPr>
        <w:footnoteReference w:id="1030"/>
      </w:r>
      <w:r>
        <w:rPr>
          <w:rFonts w:ascii="Amiri" w:hAnsi="Amiri" w:eastAsia="Amiri" w:cs="Amiri"/>
          <w:color w:val="111111"/>
          <w:sz w:val="28"/>
          <w:sz w:val="28"/>
          <w:szCs w:val="28"/>
          <w:rtl w:val="true"/>
          <w:lang w:bidi="ar-SA"/>
        </w:rPr>
        <w:t>، وفيه 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تغسيله بالماء المسخن بالنار بالإجماع كما في المنتهى </w:t>
      </w:r>
      <w:r>
        <w:rPr>
          <w:rStyle w:val="FootnoteAnchor"/>
          <w:rtl w:val="true"/>
        </w:rPr>
        <w:footnoteReference w:id="1031"/>
      </w:r>
      <w:r>
        <w:rPr>
          <w:rFonts w:ascii="Amiri" w:hAnsi="Amiri" w:eastAsia="Amiri" w:cs="Amiri"/>
          <w:color w:val="111111"/>
          <w:sz w:val="28"/>
          <w:sz w:val="28"/>
          <w:szCs w:val="28"/>
          <w:rtl w:val="true"/>
          <w:lang w:bidi="ar-SA"/>
        </w:rPr>
        <w:t xml:space="preserve">، 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يسخّن الماء للميت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يقرب الميت ماء حميما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تسخّن للميت الماء لا تعجّل له بالنار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تسخّن له ماء إلاّ أن يكون باردا جدّا فتوقّي الميت مما توقّي به نفسك ، ولا يكون الماء حارا شديدا وليكن فاترا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حالة التعسّر على الغاسل لشدّة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كما ذكره الصدوقان </w:t>
      </w:r>
      <w:r>
        <w:rPr>
          <w:rStyle w:val="FootnoteAnchor"/>
          <w:rtl w:val="true"/>
        </w:rPr>
        <w:footnoteReference w:id="1036"/>
      </w:r>
      <w:r>
        <w:rPr>
          <w:rFonts w:ascii="Amiri" w:hAnsi="Amiri" w:eastAsia="Amiri" w:cs="Amiri"/>
          <w:color w:val="111111"/>
          <w:sz w:val="28"/>
          <w:sz w:val="28"/>
          <w:szCs w:val="28"/>
          <w:rtl w:val="true"/>
          <w:lang w:bidi="ar-SA"/>
        </w:rPr>
        <w:t xml:space="preserve">والشيخان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ونفي في المنتهى الخلاف عن زوال الكراهية مع خوف الغاسل على نفسه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5588107_73709187"/>
      <w:bookmarkStart w:id="79" w:name="_Toc31"/>
      <w:bookmarkEnd w:id="78"/>
      <w:r>
        <w:rPr>
          <w:rtl w:val="true"/>
        </w:rPr>
        <w:t xml:space="preserve">المقام الثالث </w:t>
      </w:r>
      <w:r>
        <w:rPr>
          <w:rtl w:val="true"/>
        </w:rPr>
        <w:t xml:space="preserve">: </w:t>
      </w:r>
      <w:r>
        <w:rPr>
          <w:rtl w:val="true"/>
        </w:rPr>
        <w:t>في الأحكام</w:t>
      </w:r>
      <w:bookmarkEnd w:id="7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الاتّفاق على وجوب التغسيل بالقراح فيما إذا عدم الخليطان ، للأمر به منفردا ، وأصالة عدم التوقّف والارتباط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الخلاف في وجوب غسلة واحدة به ، كما في النافع والمدارك وشرح الإرشاد للأردبيلي </w:t>
      </w:r>
      <w:r>
        <w:rPr>
          <w:rStyle w:val="FootnoteAnchor"/>
          <w:rtl w:val="true"/>
        </w:rPr>
        <w:footnoteReference w:id="1039"/>
      </w:r>
      <w:r>
        <w:rPr>
          <w:rFonts w:ascii="Amiri" w:hAnsi="Amiri" w:eastAsia="Amiri" w:cs="Amiri"/>
          <w:color w:val="111111"/>
          <w:sz w:val="28"/>
          <w:sz w:val="28"/>
          <w:szCs w:val="28"/>
          <w:rtl w:val="true"/>
          <w:lang w:bidi="ar-SA"/>
        </w:rPr>
        <w:t xml:space="preserve">، وعن المعتبر وظاهر الذكرى </w:t>
      </w:r>
      <w:r>
        <w:rPr>
          <w:rStyle w:val="FootnoteAnchor"/>
          <w:rtl w:val="true"/>
        </w:rPr>
        <w:footnoteReference w:id="1040"/>
      </w:r>
      <w:r>
        <w:rPr>
          <w:rFonts w:ascii="Amiri" w:hAnsi="Amiri" w:eastAsia="Amiri" w:cs="Amiri"/>
          <w:color w:val="111111"/>
          <w:sz w:val="28"/>
          <w:sz w:val="28"/>
          <w:szCs w:val="28"/>
          <w:rtl w:val="true"/>
          <w:lang w:bidi="ar-SA"/>
        </w:rPr>
        <w:t xml:space="preserve">، ومحتمل نهاية الشيخ ومبسوطة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ثلاث غسلات ، كما في القواعد وشرحه واللوامع ، وعن روض الجنان </w:t>
      </w:r>
      <w:r>
        <w:rPr>
          <w:rStyle w:val="FootnoteAnchor"/>
          <w:rtl w:val="true"/>
        </w:rPr>
        <w:footnoteReference w:id="1042"/>
      </w:r>
      <w:r>
        <w:rPr>
          <w:rFonts w:ascii="Amiri" w:hAnsi="Amiri" w:eastAsia="Amiri" w:cs="Amiri"/>
          <w:color w:val="111111"/>
          <w:sz w:val="28"/>
          <w:sz w:val="28"/>
          <w:szCs w:val="28"/>
          <w:rtl w:val="true"/>
          <w:lang w:bidi="ar-SA"/>
        </w:rPr>
        <w:t xml:space="preserve">، ونسب إلى الحلّي </w:t>
      </w:r>
      <w:r>
        <w:rPr>
          <w:rStyle w:val="FootnoteAnchor"/>
          <w:rtl w:val="true"/>
        </w:rPr>
        <w:footnoteReference w:id="1043"/>
      </w:r>
      <w:r>
        <w:rPr>
          <w:rFonts w:ascii="Amiri" w:hAnsi="Amiri" w:eastAsia="Amiri" w:cs="Amiri"/>
          <w:color w:val="111111"/>
          <w:sz w:val="28"/>
          <w:sz w:val="28"/>
          <w:szCs w:val="28"/>
          <w:rtl w:val="true"/>
          <w:lang w:bidi="ar-SA"/>
        </w:rPr>
        <w:t xml:space="preserve">، وكلامه في السرائر لا يعطي الوجوب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بتغسيله ثلاثا </w:t>
      </w:r>
      <w:r>
        <w:rPr>
          <w:rStyle w:val="FootnoteAnchor"/>
          <w:rtl w:val="true"/>
        </w:rPr>
        <w:footnoteReference w:id="1044"/>
      </w:r>
      <w:r>
        <w:rPr>
          <w:rFonts w:ascii="Amiri" w:hAnsi="Amiri" w:eastAsia="Amiri" w:cs="Amiri"/>
          <w:color w:val="111111"/>
          <w:sz w:val="28"/>
          <w:sz w:val="28"/>
          <w:szCs w:val="28"/>
          <w:rtl w:val="true"/>
          <w:lang w:bidi="ar-SA"/>
        </w:rPr>
        <w:t xml:space="preserve">، وتردّد في الشرائع والمنتهى </w:t>
      </w:r>
      <w:r>
        <w:rPr>
          <w:rStyle w:val="FootnoteAnchor"/>
          <w:rtl w:val="true"/>
        </w:rPr>
        <w:footnoteReference w:id="1045"/>
      </w:r>
      <w:r>
        <w:rPr>
          <w:rFonts w:ascii="Amiri" w:hAnsi="Amiri" w:eastAsia="Amiri" w:cs="Amiri"/>
          <w:color w:val="111111"/>
          <w:sz w:val="28"/>
          <w:sz w:val="28"/>
          <w:szCs w:val="28"/>
          <w:rtl w:val="true"/>
          <w:lang w:bidi="ar-SA"/>
        </w:rPr>
        <w:t xml:space="preserve">، كما عن المختلف والتحرير والنهاية والتذكرة </w:t>
      </w:r>
      <w:r>
        <w:rPr>
          <w:rStyle w:val="FootnoteAnchor"/>
          <w:rtl w:val="true"/>
        </w:rPr>
        <w:footnoteReference w:id="1046"/>
      </w:r>
      <w:r>
        <w:rPr>
          <w:rFonts w:ascii="Amiri" w:hAnsi="Amiri" w:eastAsia="Amiri" w:cs="Amiri"/>
          <w:color w:val="111111"/>
          <w:sz w:val="28"/>
          <w:sz w:val="28"/>
          <w:szCs w:val="28"/>
          <w:rtl w:val="true"/>
          <w:lang w:bidi="ar-SA"/>
        </w:rPr>
        <w:t xml:space="preserve">أيضا ، وربما حكي عن الذكرى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هو الأول ، للأصل ، وضعف دليل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بتغسيله بماء وسدر ، فالمأمور به شيئان متمايزان وإن امتزجا في الخارج ، والأصل عدم الارتباط والاشتراط فيهما وإن ورد الأمر بتغسيله بماء السدر الظاهر في وحدة المأمور به أيضا ، ولكن لم يستند في إيجاب الخليطين به خاصة حتى يرتفع الأمر بارتفاع المضاف إليه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بالغسلات الثلاث على نحو خاص ، فيكون مطلقها واجبا ، ضرورة استلزام وجوب المركّب وجوب أجزائه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وعموم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ولزوم تحصيل اليقين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ورد الأمر بالتغسيل بماء وسدر ، ولكن ورد الأمر بماء السدر أيضا ، وقد عرفت تقييد الأول بالثاني </w:t>
      </w:r>
      <w:r>
        <w:rPr>
          <w:rStyle w:val="FootnoteAnchor"/>
          <w:rtl w:val="true"/>
        </w:rPr>
        <w:footnoteReference w:id="1049"/>
      </w:r>
      <w:r>
        <w:rPr>
          <w:rFonts w:ascii="Amiri" w:hAnsi="Amiri" w:eastAsia="Amiri" w:cs="Amiri"/>
          <w:color w:val="111111"/>
          <w:sz w:val="28"/>
          <w:sz w:val="28"/>
          <w:szCs w:val="28"/>
          <w:rtl w:val="true"/>
          <w:lang w:bidi="ar-SA"/>
        </w:rPr>
        <w:t>، وكان هو الوجه في اشتراط إطلاق اسم ماء السدر ، فيكون المأمور به هو الأمر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أنه لم يستند في إيجاب الخليطين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ففساده ظاهر ، لأنّه وإن لم يستند به خاصة ، ولكن قيّد به الأول ، وإلاّ فيكون مقتضاهما متعدّدا ، لاقتضاء الثاني صدق الإضافة دون الأول ، فإما يعمل بهما معا ، وهو باطل ، لإيجابه وجوب صدقهما وعدمه ، أو بأحدهما فيلزم التحكّم ، مع أنّه يوجب عدم لزوم صدق الإضافة وهذا القائل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انحصر الأمر بالتغسيل بماء وسدر أيضا لم يفد له ، لأنّه إنّما يفيد له لو كان المأمور به 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بماء والآخر بسدر ، وليس كذلك ، بل غسل واحد بهما معا ، فالمأمور به واحد مركّب من شيئين ، وثبت ارتباط أحدهما بالآخر ولزوم التركيب والمزج بالشرع إجماعا ونصا ، فلا تجري أصالة عدم الاشتراط والارتباط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الامتزاج أمرا خارجا محضا ، فهو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بهما معا حال كونهما ممتزجين ، فيكون الأمر بكلّ منهما أمرا تابعيا يتبع الأمر بالمجموع وإن ذكر كلّ منهما منفردا ، كالأمر بأفعال الوضوء والغسل ، وإذا انتفى الأصل انتفى التابع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فرع اشتراط أحدهما بالآخر ، والأصل ينفيه ، إذ الأصل في كلّ تكليف تعلّق بشيئين أن لا يتوقّف تعلّقه بأحدهما على تعلّقه بالآخر إلاّ ما </w:t>
      </w:r>
    </w:p>
    <w:p>
      <w:pPr>
        <w:pStyle w:val="BookText"/>
        <w:rPr/>
      </w:pPr>
      <w:r>
        <w:rPr>
          <w:rFonts w:ascii="Amiri" w:hAnsi="Amiri" w:eastAsia="Amiri" w:cs="Amiri"/>
          <w:color w:val="111111"/>
          <w:sz w:val="28"/>
          <w:sz w:val="28"/>
          <w:szCs w:val="28"/>
          <w:rtl w:val="true"/>
          <w:lang w:bidi="ar-SA"/>
        </w:rPr>
        <w:t>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المخرج في المسألة موجود ، وهو ما يدلّ على عدم حصول الاجتزاء والامتثال لو غسل بالماء وحده والسدر وحده مع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اللازم وجوب الجزء حين جزئيته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الدلالة ، كما ذكرنا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تيقّن الشغل حينئذ بغير الغسلة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لا ظاهر الإجماع لأمكن القول بعدم وجوب الغسل أصلا ، كما احتمله بعض مشايخنا الأخباريين مدّعيا استنباطه من بعض الأخبار ، إذ لا أمر بالقراح أيضا إلاّ بعد الخليطين المتعذّرين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فقد أحد الخليطين وجب غسلتان ،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المفقود بعد الدفن لم تجب الإعادة قطعا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لعموم حرمة النبش ، وعدم انصراف عمومات وجوب الغسلات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قبله ، فالظاهر أنه 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لتحقّق الامتثال الموجب للإجزاء كما قيل </w:t>
      </w:r>
      <w:r>
        <w:rPr>
          <w:rStyle w:val="FootnoteAnchor"/>
          <w:rtl w:val="true"/>
        </w:rPr>
        <w:footnoteReference w:id="1052"/>
      </w:r>
      <w:r>
        <w:rPr>
          <w:rFonts w:ascii="Amiri" w:hAnsi="Amiri" w:eastAsia="Amiri" w:cs="Amiri"/>
          <w:color w:val="111111"/>
          <w:sz w:val="28"/>
          <w:sz w:val="28"/>
          <w:szCs w:val="28"/>
          <w:rtl w:val="true"/>
          <w:lang w:bidi="ar-SA"/>
        </w:rPr>
        <w:t>، إذ سقوط الوجوب عن شي‌ء للعذر غير تحقّق الامتثال ، فيتعلّق الخطاب بعد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تحقق امتثال الغسل بالماء فهو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امتثال الغسل بالخليط فلم يمتثله ، إذ لم يكن هناك أمر ، فإذا زال العذر تعلّق الأمر ويلزمه إعادة القراح تحصيلا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مرّ من عدم الانصراف ، ولأنه تحقّق الامتثال بالقراح ، ولا أمر بالغسل بالخليط بعد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والإعادة أحوط</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يوجد الماء المطلق الطاهر ، أو تعذّر استعماله ، وجب التيمّم </w:t>
      </w:r>
    </w:p>
    <w:p>
      <w:pPr>
        <w:pStyle w:val="BookText"/>
        <w:rPr/>
      </w:pPr>
      <w:r>
        <w:rPr>
          <w:rFonts w:ascii="Amiri" w:hAnsi="Amiri" w:eastAsia="Amiri" w:cs="Amiri"/>
          <w:color w:val="111111"/>
          <w:sz w:val="28"/>
          <w:sz w:val="28"/>
          <w:szCs w:val="28"/>
          <w:rtl w:val="true"/>
          <w:lang w:bidi="ar-SA"/>
        </w:rPr>
        <w:t xml:space="preserve">بلا خلاف بين علمائنا يعرف كما في المنتهى </w:t>
      </w:r>
      <w:r>
        <w:rPr>
          <w:rStyle w:val="FootnoteAnchor"/>
          <w:rtl w:val="true"/>
        </w:rPr>
        <w:footnoteReference w:id="1053"/>
      </w:r>
      <w:r>
        <w:rPr>
          <w:rFonts w:ascii="Amiri" w:hAnsi="Amiri" w:eastAsia="Amiri" w:cs="Amiri"/>
          <w:color w:val="111111"/>
          <w:sz w:val="28"/>
          <w:sz w:val="28"/>
          <w:szCs w:val="28"/>
          <w:rtl w:val="true"/>
          <w:lang w:bidi="ar-SA"/>
        </w:rPr>
        <w:t xml:space="preserve">، لظاهر الإجماع ، وما دلّ على وجوب تيمّم المجدور بضميمة عدم القول بالفصل بين أفراد المعذور ، وعموم بدلية التيمم ، الثابت بالرضوي المنجبر ضعفه 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التيمّم غسل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وصفة التيمم للوضوء والجنابة وسائر أبواب الغسل واحد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الميت من أبواب الغسل ، وبعد ثبوت مشروعيته يكون واجبا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أبي نجران ، المروية في الفقيه على ما في أكثر النسخ المضبوطة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الجنب والمحدث والميت إذا حضرت الصلاة ولم يكن معهم من الماء إلاّ بقدر ما يكفي أحدهم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الجنب ، ويدفن الميت بتيمّم ، ويتيمّم الذي عليه وضوء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يضرّ عدم وجود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على ما في التهذيب </w:t>
      </w:r>
      <w:r>
        <w:rPr>
          <w:rStyle w:val="FootnoteAnchor"/>
          <w:rtl w:val="true"/>
        </w:rPr>
        <w:footnoteReference w:id="1057"/>
      </w:r>
      <w:r>
        <w:rPr>
          <w:rFonts w:ascii="Amiri" w:hAnsi="Amiri" w:eastAsia="Amiri" w:cs="Amiri"/>
          <w:color w:val="111111"/>
          <w:sz w:val="28"/>
          <w:sz w:val="28"/>
          <w:szCs w:val="28"/>
          <w:rtl w:val="true"/>
          <w:lang w:bidi="ar-SA"/>
        </w:rPr>
        <w:t xml:space="preserve">، ولذا لم ينقله صاحبا الوسائل </w:t>
      </w:r>
      <w:r>
        <w:rPr>
          <w:rStyle w:val="FootnoteAnchor"/>
          <w:rtl w:val="true"/>
        </w:rPr>
        <w:footnoteReference w:id="1058"/>
      </w:r>
      <w:r>
        <w:rPr>
          <w:rFonts w:ascii="Amiri" w:hAnsi="Amiri" w:eastAsia="Amiri" w:cs="Amiri"/>
          <w:color w:val="111111"/>
          <w:sz w:val="28"/>
          <w:sz w:val="28"/>
          <w:szCs w:val="28"/>
          <w:rtl w:val="true"/>
          <w:lang w:bidi="ar-SA"/>
        </w:rPr>
        <w:t xml:space="preserve">والوافي </w:t>
      </w:r>
      <w:r>
        <w:rPr>
          <w:rStyle w:val="FootnoteAnchor"/>
          <w:rtl w:val="true"/>
        </w:rPr>
        <w:footnoteReference w:id="1059"/>
      </w:r>
      <w:r>
        <w:rPr>
          <w:rFonts w:ascii="Amiri" w:hAnsi="Amiri" w:eastAsia="Amiri" w:cs="Amiri"/>
          <w:color w:val="111111"/>
          <w:sz w:val="28"/>
          <w:sz w:val="28"/>
          <w:szCs w:val="28"/>
          <w:rtl w:val="true"/>
          <w:lang w:bidi="ar-SA"/>
        </w:rPr>
        <w:t>من الفقيه أيضا ، واكتفيا على ما في التهذيب ، وأحالا نقل ما في الفقيه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الأعذار الموجبة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التناثر من التغسيل بالإجماع ، كما في </w:t>
      </w:r>
    </w:p>
    <w:p>
      <w:pPr>
        <w:pStyle w:val="BookText"/>
        <w:rPr/>
      </w:pPr>
      <w:r>
        <w:rPr>
          <w:rFonts w:ascii="IRNazanin" w:hAnsi="IRNazanin" w:eastAsia="IRNazanin"/>
          <w:color w:val="111111"/>
          <w:sz w:val="28"/>
          <w:sz w:val="28"/>
          <w:szCs w:val="28"/>
          <w:rtl w:val="true"/>
          <w:lang w:bidi="fa-IR"/>
        </w:rPr>
        <w:t xml:space="preserve">اللوامع والحدائق </w:t>
      </w:r>
      <w:r>
        <w:rPr>
          <w:rStyle w:val="FootnoteAnchor"/>
          <w:rtl w:val="true"/>
        </w:rPr>
        <w:footnoteReference w:id="1060"/>
      </w:r>
      <w:r>
        <w:rPr>
          <w:rFonts w:ascii="IRNazanin" w:hAnsi="IRNazanin" w:eastAsia="IRNazanin"/>
          <w:color w:val="111111"/>
          <w:sz w:val="28"/>
          <w:sz w:val="28"/>
          <w:szCs w:val="28"/>
          <w:rtl w:val="true"/>
          <w:lang w:bidi="fa-IR"/>
        </w:rPr>
        <w:t xml:space="preserve">، وعن الخلاف </w:t>
      </w:r>
      <w:r>
        <w:rPr>
          <w:rStyle w:val="FootnoteAnchor"/>
          <w:rtl w:val="true"/>
        </w:rPr>
        <w:footnoteReference w:id="1061"/>
      </w:r>
      <w:r>
        <w:rPr>
          <w:rFonts w:ascii="Amiri" w:hAnsi="Amiri" w:eastAsia="Amiri" w:cs="Amiri"/>
          <w:color w:val="111111"/>
          <w:sz w:val="28"/>
          <w:sz w:val="28"/>
          <w:szCs w:val="28"/>
          <w:rtl w:val="true"/>
          <w:lang w:bidi="ar-SA"/>
        </w:rPr>
        <w:t xml:space="preserve">، بل التهذيب </w:t>
      </w:r>
      <w:r>
        <w:rPr>
          <w:rStyle w:val="FootnoteAnchor"/>
          <w:rtl w:val="true"/>
        </w:rPr>
        <w:footnoteReference w:id="1062"/>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لخبر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صاحب لنا وهو مجدور ، فإن غسلناه انسلخ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يمّموه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خبره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احترق بالنار فأمرهم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يصبّوا عليه الماء صبّا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وخبر ضريس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المجدور والكسير والذي به القروح يصبّ عليه الماء صبّا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لوجوب حملهما على صورة عدم الانسلاخ بالصبّ ، لكونهما أعمّين من الأول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هذا الحمل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الميت مجدورا أو محترقا ، فخشيت إن مسسته سقط من جلوده شي‌ء ، فلا تمسّه ولكن صبّ عليه الماء صبّا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 من الإجماع والأخبار يترك أصالة عدم وجوب التيمّم ، وإشعار رواية ابن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وجوبه ، مع ضعفها سندا ومخالفتها لعمل الطائفة ، الموجبة لخروجها عن عرصة الحجية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يتعدّد التيمّم بتعدّد الغسلات؟ كما عن النهاية </w:t>
      </w:r>
      <w:r>
        <w:rPr>
          <w:rStyle w:val="FootnoteAnchor"/>
          <w:rtl w:val="true"/>
        </w:rPr>
        <w:footnoteReference w:id="1067"/>
      </w:r>
      <w:r>
        <w:rPr>
          <w:rFonts w:ascii="Amiri" w:hAnsi="Amiri" w:eastAsia="Amiri" w:cs="Amiri"/>
          <w:color w:val="111111"/>
          <w:sz w:val="28"/>
          <w:sz w:val="28"/>
          <w:szCs w:val="28"/>
          <w:rtl w:val="true"/>
          <w:lang w:bidi="ar-SA"/>
        </w:rPr>
        <w:t xml:space="preserve">والثانيين </w:t>
      </w:r>
      <w:r>
        <w:rPr>
          <w:rStyle w:val="FootnoteAnchor"/>
          <w:rtl w:val="true"/>
        </w:rPr>
        <w:footnoteReference w:id="1068"/>
      </w:r>
      <w:r>
        <w:rPr>
          <w:rFonts w:ascii="Amiri" w:hAnsi="Amiri" w:eastAsia="Amiri" w:cs="Amiri"/>
          <w:color w:val="111111"/>
          <w:sz w:val="28"/>
          <w:sz w:val="28"/>
          <w:szCs w:val="28"/>
          <w:rtl w:val="true"/>
          <w:lang w:bidi="ar-SA"/>
        </w:rPr>
        <w:t xml:space="preserve">، واختاره والدي رحمه اللّه ، لتعدّد المبدل منه فيتعدّد البدل؟ </w:t>
      </w:r>
    </w:p>
    <w:p>
      <w:pPr>
        <w:pStyle w:val="BookText"/>
        <w:rPr/>
      </w:pPr>
      <w:r>
        <w:rPr>
          <w:rFonts w:ascii="Amiri" w:hAnsi="Amiri" w:eastAsia="Amiri" w:cs="Amiri"/>
          <w:color w:val="111111"/>
          <w:sz w:val="28"/>
          <w:sz w:val="28"/>
          <w:szCs w:val="28"/>
          <w:rtl w:val="true"/>
          <w:lang w:bidi="ar-SA"/>
        </w:rPr>
        <w:t xml:space="preserve">أو يكفي الواحد؟ كما في المدارك مدّعيا عليه القطع </w:t>
      </w:r>
      <w:r>
        <w:rPr>
          <w:rStyle w:val="FootnoteAnchor"/>
          <w:rtl w:val="true"/>
        </w:rPr>
        <w:footnoteReference w:id="1069"/>
      </w:r>
      <w:r>
        <w:rPr>
          <w:rFonts w:ascii="Amiri" w:hAnsi="Amiri" w:eastAsia="Amiri" w:cs="Amiri"/>
          <w:color w:val="111111"/>
          <w:sz w:val="28"/>
          <w:sz w:val="28"/>
          <w:szCs w:val="28"/>
          <w:rtl w:val="true"/>
          <w:lang w:bidi="ar-SA"/>
        </w:rPr>
        <w:t xml:space="preserve">، والقواعد مع الاستشكال فيه </w:t>
      </w:r>
      <w:r>
        <w:rPr>
          <w:rStyle w:val="FootnoteAnchor"/>
          <w:rtl w:val="true"/>
        </w:rPr>
        <w:footnoteReference w:id="1070"/>
      </w:r>
      <w:r>
        <w:rPr>
          <w:rFonts w:ascii="IRNazanin" w:hAnsi="IRNazanin" w:eastAsia="IRNazanin"/>
          <w:color w:val="111111"/>
          <w:sz w:val="28"/>
          <w:sz w:val="28"/>
          <w:szCs w:val="28"/>
          <w:rtl w:val="true"/>
          <w:lang w:bidi="fa-IR"/>
        </w:rPr>
        <w:t xml:space="preserve">، ونسب إلى ظاهر الفتاوى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الأظهر الثاني ، للأصل ، ومنع تعدّد المبدل منه ، بل هو شي‌ء واحد كما يظهر من الأخبار الواردة في جنب مات ، أنه يغسّل غسلا واحدا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كونه بدلا عن كلّ واحد على فرض التعدّد ، بل المسلّم بدليته عن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الرضوي </w:t>
      </w:r>
      <w:r>
        <w:rPr>
          <w:rStyle w:val="FootnoteAnchor"/>
          <w:rtl w:val="true"/>
        </w:rPr>
        <w:footnoteReference w:id="1073"/>
      </w:r>
      <w:r>
        <w:rPr>
          <w:rFonts w:ascii="Amiri" w:hAnsi="Amiri" w:eastAsia="Amiri" w:cs="Amiri"/>
          <w:color w:val="111111"/>
          <w:sz w:val="28"/>
          <w:sz w:val="28"/>
          <w:szCs w:val="28"/>
          <w:rtl w:val="true"/>
          <w:lang w:bidi="ar-SA"/>
        </w:rPr>
        <w:t xml:space="preserve">على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 لخلوّه عن الجابر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الماء لغسلة واحدة مع وجود الخليط قدّم السدر ، وفاقا للثانيين </w:t>
      </w:r>
      <w:r>
        <w:rPr>
          <w:rStyle w:val="FootnoteAnchor"/>
          <w:rtl w:val="true"/>
        </w:rPr>
        <w:footnoteReference w:id="1074"/>
      </w:r>
      <w:r>
        <w:rPr>
          <w:rFonts w:ascii="Amiri" w:hAnsi="Amiri" w:eastAsia="Amiri" w:cs="Amiri"/>
          <w:color w:val="111111"/>
          <w:sz w:val="28"/>
          <w:sz w:val="28"/>
          <w:szCs w:val="28"/>
          <w:rtl w:val="true"/>
          <w:lang w:bidi="ar-SA"/>
        </w:rPr>
        <w:t xml:space="preserve">والبيان </w:t>
      </w:r>
      <w:r>
        <w:rPr>
          <w:rStyle w:val="FootnoteAnchor"/>
          <w:rtl w:val="true"/>
        </w:rPr>
        <w:footnoteReference w:id="1075"/>
      </w:r>
      <w:r>
        <w:rPr>
          <w:rFonts w:ascii="Amiri" w:hAnsi="Amiri" w:eastAsia="Amiri" w:cs="Amiri"/>
          <w:color w:val="111111"/>
          <w:sz w:val="28"/>
          <w:sz w:val="28"/>
          <w:szCs w:val="28"/>
          <w:rtl w:val="true"/>
          <w:lang w:bidi="ar-SA"/>
        </w:rPr>
        <w:t xml:space="preserve">، للأمر به وعدم المسقط ، دون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لقوته في التطهير ، لمنعها وعدم إيجابها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الأمر به إنّما هو بعد السدر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وجد لغسلتين قدّم السدر والكافور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يتيمّم للباقي مرة على الأحوط</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الجنب أو الحائض أو النفساء كفى غسل الميت ولم يجب غيره بالإجماع ، كما في المنتهى </w:t>
      </w:r>
      <w:r>
        <w:rPr>
          <w:rStyle w:val="FootnoteAnchor"/>
          <w:rtl w:val="true"/>
        </w:rPr>
        <w:footnoteReference w:id="1077"/>
      </w:r>
      <w:r>
        <w:rPr>
          <w:rFonts w:ascii="IRNazanin" w:hAnsi="IRNazanin" w:eastAsia="IRNazanin"/>
          <w:color w:val="111111"/>
          <w:sz w:val="28"/>
          <w:sz w:val="28"/>
          <w:szCs w:val="28"/>
          <w:rtl w:val="true"/>
          <w:lang w:bidi="fa-IR"/>
        </w:rPr>
        <w:t xml:space="preserve">، واللوامع ، وعن المحقّق </w:t>
      </w:r>
      <w:r>
        <w:rPr>
          <w:rStyle w:val="FootnoteAnchor"/>
          <w:rtl w:val="true"/>
        </w:rPr>
        <w:footnoteReference w:id="1078"/>
      </w:r>
      <w:r>
        <w:rPr>
          <w:rFonts w:ascii="Amiri" w:hAnsi="Amiri" w:eastAsia="Amiri" w:cs="Amiri"/>
          <w:color w:val="111111"/>
          <w:sz w:val="28"/>
          <w:sz w:val="28"/>
          <w:szCs w:val="28"/>
          <w:rtl w:val="true"/>
          <w:lang w:bidi="ar-SA"/>
        </w:rPr>
        <w:t xml:space="preserve">، للأصل السالم عن معارضة أخبار غسل الجنب وأخويه ، لاختصاصها بالحي ، وعدم شمول شي‌ء </w:t>
      </w:r>
    </w:p>
    <w:p>
      <w:pPr>
        <w:pStyle w:val="BookText"/>
        <w:rPr/>
      </w:pPr>
      <w:r>
        <w:rPr>
          <w:rFonts w:ascii="Amiri" w:hAnsi="Amiri" w:eastAsia="Amiri" w:cs="Amiri"/>
          <w:color w:val="111111"/>
          <w:sz w:val="28"/>
          <w:sz w:val="28"/>
          <w:szCs w:val="28"/>
          <w:rtl w:val="true"/>
          <w:lang w:bidi="ar-SA"/>
        </w:rPr>
        <w:t>منها المورد ، لعدم ورود أمر بالتغسيل من الجنابة وأخويها أو وجوبه ، وللتداخل الثابت قهرا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ولخصوص المستفيضة كصحيحة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مات وهو جنب كيف يغسّل وما يجزئه من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غسلا واحدا ، يجزئ ذلك لغسل الجنابة ولغسل الميت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إذا ماتت في نفاسها كيف تغسّل؟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غسل الطاهر ، وكذلك الحائض وكذلك الجنب إنما يغسّل غسلا واحدا فقط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منهما خبرا أبي بصير </w:t>
      </w:r>
      <w:r>
        <w:rPr>
          <w:rStyle w:val="FootnoteAnchor"/>
          <w:rtl w:val="true"/>
        </w:rPr>
        <w:footnoteReference w:id="1081"/>
      </w:r>
      <w:r>
        <w:rPr>
          <w:rFonts w:ascii="Amiri" w:hAnsi="Amiri" w:eastAsia="Amiri" w:cs="Amiri"/>
          <w:color w:val="111111"/>
          <w:sz w:val="28"/>
          <w:sz w:val="28"/>
          <w:szCs w:val="28"/>
          <w:rtl w:val="true"/>
          <w:lang w:bidi="ar-SA"/>
        </w:rPr>
        <w:t xml:space="preserve">، وابن أبي حمزة </w:t>
      </w:r>
      <w:r>
        <w:rPr>
          <w:rStyle w:val="FootnoteAnchor"/>
          <w:rtl w:val="true"/>
        </w:rPr>
        <w:footnoteReference w:id="1082"/>
      </w:r>
      <w:r>
        <w:rPr>
          <w:rFonts w:ascii="Amiri" w:hAnsi="Amiri" w:eastAsia="Amiri" w:cs="Amiri"/>
          <w:color w:val="111111"/>
          <w:sz w:val="28"/>
          <w:sz w:val="28"/>
          <w:szCs w:val="28"/>
          <w:rtl w:val="true"/>
          <w:lang w:bidi="ar-SA"/>
        </w:rPr>
        <w:t xml:space="preserve">، 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وهو جنب أجزأ عنه غسل واحد ، وكذلك الحائض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الميت وهو جنب غسّل غسلا واحدا ، ثمَّ اغتسل بعد ذلك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أي الغاسل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وهو جنب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من الجنابة ، ثمَّ يغسّل بعد غسل الميت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فلا تنافيها ، لجواز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 أي تزال نجاسته من الجنابة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تنافيها الثالثة أيضا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وهو جنب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غسلة واحدة بماء ، ثمَّ يغسل بعد ذلك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والرابعة وهي كالأولى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للتجويز المذكور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الوحدة لبيان كفاية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غسلة واحدة للواجب من إزالة النجاسة والمستحب قبل غسل الميت ، وإن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لولاه لم تصلح لمعارضة ما مرّ ، للمخالفة لعمل الكل ، وللشهرة في الرواية التي هي من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أنّ الثابت انتفاؤه من الروايات الاولى ليس إلاّ الوجوب ، ولا يثبت من الثلاثة الأخيرة سوى الرجحان ، فلا تعارض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يحكم بثبوت الرجحان ، لذلك ، كما في المنتهى وعن التهذيبين </w:t>
      </w:r>
      <w:r>
        <w:rPr>
          <w:rStyle w:val="FootnoteAnchor"/>
          <w:rtl w:val="true"/>
        </w:rPr>
        <w:footnoteReference w:id="1088"/>
      </w:r>
      <w:r>
        <w:rPr>
          <w:rFonts w:ascii="Amiri" w:hAnsi="Amiri" w:eastAsia="Amiri" w:cs="Amiri"/>
          <w:color w:val="111111"/>
          <w:sz w:val="28"/>
          <w:sz w:val="28"/>
          <w:szCs w:val="28"/>
          <w:rtl w:val="true"/>
          <w:lang w:bidi="ar-SA"/>
        </w:rPr>
        <w:t xml:space="preserve">؟ أولا ، كما صرّح به والدي رحمه اللّه ، وعن المعتبر ناسبا له إلى أهل العلم </w:t>
      </w:r>
      <w:r>
        <w:rPr>
          <w:rStyle w:val="FootnoteAnchor"/>
          <w:rtl w:val="true"/>
        </w:rPr>
        <w:footnoteReference w:id="1089"/>
      </w:r>
      <w:r>
        <w:rPr>
          <w:rFonts w:ascii="Amiri" w:hAnsi="Amiri" w:eastAsia="Amiri" w:cs="Amiri"/>
          <w:color w:val="111111"/>
          <w:sz w:val="28"/>
          <w:sz w:val="28"/>
          <w:szCs w:val="28"/>
          <w:rtl w:val="true"/>
          <w:lang w:bidi="ar-SA"/>
        </w:rPr>
        <w:t>؟ لا يبعد الأول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 لعدم قائل به بعد تصريح الشيخ والفاضل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منه نجاسة في أثناء الغسل أو بعده غسلت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الوضع في اللحد ، وعلى الأصح بعده ، إن أمكن بدون الإخراج الغير المجوّز بلا خلاف ، وصحّ الغسل على الأصح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في خبر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خرج منه شي‌ء فأنقه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وللأصل ، وحصول الامتثال ،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خرج منه شي‌ء بعد الغسل فلا تعد غسله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وللمستفيضة في الجميع ، منها موثّقة 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بدا من الميت شي‌ء بعد غسله فاغسل الذي بدا منه ، ولا تعد الغسل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الكاهلي وابن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يخرج منه الشي‌ء بعد ما فرغ من غسله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ذلك ولا عليه الغسل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80" w:name="pg11616_94632"/>
    </w:p>
    <w:p>
      <w:pPr>
        <w:pStyle w:val="BookText"/>
        <w:rPr/>
      </w:pPr>
      <w:bookmarkEnd w:id="80"/>
      <w:r>
        <w:rPr>
          <w:rFonts w:ascii="Amiri" w:hAnsi="Amiri" w:eastAsia="Amiri" w:cs="Amiri"/>
          <w:color w:val="111111"/>
          <w:sz w:val="28"/>
          <w:sz w:val="28"/>
          <w:szCs w:val="28"/>
          <w:rtl w:val="true"/>
          <w:lang w:bidi="ar-SA"/>
        </w:rPr>
        <w:t xml:space="preserve">ومرفوعة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الميت ثمَّ حدث بعد الغسل فإنه يغسل الحدث ولا يعاد الغسل </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في الثاني لبعضهم ، لاختصاص أخبار الغسل بما قبل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إلاّ أن يريد عدم إمكان الغسل بعده ، أو صورة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للعماني </w:t>
      </w:r>
      <w:r>
        <w:rPr>
          <w:rStyle w:val="FootnoteAnchor"/>
          <w:rtl w:val="true"/>
        </w:rPr>
        <w:footnoteReference w:id="1095"/>
      </w:r>
      <w:r>
        <w:rPr>
          <w:rFonts w:ascii="Amiri" w:hAnsi="Amiri" w:eastAsia="Amiri" w:cs="Amiri"/>
          <w:color w:val="111111"/>
          <w:sz w:val="28"/>
          <w:sz w:val="28"/>
          <w:szCs w:val="28"/>
          <w:rtl w:val="true"/>
          <w:lang w:bidi="ar-SA"/>
        </w:rPr>
        <w:t>، فأوجب الإعادة إن كان قبل التكفين ، لكون الحدث 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ناقضيته لذلك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التكفين ، فلا يجب إجماعا ، لاستلزامه المشقة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 المنتهى إجماع أهل العلم كافة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في موضع لم يكن عنده إلاّ من لا يعلم كيفية الغسل ، يجب عليه التعلم ولو بالذهاب إلى موضع والرجوع ، أو إرسال شخص يغسّله ، أو ينقل الميت إلى موضع يمكن فيه غسله ، على التفصيل الآتي في صلاة الميت في نحو ذلك المقام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588109_73709187"/>
      <w:bookmarkStart w:id="82" w:name="_Toc32"/>
      <w:bookmarkEnd w:id="81"/>
      <w:r>
        <w:rPr>
          <w:rtl w:val="true"/>
        </w:rPr>
        <w:t xml:space="preserve">البحث الثالث </w:t>
      </w:r>
      <w:r>
        <w:rPr>
          <w:rtl w:val="true"/>
        </w:rPr>
        <w:t xml:space="preserve">: </w:t>
      </w:r>
      <w:r>
        <w:rPr>
          <w:rtl w:val="true"/>
        </w:rPr>
        <w:t>في التكفين</w:t>
      </w:r>
      <w:bookmarkEnd w:id="82"/>
    </w:p>
    <w:p>
      <w:pPr>
        <w:pStyle w:val="Heading4"/>
        <w:numPr>
          <w:ilvl w:val="3"/>
          <w:numId w:val="1"/>
        </w:numPr>
        <w:rPr/>
      </w:pPr>
      <w:bookmarkStart w:id="83" w:name="__RefHeading___Toc5588111_73709187"/>
      <w:bookmarkStart w:id="84" w:name="_Toc33"/>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وهو واجب بإجماع المسلمين بل الضرورة من الدين ، وبه تواترت الأخبار </w:t>
      </w:r>
      <w:r>
        <w:rPr>
          <w:rStyle w:val="FootnoteAnchor"/>
          <w:rtl w:val="true"/>
        </w:rPr>
        <w:footnoteReference w:id="1097"/>
      </w:r>
      <w:r>
        <w:rPr>
          <w:rFonts w:ascii="Amiri" w:hAnsi="Amiri" w:eastAsia="Amiri" w:cs="Amiri"/>
          <w:color w:val="111111"/>
          <w:sz w:val="28"/>
          <w:sz w:val="28"/>
          <w:szCs w:val="28"/>
          <w:rtl w:val="true"/>
          <w:lang w:bidi="ar-SA"/>
        </w:rPr>
        <w:t>، وعليه جرت الطائفة الإسلامية في الأعصار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مؤكدا لكلّ مكلّف إعداد كفنه وتهيئته ، لما فيه من تذكّر الموت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محمد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كفنه معه في بيت لم يكتب من الغافلين ، وكان مأجورا كلّما نظر إليه </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 الكفن ثلاث قطع لا أزيد ، إجماعا ونصا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حسنة الحلبي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أبي في وصيته أن أكفّنه بثلاثة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رداء له حبرة كان يصلّي فيها يوم الجمعة ، وثوب آخر ، وقميص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تكتب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يغلبك الناس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 في أربعة أثواب أو خمسة فلا تفعل ، وعمّمني بعمامة وليس تعد العمامة من الكفن ، إنما يعد ما يلف به الجسد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أقلّ ، على الأصح الأشهر ، بل عليه الإجماع عن الخلاف والغنية والذكرى والمعتبر </w:t>
      </w:r>
      <w:r>
        <w:rPr>
          <w:rStyle w:val="FootnoteAnchor"/>
          <w:rtl w:val="true"/>
        </w:rPr>
        <w:footnoteReference w:id="1100"/>
      </w:r>
      <w:r>
        <w:rPr>
          <w:rFonts w:ascii="Amiri" w:hAnsi="Amiri" w:eastAsia="Amiri" w:cs="Amiri"/>
          <w:color w:val="111111"/>
          <w:sz w:val="28"/>
          <w:sz w:val="28"/>
          <w:szCs w:val="28"/>
          <w:rtl w:val="true"/>
          <w:lang w:bidi="ar-SA"/>
        </w:rPr>
        <w:t xml:space="preserve">، بل هو إجماع محقّقا ، لعدم قدح مخالفة من شذّ وندر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الحجة فيه مضافا إلى النصوص ، كحسنة زرارة ومحمد ، على 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للميت من الكفن؟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الكفن المفروض ثلاثة أثواب وثوب تام لا أقلّ منه يواري به جسده كلّه ، فما زاد فهو سنّة إلى أن يبلغ خمسة أثواب ، فما زاد فمبتدع ، والعمامة سنّة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واشتماله على الزائد على الثلاثة الغير الواجب بالإجماع لا يقدح في إيجاب الثلاثة ، مع أنّ كون الواو زائدة ممكنة ، مضافا إلى أنّ في بعض نسخ التهذيب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أثواب تام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الكفن فريضة للرجال ثلاثة أثواب ، والعمامة والخرقة سنّة ، وأمّا النساء ففريضته خمسة أثواب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الزائد عن الثلاثة للنساء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الآتية المفصّلة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ويعاضده أخبار أخر ، 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يكفّن الرجل في ثلاثة أثواب ، والمرأة إذا كانت عظيمة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ومنطق وخمار ولفافتين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يكفّن في ثلاثة سوى العمامة ، والخرقة يشدّ بها وركه كيلا يبدو منه شي‌ء ، والخرقة والعمامة لا بدّ منهما وليستا من الكفن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يكفّن به الميت؟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أثواب ، وإنّما كفّن رسول اللّه صلی اللّه عليه وآله في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ثوبين صحاريين وثوب 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والصحارية تكون باليمامة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 أبو جعفر في ثلاثة أثواب </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نقل تكفينهما صلّى اللّه عليهما وآلهما فيها ثبوت التأسّي في المسألة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يظهر إمكان اعتضاد المطلوب بالمستفيضة الواردة في أنه صلی اللّه عليه وآله كفّن في ثلاثة أثواب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للديلمي ، فأوجب القطعة الواحدة خاصة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له سوى الأصل ، الواجب تركه بما مرّ ، وحسنة زرارة ومحمد ، المتقدّمة ، على ما في بعض النسخ الآخر من التهذيب ، فإنّ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ثوب تام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التكفين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الغير الصالحة للاستناد ، لاختلاف النسخ ، وعدم دليل على صحة تلك النسخة دون الأولى أو رجحانها ، بل يمكن ترجيح ما تضمّن الواو برواية الكليني ، لأضبطيته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تقدير اتّفاق النسخ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لمعارضة ما مرّ ، لموافقتها العامة ، لاتّفاقهم على الاكتفاء بالواحد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فرق بين الرجل والمرأة في الواجب من الكفن بالإجماع ، لإطلاق ما مرّ بل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ومرفوعة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تكفّن المرأة؟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يكفّن الرجل ، غير أنها تشدّ على ثدييها خرقة تضمّ الثدي إلى الصدر ويشدّ إلى ظهرها ، ويوضع لها القطن أكثر ممّا يوضع للرجال ، ويحشى القبل والدبر بالقطن والحنوط ، ثمَّ تشدّ عليها الخرقة شدّا شديدا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فيها على وجوب شدّ الثديين بل غايته الرجحان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الحسنة المتقدّمة </w:t>
      </w:r>
      <w:r>
        <w:rPr>
          <w:rStyle w:val="FootnoteAnchor"/>
          <w:rtl w:val="true"/>
        </w:rPr>
        <w:footnoteReference w:id="1113"/>
      </w:r>
      <w:r>
        <w:rPr>
          <w:rFonts w:ascii="Amiri" w:hAnsi="Amiri" w:eastAsia="Amiri" w:cs="Amiri"/>
          <w:color w:val="111111"/>
          <w:sz w:val="28"/>
          <w:sz w:val="28"/>
          <w:szCs w:val="28"/>
          <w:rtl w:val="true"/>
          <w:lang w:bidi="ar-SA"/>
        </w:rPr>
        <w:t>المشتملة على الخمس ، مع أنّ مفهومها دالّ على عدم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وبالمرفوعة تعارض المرسلة المتقدّمة </w:t>
      </w:r>
      <w:r>
        <w:rPr>
          <w:rStyle w:val="FootnoteAnchor"/>
          <w:rtl w:val="true"/>
        </w:rPr>
        <w:footnoteReference w:id="1114"/>
      </w:r>
      <w:r>
        <w:rPr>
          <w:rFonts w:ascii="Amiri" w:hAnsi="Amiri" w:eastAsia="Amiri" w:cs="Amiri"/>
          <w:color w:val="111111"/>
          <w:sz w:val="28"/>
          <w:sz w:val="28"/>
          <w:szCs w:val="28"/>
          <w:rtl w:val="true"/>
          <w:lang w:bidi="ar-SA"/>
        </w:rPr>
        <w:t>، فلو لم يرجّحا بموافقة الإجماع المخرج لمخالفة عن الحجية يتساقطان ، وتبقى الإطلاقات عن المعارض خالية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تلك القطع الثلاث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لفّافة تشمل جميع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عنها الأكثر بالإزار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 وهو الحجة في تعيينه ، مع حسنة زرارة ومحمد ، المتقدّمة الخالية عن المعارض المؤيّدة بأخبار كثيرة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 المتقدّمة </w:t>
      </w:r>
      <w:r>
        <w:rPr>
          <w:rStyle w:val="FootnoteAnchor"/>
          <w:rtl w:val="true"/>
        </w:rPr>
        <w:footnoteReference w:id="1115"/>
      </w:r>
      <w:r>
        <w:rPr>
          <w:rFonts w:ascii="Amiri" w:hAnsi="Amiri" w:eastAsia="Amiri" w:cs="Amiri"/>
          <w:color w:val="111111"/>
          <w:sz w:val="28"/>
          <w:sz w:val="28"/>
          <w:szCs w:val="28"/>
          <w:rtl w:val="true"/>
          <w:lang w:bidi="ar-SA"/>
        </w:rPr>
        <w:t xml:space="preserve">بضميمة مساواة الرجل مع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حمران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تؤخذ خرقة فيشدّ بها سفله ويضمّ فخذيه بها ليضمّ ما هناك ، وما يضع من القطن أفضل ، ثمَّ يكفّن بقميص ولفّافة وبرد يجمع فيه الكفن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يكفّن بثلاث قطع وخمس وسبع ، فأمّا الثلاث فمئزر وعمامة ولفّافة ، والخمس مئزر وقميص وعمامة ولفّافتان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يكفّن بثلاثة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لفافة وقميص وإزار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 بالإجماع أيضا في الجواز ، لدلالة أكثر الأخبار عليه وتضمّنها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الرجحان أيضا ، لظهور كثير من الأخبار فيه ، وصريح رواية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التي يصلّي فيها الرجل ويصوم ، أيكفّن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ذلك الكفن يعني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في ثلاثة أثواب؟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والقميص أحبّ إليّ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 أيكفّن في ثلاثة أثواب بغير قميص؟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 والقميص أحبّ إليّ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الكفن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غير مزرور ولا مكفوف ، ولفّافة وإزار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منهم المنتهى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التعيين والوجوب ، وهو ظاهر المقنعة والشرائع والنافع والتحرير </w:t>
      </w:r>
      <w:r>
        <w:rPr>
          <w:rStyle w:val="FootnoteAnchor"/>
          <w:rtl w:val="true"/>
        </w:rPr>
        <w:footnoteReference w:id="1123"/>
      </w:r>
      <w:r>
        <w:rPr>
          <w:rFonts w:ascii="Amiri" w:hAnsi="Amiri" w:eastAsia="Amiri" w:cs="Amiri"/>
          <w:color w:val="111111"/>
          <w:sz w:val="28"/>
          <w:sz w:val="28"/>
          <w:szCs w:val="28"/>
          <w:rtl w:val="true"/>
          <w:lang w:bidi="ar-SA"/>
        </w:rPr>
        <w:t xml:space="preserve">، وصريح العماني </w:t>
      </w:r>
      <w:r>
        <w:rPr>
          <w:rStyle w:val="FootnoteAnchor"/>
          <w:rtl w:val="true"/>
        </w:rPr>
        <w:footnoteReference w:id="1124"/>
      </w:r>
      <w:r>
        <w:rPr>
          <w:rFonts w:ascii="IRNazanin" w:hAnsi="IRNazanin" w:eastAsia="IRNazanin"/>
          <w:color w:val="111111"/>
          <w:sz w:val="28"/>
          <w:sz w:val="28"/>
          <w:szCs w:val="28"/>
          <w:rtl w:val="true"/>
          <w:lang w:bidi="fa-IR"/>
        </w:rPr>
        <w:t xml:space="preserve">، والمنتهى </w:t>
      </w:r>
      <w:r>
        <w:rPr>
          <w:rStyle w:val="FootnoteAnchor"/>
          <w:rtl w:val="true"/>
        </w:rPr>
        <w:footnoteReference w:id="1125"/>
      </w:r>
      <w:r>
        <w:rPr>
          <w:rFonts w:ascii="Amiri" w:hAnsi="Amiri" w:eastAsia="Amiri" w:cs="Amiri"/>
          <w:color w:val="111111"/>
          <w:sz w:val="28"/>
          <w:sz w:val="28"/>
          <w:szCs w:val="28"/>
          <w:rtl w:val="true"/>
          <w:lang w:bidi="ar-SA"/>
        </w:rPr>
        <w:t xml:space="preserve">، وعن المبسوط والنهاية والمصباح ومختصره والمراسم والوسيلة </w:t>
      </w:r>
      <w:r>
        <w:rPr>
          <w:rStyle w:val="FootnoteAnchor"/>
          <w:rtl w:val="true"/>
        </w:rPr>
        <w:footnoteReference w:id="1126"/>
      </w:r>
      <w:r>
        <w:rPr>
          <w:rFonts w:ascii="Amiri" w:hAnsi="Amiri" w:eastAsia="Amiri" w:cs="Amiri"/>
          <w:color w:val="111111"/>
          <w:sz w:val="28"/>
          <w:sz w:val="28"/>
          <w:szCs w:val="28"/>
          <w:rtl w:val="true"/>
          <w:lang w:bidi="ar-SA"/>
        </w:rPr>
        <w:t xml:space="preserve">، والجامع والحلبي والذكرى والمسالك </w:t>
      </w:r>
      <w:r>
        <w:rPr>
          <w:rStyle w:val="FootnoteAnchor"/>
          <w:rtl w:val="true"/>
        </w:rPr>
        <w:footnoteReference w:id="1127"/>
      </w:r>
      <w:r>
        <w:rPr>
          <w:rFonts w:ascii="IRNazanin" w:hAnsi="IRNazanin" w:eastAsia="IRNazanin"/>
          <w:color w:val="111111"/>
          <w:sz w:val="28"/>
          <w:sz w:val="28"/>
          <w:szCs w:val="28"/>
          <w:rtl w:val="true"/>
          <w:lang w:bidi="fa-IR"/>
        </w:rPr>
        <w:t xml:space="preserve">، وروض الجنان </w:t>
      </w:r>
      <w:r>
        <w:rPr>
          <w:rStyle w:val="FootnoteAnchor"/>
          <w:rtl w:val="true"/>
        </w:rPr>
        <w:footnoteReference w:id="1128"/>
      </w:r>
      <w:r>
        <w:rPr>
          <w:rFonts w:ascii="Amiri" w:hAnsi="Amiri" w:eastAsia="Amiri" w:cs="Amiri"/>
          <w:color w:val="111111"/>
          <w:sz w:val="28"/>
          <w:sz w:val="28"/>
          <w:szCs w:val="28"/>
          <w:rtl w:val="true"/>
          <w:lang w:bidi="ar-SA"/>
        </w:rPr>
        <w:t xml:space="preserve">، والروضة وشرح القواعد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مرّ من الأخبار وما يشبهها ، وصحيحة ابن سنان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الكفن قميص غير مزرور ولا مكفوف ، وعمامة يعصب بها رأسه ويردّ فضليها على رجليه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التكفين أن تبدأ بالقميص ثمَّ بالخرقة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الكفن ما يشمل القميص ، فلا يكون غيره كفنا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ابسط الحبرة بسطا ، ثمَّ ابسط عليها الإزار ثمَّ ابسط </w:t>
      </w:r>
    </w:p>
    <w:p>
      <w:pPr>
        <w:pStyle w:val="BookText"/>
        <w:rPr/>
      </w:pPr>
      <w:r>
        <w:rPr>
          <w:rFonts w:ascii="Amiri" w:hAnsi="Amiri" w:eastAsia="Amiri" w:cs="Amiri"/>
          <w:color w:val="111111"/>
          <w:sz w:val="28"/>
          <w:sz w:val="28"/>
          <w:szCs w:val="28"/>
          <w:rtl w:val="true"/>
          <w:lang w:bidi="ar-SA"/>
        </w:rPr>
        <w:t xml:space="preserve">القميص عليه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أوجب بسط القميص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من الطبقة الثالثة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وكفاية الأحكام والمفاتيح والبحار والحدائق </w:t>
      </w:r>
      <w:r>
        <w:rPr>
          <w:rStyle w:val="FootnoteAnchor"/>
          <w:rtl w:val="true"/>
        </w:rPr>
        <w:footnoteReference w:id="1133"/>
      </w:r>
      <w:r>
        <w:rPr>
          <w:rFonts w:ascii="Amiri" w:hAnsi="Amiri" w:eastAsia="Amiri" w:cs="Amiri"/>
          <w:color w:val="111111"/>
          <w:sz w:val="28"/>
          <w:sz w:val="28"/>
          <w:szCs w:val="28"/>
          <w:rtl w:val="true"/>
          <w:lang w:bidi="ar-SA"/>
        </w:rPr>
        <w:t xml:space="preserve">واللوامع ، بل جلّهم كما في اللوامع ، وهو المحكي عن الإسكافي </w:t>
      </w:r>
      <w:r>
        <w:rPr>
          <w:rStyle w:val="FootnoteAnchor"/>
          <w:rtl w:val="true"/>
        </w:rPr>
        <w:footnoteReference w:id="1134"/>
      </w:r>
      <w:r>
        <w:rPr>
          <w:rFonts w:ascii="IRNazanin" w:hAnsi="IRNazanin" w:eastAsia="IRNazanin"/>
          <w:color w:val="111111"/>
          <w:sz w:val="28"/>
          <w:sz w:val="28"/>
          <w:szCs w:val="28"/>
          <w:rtl w:val="true"/>
          <w:lang w:bidi="fa-IR"/>
        </w:rPr>
        <w:t xml:space="preserve">والمعتبر </w:t>
      </w:r>
      <w:r>
        <w:rPr>
          <w:rStyle w:val="FootnoteAnchor"/>
          <w:rtl w:val="true"/>
        </w:rPr>
        <w:footnoteReference w:id="1135"/>
      </w:r>
      <w:r>
        <w:rPr>
          <w:rFonts w:ascii="Amiri" w:hAnsi="Amiri" w:eastAsia="Amiri" w:cs="Amiri"/>
          <w:color w:val="111111"/>
          <w:sz w:val="28"/>
          <w:sz w:val="28"/>
          <w:szCs w:val="28"/>
          <w:rtl w:val="true"/>
          <w:lang w:bidi="ar-SA"/>
        </w:rPr>
        <w:t xml:space="preserve">، ويحتمله كلام الجعفي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لفّافتان وقميص وعمامة ومئزر </w:t>
      </w:r>
      <w:r>
        <w:rPr>
          <w:rStyle w:val="FootnoteAnchor"/>
          <w:rtl w:val="true"/>
        </w:rPr>
        <w:footnoteReference w:id="1136"/>
      </w:r>
      <w:r>
        <w:rPr>
          <w:rFonts w:ascii="Amiri" w:hAnsi="Amiri" w:eastAsia="Amiri" w:cs="Amiri"/>
          <w:color w:val="111111"/>
          <w:sz w:val="28"/>
          <w:sz w:val="28"/>
          <w:szCs w:val="28"/>
          <w:rtl w:val="true"/>
          <w:lang w:bidi="ar-SA"/>
        </w:rPr>
        <w:t>فيجوز أن يكون الواجب اللفافتين والمئزر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كلام جمع آخر من القدماء كالصدوق </w:t>
      </w:r>
      <w:r>
        <w:rPr>
          <w:rStyle w:val="FootnoteAnchor"/>
          <w:rtl w:val="true"/>
        </w:rPr>
        <w:footnoteReference w:id="1137"/>
      </w:r>
      <w:r>
        <w:rPr>
          <w:rFonts w:ascii="IRNazanin" w:hAnsi="IRNazanin" w:eastAsia="IRNazanin"/>
          <w:color w:val="111111"/>
          <w:sz w:val="28"/>
          <w:sz w:val="28"/>
          <w:szCs w:val="28"/>
          <w:rtl w:val="true"/>
          <w:lang w:bidi="fa-IR"/>
        </w:rPr>
        <w:t xml:space="preserve">ووالده </w:t>
      </w:r>
      <w:r>
        <w:rPr>
          <w:rStyle w:val="FootnoteAnchor"/>
          <w:rtl w:val="true"/>
        </w:rPr>
        <w:footnoteReference w:id="1138"/>
      </w:r>
      <w:r>
        <w:rPr>
          <w:rFonts w:ascii="Amiri" w:hAnsi="Amiri" w:eastAsia="Amiri" w:cs="Amiri"/>
          <w:color w:val="111111"/>
          <w:sz w:val="28"/>
          <w:sz w:val="28"/>
          <w:szCs w:val="28"/>
          <w:rtl w:val="true"/>
          <w:lang w:bidi="ar-SA"/>
        </w:rPr>
        <w:t xml:space="preserve">والحلبي </w:t>
      </w:r>
      <w:r>
        <w:rPr>
          <w:rStyle w:val="FootnoteAnchor"/>
          <w:rtl w:val="true"/>
        </w:rPr>
        <w:footnoteReference w:id="1139"/>
      </w:r>
      <w:r>
        <w:rPr>
          <w:rFonts w:ascii="Amiri" w:hAnsi="Amiri" w:eastAsia="Amiri" w:cs="Amiri"/>
          <w:color w:val="111111"/>
          <w:sz w:val="28"/>
          <w:sz w:val="28"/>
          <w:szCs w:val="28"/>
          <w:rtl w:val="true"/>
          <w:lang w:bidi="ar-SA"/>
        </w:rPr>
        <w:t xml:space="preserve">وغيرهم ، حيث لم يصرّحوا بالوجوب ولا بما دلّ على التعيين ، وتردّد في القواعد </w:t>
      </w:r>
      <w:r>
        <w:rPr>
          <w:rStyle w:val="FootnoteAnchor"/>
          <w:rtl w:val="true"/>
        </w:rPr>
        <w:footnoteReference w:id="1140"/>
      </w:r>
      <w:r>
        <w:rPr>
          <w:rFonts w:ascii="Amiri" w:hAnsi="Amiri" w:eastAsia="Amiri" w:cs="Amiri"/>
          <w:color w:val="111111"/>
          <w:sz w:val="28"/>
          <w:sz w:val="28"/>
          <w:szCs w:val="28"/>
          <w:rtl w:val="true"/>
          <w:lang w:bidi="ar-SA"/>
        </w:rPr>
        <w:t>، فلم يوجبوه وجوّزوا بدله لفّافة شاملة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 وإطلاقات الأخبار المتضمّنة لثلاثة أثواب </w:t>
      </w:r>
      <w:r>
        <w:rPr>
          <w:rStyle w:val="FootnoteAnchor"/>
          <w:rtl w:val="true"/>
        </w:rPr>
        <w:footnoteReference w:id="1141"/>
      </w:r>
      <w:r>
        <w:rPr>
          <w:rFonts w:ascii="Amiri" w:hAnsi="Amiri" w:eastAsia="Amiri" w:cs="Amiri"/>
          <w:color w:val="111111"/>
          <w:sz w:val="28"/>
          <w:sz w:val="28"/>
          <w:szCs w:val="28"/>
          <w:rtl w:val="true"/>
          <w:lang w:bidi="ar-SA"/>
        </w:rPr>
        <w:t>، الشاملة لغير القميص بل اللفّافة قطعا ، لأنّها أحدها جزما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 المتقدّمة </w:t>
      </w:r>
      <w:r>
        <w:rPr>
          <w:rStyle w:val="FootnoteAnchor"/>
          <w:rtl w:val="true"/>
        </w:rPr>
        <w:footnoteReference w:id="1142"/>
      </w:r>
      <w:r>
        <w:rPr>
          <w:rFonts w:ascii="Amiri" w:hAnsi="Amiri" w:eastAsia="Amiri" w:cs="Amiri"/>
          <w:color w:val="111111"/>
          <w:sz w:val="28"/>
          <w:sz w:val="28"/>
          <w:szCs w:val="28"/>
          <w:rtl w:val="true"/>
          <w:lang w:bidi="ar-SA"/>
        </w:rPr>
        <w:t xml:space="preserve">، بل رواية سهل </w:t>
      </w:r>
      <w:r>
        <w:rPr>
          <w:rStyle w:val="FootnoteAnchor"/>
          <w:rtl w:val="true"/>
        </w:rPr>
        <w:footnoteReference w:id="114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الألف واللام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القميص الذي يصلّي فيه بعيد ، مع أنه لم يعهد قميص بل </w:t>
      </w:r>
    </w:p>
    <w:p>
      <w:pPr>
        <w:pStyle w:val="BookText"/>
        <w:rPr/>
      </w:pPr>
      <w:r>
        <w:rPr>
          <w:rFonts w:ascii="Amiri" w:hAnsi="Amiri" w:eastAsia="Amiri" w:cs="Amiri"/>
          <w:color w:val="111111"/>
          <w:sz w:val="28"/>
          <w:sz w:val="28"/>
          <w:szCs w:val="28"/>
          <w:rtl w:val="true"/>
          <w:lang w:bidi="ar-SA"/>
        </w:rPr>
        <w:t>سئل عن الكفن في ثياب الصلاة ، وأجاب بأني أحبّ ذلك الكفن المتعارف يعني قميصا ، فهو أولى من ثياب الصلاة لو لم يكن فيها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المطلوب يثبت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يدرج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من الثوب الذي يدرج الميت ما يواريه بأجمعه ، والظاهر إرادة درجة في كلّ ثوب ، وإلاّ لم يكن في السؤال ونفي البأس وجه ، إذ يدرج في مجموع الثلاثة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يجاب عن أدلّة الموجبين ، بحملها على الأفضلية بقرينة ذلك ، مضافا إلى خلوّ غير المرسلة </w:t>
      </w:r>
      <w:r>
        <w:rPr>
          <w:rStyle w:val="FootnoteAnchor"/>
          <w:rtl w:val="true"/>
        </w:rPr>
        <w:footnoteReference w:id="1144"/>
      </w:r>
      <w:r>
        <w:rPr>
          <w:rFonts w:ascii="Amiri" w:hAnsi="Amiri" w:eastAsia="Amiri" w:cs="Amiri"/>
          <w:color w:val="111111"/>
          <w:sz w:val="28"/>
          <w:sz w:val="28"/>
          <w:szCs w:val="28"/>
          <w:rtl w:val="true"/>
          <w:lang w:bidi="ar-SA"/>
        </w:rPr>
        <w:t>عن الدالّ على الوجوب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وإن أفاد التعين إلاّ أن دخول غير الواجب أيضا في المحمول يصرفه عن إفادته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دلالة المرسلة أيضا على الوجوب نظر ، لتعلّق الأمر أصالة بالبسط المتعقّب عن بسط الحبرة وهو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تبديله بلفّافة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المركّب نظر ، لتعلّق الأمر أصالة بالبسط المتعقّب عن بسط الحبرة وهو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تبديله بلفّافة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المركّب ، مضافا إلى ما مرّ من رواية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 وجوبا عند الأكثر ، كما صرّح به جمع ممن تقدّم وتأخّر ، ومن الموجبين أكثر من ذكره مرّ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للرضوي المتقدّم </w:t>
      </w:r>
      <w:r>
        <w:rPr>
          <w:rStyle w:val="FootnoteAnchor"/>
          <w:rtl w:val="true"/>
        </w:rPr>
        <w:footnoteReference w:id="1146"/>
      </w:r>
      <w:r>
        <w:rPr>
          <w:rFonts w:ascii="Amiri" w:hAnsi="Amiri" w:eastAsia="Amiri" w:cs="Amiri"/>
          <w:color w:val="111111"/>
          <w:sz w:val="28"/>
          <w:sz w:val="28"/>
          <w:szCs w:val="28"/>
          <w:rtl w:val="true"/>
          <w:lang w:bidi="ar-SA"/>
        </w:rPr>
        <w:t xml:space="preserve">المتضمّن للمئزر ، المنجبر ضعفه بالشهرة ، وصحيحة محمد ، المتقدّمة </w:t>
      </w:r>
      <w:r>
        <w:rPr>
          <w:rStyle w:val="FootnoteAnchor"/>
          <w:rtl w:val="true"/>
        </w:rPr>
        <w:footnoteReference w:id="1147"/>
      </w:r>
      <w:r>
        <w:rPr>
          <w:rFonts w:ascii="Amiri" w:hAnsi="Amiri" w:eastAsia="Amiri" w:cs="Amiri"/>
          <w:color w:val="111111"/>
          <w:sz w:val="28"/>
          <w:sz w:val="28"/>
          <w:szCs w:val="28"/>
          <w:rtl w:val="true"/>
          <w:lang w:bidi="ar-SA"/>
        </w:rPr>
        <w:t xml:space="preserve">المصرّحة بالمنطق الذي هو الإزار المرادف للمئزر لغة ، كما صرّح به أهلها ، ففي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الإزار من الحقوتين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وشرعا كما يستفاد من النصوص الواردة في باب ستر العورة لدخول الحمام </w:t>
      </w:r>
      <w:r>
        <w:rPr>
          <w:rStyle w:val="FootnoteAnchor"/>
          <w:rtl w:val="true"/>
        </w:rPr>
        <w:footnoteReference w:id="1150"/>
      </w:r>
      <w:r>
        <w:rPr>
          <w:rFonts w:ascii="Amiri" w:hAnsi="Amiri" w:eastAsia="Amiri" w:cs="Amiri"/>
          <w:color w:val="111111"/>
          <w:sz w:val="28"/>
          <w:sz w:val="28"/>
          <w:szCs w:val="28"/>
          <w:rtl w:val="true"/>
          <w:lang w:bidi="ar-SA"/>
        </w:rPr>
        <w:t xml:space="preserve">، وفي مبحث كراهة الاتّزار فوق القميص </w:t>
      </w:r>
      <w:r>
        <w:rPr>
          <w:rStyle w:val="FootnoteAnchor"/>
          <w:rtl w:val="true"/>
        </w:rPr>
        <w:footnoteReference w:id="1151"/>
      </w:r>
      <w:r>
        <w:rPr>
          <w:rFonts w:ascii="Amiri" w:hAnsi="Amiri" w:eastAsia="Amiri" w:cs="Amiri"/>
          <w:color w:val="111111"/>
          <w:sz w:val="28"/>
          <w:sz w:val="28"/>
          <w:szCs w:val="28"/>
          <w:rtl w:val="true"/>
          <w:lang w:bidi="ar-SA"/>
        </w:rPr>
        <w:t xml:space="preserve">، وبحث ثوبي الإحرام </w:t>
      </w:r>
      <w:r>
        <w:rPr>
          <w:rStyle w:val="FootnoteAnchor"/>
          <w:rtl w:val="true"/>
        </w:rPr>
        <w:footnoteReference w:id="1152"/>
      </w:r>
      <w:r>
        <w:rPr>
          <w:rFonts w:ascii="Amiri" w:hAnsi="Amiri" w:eastAsia="Amiri" w:cs="Amiri"/>
          <w:color w:val="111111"/>
          <w:sz w:val="28"/>
          <w:sz w:val="28"/>
          <w:szCs w:val="28"/>
          <w:rtl w:val="true"/>
          <w:lang w:bidi="ar-SA"/>
        </w:rPr>
        <w:t>، بحيث يظهر كون الاستعمال بطريق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أيضا من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بالكفن؟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خرقة فتشدّ على مقعديه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فالإزار؟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تعدّ شيئا ، إنّما تصنع لتضمّ ما هناك وأن لا يخرج منه شي‌ء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فإنه لو كان المراد به اللفّافة لما توهّم عدم لزومه بشدّ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تظهر دلالة جميع الأخبار المتضمّنة للإزار على المطلوب أيضا ، كرواية الدعائم والرضوي ومرسلة يونس ، السابقة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تبدأ فتسقط اللفّافة طولا ، ثمَّ تذر عليها من الذريرة ، ثمَّ الإزار طولا حتى يغطّي الصدر والرجلين ، ثمَّ الخرقة عرضها قدر شبر ونصف ، ثمَّ القميص تشدّ الخرقة على القميص بحيال العورة 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التكفين أن تبدأ بالقميص ، ثمَّ بالخرقة فوق القميص على أليتيه وفخذيه وعورته ، ويجعل طول الخرقة ثلاثة أذرع ونصف وعرضها شبر ونصف ، ثمَّ يشدّ الإزار أربعة أذرع ، ثمَّ اللفافة ، ثمَّ العمامة ويطرح فضل العمامة على وجهه </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يكفّن الميت في خمسة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لا يزرّ عليه ، وإزار وخرقة يعصب بها وسطه ، وبرد يلفّ فيه ، وعمامة يعمّم بها ويلقى فضلها </w:t>
      </w:r>
    </w:p>
    <w:p>
      <w:pPr>
        <w:pStyle w:val="BookText"/>
        <w:rPr/>
      </w:pPr>
      <w:r>
        <w:rPr>
          <w:rFonts w:ascii="IRNazanin" w:hAnsi="IRNazanin" w:eastAsia="IRNazanin"/>
          <w:color w:val="111111"/>
          <w:sz w:val="28"/>
          <w:sz w:val="28"/>
          <w:szCs w:val="28"/>
          <w:rtl w:val="true"/>
          <w:lang w:bidi="fa-IR"/>
        </w:rPr>
        <w:t xml:space="preserve">على صدره </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سيما مع ظهور كثير منها في أن المراد من الإزار فيها المئزر كالأولين </w:t>
      </w:r>
      <w:r>
        <w:rPr>
          <w:rStyle w:val="FootnoteAnchor"/>
          <w:rtl w:val="true"/>
        </w:rPr>
        <w:footnoteReference w:id="1157"/>
      </w:r>
      <w:r>
        <w:rPr>
          <w:rFonts w:ascii="Amiri" w:hAnsi="Amiri" w:eastAsia="Amiri" w:cs="Amiri"/>
          <w:color w:val="111111"/>
          <w:sz w:val="28"/>
          <w:sz w:val="28"/>
          <w:szCs w:val="28"/>
          <w:rtl w:val="true"/>
          <w:lang w:bidi="ar-SA"/>
        </w:rPr>
        <w:t xml:space="preserve">، فإنّه لولاه وكان المراد منها اللفّافة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ولفّافتان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الرابع </w:t>
      </w:r>
      <w:r>
        <w:rPr>
          <w:rStyle w:val="FootnoteAnchor"/>
          <w:rtl w:val="true"/>
        </w:rPr>
        <w:footnoteReference w:id="1158"/>
      </w:r>
      <w:r>
        <w:rPr>
          <w:rFonts w:ascii="Amiri" w:hAnsi="Amiri" w:eastAsia="Amiri" w:cs="Amiri"/>
          <w:color w:val="111111"/>
          <w:sz w:val="28"/>
          <w:sz w:val="28"/>
          <w:szCs w:val="28"/>
          <w:rtl w:val="true"/>
          <w:lang w:bidi="ar-SA"/>
        </w:rPr>
        <w:t>، حيث ذكر الإزار واللفافة معا ، سيما مع التصريح بتغطية الصدر والرجلين بالإزار خاصة واللفافة تعمّ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الخامس </w:t>
      </w:r>
      <w:r>
        <w:rPr>
          <w:rStyle w:val="FootnoteAnchor"/>
          <w:rtl w:val="true"/>
        </w:rPr>
        <w:footnoteReference w:id="1159"/>
      </w:r>
      <w:r>
        <w:rPr>
          <w:rFonts w:ascii="Amiri" w:hAnsi="Amiri" w:eastAsia="Amiri" w:cs="Amiri"/>
          <w:color w:val="111111"/>
          <w:sz w:val="28"/>
          <w:sz w:val="28"/>
          <w:szCs w:val="28"/>
          <w:rtl w:val="true"/>
          <w:lang w:bidi="ar-SA"/>
        </w:rPr>
        <w:t>، حيث إنّ في تخصيص لفّ الميت بالبرد خاصة إشعارا بعدمه في الإزار ، وليس إلاّ لعدم وفائه بجميع الجسد فيكون هو المئزر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 مع أنّ المستفاد من بعض الروايات أنّ رسول اللّه صلی اللّه عليه وآله كفّن بالمئزر ، ففي 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ثوبا رسول اللّه صلی اللّه عليه وآله اللذان أحرم فيهما يمانيين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عبري وأظفار ، وفيهما كفّن </w:t>
      </w:r>
      <w:r>
        <w:rPr>
          <w:rFonts w:eastAsia="IRNazanin" w:cs="IRNazanin"/>
          <w:color w:val="111111"/>
          <w:sz w:val="28"/>
          <w:szCs w:val="28"/>
          <w:rtl w:val="true"/>
          <w:lang w:bidi="fa-IR"/>
        </w:rPr>
        <w:t xml:space="preserve">» </w:t>
      </w:r>
      <w:r>
        <w:rPr>
          <w:rStyle w:val="FootnoteAnchor"/>
          <w:rtl w:val="true"/>
        </w:rPr>
        <w:footnoteReference w:id="1160"/>
      </w:r>
      <w:r>
        <w:rPr>
          <w:rFonts w:ascii="Amiri" w:hAnsi="Amiri" w:eastAsia="Amiri" w:cs="Amiri"/>
          <w:color w:val="111111"/>
          <w:sz w:val="28"/>
          <w:sz w:val="28"/>
          <w:szCs w:val="28"/>
          <w:rtl w:val="true"/>
          <w:lang w:bidi="ar-SA"/>
        </w:rPr>
        <w:t>ويأتي في كتاب الحج أن ثوبي الإحرام إزار يتّزر به ورداء يتردّى 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الكلام في صحيحة يونس بن يعقوب عن 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كفّنت أبي في ثوبين شطويين كان يحرم فيهما ، وفي قميص من قمصه ، وعمامة كانت لعلي بن الحسين عليه السلام ، وفي برد اشتريته بأربعين دينارا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ولوجوب تحصيل البراءة اليقينية الحاصلة بالمئزر دون غيره ولو كان ثلاثة أثواب شاملة ، للشك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المتأخّرين </w:t>
      </w:r>
      <w:r>
        <w:rPr>
          <w:rStyle w:val="FootnoteAnchor"/>
          <w:rtl w:val="true"/>
        </w:rPr>
        <w:footnoteReference w:id="1162"/>
      </w:r>
      <w:r>
        <w:rPr>
          <w:rFonts w:ascii="Amiri" w:hAnsi="Amiri" w:eastAsia="Amiri" w:cs="Amiri"/>
          <w:color w:val="111111"/>
          <w:sz w:val="28"/>
          <w:sz w:val="28"/>
          <w:szCs w:val="28"/>
          <w:rtl w:val="true"/>
          <w:lang w:bidi="ar-SA"/>
        </w:rPr>
        <w:t>، فلم يوجبه ، وخيّر بينه وبين لفافة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فلخلوّ الأخبار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الشمول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الدالّ على الوجوب كما عرفت في القميص ، ومنع انحصار توقّف اليقين بالبراءة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لفّافة أخرى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فلإطلاق الثوب الشامل ، ورواية سهل وحسنة حمران ، المتقدّمتين ، بل موثّقة الساباطي وصحيحة محمد ، السابقتين </w:t>
      </w:r>
      <w:r>
        <w:rPr>
          <w:rStyle w:val="FootnoteAnchor"/>
          <w:rtl w:val="true"/>
        </w:rPr>
        <w:footnoteReference w:id="1163"/>
      </w:r>
      <w:r>
        <w:rPr>
          <w:rFonts w:ascii="Amiri" w:hAnsi="Amiri" w:eastAsia="Amiri" w:cs="Amiri"/>
          <w:color w:val="111111"/>
          <w:sz w:val="28"/>
          <w:sz w:val="28"/>
          <w:szCs w:val="28"/>
          <w:rtl w:val="true"/>
          <w:lang w:bidi="ar-SA"/>
        </w:rPr>
        <w:t>كما يأتي بيانهما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ولجلّ الطبقة الثالثة المتقدّم ذكر جماعة منهم </w:t>
      </w:r>
      <w:r>
        <w:rPr>
          <w:rStyle w:val="FootnoteAnchor"/>
          <w:rtl w:val="true"/>
        </w:rPr>
        <w:footnoteReference w:id="1164"/>
      </w:r>
      <w:r>
        <w:rPr>
          <w:rFonts w:ascii="Amiri" w:hAnsi="Amiri" w:eastAsia="Amiri" w:cs="Amiri"/>
          <w:color w:val="111111"/>
          <w:sz w:val="28"/>
          <w:sz w:val="28"/>
          <w:szCs w:val="28"/>
          <w:rtl w:val="true"/>
          <w:lang w:bidi="ar-SA"/>
        </w:rPr>
        <w:t xml:space="preserve">، والمحكي عن الإسكافي </w:t>
      </w:r>
      <w:r>
        <w:rPr>
          <w:rStyle w:val="FootnoteAnchor"/>
          <w:rtl w:val="true"/>
        </w:rPr>
        <w:footnoteReference w:id="1165"/>
      </w:r>
      <w:r>
        <w:rPr>
          <w:rFonts w:ascii="IRNazanin" w:hAnsi="IRNazanin" w:eastAsia="IRNazanin"/>
          <w:color w:val="111111"/>
          <w:sz w:val="28"/>
          <w:sz w:val="28"/>
          <w:szCs w:val="28"/>
          <w:rtl w:val="true"/>
          <w:lang w:bidi="fa-IR"/>
        </w:rPr>
        <w:t xml:space="preserve">والمعتبر </w:t>
      </w:r>
      <w:r>
        <w:rPr>
          <w:rStyle w:val="FootnoteAnchor"/>
          <w:rtl w:val="true"/>
        </w:rPr>
        <w:footnoteReference w:id="1166"/>
      </w:r>
      <w:r>
        <w:rPr>
          <w:rFonts w:ascii="Amiri" w:hAnsi="Amiri" w:eastAsia="Amiri" w:cs="Amiri"/>
          <w:color w:val="111111"/>
          <w:sz w:val="28"/>
          <w:sz w:val="28"/>
          <w:szCs w:val="28"/>
          <w:rtl w:val="true"/>
          <w:lang w:bidi="ar-SA"/>
        </w:rPr>
        <w:t xml:space="preserve">، وظاهر الصدوقين </w:t>
      </w:r>
      <w:r>
        <w:rPr>
          <w:rStyle w:val="FootnoteAnchor"/>
          <w:rtl w:val="true"/>
        </w:rPr>
        <w:footnoteReference w:id="1167"/>
      </w:r>
      <w:r>
        <w:rPr>
          <w:rFonts w:ascii="Amiri" w:hAnsi="Amiri" w:eastAsia="Amiri" w:cs="Amiri"/>
          <w:color w:val="111111"/>
          <w:sz w:val="28"/>
          <w:sz w:val="28"/>
          <w:szCs w:val="28"/>
          <w:rtl w:val="true"/>
          <w:lang w:bidi="ar-SA"/>
        </w:rPr>
        <w:t xml:space="preserve">والعماني والجعفي </w:t>
      </w:r>
      <w:r>
        <w:rPr>
          <w:rStyle w:val="FootnoteAnchor"/>
          <w:rtl w:val="true"/>
        </w:rPr>
        <w:footnoteReference w:id="1168"/>
      </w:r>
      <w:r>
        <w:rPr>
          <w:rFonts w:ascii="Amiri" w:hAnsi="Amiri" w:eastAsia="Amiri" w:cs="Amiri"/>
          <w:color w:val="111111"/>
          <w:sz w:val="28"/>
          <w:sz w:val="28"/>
          <w:szCs w:val="28"/>
          <w:rtl w:val="true"/>
          <w:lang w:bidi="ar-SA"/>
        </w:rPr>
        <w:t>، فلم يجوّزوه بل أوجبوا بدله لفّافة اخرى إمّا مع القميص معيّنا كبعض من ذكر ، أو مخيّرا بينه وبين لفّافة ثالثة كبعض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دليل عليه مع توقّفه على التوقيف ، إذ ليس إلاّ </w:t>
      </w:r>
    </w:p>
    <w:p>
      <w:pPr>
        <w:pStyle w:val="BookText"/>
        <w:rPr/>
      </w:pPr>
      <w:r>
        <w:rPr>
          <w:rFonts w:ascii="Amiri" w:hAnsi="Amiri" w:eastAsia="Amiri" w:cs="Amiri"/>
          <w:color w:val="111111"/>
          <w:sz w:val="28"/>
          <w:sz w:val="28"/>
          <w:szCs w:val="28"/>
          <w:rtl w:val="true"/>
          <w:lang w:bidi="ar-SA"/>
        </w:rPr>
        <w:t xml:space="preserve">الأخبار المتضمّنة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الروايات المشتملة على مطلق الثوب أو الأثواب ، أو ما يصرّح فيه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دليل على إرادة المئزر منه أصلا ، لورود الإزار في اللغة بمعنى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الثوب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الملحفة </w:t>
      </w:r>
      <w:r>
        <w:rPr>
          <w:rStyle w:val="FootnoteAnchor"/>
          <w:rtl w:val="true"/>
        </w:rPr>
        <w:footnoteReference w:id="1169"/>
      </w:r>
      <w:r>
        <w:rPr>
          <w:rFonts w:ascii="Amiri" w:hAnsi="Amiri" w:eastAsia="Amiri" w:cs="Amiri"/>
          <w:color w:val="111111"/>
          <w:sz w:val="28"/>
          <w:sz w:val="28"/>
          <w:szCs w:val="28"/>
          <w:rtl w:val="true"/>
          <w:lang w:bidi="ar-SA"/>
        </w:rPr>
        <w:t>وهي ما يلبس فوق الثياب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بعد ما نقل عنه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بعض اللغويين أنه ثوب شامل لجميع البدن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 وفي كتب الفقه يذكر المئزر مقابلا للإزار ويريدون به غيره ، وحينئذ لا بعد في الاشتراك ويعرف المراد بالقرينة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تثبت الحقيقة الشرعية ولا المتشرعة فيه ، بل المراد منه في كلام أكثر الفقهاء هو الثوب الشامل كما ذكروه مقابلا للمئزر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اتّفقوا على التعبير في اللفّافة الشاملة بالإزار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الأخبار أيضا استعماله في الثوب الشامل وإن أطلق على المئزر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في أكثر أخبار الحمام ورد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في البعض أيضا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يعلم فيه المراد بالقرينة ، ولا قرينة في الأخبار المتقدّمة على إرادة المئزر ، وما ادّعوه قرينة لا يفيد أصلا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ذكره مع اللفافة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يمكن أن يكون لاختلافهما معنى ، حيث إنّ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فوق جميع الثياب ، واللفّافة إمّا أعم أو ما يلفّ به الجسد ملاصقا له ، أو الإزار ما يشمل جميع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واللفّافة ما يلفّ به الميت وجميع ثيابه ، ولمّا كان أحد الثوبين الشاملين إزارا بالمعنى المذكور ، لا محالة عبّر عنه به وعن الآخر باللفّافة ، ولذا عبّر في حسنة </w:t>
      </w:r>
    </w:p>
    <w:p>
      <w:pPr>
        <w:pStyle w:val="BookText"/>
        <w:rPr/>
      </w:pPr>
      <w:r>
        <w:rPr>
          <w:rFonts w:ascii="IRNazanin" w:hAnsi="IRNazanin" w:eastAsia="IRNazanin"/>
          <w:color w:val="111111"/>
          <w:sz w:val="28"/>
          <w:sz w:val="28"/>
          <w:szCs w:val="28"/>
          <w:rtl w:val="true"/>
          <w:lang w:bidi="fa-IR"/>
        </w:rPr>
        <w:t xml:space="preserve">حمران </w:t>
      </w:r>
      <w:r>
        <w:rPr>
          <w:rStyle w:val="FootnoteAnchor"/>
          <w:rtl w:val="true"/>
        </w:rPr>
        <w:footnoteReference w:id="1172"/>
      </w:r>
      <w:r>
        <w:rPr>
          <w:rFonts w:ascii="Amiri" w:hAnsi="Amiri" w:eastAsia="Amiri" w:cs="Amiri"/>
          <w:color w:val="111111"/>
          <w:sz w:val="28"/>
          <w:sz w:val="28"/>
          <w:szCs w:val="28"/>
          <w:rtl w:val="true"/>
          <w:lang w:bidi="ar-SA"/>
        </w:rPr>
        <w:t>عن اللفّافتين باللفافة وبرد يجمع فيه الكفن ، فكما لم يلزم هناك أن يقول لفّافتان ،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يعلم عدم إشعار تخصيص اللفّ بالبرد في بعض الروايات </w:t>
      </w:r>
      <w:r>
        <w:rPr>
          <w:rStyle w:val="FootnoteAnchor"/>
          <w:rtl w:val="true"/>
        </w:rPr>
        <w:footnoteReference w:id="1173"/>
      </w:r>
      <w:r>
        <w:rPr>
          <w:rFonts w:ascii="Amiri" w:hAnsi="Amiri" w:eastAsia="Amiri" w:cs="Amiri"/>
          <w:color w:val="111111"/>
          <w:sz w:val="28"/>
          <w:sz w:val="28"/>
          <w:szCs w:val="28"/>
          <w:rtl w:val="true"/>
          <w:lang w:bidi="ar-SA"/>
        </w:rPr>
        <w:t>بما راموه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السائل في صحيحة ابن سنان </w:t>
      </w:r>
      <w:r>
        <w:rPr>
          <w:rStyle w:val="FootnoteAnchor"/>
          <w:rtl w:val="true"/>
        </w:rPr>
        <w:footnoteReference w:id="1174"/>
      </w:r>
      <w:r>
        <w:rPr>
          <w:rFonts w:ascii="Amiri" w:hAnsi="Amiri" w:eastAsia="Amiri" w:cs="Amiri"/>
          <w:color w:val="111111"/>
          <w:sz w:val="28"/>
          <w:sz w:val="28"/>
          <w:szCs w:val="28"/>
          <w:rtl w:val="true"/>
          <w:lang w:bidi="ar-SA"/>
        </w:rPr>
        <w:t>، فيمكن أن يكون من جهة أنه لمّا كانت الخرقة توارى العورة وتشدّ الرجلين توهّم أنها تكفي عن الثوب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يمكن أن يكون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للإزار ، فإنه يؤنّث أيضا كما صرّح به في القاموس والمجمع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لمّا بين كيفية شد الخرقة سأل السائل عن كيفية الإزار أي المئزر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تعدّ شيئا واجبا أو مستحبا ، ولا فائدة فيها وإنّما تصنع الخرقة الشبيهة بها للضمّ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أيضا ليست قرينة لهم ، بل القرينة على إرادة غير المئزر في كثير منها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التصريح بكونه فوق القميص في المرسلة </w:t>
      </w:r>
      <w:r>
        <w:rPr>
          <w:rStyle w:val="FootnoteAnchor"/>
          <w:rtl w:val="true"/>
        </w:rPr>
        <w:footnoteReference w:id="1175"/>
      </w:r>
      <w:r>
        <w:rPr>
          <w:rFonts w:ascii="Amiri" w:hAnsi="Amiri" w:eastAsia="Amiri" w:cs="Amiri"/>
          <w:color w:val="111111"/>
          <w:sz w:val="28"/>
          <w:sz w:val="28"/>
          <w:szCs w:val="28"/>
          <w:rtl w:val="true"/>
          <w:lang w:bidi="ar-SA"/>
        </w:rPr>
        <w:t xml:space="preserve">والموثّقة </w:t>
      </w:r>
      <w:r>
        <w:rPr>
          <w:rStyle w:val="FootnoteAnchor"/>
          <w:rtl w:val="true"/>
        </w:rPr>
        <w:footnoteReference w:id="1176"/>
      </w:r>
      <w:r>
        <w:rPr>
          <w:rFonts w:ascii="Amiri" w:hAnsi="Amiri" w:eastAsia="Amiri" w:cs="Amiri"/>
          <w:color w:val="111111"/>
          <w:sz w:val="28"/>
          <w:sz w:val="28"/>
          <w:szCs w:val="28"/>
          <w:rtl w:val="true"/>
          <w:lang w:bidi="ar-SA"/>
        </w:rPr>
        <w:t>قرينة على أنه غيره ، لتصريحهم جميعا بأنّ المئزر تحته ، وفوق القميص لا يكون إلاّ اللفّافة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التصريح في الموثّقة بشدّة طولا وأنه أربعة أذرع قرينة معيّنة للثوب الشامل ، لشمول أربعة أذرع للرأس والرجل قطعا ، مضافا إلى أن شد الإزار طولا 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التصريح بتغطية الصدر والرجلين قرينة أخرى ، إذ لا يسمّى مثل ذلك مئزرا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إشعارا على إرادة المئزر غريب ، وليس فيه دلالة على عدم تغطية الرأس حتى لا يكون ثوبا شاملا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وتلفّه في إزاره وحبرته وتبدأ بالشق الأيسر وتمدّ على الأيمن ، </w:t>
      </w:r>
    </w:p>
    <w:p>
      <w:pPr>
        <w:pStyle w:val="BookText"/>
        <w:rPr/>
      </w:pPr>
      <w:r>
        <w:rPr>
          <w:rFonts w:ascii="Amiri" w:hAnsi="Amiri" w:eastAsia="Amiri" w:cs="Amiri"/>
          <w:color w:val="111111"/>
          <w:sz w:val="28"/>
          <w:sz w:val="28"/>
          <w:szCs w:val="28"/>
          <w:rtl w:val="true"/>
          <w:lang w:bidi="ar-SA"/>
        </w:rPr>
        <w:t xml:space="preserve">ثمَّ تمدّ الأيمن على الأيسر ، وإن شئت لم تجعل الحبرة معه حتى تدخله القبر فتلقيه عليه ثمَّ تعمّمه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تلفّ اللفافة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الخبر ، فإنّ في اللف في الإزار إشعارا بأنه غير المئزر ، بل في جمعه مع الحبرة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الحبرة عطفا تفسيريا له أيضا ، بل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w:t>
      </w:r>
      <w:r>
        <w:rPr>
          <w:rStyle w:val="FootnoteAnchor"/>
          <w:rtl w:val="true"/>
        </w:rPr>
        <w:footnoteReference w:id="1178"/>
      </w:r>
      <w:r>
        <w:rPr>
          <w:rFonts w:ascii="Amiri" w:hAnsi="Amiri" w:eastAsia="Amiri" w:cs="Amiri"/>
          <w:color w:val="111111"/>
          <w:sz w:val="28"/>
          <w:sz w:val="28"/>
          <w:szCs w:val="28"/>
          <w:rtl w:val="true"/>
          <w:lang w:bidi="ar-SA"/>
        </w:rPr>
        <w:t>فليست صريحة في المئزر ولا ظاهرة فيه ، لأنّ المنطق على ما صرّح به أهل اللغة ما يشدّ به الوسط ، وهو كما يمكن أن يكون المئزر يمكن أن يكون الخرقة التي تشدّ بها العورة لأنّها أيضا تشدّ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الموثّقة بشدّها في الحقوين اللذين هما معقد المئزر ، كما مرّ من المجمع ، ويحتمل أن يكون المراد بالمنطق ما يشدّ به الثديان أيضا ،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التكفين بثوبي الإحرام فلا يفيد لهم المرام ، إذ التردّي بثوب والاتّزار بالآخر في حالة لا ينافي صلاحيتهما للارتداء في حالة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مع أنّ ما يتردّى به في الإحرام لا يستر الرأس حينئذ ويستره إذا كفّن به ، فيمكن أن يكون كذلك ما اتّزر به في الإحرام ، فيتّزر به في حال ، ويشمل الجميع بالبسط في حال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ثوبي الإحرام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أي روايات الثوب والأثواب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يمكن جعلها من باب المطلق ، وإلاّ لزم خروج الأكثر ، لعدم جواز غير اللفّافة والقميص الواحد والمئزر كذلك إجماعا ، مع أنّ إطلاق ثلاثة أثواب له أفراد غير عديدة إفرادا أو تركيبا ، فيكون من باب التجوّز ، فيحصل فيه الإجمال كما به صرّح جماعة من الأصحاب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منهم من صرّح باختصاص الثوب بالشامل ، 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اللوامع بعد نقل أخبار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المتبادر من الثوب هنا هو الشامل وإن لم يعتبر الشمول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بذلك حسنة الحلبي المتقدّمة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منحصر بالرضوي المشتمل على الخمس </w:t>
      </w:r>
      <w:r>
        <w:rPr>
          <w:rStyle w:val="FootnoteAnchor"/>
          <w:rtl w:val="true"/>
        </w:rPr>
        <w:footnoteReference w:id="1181"/>
      </w:r>
      <w:r>
        <w:rPr>
          <w:rFonts w:ascii="Amiri" w:hAnsi="Amiri" w:eastAsia="Amiri" w:cs="Amiri"/>
          <w:color w:val="111111"/>
          <w:sz w:val="28"/>
          <w:sz w:val="28"/>
          <w:szCs w:val="28"/>
          <w:rtl w:val="true"/>
          <w:lang w:bidi="ar-SA"/>
        </w:rPr>
        <w:t xml:space="preserve">، والظاهر منه إرادة الخرقة الخامسة ، كما فهمه الصدوق وعبّر عنها به في الهداية والفقيه </w:t>
      </w:r>
      <w:r>
        <w:rPr>
          <w:rStyle w:val="FootnoteAnchor"/>
          <w:rtl w:val="true"/>
        </w:rPr>
        <w:footnoteReference w:id="1182"/>
      </w:r>
      <w:r>
        <w:rPr>
          <w:rFonts w:ascii="Amiri" w:hAnsi="Amiri" w:eastAsia="Amiri" w:cs="Amiri"/>
          <w:color w:val="111111"/>
          <w:sz w:val="28"/>
          <w:sz w:val="28"/>
          <w:szCs w:val="28"/>
          <w:rtl w:val="true"/>
          <w:lang w:bidi="ar-SA"/>
        </w:rPr>
        <w:t xml:space="preserve">مأخوذا ما فيه عنه ، ويؤكّده كونها من الخمسة قطعا ، فلو لا أنها المراد يلزم عدم ذكره ، بل صرّح به في موضع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ويضمّ رجليه جميعا ويشدّ فخذيه إلى وركه بالمئزر شدا جيدا لئلاّ يخرج منه شي‌ء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ولو قطع النظر عنه فلا أقلّ من الاحتمال الموجب للإجمال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قيام لفّافة أخرى شاملة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فلرواية سهل وحسنة حمران ، بل صحيحة محمد </w:t>
      </w:r>
      <w:r>
        <w:rPr>
          <w:rStyle w:val="FootnoteAnchor"/>
          <w:rtl w:val="true"/>
        </w:rPr>
        <w:footnoteReference w:id="1184"/>
      </w:r>
      <w:r>
        <w:rPr>
          <w:rFonts w:ascii="Amiri" w:hAnsi="Amiri" w:eastAsia="Amiri" w:cs="Amiri"/>
          <w:color w:val="111111"/>
          <w:sz w:val="28"/>
          <w:sz w:val="28"/>
          <w:szCs w:val="28"/>
          <w:rtl w:val="true"/>
          <w:lang w:bidi="ar-SA"/>
        </w:rPr>
        <w:t xml:space="preserve">على ما عرفت من المراد من المنطق ، وصحيحة زرارة على ما في أكثر نسخ التهذيب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أثواب تام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بل الأخبار المتضمّنة للإزار على ما عرفت من القرينة ، ولصدق الثوب المصرّح به في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الرضوي المصرّح بالخمس ، فإنّ الظاهر أنّ المراد بالمئزر فيه هو الخرقة كما عرفت ، ويلزمه كون اللفّافتين من الأثواب الثلاثة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وحسنة حمران ، المتضمّنة للقميص والبرد الجامع للكفن واللفافة المنحصرة في الثوب الشامل إجماعا ، لعدم لفّ القميص والمئزر ، بل الأول يلبس والثاني يشدّ ويعقد ، كما به في الأخبار عبّر</w:t>
      </w:r>
      <w:r>
        <w:rPr>
          <w:rFonts w:eastAsia="Amiri" w:cs="Amiri" w:ascii="Amiri" w:hAnsi="Amiri"/>
          <w:color w:val="111111"/>
          <w:sz w:val="28"/>
          <w:szCs w:val="28"/>
          <w:rtl w:val="true"/>
          <w:lang w:bidi="ar-SA"/>
        </w:rPr>
        <w:t xml:space="preserve">. </w:t>
      </w:r>
      <w:bookmarkStart w:id="85" w:name="pg11616_94647"/>
    </w:p>
    <w:p>
      <w:pPr>
        <w:pStyle w:val="BookText"/>
        <w:rPr/>
      </w:pPr>
      <w:bookmarkEnd w:id="85"/>
      <w:r>
        <w:rPr>
          <w:rFonts w:ascii="Amiri" w:hAnsi="Amiri" w:eastAsia="Amiri" w:cs="Amiri"/>
          <w:color w:val="111111"/>
          <w:sz w:val="28"/>
          <w:sz w:val="28"/>
          <w:szCs w:val="28"/>
          <w:rtl w:val="true"/>
          <w:lang w:bidi="ar-SA"/>
        </w:rPr>
        <w:t>وصحيحة محمد ، لاستبعاد ترك الخرقة ، فالظاهر أنها المراد من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صحيحة زرارة على ما في أكثر نسخ التهذيب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أثواب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أقحم في قليل من نسخه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الأثواب والتام ، ولكن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عنه ، بل وكذلك ما نقله الفاضلان في المعتبر والمنتهى </w:t>
      </w:r>
      <w:r>
        <w:rPr>
          <w:rStyle w:val="FootnoteAnchor"/>
          <w:rtl w:val="true"/>
        </w:rPr>
        <w:footnoteReference w:id="1186"/>
      </w:r>
      <w:r>
        <w:rPr>
          <w:rFonts w:ascii="IRNazanin" w:hAnsi="IRNazanin" w:eastAsia="IRNazanin"/>
          <w:color w:val="111111"/>
          <w:sz w:val="28"/>
          <w:sz w:val="28"/>
          <w:szCs w:val="28"/>
          <w:rtl w:val="true"/>
          <w:lang w:bidi="fa-IR"/>
        </w:rPr>
        <w:t xml:space="preserve">وصاحب المنتقى </w:t>
      </w:r>
      <w:r>
        <w:rPr>
          <w:rStyle w:val="FootnoteAnchor"/>
          <w:rtl w:val="true"/>
        </w:rPr>
        <w:footnoteReference w:id="118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الساباطي ، لوضوح شمول ما كان أربعة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بسط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للرأس والرجلين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مرسلة يونس ، الدالّة على كون الإزار فوق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تعيّنها ووجوبها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 أدلّته عن الدلالة على الوجوب إلاّ صحيحة زرارة المخرج فيها الفرض عن معناه قطعا ، لعدم القول بمفروضية ثلاثة أثواب تامة على ما فيها من اختلاف النسخ وحزازة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المركّب ، إذ لا قول إلاّ بها أو المئزر ، فبعد انتفاء الثاني 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ولوجوب تحصيل البراءة اليقينية الحاصلة باللفّافتين مع القميص أو بدلها بمقتضى ما ذكرنا من الأدلة ، دون غيرهما ولو لفّافة ومئزر ، للشك في إرادته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5588113_73709187"/>
      <w:bookmarkStart w:id="87" w:name="_Toc34"/>
      <w:bookmarkEnd w:id="86"/>
      <w:r>
        <w:rPr>
          <w:rtl w:val="true"/>
        </w:rPr>
        <w:t xml:space="preserve">فروع </w:t>
      </w:r>
      <w:r>
        <w:rPr>
          <w:rtl w:val="true"/>
        </w:rPr>
        <w:t>:</w:t>
      </w:r>
      <w:bookmarkEnd w:id="8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القميص أن يصل إلى نصف الساق ، كما صرّح به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القواعد وروض الجنان والمسالك والروضة </w:t>
      </w:r>
      <w:r>
        <w:rPr>
          <w:rStyle w:val="FootnoteAnchor"/>
          <w:rtl w:val="true"/>
        </w:rPr>
        <w:footnoteReference w:id="1188"/>
      </w:r>
      <w:r>
        <w:rPr>
          <w:rFonts w:ascii="Amiri" w:hAnsi="Amiri" w:eastAsia="Amiri" w:cs="Amiri"/>
          <w:color w:val="111111"/>
          <w:sz w:val="28"/>
          <w:sz w:val="28"/>
          <w:szCs w:val="28"/>
          <w:rtl w:val="true"/>
          <w:lang w:bidi="ar-SA"/>
        </w:rPr>
        <w:t xml:space="preserve">واللوامع ، لأنه المفهوم منه عرفا ، كما صرّح به في الثلاثة الأخيرة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زيادة قيد التقريب ولعلّه المراد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الأخير جواز كونه إلى القدم بإذن الورثة أو الوصية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لصدق 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تجويزه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للغلبة ، أو استحبابه ، أو احتمال جوازه وإن لم يبلغ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الرابع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 بل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اللفّافة أن تشمل جميع البدن طولا وعرضا ، مع إمكان جعل أحد جانبيه في العرض على الآخر ، لأنه المتبادر ، ولتحقيق معنى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وتجويز الخياطة </w:t>
      </w:r>
      <w:r>
        <w:rPr>
          <w:rStyle w:val="FootnoteAnchor"/>
          <w:rtl w:val="true"/>
        </w:rPr>
        <w:footnoteReference w:id="1191"/>
      </w:r>
      <w:r>
        <w:rPr>
          <w:rFonts w:ascii="Amiri" w:hAnsi="Amiri" w:eastAsia="Amiri" w:cs="Amiri"/>
          <w:color w:val="111111"/>
          <w:sz w:val="28"/>
          <w:sz w:val="28"/>
          <w:szCs w:val="28"/>
          <w:rtl w:val="true"/>
          <w:lang w:bidi="ar-SA"/>
        </w:rPr>
        <w:t>غير جيّد ، لعدم تبادره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الزيادة في الطول بحيث يمكن شدّه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بوجوبها ، لعدم تبادر غيره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 أظهر مع إذن الوارث أو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يستر ما بين السرّة والركبة ، كما عن غير الأول من الكتب المتقدّمة </w:t>
      </w:r>
      <w:r>
        <w:rPr>
          <w:rStyle w:val="FootnoteAnchor"/>
          <w:rtl w:val="true"/>
        </w:rPr>
        <w:footnoteReference w:id="1193"/>
      </w:r>
      <w:r>
        <w:rPr>
          <w:rFonts w:ascii="Amiri" w:hAnsi="Amiri" w:eastAsia="Amiri" w:cs="Amiri"/>
          <w:color w:val="111111"/>
          <w:sz w:val="28"/>
          <w:sz w:val="28"/>
          <w:szCs w:val="28"/>
          <w:rtl w:val="true"/>
          <w:lang w:bidi="ar-SA"/>
        </w:rPr>
        <w:t>، لأنه المفهوم في العرف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يسترهما مع ما بينهما ، كما في الأول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واحتمال الاكتفاء فيه بما يستر العورة </w:t>
      </w:r>
      <w:r>
        <w:rPr>
          <w:rStyle w:val="FootnoteAnchor"/>
          <w:rtl w:val="true"/>
        </w:rPr>
        <w:footnoteReference w:id="1195"/>
      </w:r>
      <w:r>
        <w:rPr>
          <w:rFonts w:ascii="Amiri" w:hAnsi="Amiri" w:eastAsia="Amiri" w:cs="Amiri"/>
          <w:color w:val="111111"/>
          <w:sz w:val="28"/>
          <w:sz w:val="28"/>
          <w:szCs w:val="28"/>
          <w:rtl w:val="true"/>
          <w:lang w:bidi="ar-SA"/>
        </w:rPr>
        <w:t>بعيد ، والتعليل بأنّ وضعه لسترها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المراسم وفي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إلى حيث يبلغ من ساقيه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المصباح ومختصره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إلى حيث يبلغ المئزر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الوسيلة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الصدر إلى الساقين استحبابا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من الصدر إلى الرجلين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الذكرى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المسالك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ستره ما بين الصدر والقدمين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وتجب مراعاة ما تقدّم من الإذن أو الوصية في الزائد عن الواجب ، وإن استند عندهم إلى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ستر البشرة في كلّ من الثلاثة ، أو في المجموع ، أو عدمه مطلقا ثلاثة أوجه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ووالدي ، وجعله في روض الجنان </w:t>
      </w:r>
      <w:r>
        <w:rPr>
          <w:rStyle w:val="FootnoteAnchor"/>
          <w:rtl w:val="true"/>
        </w:rPr>
        <w:footnoteReference w:id="1202"/>
      </w:r>
      <w:r>
        <w:rPr>
          <w:rFonts w:ascii="IRNazanin" w:hAnsi="IRNazanin" w:eastAsia="IRNazanin"/>
          <w:color w:val="111111"/>
          <w:sz w:val="28"/>
          <w:sz w:val="28"/>
          <w:szCs w:val="28"/>
          <w:rtl w:val="true"/>
          <w:lang w:bidi="fa-IR"/>
        </w:rPr>
        <w:t>أحوط ، للتبادر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للروض </w:t>
      </w:r>
      <w:r>
        <w:rPr>
          <w:rStyle w:val="FootnoteAnchor"/>
          <w:rtl w:val="true"/>
        </w:rPr>
        <w:footnoteReference w:id="1203"/>
      </w:r>
      <w:r>
        <w:rPr>
          <w:rFonts w:ascii="Amiri" w:hAnsi="Amiri" w:eastAsia="Amiri" w:cs="Amiri"/>
          <w:color w:val="111111"/>
          <w:sz w:val="28"/>
          <w:sz w:val="28"/>
          <w:szCs w:val="28"/>
          <w:rtl w:val="true"/>
          <w:lang w:bidi="ar-SA"/>
        </w:rPr>
        <w:t xml:space="preserve">، لصحيحة زرارة ، المتقدّمة </w:t>
      </w:r>
      <w:r>
        <w:rPr>
          <w:rStyle w:val="FootnoteAnchor"/>
          <w:rtl w:val="true"/>
        </w:rPr>
        <w:footnoteReference w:id="12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يواري به جسده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لها ، لاحتمال أن يكون المراد شموله للبدن بحيث لا يبقى شي‌ء منه عاريا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للحدائق </w:t>
      </w:r>
      <w:r>
        <w:rPr>
          <w:rStyle w:val="FootnoteAnchor"/>
          <w:rtl w:val="true"/>
        </w:rPr>
        <w:footnoteReference w:id="1205"/>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وإن كان الأحوط الثاني ، بل لا يبعد ترجيحه ، لإطلاق الصحيحة بالنسبة إلى المعنيين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غير الثلاثة إجماعا ، له وللأصل ، والمستفيضة المصرّحة بعدم الزيادة على الخمسة ، واستحباب اثنين منها وهما الخرقة والعمامة ، مع التصريح </w:t>
      </w:r>
    </w:p>
    <w:p>
      <w:pPr>
        <w:pStyle w:val="BookText"/>
        <w:rPr/>
      </w:pPr>
      <w:r>
        <w:rPr>
          <w:rFonts w:ascii="Amiri" w:hAnsi="Amiri" w:eastAsia="Amiri" w:cs="Amiri"/>
          <w:color w:val="111111"/>
          <w:sz w:val="28"/>
          <w:sz w:val="28"/>
          <w:szCs w:val="28"/>
          <w:rtl w:val="true"/>
          <w:lang w:bidi="ar-SA"/>
        </w:rPr>
        <w:t>فيما مرّ بانحصار المفروض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يزاد في أجزاء الكفن للرجل والمرأة جزءان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لشدّ الفخذين ، ويسمّى بالخامسة ، بالإجماعين والمستفيضة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 وروايته ، ومرفوعة سهل ، وحسنة حمران ، وموثّقة الساباطي ، المتقدّمة جميعا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يونس ، السابقة أكثرها في بحث الغسل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 خرقة طويلة عرضها شبر ، فشدّها من حقويه ، وضمّ فخذيه ضما شديدا ، ولفّها في فخذيه ، ثمَّ أخرج رأسها من تحت رجليه إلى الجانب الأيمن واغرزها في الموضع الذي لففت فيه الخرقة ، وتكون الخرقة طويلة يلفّ فخذيه من حقويه إلى ركبتيه لفا شديدا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تكون طويلة ، كما صرّح به في الأخيرة ، بل يكون طولها ثلاثة أذرع ونصف كما في الشرائع والقواعد </w:t>
      </w:r>
      <w:r>
        <w:rPr>
          <w:rStyle w:val="FootnoteAnchor"/>
          <w:rtl w:val="true"/>
        </w:rPr>
        <w:footnoteReference w:id="1208"/>
      </w:r>
      <w:r>
        <w:rPr>
          <w:rFonts w:ascii="Amiri" w:hAnsi="Amiri" w:eastAsia="Amiri" w:cs="Amiri"/>
          <w:color w:val="111111"/>
          <w:sz w:val="28"/>
          <w:sz w:val="28"/>
          <w:szCs w:val="28"/>
          <w:rtl w:val="true"/>
          <w:lang w:bidi="ar-SA"/>
        </w:rPr>
        <w:t>، لسابقتها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تدلّ على وجوب هذا القدر ، فيجوز أن تكون أطول ، كما عن المهذّب والمبسوط والوسيلة </w:t>
      </w:r>
      <w:r>
        <w:rPr>
          <w:rStyle w:val="FootnoteAnchor"/>
          <w:rtl w:val="true"/>
        </w:rPr>
        <w:footnoteReference w:id="1209"/>
      </w:r>
      <w:r>
        <w:rPr>
          <w:rFonts w:ascii="Amiri" w:hAnsi="Amiri" w:eastAsia="Amiri" w:cs="Amiri"/>
          <w:color w:val="111111"/>
          <w:sz w:val="28"/>
          <w:sz w:val="28"/>
          <w:szCs w:val="28"/>
          <w:rtl w:val="true"/>
          <w:lang w:bidi="ar-SA"/>
        </w:rPr>
        <w:t>، أو أقلّ أيضا كما عن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عرضها شبرا ، كما في الأخيرة ، أو ونصف كما في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 ، لحمل السابقة على الأفضلية ، أو المراد فيهما التقريب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بقدر يؤدي هيئتها الآتية </w:t>
      </w:r>
      <w:r>
        <w:rPr>
          <w:rStyle w:val="FootnoteAnchor"/>
          <w:rtl w:val="true"/>
        </w:rPr>
        <w:footnoteReference w:id="1210"/>
      </w:r>
      <w:r>
        <w:rPr>
          <w:rFonts w:ascii="Amiri" w:hAnsi="Amiri" w:eastAsia="Amiri" w:cs="Amiri"/>
          <w:color w:val="111111"/>
          <w:sz w:val="28"/>
          <w:sz w:val="28"/>
          <w:szCs w:val="28"/>
          <w:rtl w:val="true"/>
          <w:lang w:bidi="ar-SA"/>
        </w:rPr>
        <w:t>في الطول ، ويصدق الاسم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العرض ، بالإجماع ، كما في المنتهى ، واللوامع ، وعن المعتبر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بها وباستحبابها بلا معارض مستفيضة ، كما تقدم كثير منها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وعمامة المرأة الخمار ، فهو فيها بدلها في الرجل ، كما في الشرائع والنافع والمنتهى والقواعد </w:t>
      </w:r>
      <w:r>
        <w:rPr>
          <w:rStyle w:val="FootnoteAnchor"/>
          <w:rtl w:val="true"/>
        </w:rPr>
        <w:footnoteReference w:id="1213"/>
      </w:r>
      <w:r>
        <w:rPr>
          <w:rFonts w:ascii="Amiri" w:hAnsi="Amiri" w:eastAsia="Amiri" w:cs="Amiri"/>
          <w:color w:val="111111"/>
          <w:sz w:val="28"/>
          <w:sz w:val="28"/>
          <w:szCs w:val="28"/>
          <w:rtl w:val="true"/>
          <w:lang w:bidi="ar-SA"/>
        </w:rPr>
        <w:t xml:space="preserve">، واللوامع ، وعن الإسكافي والعماني </w:t>
      </w:r>
      <w:r>
        <w:rPr>
          <w:rStyle w:val="FootnoteAnchor"/>
          <w:rtl w:val="true"/>
        </w:rPr>
        <w:footnoteReference w:id="1214"/>
      </w:r>
      <w:r>
        <w:rPr>
          <w:rFonts w:ascii="Amiri" w:hAnsi="Amiri" w:eastAsia="Amiri" w:cs="Amiri"/>
          <w:color w:val="111111"/>
          <w:sz w:val="28"/>
          <w:sz w:val="28"/>
          <w:szCs w:val="28"/>
          <w:rtl w:val="true"/>
          <w:lang w:bidi="ar-SA"/>
        </w:rPr>
        <w:t xml:space="preserve">، والشيخ في أكثر كتبه </w:t>
      </w:r>
      <w:r>
        <w:rPr>
          <w:rStyle w:val="FootnoteAnchor"/>
          <w:rtl w:val="true"/>
        </w:rPr>
        <w:footnoteReference w:id="1215"/>
      </w:r>
      <w:r>
        <w:rPr>
          <w:rFonts w:ascii="IRNazanin" w:hAnsi="IRNazanin" w:eastAsia="IRNazanin"/>
          <w:color w:val="111111"/>
          <w:sz w:val="28"/>
          <w:sz w:val="28"/>
          <w:szCs w:val="28"/>
          <w:rtl w:val="true"/>
          <w:lang w:bidi="fa-IR"/>
        </w:rPr>
        <w:t xml:space="preserve">، والجامع </w:t>
      </w:r>
      <w:r>
        <w:rPr>
          <w:rStyle w:val="FootnoteAnchor"/>
          <w:rtl w:val="true"/>
        </w:rPr>
        <w:footnoteReference w:id="1216"/>
      </w:r>
      <w:r>
        <w:rPr>
          <w:rFonts w:ascii="IRNazanin" w:hAnsi="IRNazanin" w:eastAsia="IRNazanin"/>
          <w:color w:val="111111"/>
          <w:sz w:val="28"/>
          <w:sz w:val="28"/>
          <w:szCs w:val="28"/>
          <w:rtl w:val="true"/>
          <w:lang w:bidi="fa-IR"/>
        </w:rPr>
        <w:t xml:space="preserve">، ونسب إلى المشهور </w:t>
      </w:r>
      <w:r>
        <w:rPr>
          <w:rStyle w:val="FootnoteAnchor"/>
          <w:rtl w:val="true"/>
        </w:rPr>
        <w:footnoteReference w:id="1217"/>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الأصحاب </w:t>
      </w:r>
      <w:r>
        <w:rPr>
          <w:rStyle w:val="FootnoteAnchor"/>
          <w:rtl w:val="true"/>
        </w:rPr>
        <w:footnoteReference w:id="1218"/>
      </w:r>
      <w:r>
        <w:rPr>
          <w:rFonts w:ascii="Amiri" w:hAnsi="Amiri" w:eastAsia="Amiri" w:cs="Amiri"/>
          <w:color w:val="111111"/>
          <w:sz w:val="28"/>
          <w:sz w:val="28"/>
          <w:szCs w:val="28"/>
          <w:rtl w:val="true"/>
          <w:lang w:bidi="ar-SA"/>
        </w:rPr>
        <w:t xml:space="preserve">، 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والنصوص ، كصحيحة محمد ، المتقدّمة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تكفّن المرأة؟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تكفّن في خمسة أثواب أحدها الخمار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والمرأة تكفّن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وخمار ولفافة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ويخمر رأس المرأة بخمار ، ويعمّم الرجل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وبتلك الأخبار تقيّد إطلاقات العمامة ، مع اختصاص كثير منها بالرجل ، مضافا إلى التعارف الموجب للتبادر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أن يزاد للمرأة جزء ثالث هو خرقة أخرى يلفّ بها ثدياها ، كما عن المقنعة والنهاية والمبسوط </w:t>
      </w:r>
      <w:r>
        <w:rPr>
          <w:rStyle w:val="FootnoteAnchor"/>
          <w:rtl w:val="true"/>
        </w:rPr>
        <w:footnoteReference w:id="1223"/>
      </w:r>
      <w:r>
        <w:rPr>
          <w:rFonts w:ascii="Amiri" w:hAnsi="Amiri" w:eastAsia="Amiri" w:cs="Amiri"/>
          <w:color w:val="111111"/>
          <w:sz w:val="28"/>
          <w:sz w:val="28"/>
          <w:szCs w:val="28"/>
          <w:rtl w:val="true"/>
          <w:lang w:bidi="ar-SA"/>
        </w:rPr>
        <w:t xml:space="preserve">، والكامل ، والسرائر وابني حمزة وسعيد ، وفي الشرائع والنافع والمنتهى والقواعد </w:t>
      </w:r>
      <w:r>
        <w:rPr>
          <w:rStyle w:val="FootnoteAnchor"/>
          <w:rtl w:val="true"/>
        </w:rPr>
        <w:footnoteReference w:id="122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واللوامع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رادّا </w:t>
      </w:r>
      <w:r>
        <w:rPr>
          <w:rStyle w:val="FootnoteAnchor"/>
          <w:rtl w:val="true"/>
        </w:rPr>
        <w:footnoteReference w:id="1225"/>
      </w:r>
      <w:r>
        <w:rPr>
          <w:rFonts w:ascii="Amiri" w:hAnsi="Amiri" w:eastAsia="Amiri" w:cs="Amiri"/>
          <w:color w:val="111111"/>
          <w:sz w:val="28"/>
          <w:sz w:val="28"/>
          <w:szCs w:val="28"/>
          <w:rtl w:val="true"/>
          <w:lang w:bidi="ar-SA"/>
        </w:rPr>
        <w:t xml:space="preserve">، لمرفوعة سهل ، المتقدّمة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وظهر ممّا ذكر أنّ الأجزاء المستحبة لكفن الرجل اثنان ، ومع الواجب خمسة ، وللمرأة ثلاثة ، ومع الواجب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يزاد لكلّ منهما غيره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للرجل فيزاد لفافة أخرى حبرة عبرية </w:t>
      </w:r>
      <w:r>
        <w:rPr>
          <w:rStyle w:val="FootnoteAnchor"/>
          <w:rtl w:val="true"/>
        </w:rPr>
        <w:footnoteReference w:id="1227"/>
      </w:r>
      <w:r>
        <w:rPr>
          <w:rFonts w:ascii="Amiri" w:hAnsi="Amiri" w:eastAsia="Amiri" w:cs="Amiri"/>
          <w:color w:val="111111"/>
          <w:sz w:val="28"/>
          <w:sz w:val="28"/>
          <w:szCs w:val="28"/>
          <w:rtl w:val="true"/>
          <w:lang w:bidi="ar-SA"/>
        </w:rPr>
        <w:t xml:space="preserve">، كما في المعتبر والشرائع والنافع والمنتهى والقواعد </w:t>
      </w:r>
      <w:r>
        <w:rPr>
          <w:rStyle w:val="FootnoteAnchor"/>
          <w:rtl w:val="true"/>
        </w:rPr>
        <w:footnoteReference w:id="1228"/>
      </w:r>
      <w:r>
        <w:rPr>
          <w:rFonts w:ascii="Amiri" w:hAnsi="Amiri" w:eastAsia="Amiri" w:cs="Amiri"/>
          <w:color w:val="111111"/>
          <w:sz w:val="28"/>
          <w:sz w:val="28"/>
          <w:szCs w:val="28"/>
          <w:rtl w:val="true"/>
          <w:lang w:bidi="ar-SA"/>
        </w:rPr>
        <w:t xml:space="preserve">، وعن المقنعة والمبسوط والنهاية والإصباح والوسيلة ، والكامل ، والسرائر </w:t>
      </w:r>
      <w:r>
        <w:rPr>
          <w:rStyle w:val="FootnoteAnchor"/>
          <w:rtl w:val="true"/>
        </w:rPr>
        <w:footnoteReference w:id="1229"/>
      </w:r>
      <w:r>
        <w:rPr>
          <w:rFonts w:ascii="Amiri" w:hAnsi="Amiri" w:eastAsia="Amiri" w:cs="Amiri"/>
          <w:color w:val="111111"/>
          <w:sz w:val="28"/>
          <w:sz w:val="28"/>
          <w:szCs w:val="28"/>
          <w:rtl w:val="true"/>
          <w:lang w:bidi="ar-SA"/>
        </w:rPr>
        <w:t xml:space="preserve">وابن زهرة والمختلف والتلخيص والذكرى والتذكرة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 ، وعن الأخيرين ، وشرح القواعد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للأخبار المتكثرة المتضمّنة للحبرة ، لعدم دلالة شي‌ء منها على كونها غير الثلاثة الواجبة وإن اشتمل كثير منها على الإزار التي هي أيضا لفّافة شاملة عند </w:t>
      </w:r>
    </w:p>
    <w:p>
      <w:pPr>
        <w:pStyle w:val="BookText"/>
        <w:rPr/>
      </w:pPr>
      <w:r>
        <w:rPr>
          <w:rFonts w:ascii="Amiri" w:hAnsi="Amiri" w:eastAsia="Amiri" w:cs="Amiri"/>
          <w:color w:val="111111"/>
          <w:sz w:val="28"/>
          <w:sz w:val="28"/>
          <w:szCs w:val="28"/>
          <w:rtl w:val="true"/>
          <w:lang w:bidi="ar-SA"/>
        </w:rPr>
        <w:t>أكثر الطائفة ، لجواز كونها مبنية على ما اخترناه من وجوب اللفّافتين أو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للرضوي المتقدّم </w:t>
      </w:r>
      <w:r>
        <w:rPr>
          <w:rStyle w:val="FootnoteAnchor"/>
          <w:rtl w:val="true"/>
        </w:rPr>
        <w:footnoteReference w:id="1232"/>
      </w:r>
      <w:r>
        <w:rPr>
          <w:rFonts w:ascii="Amiri" w:hAnsi="Amiri" w:eastAsia="Amiri" w:cs="Amiri"/>
          <w:color w:val="111111"/>
          <w:sz w:val="28"/>
          <w:sz w:val="28"/>
          <w:szCs w:val="28"/>
          <w:rtl w:val="true"/>
          <w:lang w:bidi="ar-SA"/>
        </w:rPr>
        <w:t xml:space="preserve">المصرّح باللف في الإزار والحبرة واللفافة ، ومرسلة الجعفي كما عن الذكرى ، المنجبرين بما 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 وعمامة وقميصان ولفافتان ويمنية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للمدارك والبحار </w:t>
      </w:r>
      <w:r>
        <w:rPr>
          <w:rStyle w:val="FootnoteAnchor"/>
          <w:rtl w:val="true"/>
        </w:rPr>
        <w:footnoteReference w:id="1234"/>
      </w:r>
      <w:r>
        <w:rPr>
          <w:rFonts w:ascii="Amiri" w:hAnsi="Amiri" w:eastAsia="Amiri" w:cs="Amiri"/>
          <w:color w:val="111111"/>
          <w:sz w:val="28"/>
          <w:sz w:val="28"/>
          <w:szCs w:val="28"/>
          <w:rtl w:val="true"/>
          <w:lang w:bidi="ar-SA"/>
        </w:rPr>
        <w:t xml:space="preserve">، وعن العماني </w:t>
      </w:r>
      <w:r>
        <w:rPr>
          <w:rStyle w:val="FootnoteAnchor"/>
          <w:rtl w:val="true"/>
        </w:rPr>
        <w:footnoteReference w:id="1235"/>
      </w:r>
      <w:r>
        <w:rPr>
          <w:rFonts w:ascii="Amiri" w:hAnsi="Amiri" w:eastAsia="Amiri" w:cs="Amiri"/>
          <w:color w:val="111111"/>
          <w:sz w:val="28"/>
          <w:sz w:val="28"/>
          <w:szCs w:val="28"/>
          <w:rtl w:val="true"/>
          <w:lang w:bidi="ar-SA"/>
        </w:rPr>
        <w:t xml:space="preserve">، والحلبي </w:t>
      </w:r>
      <w:r>
        <w:rPr>
          <w:rStyle w:val="FootnoteAnchor"/>
          <w:rtl w:val="true"/>
        </w:rPr>
        <w:footnoteReference w:id="1236"/>
      </w:r>
      <w:r>
        <w:rPr>
          <w:rFonts w:ascii="Amiri" w:hAnsi="Amiri" w:eastAsia="Amiri" w:cs="Amiri"/>
          <w:color w:val="111111"/>
          <w:sz w:val="28"/>
          <w:sz w:val="28"/>
          <w:szCs w:val="28"/>
          <w:rtl w:val="true"/>
          <w:lang w:bidi="ar-SA"/>
        </w:rPr>
        <w:t xml:space="preserve">، فما زادوها ، بل قالوا باستحباب كون أحد الثلاثة حبرة ، ولا تظهر زيادتها على الواجب أيضا من كلام والد الصدوق </w:t>
      </w:r>
      <w:r>
        <w:rPr>
          <w:rStyle w:val="FootnoteAnchor"/>
          <w:rtl w:val="true"/>
        </w:rPr>
        <w:footnoteReference w:id="1237"/>
      </w:r>
      <w:r>
        <w:rPr>
          <w:rFonts w:ascii="Amiri" w:hAnsi="Amiri" w:eastAsia="Amiri" w:cs="Amiri"/>
          <w:color w:val="111111"/>
          <w:sz w:val="28"/>
          <w:sz w:val="28"/>
          <w:szCs w:val="28"/>
          <w:rtl w:val="true"/>
          <w:lang w:bidi="ar-SA"/>
        </w:rPr>
        <w:t xml:space="preserve">والجعفي والبصروي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واحتاط بعض مشايخنا بتركها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الزيادة أقوى وأظهر ، لحسنة الحلبي وصحيحة زرارة ومحمد ، المتقدّمتين في صدر المسألة الأولى </w:t>
      </w:r>
      <w:r>
        <w:rPr>
          <w:rStyle w:val="FootnoteAnchor"/>
          <w:rtl w:val="true"/>
        </w:rPr>
        <w:footnoteReference w:id="1240"/>
      </w:r>
      <w:r>
        <w:rPr>
          <w:rFonts w:ascii="Amiri" w:hAnsi="Amiri" w:eastAsia="Amiri" w:cs="Amiri"/>
          <w:color w:val="111111"/>
          <w:sz w:val="28"/>
          <w:sz w:val="28"/>
          <w:szCs w:val="28"/>
          <w:rtl w:val="true"/>
          <w:lang w:bidi="ar-SA"/>
        </w:rPr>
        <w:t>، الراجحتين على ما مرّ بموافقتهما للأصل ، ومخالفتهما للعامة كما تظهر من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المرجع عند المخمصة ، والثانية من المرجّحات المنصوصة ، فلا يعارضهما اعتضاد الأولين بالإجماع المنقول أو الشهرة في الفتوى المحكية ، لعدم صلاحيتهما للمرجحية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عندي أنهم لمّا رأوا اشتمال كثير من الروايات على القميص والإزار والحبرة ، وكانت الإزار عندهم هي اللفافة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تعبيرهم في كتبهم </w:t>
      </w:r>
    </w:p>
    <w:p>
      <w:pPr>
        <w:pStyle w:val="BookText"/>
        <w:rPr/>
      </w:pPr>
      <w:r>
        <w:rPr>
          <w:rFonts w:ascii="Amiri" w:hAnsi="Amiri" w:eastAsia="Amiri" w:cs="Amiri"/>
          <w:color w:val="111111"/>
          <w:sz w:val="28"/>
          <w:sz w:val="28"/>
          <w:szCs w:val="28"/>
          <w:rtl w:val="true"/>
          <w:lang w:bidi="ar-SA"/>
        </w:rPr>
        <w:t xml:space="preserve">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واستنبطوا وجوب المئزر من دليل آخر ، فقالوا بكون الحبرة زائدة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لما لم نعثر على دليل على وجوب المئزر ، لا نفهم من الروايات زيادة على الثلاثة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يوهن عندنا مستند الشهرة وهو يوجب الوهن في نفسها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دلالة الرضوي نظرا من جهة احتمال العطف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دلالة رواية الدعائم </w:t>
      </w:r>
      <w:r>
        <w:rPr>
          <w:rStyle w:val="FootnoteAnchor"/>
          <w:rtl w:val="true"/>
        </w:rPr>
        <w:footnoteReference w:id="1241"/>
      </w:r>
      <w:r>
        <w:rPr>
          <w:rFonts w:ascii="Amiri" w:hAnsi="Amiri" w:eastAsia="Amiri" w:cs="Amiri"/>
          <w:color w:val="111111"/>
          <w:sz w:val="28"/>
          <w:sz w:val="28"/>
          <w:szCs w:val="28"/>
          <w:rtl w:val="true"/>
          <w:lang w:bidi="ar-SA"/>
        </w:rPr>
        <w:t>أيضا ، لجواز كون اللفافتين واليمنية هي الثلاثة الواجبة المخيرة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للزيادة بصحيحة يونس بن يعقوب ، المتقدّمة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احتمالها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 لجواز جعل أحد الشطويين خرقة الشدّ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بزيادة الحبرة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تعويض لفّافة أخرى عنها مع فقدها ، كما عن النهاية والمبسوط والسرائر والإصباح والمهذّب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وأضعف منهما زيادة لفّافتين على الواجب ، كما عن الصدوق </w:t>
      </w:r>
      <w:r>
        <w:rPr>
          <w:rStyle w:val="FootnoteAnchor"/>
          <w:rtl w:val="true"/>
        </w:rPr>
        <w:footnoteReference w:id="1244"/>
      </w:r>
      <w:r>
        <w:rPr>
          <w:rFonts w:ascii="Amiri" w:hAnsi="Amiri" w:eastAsia="Amiri" w:cs="Amiri"/>
          <w:color w:val="111111"/>
          <w:sz w:val="28"/>
          <w:sz w:val="28"/>
          <w:szCs w:val="28"/>
          <w:rtl w:val="true"/>
          <w:lang w:bidi="ar-SA"/>
        </w:rPr>
        <w:t xml:space="preserve">، والتهذيب </w:t>
      </w:r>
      <w:r>
        <w:rPr>
          <w:rStyle w:val="FootnoteAnchor"/>
          <w:rtl w:val="true"/>
        </w:rPr>
        <w:footnoteReference w:id="1245"/>
      </w:r>
      <w:r>
        <w:rPr>
          <w:rFonts w:ascii="Amiri" w:hAnsi="Amiri" w:eastAsia="Amiri" w:cs="Amiri"/>
          <w:color w:val="111111"/>
          <w:sz w:val="28"/>
          <w:sz w:val="28"/>
          <w:szCs w:val="28"/>
          <w:rtl w:val="true"/>
          <w:lang w:bidi="ar-SA"/>
        </w:rPr>
        <w:t xml:space="preserve">، والكامل ، وابن زهرة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الدليل على شي‌ء منهما سوى ما قد يستظهر به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والمرأة إذا كانت عظيمة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ومنطق وخمار ولفّافتين </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بضميمة ما دلّ على تسوية الرجل والمرأة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زاد فهو سنّة إلى أن يبلغ خمسة أثواب ، فما زاد فمبتدع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وبالتصريح بالسبع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يكفّن بثلاث قطع وخمس وسبع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 وعمامة ولفافة ،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 وقميص وعمامة ولفافتان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بحمل السبع على الخمس المذكورة مع لفّافتين ، وإن لم يفسّرها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 لما مرّ من احتمال إرادة خرقة العورة أو الثدي من المنطق ، فتكون اللفّافتان هما الواجبان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خمسة أثواب الثلاثة مع الخامسة والعمامة ، ولو منع فالاحتمال قائم والاستدلال معه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 مع أنه لا يعلم أنّ ذكرها على سبيل الحكم أو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يصلح بنفسه للحجية ، وليس المقام مقام المسامحة ، لإيجابه إتلاف المال والإضاعة المنهي عنهما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للمرأة ، فقد يزاد الحبرة المذكورة ، ونسب زيادتها أيضا إلى الشهرة ، لما ظهر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نفاها في الرجل ، ولبعض من أثبتها فيه ، كما في الشرائع والنافع ، وعن النهاية والوسيلة </w:t>
      </w:r>
      <w:r>
        <w:rPr>
          <w:rStyle w:val="FootnoteAnchor"/>
          <w:rtl w:val="true"/>
        </w:rPr>
        <w:footnoteReference w:id="1250"/>
      </w:r>
      <w:r>
        <w:rPr>
          <w:rFonts w:ascii="Amiri" w:hAnsi="Amiri" w:eastAsia="Amiri" w:cs="Amiri"/>
          <w:color w:val="111111"/>
          <w:sz w:val="28"/>
          <w:sz w:val="28"/>
          <w:szCs w:val="28"/>
          <w:rtl w:val="true"/>
          <w:lang w:bidi="ar-SA"/>
        </w:rPr>
        <w:t>، والإصباح والتلخيص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والنمط ، زاده في النافع والشرائع </w:t>
      </w:r>
      <w:r>
        <w:rPr>
          <w:rStyle w:val="FootnoteAnchor"/>
          <w:rtl w:val="true"/>
        </w:rPr>
        <w:footnoteReference w:id="1251"/>
      </w:r>
      <w:r>
        <w:rPr>
          <w:rFonts w:ascii="IRNazanin" w:hAnsi="IRNazanin" w:eastAsia="IRNazanin"/>
          <w:color w:val="111111"/>
          <w:sz w:val="28"/>
          <w:sz w:val="28"/>
          <w:szCs w:val="28"/>
          <w:rtl w:val="true"/>
          <w:lang w:bidi="fa-IR"/>
        </w:rPr>
        <w:t xml:space="preserve">، والمنتهى والقواعد </w:t>
      </w:r>
      <w:r>
        <w:rPr>
          <w:rStyle w:val="FootnoteAnchor"/>
          <w:rtl w:val="true"/>
        </w:rPr>
        <w:footnoteReference w:id="1252"/>
      </w:r>
      <w:r>
        <w:rPr>
          <w:rFonts w:ascii="Amiri" w:hAnsi="Amiri" w:eastAsia="Amiri" w:cs="Amiri"/>
          <w:color w:val="111111"/>
          <w:sz w:val="28"/>
          <w:sz w:val="28"/>
          <w:szCs w:val="28"/>
          <w:rtl w:val="true"/>
          <w:lang w:bidi="ar-SA"/>
        </w:rPr>
        <w:t xml:space="preserve">، وعن الكامل والمهذّب والمختلف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 وبين لفّافة أخرى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ذكر لفافة أخرى زائدة عن اللفّافة المستحبة للرجل وعدم التعرّض للنمط </w:t>
      </w:r>
      <w:r>
        <w:rPr>
          <w:rStyle w:val="FootnoteAnchor"/>
          <w:rtl w:val="true"/>
        </w:rPr>
        <w:footnoteReference w:id="1255"/>
      </w:r>
      <w:r>
        <w:rPr>
          <w:rFonts w:ascii="Amiri" w:hAnsi="Amiri" w:eastAsia="Amiri" w:cs="Amiri"/>
          <w:color w:val="111111"/>
          <w:sz w:val="28"/>
          <w:sz w:val="28"/>
          <w:szCs w:val="28"/>
          <w:rtl w:val="true"/>
          <w:lang w:bidi="ar-SA"/>
        </w:rPr>
        <w:t>، ولعلّه لعدم دليل عليه من الأخبار ، وعدم كون المقام مقام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الكلام في اللفّافة أيضا ، لما عرفت من عدم ثبوت الزائدة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من وجوب اللفّافتين والتخيير بين الثالثة والقميص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يستدلّون لها في المرأة صحيحة محمد ، بحمل المنطق فيها على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 واحتمال خرقة الفخذين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المنطق كما 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شدّ الخرقة والمئزر عندهم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فتعيين أحدهما تحكّم بارد ، والاستشهاد بفهم بعض الفقهاء </w:t>
      </w:r>
      <w:r>
        <w:rPr>
          <w:rStyle w:val="FootnoteAnchor"/>
          <w:rtl w:val="true"/>
        </w:rPr>
        <w:footnoteReference w:id="1256"/>
      </w:r>
      <w:r>
        <w:rPr>
          <w:rFonts w:ascii="Amiri" w:hAnsi="Amiri" w:eastAsia="Amiri" w:cs="Amiri"/>
          <w:color w:val="111111"/>
          <w:sz w:val="28"/>
          <w:sz w:val="28"/>
          <w:szCs w:val="28"/>
          <w:rtl w:val="true"/>
          <w:lang w:bidi="ar-SA"/>
        </w:rPr>
        <w:t>القائلين بوجوب المئزر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التكفين أن يبدأ بالخامسة ، ويشدّها بعد وضع القطنة ، ثمَّ يؤزره بالمئزر كما يؤزر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يلبسه القميص ، وعلى القول بنفيه يلبسه بعد شدّ الخرقة ، ثمَّ يلفّه بإحدى اللفّافتين ، ثمَّ بالأخرى التي يستحب كونها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نقل الأكفان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العكس ، بأن يبسط الحبرة ، ويبسط عليها اللفّافة ، وعليها القميص ، وينقل إليه الميت بعد أن يشدّ بالخامسة ويؤزر بالمئزر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الترتيب هو المشهور ، ويستفاد في غير المئزر من الأخبار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تقديم الخرقة فمن حسنة حمران </w:t>
      </w:r>
      <w:r>
        <w:rPr>
          <w:rStyle w:val="FootnoteAnchor"/>
          <w:rtl w:val="true"/>
        </w:rPr>
        <w:footnoteReference w:id="1257"/>
      </w:r>
      <w:r>
        <w:rPr>
          <w:rFonts w:ascii="Amiri" w:hAnsi="Amiri" w:eastAsia="Amiri" w:cs="Amiri"/>
          <w:color w:val="111111"/>
          <w:sz w:val="28"/>
          <w:sz w:val="28"/>
          <w:szCs w:val="28"/>
          <w:rtl w:val="true"/>
          <w:lang w:bidi="ar-SA"/>
        </w:rPr>
        <w:t xml:space="preserve">، وصحيحة ابن سنان </w:t>
      </w:r>
      <w:r>
        <w:rPr>
          <w:rStyle w:val="FootnoteAnchor"/>
          <w:rtl w:val="true"/>
        </w:rPr>
        <w:footnoteReference w:id="1258"/>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أن تلبسه القميص تأخذ شيئا من القطن ، وتجعل عليه حنوطه ، وتحشو به دبره ، وتضع شيئا من القطن على قبله ، وتضع شيئا من الحنوط ، </w:t>
      </w:r>
    </w:p>
    <w:p>
      <w:pPr>
        <w:pStyle w:val="BookText"/>
        <w:rPr/>
      </w:pPr>
      <w:r>
        <w:rPr>
          <w:rFonts w:ascii="Amiri" w:hAnsi="Amiri" w:eastAsia="Amiri" w:cs="Amiri"/>
          <w:color w:val="111111"/>
          <w:sz w:val="28"/>
          <w:sz w:val="28"/>
          <w:szCs w:val="28"/>
          <w:rtl w:val="true"/>
          <w:lang w:bidi="ar-SA"/>
        </w:rPr>
        <w:t xml:space="preserve">وتضمّ رجليه جميعا ، وتشدّ فخذيه إلى وركيه بالمئزر شدّا جيدا </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وذلك ظاهر في تأخّر القميص عن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المذكور في موثّقة الساباطي </w:t>
      </w:r>
      <w:r>
        <w:rPr>
          <w:rStyle w:val="FootnoteAnchor"/>
          <w:rtl w:val="true"/>
        </w:rPr>
        <w:footnoteReference w:id="1260"/>
      </w:r>
      <w:r>
        <w:rPr>
          <w:rFonts w:ascii="Amiri" w:hAnsi="Amiri" w:eastAsia="Amiri" w:cs="Amiri"/>
          <w:color w:val="111111"/>
          <w:sz w:val="28"/>
          <w:sz w:val="28"/>
          <w:szCs w:val="28"/>
          <w:rtl w:val="true"/>
          <w:lang w:bidi="ar-SA"/>
        </w:rPr>
        <w:t>أنه يبدأ بالقميص ثمَّ بالخرقة ، والأمر في ذلك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تقديم القميص وتأخير الحبرة ، فمن رواية يونس </w:t>
      </w:r>
      <w:r>
        <w:rPr>
          <w:rStyle w:val="FootnoteAnchor"/>
          <w:rtl w:val="true"/>
        </w:rPr>
        <w:footnoteReference w:id="1261"/>
      </w:r>
      <w:r>
        <w:rPr>
          <w:rFonts w:ascii="Amiri" w:hAnsi="Amiri" w:eastAsia="Amiri" w:cs="Amiri"/>
          <w:color w:val="111111"/>
          <w:sz w:val="28"/>
          <w:sz w:val="28"/>
          <w:szCs w:val="28"/>
          <w:rtl w:val="true"/>
          <w:lang w:bidi="ar-SA"/>
        </w:rPr>
        <w:t>والموثّقة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العمامة ، فصريح الموثّقة شدّها بعد اللفّافة ، وظاهر الحسنة أنه قبله ، بل هو صريح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تعمّمه وتحنكه فيثنى على رأسه بالتدوير ، ويلقى فضل الشق الأيمن على الأيسر والأيسر على الأيمن ، ثمَّ يمدّ على صدره ، ثمَّ يلفّ باللفّافة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الكلام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تلبّس القميص ولفّ اللفافتين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الخرقة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أحد طرفيها في وسط الميت إمّا بشقّ رأسه أو بجعل خيط ونحوه فيه ، ثمَّ يدخل الخرقة بين فخذيه من جانب ، ويضمّ عورته بها ضما شديدا ، ويخرجها من الجانب الآخر ، ويدخلها تحت الشداد الذي على وسطه ، ثمَّ يلفّ حقويه وفخذيه بما بقي منها لفّا شديدا ، فإذا انتهت أدخل طرفها الآخر من الجانب الأيمن تحت الجزء الذي انتهت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يونس دلالة على بعض هذه الأحكام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العمامة فيؤخذ وسطها ، ويثنى على رأسه بالتدوير ، ويلفّ عليه محنكا ، ويخرج طرفاها من تحت الحنك ، ويلقيان على صدره فضل الشق الأيمن على </w:t>
      </w:r>
    </w:p>
    <w:p>
      <w:pPr>
        <w:pStyle w:val="BookText"/>
        <w:rPr/>
      </w:pPr>
      <w:r>
        <w:rPr>
          <w:rFonts w:ascii="Amiri" w:hAnsi="Amiri" w:eastAsia="Amiri" w:cs="Amiri"/>
          <w:color w:val="111111"/>
          <w:sz w:val="28"/>
          <w:sz w:val="28"/>
          <w:szCs w:val="28"/>
          <w:rtl w:val="true"/>
          <w:lang w:bidi="ar-SA"/>
        </w:rPr>
        <w:t>الأيسر والأيسر على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تلك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السابق ، وعلى أكثرها خبر يونس أيضا ، 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العمامة من وسطها ، ثمَّ انشرها على رأسه ، وردّها من تحت لحيته ، وعمّمه ، وأرخ ذنبيها مع صدره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التحنيك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أبي عمير </w:t>
      </w:r>
      <w:r>
        <w:rPr>
          <w:rStyle w:val="FootnoteAnchor"/>
          <w:rtl w:val="true"/>
        </w:rPr>
        <w:footnoteReference w:id="1264"/>
      </w:r>
      <w:r>
        <w:rPr>
          <w:rFonts w:ascii="Amiri" w:hAnsi="Amiri" w:eastAsia="Amiri" w:cs="Amiri"/>
          <w:color w:val="111111"/>
          <w:sz w:val="28"/>
          <w:sz w:val="28"/>
          <w:szCs w:val="28"/>
          <w:rtl w:val="true"/>
          <w:lang w:bidi="ar-SA"/>
        </w:rPr>
        <w:t xml:space="preserve">، والإجماع المحكي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بالكيفية أخبار أخر ، وما ذكرناه أشهر ، وحمل تلك الأخبار عليه ممكن ولو مع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للتكفين سوى ما مرّ واجبات ومستحبات أخر ومكروهات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الواجبات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حريرا بالإجماع ، كما عن المعتبر والتذكرة ونهاية الإحكام والذكرى وفي المدارك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لمضمرة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ثياب تعمل بالبصرة على عمل العصب اليماني من قز وقطن ، هل يصلح أن يكفن فيها الموتى؟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القطن أكثر من القز فلا بأس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الدعائم عن مولانا أمير المؤمنين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نهى أن يكفّن الرجال في ثياب الحرير </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الاستصحاب في الرجال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والاستدلال بالرضوي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يكفّنه في كتان ولا ثوب إبريسم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وبما دلّ على مرجوحية التكفين بثوب الكعبة مع تجويز بيعه وهبته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لعدم دلالتهما على الحرمة بل غايتهما المرجوحية ، سيما مع ضمّ الكتان في الأول ، مضافا إلى عدم نصّية الثاني في أنه لكونه حريرا ، فيمكن أن يكون لسواده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الكفن الحلّة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إذا لا يعتبر فيها أن يكون من الإبريسم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صريح المضمرة اختصاص الجواز بما إذا كان الخليط أكثر ، كما نقل عن جماعة </w:t>
      </w:r>
      <w:r>
        <w:rPr>
          <w:rStyle w:val="FootnoteAnchor"/>
          <w:rtl w:val="true"/>
        </w:rPr>
        <w:footnoteReference w:id="1272"/>
      </w:r>
      <w:r>
        <w:rPr>
          <w:rFonts w:ascii="Amiri" w:hAnsi="Amiri" w:eastAsia="Amiri" w:cs="Amiri"/>
          <w:color w:val="111111"/>
          <w:sz w:val="28"/>
          <w:sz w:val="28"/>
          <w:szCs w:val="28"/>
          <w:rtl w:val="true"/>
          <w:lang w:bidi="ar-SA"/>
        </w:rPr>
        <w:t>، فلا يجوز بالممتزج الذي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والاقتصاد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الممتزج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مقتضى إطلاقها تعميم المنع للمرأة أيضا ، وعن الذكرى الإجماع عليه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الجواز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وعن نهاية الإحكام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والاستصحاب بما مرّ مندفع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يحتمل الجواز لها في الخرقة والخمار ، بناء على ما صرّح به في بعض الأخبار من عدم كونهما من الكفن </w:t>
      </w:r>
      <w:r>
        <w:rPr>
          <w:rStyle w:val="FootnoteAnchor"/>
          <w:rtl w:val="true"/>
        </w:rPr>
        <w:footnoteReference w:id="1276"/>
      </w:r>
      <w:r>
        <w:rPr>
          <w:rFonts w:ascii="Amiri" w:hAnsi="Amiri" w:eastAsia="Amiri" w:cs="Amiri"/>
          <w:color w:val="111111"/>
          <w:sz w:val="28"/>
          <w:sz w:val="28"/>
          <w:szCs w:val="28"/>
          <w:rtl w:val="true"/>
          <w:lang w:bidi="ar-SA"/>
        </w:rPr>
        <w:t>، واختصاص النهي بالتكفين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تعدّي الجواز إلى العمامة والخرقة للرجال أيضا ، إلاّ أنّ بإزاء ما ذكر روايات أخر </w:t>
      </w:r>
    </w:p>
    <w:p>
      <w:pPr>
        <w:pStyle w:val="BookText"/>
        <w:rPr/>
      </w:pPr>
      <w:r>
        <w:rPr>
          <w:rFonts w:ascii="Amiri" w:hAnsi="Amiri" w:eastAsia="Amiri" w:cs="Amiri"/>
          <w:color w:val="111111"/>
          <w:sz w:val="28"/>
          <w:sz w:val="28"/>
          <w:szCs w:val="28"/>
          <w:rtl w:val="true"/>
          <w:lang w:bidi="ar-SA"/>
        </w:rPr>
        <w:t>دالّة على أنهما من الكفن ، والظاهر الجمع بحمل النفي على الواجب ، والإثبات على المندوب ، ويلزمه التحريم في الرجل والمرأة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الكفن أن يكون ممّا تجوز فيه الصلاة ، كما في النافع والقواعد واللوامع ، وعن الوسيلة والكافي والغنية </w:t>
      </w:r>
      <w:r>
        <w:rPr>
          <w:rStyle w:val="FootnoteAnchor"/>
          <w:rtl w:val="true"/>
        </w:rPr>
        <w:footnoteReference w:id="12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دليل على الكلية من الأخبار والأصل ، وصدق نحو القميص والعمامة والإزار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اقتصر جماعة كما في الشرائع والمنتهى ، وعن المبسوط والنهاية والاقتصاد </w:t>
      </w:r>
      <w:r>
        <w:rPr>
          <w:rStyle w:val="FootnoteAnchor"/>
          <w:rtl w:val="true"/>
        </w:rPr>
        <w:footnoteReference w:id="1278"/>
      </w:r>
      <w:r>
        <w:rPr>
          <w:rFonts w:ascii="Amiri" w:hAnsi="Amiri" w:eastAsia="Amiri" w:cs="Amiri"/>
          <w:color w:val="111111"/>
          <w:sz w:val="28"/>
          <w:sz w:val="28"/>
          <w:szCs w:val="28"/>
          <w:rtl w:val="true"/>
          <w:lang w:bidi="ar-SA"/>
        </w:rPr>
        <w:t xml:space="preserve">والجامع والمعتبر والتحرير ونهاية الإحكام </w:t>
      </w:r>
      <w:r>
        <w:rPr>
          <w:rStyle w:val="FootnoteAnchor"/>
          <w:rtl w:val="true"/>
        </w:rPr>
        <w:footnoteReference w:id="1279"/>
      </w:r>
      <w:r>
        <w:rPr>
          <w:rFonts w:ascii="Amiri" w:hAnsi="Amiri" w:eastAsia="Amiri" w:cs="Amiri"/>
          <w:color w:val="111111"/>
          <w:sz w:val="28"/>
          <w:sz w:val="28"/>
          <w:szCs w:val="28"/>
          <w:rtl w:val="true"/>
          <w:lang w:bidi="ar-SA"/>
        </w:rPr>
        <w:t xml:space="preserve">، والتذكرة </w:t>
      </w:r>
      <w:r>
        <w:rPr>
          <w:rStyle w:val="FootnoteAnchor"/>
          <w:rtl w:val="true"/>
        </w:rPr>
        <w:footnoteReference w:id="1280"/>
      </w:r>
      <w:r>
        <w:rPr>
          <w:rFonts w:ascii="Amiri" w:hAnsi="Amiri" w:eastAsia="Amiri" w:cs="Amiri"/>
          <w:color w:val="111111"/>
          <w:sz w:val="28"/>
          <w:sz w:val="28"/>
          <w:szCs w:val="28"/>
          <w:rtl w:val="true"/>
          <w:lang w:bidi="ar-SA"/>
        </w:rPr>
        <w:t>، على المنع من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يستظهر </w:t>
      </w:r>
      <w:r>
        <w:rPr>
          <w:rStyle w:val="FootnoteAnchor"/>
          <w:rtl w:val="true"/>
        </w:rPr>
        <w:footnoteReference w:id="1281"/>
      </w:r>
      <w:r>
        <w:rPr>
          <w:rFonts w:ascii="Amiri" w:hAnsi="Amiri" w:eastAsia="Amiri" w:cs="Amiri"/>
          <w:color w:val="111111"/>
          <w:sz w:val="28"/>
          <w:sz w:val="28"/>
          <w:szCs w:val="28"/>
          <w:rtl w:val="true"/>
          <w:lang w:bidi="ar-SA"/>
        </w:rPr>
        <w:t xml:space="preserve">للكلية باختصاص أخبار التكفين بحكم التبادر بالقطن ، مضافا إلى الأمر به المستلزم للوجوب في 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الكفن يكون بردا ، فإن لم يكن برد فاجعله كلّه قطنا ، فإن لم تجد عمامة قطن فاجعل العمامة سابريا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به ما أجمع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جواز الباقي ومنه ما لا تتمّ فيه الصلاة خاليا عن الدليل ، وهو كاف في المنع ، لوجوب تحصيل البراءة اليقينية في مثل المقام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تمَّ ذلك لا نحصر الجواز في القطن ، ولثبت المنع عن الجلد </w:t>
      </w:r>
    </w:p>
    <w:p>
      <w:pPr>
        <w:pStyle w:val="BookText"/>
        <w:rPr/>
      </w:pPr>
      <w:r>
        <w:rPr>
          <w:rFonts w:ascii="Amiri" w:hAnsi="Amiri" w:eastAsia="Amiri" w:cs="Amiri"/>
          <w:color w:val="111111"/>
          <w:sz w:val="28"/>
          <w:sz w:val="28"/>
          <w:szCs w:val="28"/>
          <w:rtl w:val="true"/>
          <w:lang w:bidi="ar-SA"/>
        </w:rPr>
        <w:t xml:space="preserve">ولو عمّا يؤكل بعد التذكية ، كما عن المعتبر والتذكرة ونهاية الإحكام والذكرى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استشكل في بعضها </w:t>
      </w:r>
      <w:r>
        <w:rPr>
          <w:rStyle w:val="FootnoteAnchor"/>
          <w:rtl w:val="true"/>
        </w:rPr>
        <w:footnoteReference w:id="1284"/>
      </w:r>
      <w:r>
        <w:rPr>
          <w:rFonts w:ascii="Amiri" w:hAnsi="Amiri" w:eastAsia="Amiri" w:cs="Amiri"/>
          <w:color w:val="111111"/>
          <w:sz w:val="28"/>
          <w:sz w:val="28"/>
          <w:szCs w:val="28"/>
          <w:rtl w:val="true"/>
          <w:lang w:bidi="ar-SA"/>
        </w:rPr>
        <w:t xml:space="preserve">في المذكى ممّا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الصوف والشعر والوبر ، كما عن الإسكافي </w:t>
      </w:r>
      <w:r>
        <w:rPr>
          <w:rStyle w:val="FootnoteAnchor"/>
          <w:rtl w:val="true"/>
        </w:rPr>
        <w:footnoteReference w:id="1285"/>
      </w:r>
      <w:r>
        <w:rPr>
          <w:rFonts w:ascii="Amiri" w:hAnsi="Amiri" w:eastAsia="Amiri" w:cs="Amiri"/>
          <w:color w:val="111111"/>
          <w:sz w:val="28"/>
          <w:sz w:val="28"/>
          <w:szCs w:val="28"/>
          <w:rtl w:val="true"/>
          <w:lang w:bidi="ar-SA"/>
        </w:rPr>
        <w:t xml:space="preserve">، وعن الكتان ، كما عن الصدوق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يخدشه أنّ الظاهر انعقاد الإجماع في الكتان والصوف ، لعدم قدح مخالفة من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في الأخير إلى الرضوي المنجبر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في ثوب صوف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يسقط الاستدلال بالموثّقة ، إذ بعد ثبوت الجواز في غير القطن يخرج الأمر به عن الوجوب ، فلا يصير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الوجوب التخييري ليس أولى من الاستحباب ، لكونهما مجازين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ينبغي الريب في صدق الثوب والقميص والإزار واللفّافة والعمامة على المنسوج من الصوف والشعر والوبر ، وإطلاقها عليه شائع ، كما في الكساء وقباء الصوف وعمامة الخز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إطلاقاتها أدلّة لهذه الأمور ولو كانت ممّا لا يؤكل ولا تجوز الصلاة فيه ، ومعه لا ينتهض وجوب تحصيل اليقين بالبراءة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يحسن فيما لا يشمله الإطلاق أو يشك في الشمول ، كالجلد والحصر ونحوهما ، حيث إنه لا يعلم دخوله في المأمور به ، فلا يعلم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مغصوبا ، للإجماع ، وللنهي عن التصرف في مال الغير بدون إذنه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لا يكون نجسا ، لظاهر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الاستدلال له </w:t>
      </w:r>
      <w:r>
        <w:rPr>
          <w:rStyle w:val="FootnoteAnchor"/>
          <w:rtl w:val="true"/>
        </w:rPr>
        <w:footnoteReference w:id="1288"/>
      </w:r>
      <w:r>
        <w:rPr>
          <w:rFonts w:ascii="Amiri" w:hAnsi="Amiri" w:eastAsia="Amiri" w:cs="Amiri"/>
          <w:color w:val="111111"/>
          <w:sz w:val="28"/>
          <w:sz w:val="28"/>
          <w:szCs w:val="28"/>
          <w:rtl w:val="true"/>
          <w:lang w:bidi="ar-SA"/>
        </w:rPr>
        <w:t xml:space="preserve">بوجوب إزالة </w:t>
      </w:r>
    </w:p>
    <w:p>
      <w:pPr>
        <w:pStyle w:val="BookText"/>
        <w:rPr/>
      </w:pPr>
      <w:r>
        <w:rPr>
          <w:rFonts w:ascii="Amiri" w:hAnsi="Amiri" w:eastAsia="Amiri" w:cs="Amiri"/>
          <w:color w:val="111111"/>
          <w:sz w:val="28"/>
          <w:sz w:val="28"/>
          <w:szCs w:val="28"/>
          <w:rtl w:val="true"/>
          <w:lang w:bidi="ar-SA"/>
        </w:rPr>
        <w:t>النجاسة العارضة من الميت عن الكفن نظر ، لجواز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خولف أحد الثلاثة ، وكفّن في النجس أو المغصوب أو الحرير ، فهل حصل التكفين وسقط الوجوب الكفائي وإن أثم المباشر ، أو لم يحصل ووجب على المكلّفين التكفين كفاية ثانية؟</w:t>
      </w:r>
    </w:p>
    <w:p>
      <w:pPr>
        <w:pStyle w:val="BookText"/>
        <w:rPr/>
      </w:pPr>
      <w:r>
        <w:rPr>
          <w:rFonts w:ascii="Amiri" w:hAnsi="Amiri" w:eastAsia="Amiri" w:cs="Amiri"/>
          <w:color w:val="111111"/>
          <w:sz w:val="28"/>
          <w:sz w:val="28"/>
          <w:szCs w:val="28"/>
          <w:rtl w:val="true"/>
          <w:lang w:bidi="ar-SA"/>
        </w:rPr>
        <w:t>مقتضى الأصول الثاني ، لأنّ النهي يستلزم عدم كون الفرد المنهي عنه مأمورا به ، فلم يمتثل الأمر الواجب امتثاله كفاية ، فيبقى الوجوب الكفائي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تقييد الأوامر بحالة عدم كونه مستورا بهذا النحو من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ترتّب سائر آثار التكفين عليه ، كتأخّر الصلاة والدفن ، لظهور أن المراد الكفن المشروع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تجب في التكفين النية ، كما هو ظاهر المحكي عن الروض </w:t>
      </w:r>
      <w:r>
        <w:rPr>
          <w:rStyle w:val="FootnoteAnchor"/>
          <w:rtl w:val="true"/>
        </w:rPr>
        <w:footnoteReference w:id="12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نعم ، لوجوب امتثال أوامر التكفين المتوقّف على النية عرفا ، فلو كفّن بدونها لم يمتثل ، ويلزمه وجوب التكفين ثانيا مع النية ، لعدم دليل على سقوط التكليف الكفائي بدون 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المطلوب مجرّد الستر على النحو الخاص ، كما في إزالة الخبث والأمر بالمعروف والشهادة ونحوها فاسد ، لأن في هذه الأمور وإن لم يمتثل الأمر ، إلاّ أنه لمّا تحقّقت الفائدة المطلوبة في الخارج لم يبق أمر حتى يجب امتثاله ، لامتناع تحصيل الحاصل ، والمطلوب في المقام غير معلوم ، وكونه هو الستر الخاص فقط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المقصود نفس التعبّد أو هما معا؟ ولذا لا يسقط التكليف بحصول ذلك الستر من غير المكلّف ، كريح أو سيل أو نحوه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مستحباته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يكون الكفن من طهور أموال كلّ شخص ، لمرسلة الفقيه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حجّ صرورتنا ومهور نسائنا وأكفاننا من طهور أموالنا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يكون قطنا بالإجماع ، كما عن المعتبر والتذكرة ونهاية الإحكام </w:t>
      </w:r>
      <w:r>
        <w:rPr>
          <w:rStyle w:val="FootnoteAnchor"/>
          <w:rtl w:val="true"/>
        </w:rPr>
        <w:footnoteReference w:id="1291"/>
      </w:r>
      <w:r>
        <w:rPr>
          <w:rFonts w:ascii="Amiri" w:hAnsi="Amiri" w:eastAsia="Amiri" w:cs="Amiri"/>
          <w:color w:val="111111"/>
          <w:sz w:val="28"/>
          <w:sz w:val="28"/>
          <w:szCs w:val="28"/>
          <w:rtl w:val="true"/>
          <w:lang w:bidi="ar-SA"/>
        </w:rPr>
        <w:t xml:space="preserve">، وفي اللوامع ، له ، ولموثّقة عمّار ، المتقدّمة </w:t>
      </w:r>
      <w:r>
        <w:rPr>
          <w:rStyle w:val="FootnoteAnchor"/>
          <w:rtl w:val="true"/>
        </w:rPr>
        <w:footnoteReference w:id="1292"/>
      </w:r>
      <w:r>
        <w:rPr>
          <w:rFonts w:ascii="IRNazanin" w:hAnsi="IRNazanin" w:eastAsia="IRNazanin"/>
          <w:color w:val="111111"/>
          <w:sz w:val="28"/>
          <w:sz w:val="28"/>
          <w:szCs w:val="28"/>
          <w:rtl w:val="true"/>
          <w:lang w:bidi="fa-IR"/>
        </w:rPr>
        <w:t xml:space="preserve">، ولخبر أبي خديجة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الكتان كان لبني إسرائيل يكفنون به ، والقطن لامة محمد صلی اللّه عليه وآله </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محضا ، كما في المنتهى </w:t>
      </w:r>
      <w:r>
        <w:rPr>
          <w:rStyle w:val="FootnoteAnchor"/>
          <w:rtl w:val="true"/>
        </w:rPr>
        <w:footnoteReference w:id="1294"/>
      </w:r>
      <w:r>
        <w:rPr>
          <w:rFonts w:ascii="Amiri" w:hAnsi="Amiri" w:eastAsia="Amiri" w:cs="Amiri"/>
          <w:color w:val="111111"/>
          <w:sz w:val="28"/>
          <w:sz w:val="28"/>
          <w:szCs w:val="28"/>
          <w:rtl w:val="true"/>
          <w:lang w:bidi="ar-SA"/>
        </w:rPr>
        <w:t xml:space="preserve">، وعن المبسوط والوسيلة </w:t>
      </w:r>
      <w:r>
        <w:rPr>
          <w:rStyle w:val="FootnoteAnchor"/>
          <w:rtl w:val="true"/>
        </w:rPr>
        <w:footnoteReference w:id="1295"/>
      </w:r>
      <w:r>
        <w:rPr>
          <w:rFonts w:ascii="Amiri" w:hAnsi="Amiri" w:eastAsia="Amiri" w:cs="Amiri"/>
          <w:color w:val="111111"/>
          <w:sz w:val="28"/>
          <w:sz w:val="28"/>
          <w:szCs w:val="28"/>
          <w:rtl w:val="true"/>
          <w:lang w:bidi="ar-SA"/>
        </w:rPr>
        <w:t xml:space="preserve">، والإصباح ، بل عليه الإجماع عن نهاية الإحكام </w:t>
      </w:r>
      <w:r>
        <w:rPr>
          <w:rStyle w:val="FootnoteAnchor"/>
          <w:rtl w:val="true"/>
        </w:rPr>
        <w:footnoteReference w:id="1296"/>
      </w:r>
      <w:r>
        <w:rPr>
          <w:rFonts w:ascii="Amiri" w:hAnsi="Amiri" w:eastAsia="Amiri" w:cs="Amiri"/>
          <w:color w:val="111111"/>
          <w:sz w:val="28"/>
          <w:sz w:val="28"/>
          <w:szCs w:val="28"/>
          <w:rtl w:val="true"/>
          <w:lang w:bidi="ar-SA"/>
        </w:rPr>
        <w:t>، لأنه المتبادر من كونه قطنا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 بلا خلاف ، كما في المنتهى </w:t>
      </w:r>
      <w:r>
        <w:rPr>
          <w:rStyle w:val="FootnoteAnchor"/>
          <w:rtl w:val="true"/>
        </w:rPr>
        <w:footnoteReference w:id="1297"/>
      </w:r>
      <w:r>
        <w:rPr>
          <w:rFonts w:ascii="IRNazanin" w:hAnsi="IRNazanin" w:eastAsia="IRNazanin"/>
          <w:color w:val="111111"/>
          <w:sz w:val="28"/>
          <w:sz w:val="28"/>
          <w:szCs w:val="28"/>
          <w:rtl w:val="true"/>
          <w:lang w:bidi="fa-IR"/>
        </w:rPr>
        <w:t xml:space="preserve">، وعن الخلاف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إجماعا كما عن نهاية الإحكام والمعتبر </w:t>
      </w:r>
      <w:r>
        <w:rPr>
          <w:rStyle w:val="FootnoteAnchor"/>
          <w:rtl w:val="true"/>
        </w:rPr>
        <w:footnoteReference w:id="1299"/>
      </w:r>
      <w:r>
        <w:rPr>
          <w:rFonts w:ascii="Amiri" w:hAnsi="Amiri" w:eastAsia="Amiri" w:cs="Amiri"/>
          <w:color w:val="111111"/>
          <w:sz w:val="28"/>
          <w:sz w:val="28"/>
          <w:szCs w:val="28"/>
          <w:rtl w:val="true"/>
          <w:lang w:bidi="ar-SA"/>
        </w:rPr>
        <w:t xml:space="preserve">، لخبري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لباسكم شي‌ء أحسن من البياض ، فالبسوه وكفّنوا به موتاكم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البسوا البياض ، فإنه أطيب وأطهر ، وكفّنوا فيه موتاكم </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لا يلبس إلاّ البياض أكثر ما يلبس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تكفين الموتى </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مجالس ابن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ثيابكم البياض ، فليلبسه أحياؤكم وكفّنوا فيه موتاكم </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ويستثنى منه الحبرة ، فالمستحب فيها الحمرة ، للمعتبرة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وجديدا ، بلا خلاف ، كما في المنتهى ، وشرح القواعد الكركي </w:t>
      </w:r>
      <w:r>
        <w:rPr>
          <w:rStyle w:val="FootnoteAnchor"/>
          <w:rtl w:val="true"/>
        </w:rPr>
        <w:footnoteReference w:id="1305"/>
      </w:r>
      <w:r>
        <w:rPr>
          <w:rFonts w:ascii="IRNazanin" w:hAnsi="IRNazanin" w:eastAsia="IRNazanin"/>
          <w:color w:val="111111"/>
          <w:sz w:val="28"/>
          <w:sz w:val="28"/>
          <w:szCs w:val="28"/>
          <w:rtl w:val="true"/>
          <w:lang w:bidi="fa-IR"/>
        </w:rPr>
        <w:t xml:space="preserve">، لأنّ النبي صلی اللّه عليه وآله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كفّنوا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ثوب كان يصلي فيه ، كما في المنتهى </w:t>
      </w:r>
      <w:r>
        <w:rPr>
          <w:rStyle w:val="FootnoteAnchor"/>
          <w:rtl w:val="true"/>
        </w:rPr>
        <w:footnoteReference w:id="1306"/>
      </w:r>
      <w:r>
        <w:rPr>
          <w:rFonts w:ascii="IRNazanin" w:hAnsi="IRNazanin" w:eastAsia="IRNazanin"/>
          <w:color w:val="111111"/>
          <w:sz w:val="28"/>
          <w:sz w:val="28"/>
          <w:szCs w:val="28"/>
          <w:rtl w:val="true"/>
          <w:lang w:bidi="fa-IR"/>
        </w:rPr>
        <w:t>، 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اتّخاذ الكفن عن أفخر الثياب وأحسنها </w:t>
      </w:r>
      <w:r>
        <w:rPr>
          <w:rStyle w:val="FootnoteAnchor"/>
          <w:rtl w:val="true"/>
        </w:rPr>
        <w:footnoteReference w:id="1307"/>
      </w:r>
      <w:r>
        <w:rPr>
          <w:rFonts w:ascii="Amiri" w:hAnsi="Amiri" w:eastAsia="Amiri" w:cs="Amiri"/>
          <w:color w:val="111111"/>
          <w:sz w:val="28"/>
          <w:sz w:val="28"/>
          <w:szCs w:val="28"/>
          <w:rtl w:val="true"/>
          <w:lang w:bidi="ar-SA"/>
        </w:rPr>
        <w:t xml:space="preserve">، لمرسلة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أجيدوا أكفان موتاكم فإنها زينتهم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ونحوها المروي عن مدينة العلم </w:t>
      </w:r>
      <w:r>
        <w:rPr>
          <w:rStyle w:val="FootnoteAnchor"/>
          <w:rtl w:val="true"/>
        </w:rPr>
        <w:footnoteReference w:id="1309"/>
      </w:r>
      <w:r>
        <w:rPr>
          <w:rFonts w:ascii="Amiri" w:hAnsi="Amiri" w:eastAsia="Amiri" w:cs="Amiri"/>
          <w:color w:val="111111"/>
          <w:sz w:val="28"/>
          <w:sz w:val="28"/>
          <w:szCs w:val="28"/>
          <w:rtl w:val="true"/>
          <w:lang w:bidi="ar-SA"/>
        </w:rPr>
        <w:t xml:space="preserve">، والعلل ، وفلاح السائل ، ودعوات الراوندي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تنوّقوا في الأكفان ، فإنكم تبعثون بها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والتنوق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التجود والمبالغة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يونس ، المتقدّمة </w:t>
      </w:r>
      <w:r>
        <w:rPr>
          <w:rStyle w:val="FootnoteAnchor"/>
          <w:rtl w:val="true"/>
        </w:rPr>
        <w:footnoteReference w:id="131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من جملة أكفانه ثوب صلّى فيه ، لمرسلة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في كفنه ثوب كان يصلّي فيه نظيف ، فإنّ ذلك يستحب أن يكفّن فيما كان </w:t>
      </w:r>
    </w:p>
    <w:p>
      <w:pPr>
        <w:pStyle w:val="BookText"/>
        <w:rPr/>
      </w:pPr>
      <w:r>
        <w:rPr>
          <w:rFonts w:ascii="Amiri" w:hAnsi="Amiri" w:eastAsia="Amiri" w:cs="Amiri"/>
          <w:color w:val="111111"/>
          <w:sz w:val="28"/>
          <w:sz w:val="28"/>
          <w:szCs w:val="28"/>
          <w:rtl w:val="true"/>
          <w:lang w:bidi="ar-SA"/>
        </w:rPr>
        <w:t xml:space="preserve">يصلّي فيه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تكفّنه فإن استطعت أن يكون في كفنه ثوب كان يصلّي فيه نظيف فافعل </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رواية سهل ، المتقدّمة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يخاط بخيوطه لا من غيره ، كما في القواعد والشرائع والمنتهى </w:t>
      </w:r>
      <w:r>
        <w:rPr>
          <w:rStyle w:val="FootnoteAnchor"/>
          <w:rtl w:val="true"/>
        </w:rPr>
        <w:footnoteReference w:id="1316"/>
      </w:r>
      <w:r>
        <w:rPr>
          <w:rFonts w:ascii="IRNazanin" w:hAnsi="IRNazanin" w:eastAsia="IRNazanin"/>
          <w:color w:val="111111"/>
          <w:sz w:val="28"/>
          <w:sz w:val="28"/>
          <w:szCs w:val="28"/>
          <w:rtl w:val="true"/>
          <w:lang w:bidi="fa-IR"/>
        </w:rPr>
        <w:t xml:space="preserve">، وعن المبسوط والجامع </w:t>
      </w:r>
      <w:r>
        <w:rPr>
          <w:rStyle w:val="FootnoteAnchor"/>
          <w:rtl w:val="true"/>
        </w:rPr>
        <w:footnoteReference w:id="1317"/>
      </w:r>
      <w:r>
        <w:rPr>
          <w:rFonts w:ascii="IRNazanin" w:hAnsi="IRNazanin" w:eastAsia="IRNazanin"/>
          <w:color w:val="111111"/>
          <w:sz w:val="28"/>
          <w:sz w:val="28"/>
          <w:szCs w:val="28"/>
          <w:rtl w:val="true"/>
          <w:lang w:bidi="fa-IR"/>
        </w:rPr>
        <w:t>، والإصباح ، لفتوى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يطيّب بالذريرة ينثرها عليه ، إجماعا من أهل العلم كافة ، كما عن المعتبر </w:t>
      </w:r>
      <w:r>
        <w:rPr>
          <w:rStyle w:val="FootnoteAnchor"/>
          <w:rtl w:val="true"/>
        </w:rPr>
        <w:footnoteReference w:id="1318"/>
      </w:r>
      <w:r>
        <w:rPr>
          <w:rFonts w:ascii="Amiri" w:hAnsi="Amiri" w:eastAsia="Amiri" w:cs="Amiri"/>
          <w:color w:val="111111"/>
          <w:sz w:val="28"/>
          <w:sz w:val="28"/>
          <w:szCs w:val="28"/>
          <w:rtl w:val="true"/>
          <w:lang w:bidi="ar-SA"/>
        </w:rPr>
        <w:t xml:space="preserve">، للمعتبرة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بها طيب خاص معروف بهذا الاسم الآن في بغداد وما والاها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فتات قصب الطيب ، وهي قصب يجاء به من الهند وكأنه قصب النشاب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بالقمحة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وجد الآن طيب معروف بهذا الاسم ، فهو المستحب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يكتب فيه اسمه وشهادة التوحيد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أو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الديلمي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أن لا إله إلاّ اللّه ، لخبر أبي كهمس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الصادق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حاشية كفن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يشهد أن لا إله إلاّ اللّه </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شريك له أيضا ، كما عن المبسوط ، والنهاية ، والمهذب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الشهادة على الرسالة والإمامة لكلّ واحد واحد بأسمائهم الشريفة ، كما عن كتب الشيخ </w:t>
      </w:r>
      <w:r>
        <w:rPr>
          <w:rStyle w:val="FootnoteAnchor"/>
          <w:rtl w:val="true"/>
        </w:rPr>
        <w:footnoteReference w:id="1326"/>
      </w:r>
      <w:r>
        <w:rPr>
          <w:rFonts w:ascii="Amiri" w:hAnsi="Amiri" w:eastAsia="Amiri" w:cs="Amiri"/>
          <w:color w:val="111111"/>
          <w:sz w:val="28"/>
          <w:sz w:val="28"/>
          <w:szCs w:val="28"/>
          <w:rtl w:val="true"/>
          <w:lang w:bidi="ar-SA"/>
        </w:rPr>
        <w:t xml:space="preserve">، والمهذب والوسيلة والغنية ، والإرشاد والجامع </w:t>
      </w:r>
      <w:r>
        <w:rPr>
          <w:rStyle w:val="FootnoteAnchor"/>
          <w:rtl w:val="true"/>
        </w:rPr>
        <w:footnoteReference w:id="1327"/>
      </w:r>
      <w:r>
        <w:rPr>
          <w:rFonts w:ascii="Amiri" w:hAnsi="Amiri" w:eastAsia="Amiri" w:cs="Amiri"/>
          <w:color w:val="111111"/>
          <w:sz w:val="28"/>
          <w:sz w:val="28"/>
          <w:szCs w:val="28"/>
          <w:rtl w:val="true"/>
          <w:lang w:bidi="ar-SA"/>
        </w:rPr>
        <w:t xml:space="preserve">، وفي المنتهى والشرائع والقواعد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إرادة ذكر أسمائهم الشريفة بعد الشهادتين حسب ، في الأربعة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لفتوى هؤلاء الأجلة ، مع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وهما كافيان في المقام بعد انفتاح باب الجواز بالإجماع والخبر السابق مع أصالته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المروي في مصباح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كثير بن عباس كتب في أطراف كفن سيدة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تشهد أن لا إله إلاّ اللّه وأنّ محمدا صلی اللّه عليه وآله رسول اللّه </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يتعيّن الاقتصار على شهادة التوحيد ، كما اقتصر في الهداية وعن الفقيه والمراسم والمقنعة </w:t>
      </w:r>
      <w:r>
        <w:rPr>
          <w:rStyle w:val="FootnoteAnchor"/>
          <w:rtl w:val="true"/>
        </w:rPr>
        <w:footnoteReference w:id="1331"/>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حاشية الكفن ، كما في الخبر المذكور ، وصرّح جماعة </w:t>
      </w:r>
      <w:r>
        <w:rPr>
          <w:rStyle w:val="FootnoteAnchor"/>
          <w:rtl w:val="true"/>
        </w:rPr>
        <w:footnoteReference w:id="1332"/>
      </w:r>
      <w:r>
        <w:rPr>
          <w:rFonts w:ascii="Amiri" w:hAnsi="Amiri" w:eastAsia="Amiri" w:cs="Amiri"/>
          <w:color w:val="111111"/>
          <w:sz w:val="28"/>
          <w:sz w:val="28"/>
          <w:szCs w:val="28"/>
          <w:rtl w:val="true"/>
          <w:lang w:bidi="ar-SA"/>
        </w:rPr>
        <w:t xml:space="preserve">بالكتابة على </w:t>
      </w:r>
    </w:p>
    <w:p>
      <w:pPr>
        <w:pStyle w:val="BookText"/>
        <w:rPr/>
      </w:pPr>
      <w:r>
        <w:rPr>
          <w:rFonts w:ascii="Amiri" w:hAnsi="Amiri" w:eastAsia="Amiri" w:cs="Amiri"/>
          <w:color w:val="111111"/>
          <w:sz w:val="28"/>
          <w:sz w:val="28"/>
          <w:szCs w:val="28"/>
          <w:rtl w:val="true"/>
          <w:lang w:bidi="ar-SA"/>
        </w:rPr>
        <w:t>اللفّافتين والقميص ، ولعلّه لتأدية جميع احتمالات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صرّح في المروي في الاحتجاج ، وكتاب الغيبة للشيخ بأنه كتب على إزار إسماعيل </w:t>
      </w:r>
      <w:r>
        <w:rPr>
          <w:rStyle w:val="FootnoteAnchor"/>
          <w:rtl w:val="true"/>
        </w:rPr>
        <w:footnoteReference w:id="1333"/>
      </w:r>
      <w:r>
        <w:rPr>
          <w:rFonts w:ascii="Amiri" w:hAnsi="Amiri" w:eastAsia="Amiri" w:cs="Amiri"/>
          <w:color w:val="111111"/>
          <w:sz w:val="28"/>
          <w:sz w:val="28"/>
          <w:szCs w:val="28"/>
          <w:rtl w:val="true"/>
          <w:lang w:bidi="ar-SA"/>
        </w:rPr>
        <w:t>، والمراد به اللفّافة كما مرّ ، فالاقتصار عليه في الحكم بالاستحباب بخصوصه أولى وإن جاز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يزاد في المكتوب الجوشن الكبير ، للمروي في جنّة الأمان للكفعمي عن السجاد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عليه السلام بحفظ هذا الدعاء وتعظيمه وأن أكتبه في كفنه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يزاد الجوشن الصغير أيضا ، استنادا إلى ما رواه السيد ابن طاوس في المهج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كتبه على كفنه أستحيي اللّه أن يعذبه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ثمَّ ذكر ما في جنة الأمان عن السجّاد ، ولكني ما رأيت شيئا من ذلك في شرح الجوشن الصغير في نسخة المهج التي كانت عندي ، وكانت مصحّحة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قال شيخنا المجلسي في البحار بعد ذكر ذلك من المهج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من بعض القرائن أنّ هذا ليس من السيد ، وليس هذا إلاّ شرح الجوشن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كتب الشيخ أبو طالب بن رجب هذا الشرح من كتب جدّه السعيد تقي الدين الحسن بن داود لمناسبة لفظ الجوشن واشتراكهما في اللقب في حاشية الكتاب ، فأدخله النسّاخ في المتن </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مناسبة كثيرة لهذا الدعاء مع المقام أيضا ، فعدم استحبابه بخصوصه أظهر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يزاد القرآن بتمامه أو بعض آياته ، للمروي في العيون عن الصيرفي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موسى بن جعفر عليه السلام في يدي سندي بن شاهك ، فحمل على نعشه ونودي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 الرافضة ، فسمع سليمان بن أبي جعفر الصياح ونزل من قصره ، وحضر جنازته وغسّله وحنّطه بحنوط فاخر ، وكفّنه بكفن فيه حبرة استعملت له بألفين وخمس مائة دينار عليها القرآن كلّها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فعل المعصوم ولا تقرير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تقريره ، لعدم إظهاره نفسه المقدّسة ، وعدم التمكّن من المخالفة لو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عن كتاب الغيبة للشيخ عن أبي الحسن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على محمد ابن عثمان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النوّاب الأربعة ، فوجده وبين يديه ساجة ونقاش ينقش عليه آيات من القرآن وأسماء الأئمة على حواشيها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هذه الساجة؟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لقبري تكون فيه وأو ضع عليها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إليها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دلالته أيضا نظر ، إذ لا يدلّ جواز كتابة القرآن على حواشي الساجة التي ليست معرضا لوصول نجاسة الميت ، على جوازها على الكفن الذي هو معرض له ، سيما في مقابل العورتين والرجلين وتحت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التيمّن والتبرك والاستشفاع ، فمع عدم انحصارها بالكتابة في الكفن لا يثبت استحباب الخصوص ، كما هو محط الكلام في المقام ، مع أنها معارضة بإساءة الأدب والتخفيف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وجواز الشهادتين وأسامي الأئمة لا يثبت جواز الغير ، لقلّتها ، فيسعها مكان يبعد عن سوء الأدب ولا يعلم وصول النجاسة إليه ، مع اختلاف كثير من أحكامها مع القرآن ، كما في مسّ المحدث وقراءة الجنب والحمل والتعليق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والأفضل أن يكتب ما يكتب بالتربة الحسينية ، كما ذكره الشيخان </w:t>
      </w:r>
      <w:r>
        <w:rPr>
          <w:rStyle w:val="FootnoteAnchor"/>
          <w:rtl w:val="true"/>
        </w:rPr>
        <w:footnoteReference w:id="1339"/>
      </w:r>
      <w:r>
        <w:rPr>
          <w:rFonts w:ascii="IRNazanin" w:hAnsi="IRNazanin" w:eastAsia="IRNazanin"/>
          <w:color w:val="111111"/>
          <w:sz w:val="28"/>
          <w:sz w:val="28"/>
          <w:szCs w:val="28"/>
          <w:rtl w:val="true"/>
          <w:lang w:bidi="fa-IR"/>
        </w:rPr>
        <w:t xml:space="preserve">والفاضلان </w:t>
      </w:r>
      <w:r>
        <w:rPr>
          <w:rStyle w:val="FootnoteAnchor"/>
          <w:rtl w:val="true"/>
        </w:rPr>
        <w:footnoteReference w:id="1340"/>
      </w:r>
      <w:r>
        <w:rPr>
          <w:rFonts w:ascii="Amiri" w:hAnsi="Amiri" w:eastAsia="Amiri" w:cs="Amiri"/>
          <w:color w:val="111111"/>
          <w:sz w:val="28"/>
          <w:sz w:val="28"/>
          <w:szCs w:val="28"/>
          <w:rtl w:val="true"/>
          <w:lang w:bidi="ar-SA"/>
        </w:rPr>
        <w:t xml:space="preserve">، بل الأصحاب كما ذكره بعض الأجلّة </w:t>
      </w:r>
      <w:r>
        <w:rPr>
          <w:rStyle w:val="FootnoteAnchor"/>
          <w:rtl w:val="true"/>
        </w:rPr>
        <w:footnoteReference w:id="1341"/>
      </w:r>
      <w:r>
        <w:rPr>
          <w:rFonts w:ascii="Amiri" w:hAnsi="Amiri" w:eastAsia="Amiri" w:cs="Amiri"/>
          <w:color w:val="111111"/>
          <w:sz w:val="28"/>
          <w:sz w:val="28"/>
          <w:szCs w:val="28"/>
          <w:rtl w:val="true"/>
          <w:lang w:bidi="ar-SA"/>
        </w:rPr>
        <w:t xml:space="preserve">، وسائر متأخّريهم كما ذكره بعض آخر </w:t>
      </w:r>
      <w:r>
        <w:rPr>
          <w:rStyle w:val="FootnoteAnchor"/>
          <w:rtl w:val="true"/>
        </w:rPr>
        <w:footnoteReference w:id="1342"/>
      </w:r>
      <w:r>
        <w:rPr>
          <w:rFonts w:ascii="Amiri" w:hAnsi="Amiri" w:eastAsia="Amiri" w:cs="Amiri"/>
          <w:color w:val="111111"/>
          <w:sz w:val="28"/>
          <w:sz w:val="28"/>
          <w:szCs w:val="28"/>
          <w:rtl w:val="true"/>
          <w:lang w:bidi="ar-SA"/>
        </w:rPr>
        <w:t xml:space="preserve">، له ، وللتبرك ، والجمع بين المندوبين من الكتابة وجعل التربة مع الميت المستفاد من المروي في الاحتجاج في التوقيع الرفيع الخارج في جواب مسائل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طين القبر يوضع مع الميت في قبره هل يجوز ذلك أم لا؟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يوضع مع الميت ويخلط بحنوطه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على إزار إسماعيل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لنا أن نكتب مثل ذلك بطين القبر؟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عدمها يكتب بمطلق الطين والماء ، كما عن الإسكافي ، وعزيّة المفيد </w:t>
      </w:r>
      <w:r>
        <w:rPr>
          <w:rStyle w:val="FootnoteAnchor"/>
          <w:rtl w:val="true"/>
        </w:rPr>
        <w:footnoteReference w:id="1344"/>
      </w:r>
      <w:r>
        <w:rPr>
          <w:rFonts w:ascii="Amiri" w:hAnsi="Amiri" w:eastAsia="Amiri" w:cs="Amiri"/>
          <w:color w:val="111111"/>
          <w:sz w:val="28"/>
          <w:sz w:val="28"/>
          <w:szCs w:val="28"/>
          <w:rtl w:val="true"/>
          <w:lang w:bidi="ar-SA"/>
        </w:rPr>
        <w:t xml:space="preserve">، وكتب الشهيد </w:t>
      </w:r>
      <w:r>
        <w:rPr>
          <w:rStyle w:val="FootnoteAnchor"/>
          <w:rtl w:val="true"/>
        </w:rPr>
        <w:footnoteReference w:id="1345"/>
      </w:r>
      <w:r>
        <w:rPr>
          <w:rFonts w:ascii="Amiri" w:hAnsi="Amiri" w:eastAsia="Amiri" w:cs="Amiri"/>
          <w:color w:val="111111"/>
          <w:sz w:val="28"/>
          <w:sz w:val="28"/>
          <w:szCs w:val="28"/>
          <w:rtl w:val="true"/>
          <w:lang w:bidi="ar-SA"/>
        </w:rPr>
        <w:t>، بل نسبه في اللوامع إلى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اشتراط التأثير في الكتابة ، كما عن السرائر والمختلف </w:t>
      </w:r>
      <w:r>
        <w:rPr>
          <w:rStyle w:val="FootnoteAnchor"/>
          <w:rtl w:val="true"/>
        </w:rPr>
        <w:footnoteReference w:id="1346"/>
      </w:r>
      <w:r>
        <w:rPr>
          <w:rFonts w:ascii="IRNazanin" w:hAnsi="IRNazanin" w:eastAsia="IRNazanin"/>
          <w:color w:val="111111"/>
          <w:sz w:val="28"/>
          <w:sz w:val="28"/>
          <w:szCs w:val="28"/>
          <w:rtl w:val="true"/>
          <w:lang w:bidi="fa-IR"/>
        </w:rPr>
        <w:t xml:space="preserve">، والمنتهى </w:t>
      </w:r>
      <w:r>
        <w:rPr>
          <w:rStyle w:val="FootnoteAnchor"/>
          <w:rtl w:val="true"/>
        </w:rPr>
        <w:footnoteReference w:id="1347"/>
      </w:r>
      <w:r>
        <w:rPr>
          <w:rFonts w:ascii="Amiri" w:hAnsi="Amiri" w:eastAsia="Amiri" w:cs="Amiri"/>
          <w:color w:val="111111"/>
          <w:sz w:val="28"/>
          <w:sz w:val="28"/>
          <w:szCs w:val="28"/>
          <w:rtl w:val="true"/>
          <w:lang w:bidi="ar-SA"/>
        </w:rPr>
        <w:t xml:space="preserve">، والذكرى </w:t>
      </w:r>
      <w:r>
        <w:rPr>
          <w:rStyle w:val="FootnoteAnchor"/>
          <w:rtl w:val="true"/>
        </w:rPr>
        <w:footnoteReference w:id="1348"/>
      </w:r>
      <w:r>
        <w:rPr>
          <w:rFonts w:ascii="Amiri" w:hAnsi="Amiri" w:eastAsia="Amiri" w:cs="Amiri"/>
          <w:color w:val="111111"/>
          <w:sz w:val="28"/>
          <w:sz w:val="28"/>
          <w:szCs w:val="28"/>
          <w:rtl w:val="true"/>
          <w:lang w:bidi="ar-SA"/>
        </w:rPr>
        <w:t xml:space="preserve">، ورسالة المفيد </w:t>
      </w:r>
      <w:r>
        <w:rPr>
          <w:rStyle w:val="FootnoteAnchor"/>
          <w:rtl w:val="true"/>
        </w:rPr>
        <w:footnoteReference w:id="1349"/>
      </w:r>
      <w:r>
        <w:rPr>
          <w:rFonts w:ascii="Amiri" w:hAnsi="Amiri" w:eastAsia="Amiri" w:cs="Amiri"/>
          <w:color w:val="111111"/>
          <w:sz w:val="28"/>
          <w:sz w:val="28"/>
          <w:szCs w:val="28"/>
          <w:rtl w:val="true"/>
          <w:lang w:bidi="ar-SA"/>
        </w:rPr>
        <w:t>، بل عليه يحمل إطلاق الأكثر ، لأنه المعهود بل المتبادر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يتيسّر فبالماء المطلق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تجويز الكتابة بالإصبع من غير تأثير مطلقا ، كما عن الاقتصاد والمصباح </w:t>
      </w:r>
    </w:p>
    <w:p>
      <w:pPr>
        <w:pStyle w:val="BookText"/>
        <w:rPr/>
      </w:pPr>
      <w:r>
        <w:rPr>
          <w:rFonts w:ascii="IRNazanin" w:hAnsi="IRNazanin" w:eastAsia="IRNazanin"/>
          <w:color w:val="111111"/>
          <w:sz w:val="28"/>
          <w:sz w:val="28"/>
          <w:szCs w:val="28"/>
          <w:rtl w:val="true"/>
          <w:lang w:bidi="fa-IR"/>
        </w:rPr>
        <w:t xml:space="preserve">ومختصره والمراسم </w:t>
      </w:r>
      <w:r>
        <w:rPr>
          <w:rStyle w:val="FootnoteAnchor"/>
          <w:rtl w:val="true"/>
        </w:rPr>
        <w:footnoteReference w:id="1350"/>
      </w:r>
      <w:r>
        <w:rPr>
          <w:rFonts w:ascii="Amiri" w:hAnsi="Amiri" w:eastAsia="Amiri" w:cs="Amiri"/>
          <w:color w:val="111111"/>
          <w:sz w:val="28"/>
          <w:sz w:val="28"/>
          <w:szCs w:val="28"/>
          <w:rtl w:val="true"/>
          <w:lang w:bidi="ar-SA"/>
        </w:rPr>
        <w:t xml:space="preserve">، أو مع فقد التربة ، كما عن المشهور ، أو مع فقد الطين والماء مطلقا ، كما عن الإسكافي والعزيّة </w:t>
      </w:r>
      <w:r>
        <w:rPr>
          <w:rStyle w:val="FootnoteAnchor"/>
          <w:rtl w:val="true"/>
        </w:rPr>
        <w:footnoteReference w:id="1351"/>
      </w:r>
      <w:r>
        <w:rPr>
          <w:rFonts w:ascii="Amiri" w:hAnsi="Amiri" w:eastAsia="Amiri" w:cs="Amiri"/>
          <w:color w:val="111111"/>
          <w:sz w:val="28"/>
          <w:sz w:val="28"/>
          <w:szCs w:val="28"/>
          <w:rtl w:val="true"/>
          <w:lang w:bidi="ar-SA"/>
        </w:rPr>
        <w:t xml:space="preserve">فلا دليل عليه ، إلاّ أن يستند فيه إلى دعوى الشهرة </w:t>
      </w:r>
      <w:r>
        <w:rPr>
          <w:rStyle w:val="FootnoteAnchor"/>
          <w:rtl w:val="true"/>
        </w:rPr>
        <w:footnoteReference w:id="1352"/>
      </w:r>
      <w:r>
        <w:rPr>
          <w:rFonts w:ascii="Amiri" w:hAnsi="Amiri" w:eastAsia="Amiri" w:cs="Amiri"/>
          <w:color w:val="111111"/>
          <w:sz w:val="28"/>
          <w:sz w:val="28"/>
          <w:szCs w:val="28"/>
          <w:rtl w:val="true"/>
          <w:lang w:bidi="ar-SA"/>
        </w:rPr>
        <w:t>وفتوى الأجلّة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يغسل الغاسل قبل التكفين يديه إلى المرفقين ، 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من الغسلة الثالثة فاغسل يديك من المرفقين إلى أطراف أصابعك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والأفضل إلى المنكبين ، 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 ثمَّ يغسله يديه من العاتق ، ثمَّ يلبسه أكفانه ، ثمَّ يغتسل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ثلاثا ، لصحيحة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يغسل الذي غسّله يده قبل أن يكفّنه إلى المنكبين ثلاث مرات ، ثمَّ إذا كفّنه اغتسل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والرجلين ، لخبر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تغسل يديك إلى المرافق ورجليك إلى الركبتين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أكثر تلك الأخبار وفاقا لبعض الأصحاب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تأخير غسل المسّ عن التكفين ، ويدلّ عليه أيضا 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غسّل منكم ميتا فليغتسل بعد ما يلبسه أكفانه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 ذكره جماعة من الأصحاب كما عن الوسيلة والفقيه والنهاية والمبسوط والسرائر والجامع والمعتبر والشرائع والنافع </w:t>
      </w:r>
      <w:r>
        <w:rPr>
          <w:rStyle w:val="FootnoteAnchor"/>
          <w:rtl w:val="true"/>
        </w:rPr>
        <w:footnoteReference w:id="1359"/>
      </w:r>
      <w:r>
        <w:rPr>
          <w:rFonts w:ascii="Amiri" w:hAnsi="Amiri" w:eastAsia="Amiri" w:cs="Amiri"/>
          <w:color w:val="111111"/>
          <w:sz w:val="28"/>
          <w:sz w:val="28"/>
          <w:szCs w:val="28"/>
          <w:rtl w:val="true"/>
          <w:lang w:bidi="ar-SA"/>
        </w:rPr>
        <w:t xml:space="preserve">، وفي اللوامع والمنتهى والقواعد والتذكرة </w:t>
      </w:r>
      <w:r>
        <w:rPr>
          <w:rStyle w:val="FootnoteAnchor"/>
          <w:rtl w:val="true"/>
        </w:rPr>
        <w:footnoteReference w:id="1360"/>
      </w:r>
      <w:r>
        <w:rPr>
          <w:rFonts w:ascii="Amiri" w:hAnsi="Amiri" w:eastAsia="Amiri" w:cs="Amiri"/>
          <w:color w:val="111111"/>
          <w:sz w:val="28"/>
          <w:sz w:val="28"/>
          <w:szCs w:val="28"/>
          <w:rtl w:val="true"/>
          <w:lang w:bidi="ar-SA"/>
        </w:rPr>
        <w:t xml:space="preserve">، وغيرها </w:t>
      </w:r>
      <w:r>
        <w:rPr>
          <w:rStyle w:val="FootnoteAnchor"/>
          <w:rtl w:val="true"/>
        </w:rPr>
        <w:footnoteReference w:id="1361"/>
      </w:r>
      <w:r>
        <w:rPr>
          <w:rFonts w:ascii="Amiri" w:hAnsi="Amiri" w:eastAsia="Amiri" w:cs="Amiri"/>
          <w:color w:val="111111"/>
          <w:sz w:val="28"/>
          <w:sz w:val="28"/>
          <w:szCs w:val="28"/>
          <w:rtl w:val="true"/>
          <w:lang w:bidi="ar-SA"/>
        </w:rPr>
        <w:t xml:space="preserve">، من استحباب تقديم الغسل كما عن الأول ، أو مع الوضوء كما عن الثاني ، أو الوضوء مطلقا أو مع تعسّر الغسل كالبواقي ، فإن أرادوا به غسل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دليل ، وما علّلوه به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يردّه ما ذكر ، وما دلّ على استحباب تعجيل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ينتهض فتاوى هؤلاء أيضا لإثباته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الغسل للتكفين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والنزهة </w:t>
      </w:r>
      <w:r>
        <w:rPr>
          <w:rStyle w:val="FootnoteAnchor"/>
          <w:rtl w:val="true"/>
        </w:rPr>
        <w:footnoteReference w:id="1363"/>
      </w:r>
      <w:r>
        <w:rPr>
          <w:rFonts w:ascii="Amiri" w:hAnsi="Amiri" w:eastAsia="Amiri" w:cs="Amiri"/>
          <w:color w:val="111111"/>
          <w:sz w:val="28"/>
          <w:sz w:val="28"/>
          <w:szCs w:val="28"/>
          <w:rtl w:val="true"/>
          <w:lang w:bidi="ar-SA"/>
        </w:rPr>
        <w:t xml:space="preserve">، بل عن الأخير أنّ به رواية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أن يقول به ويحكم باستحبابه ، لما أشير إليه من الرواية ، وإن كانت ضعيفة مرسلة ومتنها غير معلوم ، لما يتحمل المقام من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إرادته من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غسّلت ميتا أو كفّنته أو مسسته بعد ما يبرد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ممكنة ، كما قال بعضهم لأجل تلك الرواية ، سيما بملاحظة عدم كونه غسل المسّ ، لذكره ، وعدم ظهور قول بالغسل بعد التكفين ، كما هو مقتضى الحقيقة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مكروهاته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يكفّن في السواد بالإجماع ، كما عن المعتبر والتذكرة </w:t>
      </w:r>
    </w:p>
    <w:p>
      <w:pPr>
        <w:pStyle w:val="BookText"/>
        <w:rPr/>
      </w:pPr>
      <w:r>
        <w:rPr>
          <w:rFonts w:ascii="Amiri" w:hAnsi="Amiri" w:eastAsia="Amiri" w:cs="Amiri"/>
          <w:color w:val="111111"/>
          <w:sz w:val="28"/>
          <w:sz w:val="28"/>
          <w:szCs w:val="28"/>
          <w:rtl w:val="true"/>
          <w:lang w:bidi="ar-SA"/>
        </w:rPr>
        <w:t xml:space="preserve">ونهاية الإحكام </w:t>
      </w:r>
      <w:r>
        <w:rPr>
          <w:rStyle w:val="FootnoteAnchor"/>
          <w:rtl w:val="true"/>
        </w:rPr>
        <w:footnoteReference w:id="1366"/>
      </w:r>
      <w:r>
        <w:rPr>
          <w:rFonts w:ascii="IRNazanin" w:hAnsi="IRNazanin" w:eastAsia="IRNazanin"/>
          <w:color w:val="111111"/>
          <w:sz w:val="28"/>
          <w:sz w:val="28"/>
          <w:szCs w:val="28"/>
          <w:rtl w:val="true"/>
          <w:lang w:bidi="fa-IR"/>
        </w:rPr>
        <w:t xml:space="preserve">، وعن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w:t>
      </w:r>
      <w:r>
        <w:rPr>
          <w:rStyle w:val="FootnoteAnchor"/>
          <w:rtl w:val="true"/>
        </w:rPr>
        <w:footnoteReference w:id="1367"/>
      </w:r>
      <w:r>
        <w:rPr>
          <w:rFonts w:ascii="Amiri" w:hAnsi="Amiri" w:eastAsia="Amiri" w:cs="Amiri"/>
          <w:color w:val="111111"/>
          <w:sz w:val="28"/>
          <w:sz w:val="28"/>
          <w:szCs w:val="28"/>
          <w:rtl w:val="true"/>
          <w:lang w:bidi="ar-SA"/>
        </w:rPr>
        <w:t xml:space="preserve">، لخبري ابن المختار ،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يكفّن الميت في السواد </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الرجل في الثوب الأسود ولا يكفّن به </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في المروي في الدعائم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كفّن حمزة في نمرة سوداء </w:t>
      </w:r>
      <w:r>
        <w:rPr>
          <w:rFonts w:eastAsia="IRNazanin" w:cs="IRNazanin"/>
          <w:color w:val="111111"/>
          <w:sz w:val="28"/>
          <w:szCs w:val="28"/>
          <w:rtl w:val="true"/>
          <w:lang w:bidi="fa-IR"/>
        </w:rPr>
        <w:t xml:space="preserve">» </w:t>
      </w:r>
      <w:r>
        <w:rPr>
          <w:rStyle w:val="FootnoteAnchor"/>
          <w:rtl w:val="true"/>
        </w:rPr>
        <w:footnoteReference w:id="1370"/>
      </w:r>
      <w:r>
        <w:rPr>
          <w:rFonts w:ascii="Amiri" w:hAnsi="Amiri" w:eastAsia="Amiri" w:cs="Amiri"/>
          <w:color w:val="111111"/>
          <w:sz w:val="28"/>
          <w:sz w:val="28"/>
          <w:szCs w:val="28"/>
          <w:rtl w:val="true"/>
          <w:lang w:bidi="ar-SA"/>
        </w:rPr>
        <w:t>وهي كساء من الصوف يلبسها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الصحاح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الفتوى على مقتضى الخبرين ، للأحدثية والأشهرية ، بل عدم دلالة الأخير إلاّ على الجواز ، وهو مسلّم ، مع احتمال أن يكون مقام الضرورة ، كما يدلّ عليه ما نقل من قصور كفنه عن ستر جميع بدنه ، فجعل النبي على رجليه الحشيش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كلّ صبغ ، كما عن الذكرى </w:t>
      </w:r>
      <w:r>
        <w:rPr>
          <w:rStyle w:val="FootnoteAnchor"/>
          <w:rtl w:val="true"/>
        </w:rPr>
        <w:footnoteReference w:id="1373"/>
      </w:r>
      <w:r>
        <w:rPr>
          <w:rFonts w:ascii="IRNazanin" w:hAnsi="IRNazanin" w:eastAsia="IRNazanin"/>
          <w:color w:val="111111"/>
          <w:sz w:val="28"/>
          <w:sz w:val="28"/>
          <w:szCs w:val="28"/>
          <w:rtl w:val="true"/>
          <w:lang w:bidi="fa-IR"/>
        </w:rPr>
        <w:t xml:space="preserve">، بل عن المهذّب والإصباح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هؤلاء الأجلّة ، والتأسّي بصاحب الشريعة ، واستحباب البياض المستلزم لها على قول لا يخلو عن القوة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الحرمة فخالية عن الحجة سوى الأمر بالبياض في الموثّقة </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w:t>
      </w:r>
    </w:p>
    <w:p>
      <w:pPr>
        <w:pStyle w:val="BookText"/>
        <w:rPr/>
      </w:pPr>
      <w:r>
        <w:rPr>
          <w:rFonts w:ascii="Amiri" w:hAnsi="Amiri" w:eastAsia="Amiri" w:cs="Amiri"/>
          <w:color w:val="111111"/>
          <w:sz w:val="28"/>
          <w:sz w:val="28"/>
          <w:szCs w:val="28"/>
          <w:rtl w:val="true"/>
          <w:lang w:bidi="ar-SA"/>
        </w:rPr>
        <w:t xml:space="preserve">الندب محمول ، لرواية الدعائم </w:t>
      </w:r>
      <w:r>
        <w:rPr>
          <w:rStyle w:val="FootnoteAnchor"/>
          <w:rtl w:val="true"/>
        </w:rPr>
        <w:footnoteReference w:id="1376"/>
      </w:r>
      <w:r>
        <w:rPr>
          <w:rFonts w:ascii="Amiri" w:hAnsi="Amiri" w:eastAsia="Amiri" w:cs="Amiri"/>
          <w:color w:val="111111"/>
          <w:sz w:val="28"/>
          <w:sz w:val="28"/>
          <w:szCs w:val="28"/>
          <w:rtl w:val="true"/>
          <w:lang w:bidi="ar-SA"/>
        </w:rPr>
        <w:t>، المنجبرة ، مع وهن إرادة الوجوب منه ، لعطفه على الأمر باللبس الذي هو غير واجب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الممتزج بالحرير ، لفتوى الأجلّة </w:t>
      </w:r>
      <w:r>
        <w:rPr>
          <w:rStyle w:val="FootnoteAnchor"/>
          <w:rtl w:val="true"/>
        </w:rPr>
        <w:footnoteReference w:id="1377"/>
      </w:r>
      <w:r>
        <w:rPr>
          <w:rFonts w:ascii="Amiri" w:hAnsi="Amiri" w:eastAsia="Amiri" w:cs="Amiri"/>
          <w:color w:val="111111"/>
          <w:sz w:val="28"/>
          <w:sz w:val="28"/>
          <w:szCs w:val="28"/>
          <w:rtl w:val="true"/>
          <w:lang w:bidi="ar-SA"/>
        </w:rPr>
        <w:t>، واستحباب محضية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والاقتصاد والمهذب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مع عدم كون الخليط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 للمضمر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الكتان ، وفاقا للأكثر ، لمرسلة يعقوب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يكفّن الميت في كتان </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عن الدلالة على الحرمة خالية ، فالقول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الصدوق </w:t>
      </w:r>
      <w:r>
        <w:rPr>
          <w:rStyle w:val="FootnoteAnchor"/>
          <w:rtl w:val="true"/>
        </w:rPr>
        <w:footnoteReference w:id="1381"/>
      </w:r>
      <w:r>
        <w:rPr>
          <w:rFonts w:ascii="Amiri" w:hAnsi="Amiri" w:eastAsia="Amiri" w:cs="Amiri"/>
          <w:color w:val="111111"/>
          <w:sz w:val="28"/>
          <w:sz w:val="28"/>
          <w:szCs w:val="28"/>
          <w:rtl w:val="true"/>
          <w:lang w:bidi="ar-SA"/>
        </w:rPr>
        <w:t xml:space="preserve">، سيما مع دعوى الإجماع كما عن الغنية </w:t>
      </w:r>
      <w:r>
        <w:rPr>
          <w:rStyle w:val="FootnoteAnchor"/>
          <w:rtl w:val="true"/>
        </w:rPr>
        <w:footnoteReference w:id="1382"/>
      </w:r>
      <w:r>
        <w:rPr>
          <w:rFonts w:ascii="Amiri" w:hAnsi="Amiri" w:eastAsia="Amiri" w:cs="Amiri"/>
          <w:color w:val="111111"/>
          <w:sz w:val="28"/>
          <w:sz w:val="28"/>
          <w:szCs w:val="28"/>
          <w:rtl w:val="true"/>
          <w:lang w:bidi="ar-SA"/>
        </w:rPr>
        <w:t xml:space="preserve">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انصراف إطلاقات التكفين إليه غير مضرّ ، بل المضرّ انصرافها إلى غيره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يكفّنه في كتان ولا ثوب إبريسم </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ليس نصّا في التحريم ، لجواز كون الجملة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وتعلّقه بالإبريسم المحرّم قطعا لا يفيد ، لإمكان إرادة مطلق المرجوحية دون الكراهة حتى يلزم استعمال اللفظ في المجاز والحقيقة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يبلّ الخيوط التي يخاط به الكفن بالريق ، بلا خلاف ، كما يعطيه </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1384"/>
      </w:r>
      <w:r>
        <w:rPr>
          <w:rFonts w:ascii="Amiri" w:hAnsi="Amiri" w:eastAsia="Amiri" w:cs="Amiri"/>
          <w:color w:val="111111"/>
          <w:sz w:val="28"/>
          <w:sz w:val="28"/>
          <w:szCs w:val="28"/>
          <w:rtl w:val="true"/>
          <w:lang w:bidi="ar-SA"/>
        </w:rPr>
        <w:t>، لذلك وإن لم يعلم مستند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بغيره ، للأصل الخالي عن مطلق المعارض ولو فتوى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يتّخذ الأكمام للقميص المبتدأ دون الملبوس ، بل المستحب فيه قطع أزراره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بالأحكام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عليها مرسلة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القميص أيكفّن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أزراره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ذلك إذا قطع له وهو جديد لم يجعل له كمّا ، فأمّا إذا كان ثوبا لبيسا فلا يقطع منه إلاّ الأزرار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خصوص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أن يأمر لي بقميص أعدّه لكفني ، فبعث به إليّ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انزع أزراره </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ومقتضاها وجوب القطع ، فالقول به متعيّن إلاّ أن ثبت إجماع على عدمه ، وهو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في عدم ذكره فيما ورد في خبري ابن سنان وعيسى ، المرويين في العلل ، وخبر ابن ربعي عن ابن عباس ، المروي في المجالس من أنّ رسول اللّه صلی اللّه عليه وآله كفّن فاطمة بنت أسد في قميصه </w:t>
      </w:r>
      <w:r>
        <w:rPr>
          <w:rStyle w:val="FootnoteAnchor"/>
          <w:rtl w:val="true"/>
        </w:rPr>
        <w:footnoteReference w:id="1387"/>
      </w:r>
      <w:r>
        <w:rPr>
          <w:rFonts w:ascii="Amiri" w:hAnsi="Amiri" w:eastAsia="Amiri" w:cs="Amiri"/>
          <w:color w:val="111111"/>
          <w:sz w:val="28"/>
          <w:sz w:val="28"/>
          <w:szCs w:val="28"/>
          <w:rtl w:val="true"/>
          <w:lang w:bidi="ar-SA"/>
        </w:rPr>
        <w:t>، ولم يتعرّض فيها لقطع الأزرار ، دلالة على عدم القطع ، لأنّ الغرض ذكر تشريفه لها بقميصه لا بيان الأحكام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يجمّر </w:t>
      </w:r>
      <w:r>
        <w:rPr>
          <w:rStyle w:val="FootnoteAnchor"/>
          <w:rtl w:val="true"/>
        </w:rPr>
        <w:footnoteReference w:id="1388"/>
      </w:r>
      <w:r>
        <w:rPr>
          <w:rFonts w:ascii="Amiri" w:hAnsi="Amiri" w:eastAsia="Amiri" w:cs="Amiri"/>
          <w:color w:val="111111"/>
          <w:sz w:val="28"/>
          <w:sz w:val="28"/>
          <w:szCs w:val="28"/>
          <w:rtl w:val="true"/>
          <w:lang w:bidi="ar-SA"/>
        </w:rPr>
        <w:t xml:space="preserve">الأكفان بالدخنة الطيبة ، للنهي عنه في المستفيضة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ويحمل على الكراهة ، 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بدخنة كفن الميت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المجوّزة لها الغير المنافية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يتبع الجنازة بالمجمرة ، للتصريح به في المعتبرة </w:t>
      </w:r>
      <w:r>
        <w:rPr>
          <w:rStyle w:val="FootnoteAnchor"/>
          <w:rtl w:val="true"/>
        </w:rPr>
        <w:footnoteReference w:id="1391"/>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الفقهية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يطيّب بغير الكافور والذريرة ، لرواية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تمسحوا موتاكم بالطيب إلاّ بالكافور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جعفر بن محمد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ينفض بكمه المسك من الكفن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 الحنوط في شي‌ء </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وفي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يحنّط بمسك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وفي شرح القواعد للكركي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w:t>
      </w:r>
      <w:r>
        <w:rPr>
          <w:rStyle w:val="FootnoteAnchor"/>
          <w:rtl w:val="true"/>
        </w:rPr>
        <w:footnoteReference w:id="1397"/>
      </w:r>
      <w:r>
        <w:rPr>
          <w:rFonts w:ascii="Amiri" w:hAnsi="Amiri" w:eastAsia="Amiri" w:cs="Amiri"/>
          <w:color w:val="111111"/>
          <w:sz w:val="28"/>
          <w:sz w:val="28"/>
          <w:szCs w:val="28"/>
          <w:rtl w:val="true"/>
          <w:lang w:bidi="ar-SA"/>
        </w:rPr>
        <w:t>، لظاهر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بالمعارضة مع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يقرب إلى الميت المسك والبخور؟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فالترك أحوط ، لكون الجواز بل الاستحباب مذهب العامة بل شعارهم ، كما صرّح به الأصحاب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ابن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في كفن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الحنوط الكافور ، ولكن اذهب فاصنع كما يصنع الناس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الجواب عن استدلال الصدوق </w:t>
      </w:r>
      <w:r>
        <w:rPr>
          <w:rStyle w:val="FootnoteAnchor"/>
          <w:rtl w:val="true"/>
        </w:rPr>
        <w:footnoteReference w:id="1401"/>
      </w:r>
      <w:r>
        <w:rPr>
          <w:rFonts w:ascii="Amiri" w:hAnsi="Amiri" w:eastAsia="Amiri" w:cs="Amiri"/>
          <w:color w:val="111111"/>
          <w:sz w:val="28"/>
          <w:sz w:val="28"/>
          <w:szCs w:val="28"/>
          <w:rtl w:val="true"/>
          <w:lang w:bidi="ar-SA"/>
        </w:rPr>
        <w:t xml:space="preserve">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بالمرسل المذكور ، وخبر غياث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أباه كان يجمّر الميت العود فيه المسك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IRNazanin" w:hAnsi="IRNazanin" w:eastAsia="IRNazanin"/>
          <w:color w:val="111111"/>
          <w:sz w:val="28"/>
          <w:sz w:val="28"/>
          <w:szCs w:val="28"/>
          <w:rtl w:val="true"/>
          <w:lang w:bidi="fa-IR"/>
        </w:rPr>
        <w:t xml:space="preserve">وما روى من تحنيط النبي صلی اللّه عليه وآله بمثقال مسك سوى الكافور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عدم دلالة الأول على الزائد على الجواز ، والأخير على الاستحباب في حق غيره صلی اللّه عليه وآله ، لاحتمال الاختصاص ، كما جوّز جمع من الأصحاب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يكتب عليه بالسواد ، كما عن كتب الفاضلين </w:t>
      </w:r>
      <w:r>
        <w:rPr>
          <w:rStyle w:val="FootnoteAnchor"/>
          <w:rtl w:val="true"/>
        </w:rPr>
        <w:footnoteReference w:id="1405"/>
      </w:r>
      <w:r>
        <w:rPr>
          <w:rFonts w:ascii="Amiri" w:hAnsi="Amiri" w:eastAsia="Amiri" w:cs="Amiri"/>
          <w:color w:val="111111"/>
          <w:sz w:val="28"/>
          <w:sz w:val="28"/>
          <w:szCs w:val="28"/>
          <w:rtl w:val="true"/>
          <w:lang w:bidi="ar-SA"/>
        </w:rPr>
        <w:t xml:space="preserve">، وعن المقنعة والنهاية والمبسوط والاقتصاد والمصباح </w:t>
      </w:r>
      <w:r>
        <w:rPr>
          <w:rStyle w:val="FootnoteAnchor"/>
          <w:rtl w:val="true"/>
        </w:rPr>
        <w:footnoteReference w:id="1406"/>
      </w:r>
      <w:r>
        <w:rPr>
          <w:rFonts w:ascii="IRNazanin" w:hAnsi="IRNazanin" w:eastAsia="IRNazanin"/>
          <w:color w:val="111111"/>
          <w:sz w:val="28"/>
          <w:sz w:val="28"/>
          <w:szCs w:val="28"/>
          <w:rtl w:val="true"/>
          <w:lang w:bidi="fa-IR"/>
        </w:rPr>
        <w:t xml:space="preserve">، ومختصره ، والمراسم </w:t>
      </w:r>
      <w:r>
        <w:rPr>
          <w:rStyle w:val="FootnoteAnchor"/>
          <w:rtl w:val="true"/>
        </w:rPr>
        <w:footnoteReference w:id="1407"/>
      </w:r>
      <w:r>
        <w:rPr>
          <w:rFonts w:ascii="Amiri" w:hAnsi="Amiri" w:eastAsia="Amiri" w:cs="Amiri"/>
          <w:color w:val="111111"/>
          <w:sz w:val="28"/>
          <w:sz w:val="28"/>
          <w:szCs w:val="28"/>
          <w:rtl w:val="true"/>
          <w:lang w:bidi="ar-SA"/>
        </w:rPr>
        <w:t xml:space="preserve">، والوسيلة والجامع </w:t>
      </w:r>
      <w:r>
        <w:rPr>
          <w:rStyle w:val="FootnoteAnchor"/>
          <w:rtl w:val="true"/>
        </w:rPr>
        <w:footnoteReference w:id="14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1409"/>
      </w:r>
      <w:r>
        <w:rPr>
          <w:rFonts w:ascii="Amiri" w:hAnsi="Amiri" w:eastAsia="Amiri" w:cs="Amiri"/>
          <w:color w:val="111111"/>
          <w:sz w:val="28"/>
          <w:sz w:val="28"/>
          <w:szCs w:val="28"/>
          <w:rtl w:val="true"/>
          <w:lang w:bidi="ar-SA"/>
        </w:rPr>
        <w:t xml:space="preserve">، مع التصريح بالمنع في بعضها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لفتوى تلك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مستند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شمول النهي عن التكفين في السواد أو في سواد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سائر الأصباغ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يقطع الكفن بالحديد ، لما عن التهذيب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مذاكرة من الشيوخ وكان عليه عملهم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كاف في مقام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يجعل مع الميت الجريدة ، بالإجماع المحقّق والمنقول متواترا في كلام الأصحاب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واللوامع والحدائق والبحار </w:t>
      </w:r>
      <w:r>
        <w:rPr>
          <w:rStyle w:val="FootnoteAnchor"/>
          <w:rtl w:val="true"/>
        </w:rPr>
        <w:footnoteReference w:id="1413"/>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أهل البيت </w:t>
      </w:r>
      <w:r>
        <w:rPr>
          <w:rStyle w:val="FootnoteAnchor"/>
          <w:rtl w:val="true"/>
        </w:rPr>
        <w:footnoteReference w:id="1414"/>
      </w:r>
      <w:r>
        <w:rPr>
          <w:rFonts w:ascii="Amiri" w:hAnsi="Amiri" w:eastAsia="Amiri" w:cs="Amiri"/>
          <w:color w:val="111111"/>
          <w:sz w:val="28"/>
          <w:sz w:val="28"/>
          <w:szCs w:val="28"/>
          <w:rtl w:val="true"/>
          <w:lang w:bidi="ar-SA"/>
        </w:rPr>
        <w:t>، والظاهر أنه ضروري المذهب ، وهو الحجة فيه مع الأخبار المستفيضة بل المتواترة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الميت إذا مات لم تجعل معه الجريدة؟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يتجافى عنه العذاب والحساب ما دام العود رطبا </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توضع على الميت الجريدة؟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يتجافى عنه العذاب ما دامت رطبة </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الصدوق في معاني الأخبار </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 </w:t>
      </w:r>
    </w:p>
    <w:p>
      <w:pPr>
        <w:pStyle w:val="BookText"/>
        <w:rPr/>
      </w:pPr>
      <w:r>
        <w:rPr>
          <w:rFonts w:ascii="Amiri" w:hAnsi="Amiri" w:eastAsia="Amiri" w:cs="Amiri"/>
          <w:color w:val="111111"/>
          <w:sz w:val="28"/>
          <w:sz w:val="28"/>
          <w:szCs w:val="28"/>
          <w:rtl w:val="true"/>
          <w:lang w:bidi="ar-SA"/>
        </w:rPr>
        <w:t>والأخبار غير مفيدة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اثنتين على الحقّ المشهور ، بل بالإجماع المنقول والمحقّق ، لعدم مخالفة غير العماني ، للأخبار الآتية المصرّحة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العماني </w:t>
      </w:r>
      <w:r>
        <w:rPr>
          <w:rStyle w:val="FootnoteAnchor"/>
          <w:rtl w:val="true"/>
        </w:rPr>
        <w:footnoteReference w:id="1418"/>
      </w:r>
      <w:r>
        <w:rPr>
          <w:rFonts w:ascii="Amiri" w:hAnsi="Amiri" w:eastAsia="Amiri" w:cs="Amiri"/>
          <w:color w:val="111111"/>
          <w:sz w:val="28"/>
          <w:sz w:val="28"/>
          <w:szCs w:val="28"/>
          <w:rtl w:val="true"/>
          <w:lang w:bidi="ar-SA"/>
        </w:rPr>
        <w:t xml:space="preserve">، فجعلها واحدة ، لخبري يحيى ، الآتيين ، وحسنة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الجريدة توضع من دون الثياب أو من فوقها؟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 القميص دون الخاصرة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من أيّ الجانب؟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الجانب الأيمن </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روايتي يحيى مطلقتان بالنسبة إلى الوحدة والتعدّد ، فيجب تقييدهما بأخبار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الحسنة ، والاقتصار على الأيمن فيها لا يدلّ على الوحدة ، لجواز وضعهما معا في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ولتكونا خضراوين بالإجماع كما في اللوامع وغيره </w:t>
      </w:r>
      <w:r>
        <w:rPr>
          <w:rStyle w:val="FootnoteAnchor"/>
          <w:rtl w:val="true"/>
        </w:rPr>
        <w:footnoteReference w:id="1420"/>
      </w:r>
      <w:r>
        <w:rPr>
          <w:rFonts w:ascii="Amiri" w:hAnsi="Amiri" w:eastAsia="Amiri" w:cs="Amiri"/>
          <w:color w:val="111111"/>
          <w:sz w:val="28"/>
          <w:sz w:val="28"/>
          <w:szCs w:val="28"/>
          <w:rtl w:val="true"/>
          <w:lang w:bidi="ar-SA"/>
        </w:rPr>
        <w:t>، لأنه المفهوم من الروايتين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له قطعتين من جرائد النخل رطبا قدر ذراع ، يجعل له واحدة بين ركبتيه ، نصف ممّا يلي الساق ونصف ممّا يلي الفخذ ، ويجعل الأخرى تحت إبطه الأيمن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قول رسول اللّه صلی اللّه عليه وآله كما في رواية يحيى بن 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خضّروا أصحابكم فما أقلّ المخضرين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التخضير؟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جريدة خضراء توضع من أصل اليدين إلى الترقوة </w:t>
      </w:r>
      <w:r>
        <w:rPr>
          <w:rFonts w:eastAsia="IRNazanin" w:cs="IRNazanin"/>
          <w:color w:val="111111"/>
          <w:sz w:val="28"/>
          <w:szCs w:val="28"/>
          <w:rtl w:val="true"/>
          <w:lang w:bidi="fa-IR"/>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وروايته الأخرى الآتية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تجزئ اليابسة ، لرواية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السعفة اليابسة إذا قطعها </w:t>
      </w:r>
    </w:p>
    <w:p>
      <w:pPr>
        <w:pStyle w:val="BookText"/>
        <w:rPr/>
      </w:pPr>
      <w:r>
        <w:rPr>
          <w:rFonts w:ascii="Amiri" w:hAnsi="Amiri" w:eastAsia="Amiri" w:cs="Amiri"/>
          <w:color w:val="111111"/>
          <w:sz w:val="28"/>
          <w:sz w:val="28"/>
          <w:szCs w:val="28"/>
          <w:rtl w:val="true"/>
          <w:lang w:bidi="ar-SA"/>
        </w:rPr>
        <w:t xml:space="preserve">بيده هل يجوز للميت أن توضع معه في حفرته؟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اليابس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طائفة من كتب اللغة كالعين ، والمحيط ، وتهذيب اللغة </w:t>
      </w:r>
      <w:r>
        <w:rPr>
          <w:rStyle w:val="FootnoteAnchor"/>
          <w:rtl w:val="true"/>
        </w:rPr>
        <w:footnoteReference w:id="1425"/>
      </w:r>
      <w:r>
        <w:rPr>
          <w:rFonts w:ascii="Amiri" w:hAnsi="Amiri" w:eastAsia="Amiri" w:cs="Amiri"/>
          <w:color w:val="111111"/>
          <w:sz w:val="28"/>
          <w:sz w:val="28"/>
          <w:szCs w:val="28"/>
          <w:rtl w:val="true"/>
          <w:lang w:bidi="ar-SA"/>
        </w:rPr>
        <w:t>اعتبار الرطوبة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النخل ، بلا خلاف ، كما هو صريح رواية يونس ، المتقدّمة والمستفاد من ظواهر الأخبار ، بل يستفاد منها كون الجريدة حيث يطلق يومئذ حقيقة في المتّخذ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يوجد منه فمن السدر ، فإن لم يوجد فمن الخلاف ، وفاقا للأكثر ، لرواية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يقدر على الجريدة؟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على السدر؟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 الخلاف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لم يوجد الخلاف فمن كلّ شجر رطب ، لمرسلة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بلاد ليس فيها نخل ، فهل يجوز مكان الجريدة شي‌ء من الشجر غير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من شجر آخر رطب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يقدر على جريدة من النخل فلا بأس بأن يكون من غيره بعد أن يكون رطبا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وظاهرهما وإن اقتضى بدليته عن النخل أوّلا كما عن الفقيه </w:t>
      </w:r>
      <w:r>
        <w:rPr>
          <w:rStyle w:val="FootnoteAnchor"/>
          <w:rtl w:val="true"/>
        </w:rPr>
        <w:footnoteReference w:id="1429"/>
      </w:r>
      <w:r>
        <w:rPr>
          <w:rFonts w:ascii="IRNazanin" w:hAnsi="IRNazanin" w:eastAsia="IRNazanin"/>
          <w:color w:val="111111"/>
          <w:sz w:val="28"/>
          <w:sz w:val="28"/>
          <w:szCs w:val="28"/>
          <w:rtl w:val="true"/>
          <w:lang w:bidi="fa-IR"/>
        </w:rPr>
        <w:t xml:space="preserve">، والخلاف </w:t>
      </w:r>
    </w:p>
    <w:p>
      <w:pPr>
        <w:pStyle w:val="BookText"/>
        <w:rPr/>
      </w:pPr>
      <w:r>
        <w:rPr>
          <w:rFonts w:ascii="Amiri" w:hAnsi="Amiri" w:eastAsia="Amiri" w:cs="Amiri"/>
          <w:color w:val="111111"/>
          <w:sz w:val="28"/>
          <w:sz w:val="28"/>
          <w:szCs w:val="28"/>
          <w:rtl w:val="true"/>
          <w:lang w:bidi="ar-SA"/>
        </w:rPr>
        <w:t xml:space="preserve">والسرائر والذكرى </w:t>
      </w:r>
      <w:r>
        <w:rPr>
          <w:rStyle w:val="FootnoteAnchor"/>
          <w:rtl w:val="true"/>
        </w:rPr>
        <w:footnoteReference w:id="1430"/>
      </w:r>
      <w:r>
        <w:rPr>
          <w:rFonts w:ascii="Amiri" w:hAnsi="Amiri" w:eastAsia="Amiri" w:cs="Amiri"/>
          <w:color w:val="111111"/>
          <w:sz w:val="28"/>
          <w:sz w:val="28"/>
          <w:szCs w:val="28"/>
          <w:rtl w:val="true"/>
          <w:lang w:bidi="ar-SA"/>
        </w:rPr>
        <w:t xml:space="preserve">، والكامل ، إلاّ أنهما لأعمّيتهما من الرواية المتقدّمة مطلقا ، يجب تقييدهما بها ، كما يجب تقييدها برواية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بدلها عود الرمان </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فيقدّم الرمان على غير السدر والخلاف ، كما عن البيان ، والدروس </w:t>
      </w:r>
      <w:r>
        <w:rPr>
          <w:rStyle w:val="FootnoteAnchor"/>
          <w:rtl w:val="true"/>
        </w:rPr>
        <w:footnoteReference w:id="1432"/>
      </w:r>
      <w:r>
        <w:rPr>
          <w:rFonts w:ascii="Amiri" w:hAnsi="Amiri" w:eastAsia="Amiri" w:cs="Amiri"/>
          <w:color w:val="111111"/>
          <w:sz w:val="28"/>
          <w:sz w:val="28"/>
          <w:szCs w:val="28"/>
          <w:rtl w:val="true"/>
          <w:lang w:bidi="ar-SA"/>
        </w:rPr>
        <w:t xml:space="preserve">، واللمعة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ظاهرها بدلية الرمان عن النخل مطلقا ، فيعارض الرواية السابقة بالعموم من وجه ، إلاّ أنّ الشهرة بل عدم قول بتقديم الرمان عليهما أوجب ترجيح ما تضمنهما على ما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المفيد والديلمي </w:t>
      </w:r>
      <w:r>
        <w:rPr>
          <w:rStyle w:val="FootnoteAnchor"/>
          <w:rtl w:val="true"/>
        </w:rPr>
        <w:footnoteReference w:id="1434"/>
      </w:r>
      <w:r>
        <w:rPr>
          <w:rFonts w:ascii="Amiri" w:hAnsi="Amiri" w:eastAsia="Amiri" w:cs="Amiri"/>
          <w:color w:val="111111"/>
          <w:sz w:val="28"/>
          <w:sz w:val="28"/>
          <w:szCs w:val="28"/>
          <w:rtl w:val="true"/>
          <w:lang w:bidi="ar-SA"/>
        </w:rPr>
        <w:t xml:space="preserve">وجماعة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الخلاف على السدر ، ولا أعلم مستندهما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بالتخيير بعد النخل بين السدر والخلاف ثمَّ الرمان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يكونا بقدر عظم الذراع ، كما عن المشهور ، 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الجريدتين كلّ واحدة قدر عظم ذراع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ولعلّهم حملوا عليها الذراع في رواية يونس ، السابقة </w:t>
      </w:r>
      <w:r>
        <w:rPr>
          <w:rStyle w:val="FootnoteAnchor"/>
          <w:rtl w:val="true"/>
        </w:rPr>
        <w:footnoteReference w:id="1439"/>
      </w:r>
      <w:r>
        <w:rPr>
          <w:rFonts w:ascii="Amiri" w:hAnsi="Amiri" w:eastAsia="Amiri" w:cs="Amiri"/>
          <w:color w:val="111111"/>
          <w:sz w:val="28"/>
          <w:sz w:val="28"/>
          <w:szCs w:val="28"/>
          <w:rtl w:val="true"/>
          <w:lang w:bidi="ar-SA"/>
        </w:rPr>
        <w:t xml:space="preserve">، ورواية يحيى بن 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تؤخذ جريدة رطبة قدر ذراع فتوضع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ترقوته إلى </w:t>
      </w:r>
    </w:p>
    <w:p>
      <w:pPr>
        <w:pStyle w:val="BookText"/>
        <w:rPr/>
      </w:pPr>
      <w:r>
        <w:rPr>
          <w:rFonts w:ascii="Amiri" w:hAnsi="Amiri" w:eastAsia="Amiri" w:cs="Amiri"/>
          <w:color w:val="111111"/>
          <w:sz w:val="28"/>
          <w:sz w:val="28"/>
          <w:szCs w:val="28"/>
          <w:rtl w:val="true"/>
          <w:lang w:bidi="ar-SA"/>
        </w:rPr>
        <w:t xml:space="preserve">يده ، تلفّ مع ثيابه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المعنى الحقيقي للذراع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تنافيه حسنة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الجريدة قدر شبر توضع واحدة من عند الترقوة إلى ما بلغت ممّا يلي الجلد ، والأخرى في الأيسر من عند الترقوة إلى ما بلغت من فوق القميص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عظم الذراع أيضا قدر شبر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التقدير بأربع أصابع فما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العماني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مستنبط من رواية يحيى بن عبادة ، الاولى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جواز الزيادة عمّا ذكر والنقيصة ما دام صدق الجريدة ، إذ يعتبر فيها طول ، لإطلاق بعض الروايات وعدم ثبوت الوجوب من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يحصل الامتثال بوضعهما مع الميت 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 وفاقا للمعتبر وشرح القواعد للكركي </w:t>
      </w:r>
      <w:r>
        <w:rPr>
          <w:rStyle w:val="FootnoteAnchor"/>
          <w:rtl w:val="true"/>
        </w:rPr>
        <w:footnoteReference w:id="1445"/>
      </w:r>
      <w:r>
        <w:rPr>
          <w:rFonts w:ascii="Amiri" w:hAnsi="Amiri" w:eastAsia="Amiri" w:cs="Amiri"/>
          <w:color w:val="111111"/>
          <w:sz w:val="28"/>
          <w:sz w:val="28"/>
          <w:szCs w:val="28"/>
          <w:rtl w:val="true"/>
          <w:lang w:bidi="ar-SA"/>
        </w:rPr>
        <w:t xml:space="preserve">، لمطلقات وضعهما للميت وضعة ، وعدم ثبوت دلالة المقيدات على لزوم التقيّد وتعيّنه ، مضافا إلى خصوص 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الجريدة توضع في القبر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تجعل إحداهما على الأيمن والأخرى على الأيسر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طريقة وضعهما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 بل عليه غير الجعفي ممن تقدّم أو تأخّر ، لرواية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توضع للميت جريدتان واحدة في الأيمن والأخرى في الأيسر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وحسنة جميل ، المتقدمة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تجعل إحداهما في الأيمن والأخرى بين الركبتين ، كما عن الجعفي </w:t>
      </w:r>
      <w:r>
        <w:rPr>
          <w:rStyle w:val="FootnoteAnchor"/>
          <w:rtl w:val="true"/>
        </w:rPr>
        <w:footnoteReference w:id="1449"/>
      </w:r>
      <w:r>
        <w:rPr>
          <w:rFonts w:ascii="Amiri" w:hAnsi="Amiri" w:eastAsia="Amiri" w:cs="Amiri"/>
          <w:color w:val="111111"/>
          <w:sz w:val="28"/>
          <w:sz w:val="28"/>
          <w:szCs w:val="28"/>
          <w:rtl w:val="true"/>
          <w:lang w:bidi="ar-SA"/>
        </w:rPr>
        <w:t xml:space="preserve">، لرواية يونس ، السابقة </w:t>
      </w:r>
      <w:r>
        <w:rPr>
          <w:rStyle w:val="FootnoteAnchor"/>
          <w:rtl w:val="true"/>
        </w:rPr>
        <w:footnoteReference w:id="1450"/>
      </w:r>
      <w:r>
        <w:rPr>
          <w:rFonts w:ascii="Amiri" w:hAnsi="Amiri" w:eastAsia="Amiri" w:cs="Amiri"/>
          <w:color w:val="111111"/>
          <w:sz w:val="28"/>
          <w:sz w:val="28"/>
          <w:szCs w:val="28"/>
          <w:rtl w:val="true"/>
          <w:lang w:bidi="ar-SA"/>
        </w:rPr>
        <w:t xml:space="preserve">، وقريب منها الرضوي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الأول أولى ، للأشهرية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على الأقوى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الأول تجعل اليمنى عند الترقوة بين الجلد والقميص ، واليسرى عندها بين القميص واللفّافة ، كما في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الأولى كما ذكر ، والثانية عند وركه ، 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معه جريدتين إحداهما عند ترقوته تلصقها بجلده ، ثمَّ تمدّ عليه قميصه ، والآخر عند وركه </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يتعين الأول ، كما ذهب إليه الأكثر ومنهم الصدوق في المقنع </w:t>
      </w:r>
      <w:r>
        <w:rPr>
          <w:rStyle w:val="FootnoteAnchor"/>
          <w:rtl w:val="true"/>
        </w:rPr>
        <w:footnoteReference w:id="1453"/>
      </w:r>
      <w:r>
        <w:rPr>
          <w:rFonts w:ascii="Amiri" w:hAnsi="Amiri" w:eastAsia="Amiri" w:cs="Amiri"/>
          <w:color w:val="111111"/>
          <w:sz w:val="28"/>
          <w:sz w:val="28"/>
          <w:szCs w:val="28"/>
          <w:rtl w:val="true"/>
          <w:lang w:bidi="ar-SA"/>
        </w:rPr>
        <w:t>، وإن كان أفضل ، لأنه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الثاني ، كما عن الصدوق في الفقيه </w:t>
      </w:r>
      <w:r>
        <w:rPr>
          <w:rStyle w:val="FootnoteAnchor"/>
          <w:rtl w:val="true"/>
        </w:rPr>
        <w:footnoteReference w:id="1454"/>
      </w:r>
      <w:r>
        <w:rPr>
          <w:rFonts w:ascii="IRNazanin" w:hAnsi="IRNazanin" w:eastAsia="IRNazanin"/>
          <w:color w:val="111111"/>
          <w:sz w:val="28"/>
          <w:sz w:val="28"/>
          <w:szCs w:val="28"/>
          <w:rtl w:val="true"/>
          <w:lang w:bidi="fa-IR"/>
        </w:rPr>
        <w:t xml:space="preserve">ووالده </w:t>
      </w:r>
      <w:r>
        <w:rPr>
          <w:rStyle w:val="FootnoteAnchor"/>
          <w:rtl w:val="true"/>
        </w:rPr>
        <w:footnoteReference w:id="1455"/>
      </w:r>
      <w:r>
        <w:rPr>
          <w:rFonts w:ascii="Amiri" w:hAnsi="Amiri" w:eastAsia="Amiri" w:cs="Amiri"/>
          <w:color w:val="111111"/>
          <w:sz w:val="28"/>
          <w:sz w:val="28"/>
          <w:szCs w:val="28"/>
          <w:rtl w:val="true"/>
          <w:lang w:bidi="ar-SA"/>
        </w:rPr>
        <w:t>، للأصل ، وعدم دلالة الروايات على اللزوم ، بل الظاهر عدم إرادة القوم فيما اختاروه أيضا سوى بيان الأفضل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جعل اليمنى عند الحقو على الجلد ، واليسرى على الإزار ، كما عن </w:t>
      </w:r>
    </w:p>
    <w:p>
      <w:pPr>
        <w:pStyle w:val="BookText"/>
        <w:rPr/>
      </w:pPr>
      <w:r>
        <w:rPr>
          <w:rFonts w:ascii="IRNazanin" w:hAnsi="IRNazanin" w:eastAsia="IRNazanin"/>
          <w:color w:val="111111"/>
          <w:sz w:val="28"/>
          <w:sz w:val="28"/>
          <w:szCs w:val="28"/>
          <w:rtl w:val="true"/>
          <w:lang w:bidi="fa-IR"/>
        </w:rPr>
        <w:t xml:space="preserve">الاقتصاد والمصباح </w:t>
      </w:r>
      <w:r>
        <w:rPr>
          <w:rStyle w:val="FootnoteAnchor"/>
          <w:rtl w:val="true"/>
        </w:rPr>
        <w:footnoteReference w:id="1456"/>
      </w:r>
      <w:r>
        <w:rPr>
          <w:rFonts w:ascii="Amiri" w:hAnsi="Amiri" w:eastAsia="Amiri" w:cs="Amiri"/>
          <w:color w:val="111111"/>
          <w:sz w:val="28"/>
          <w:sz w:val="28"/>
          <w:szCs w:val="28"/>
          <w:rtl w:val="true"/>
          <w:lang w:bidi="ar-SA"/>
        </w:rPr>
        <w:t xml:space="preserve">، ومختصره ، أو وضعهما كالمشهور ، إلاّ أنّ اليسرى تحت اليد كما عن المراسم </w:t>
      </w:r>
      <w:r>
        <w:rPr>
          <w:rStyle w:val="FootnoteAnchor"/>
          <w:rtl w:val="true"/>
        </w:rPr>
        <w:footnoteReference w:id="1457"/>
      </w:r>
      <w:r>
        <w:rPr>
          <w:rFonts w:ascii="Amiri" w:hAnsi="Amiri" w:eastAsia="Amiri" w:cs="Amiri"/>
          <w:color w:val="111111"/>
          <w:sz w:val="28"/>
          <w:sz w:val="28"/>
          <w:szCs w:val="28"/>
          <w:rtl w:val="true"/>
          <w:lang w:bidi="ar-SA"/>
        </w:rPr>
        <w:t>، فلا دليل عليه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عدم المانع من تقية أو غيرها ولو كان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توضع حيث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 للمستفيضة كمرفوعة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حضرني من أخافه ، فلا يمكن وضع الجريدة على ما رويناه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أدخلها حيث ما أمكن </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ونحوها غيرها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وضعت في القبر فقد أجزأه </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مكاتبة أحمد بعد السؤال عن حضور المرجئة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الجريدة فليستخف بها ولا يرونه ، وليجهد في ذلك جهده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رسول اللّه صلی اللّه عليه وآله على قبر يعذّب صاحبه ، فدعا بجريدة فشقّها نصفين ، فجعل واحدة عند رأسه والأخرى عند رجليه </w:t>
      </w:r>
      <w:r>
        <w:rPr>
          <w:rFonts w:eastAsia="IRNazanin" w:cs="IRNazanin"/>
          <w:color w:val="111111"/>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بالشقّ فيها القطع ، فلا يثبت معها ما استحبه </w:t>
      </w:r>
    </w:p>
    <w:p>
      <w:pPr>
        <w:pStyle w:val="BookText"/>
        <w:rPr/>
      </w:pPr>
      <w:r>
        <w:rPr>
          <w:rFonts w:ascii="IRNazanin" w:hAnsi="IRNazanin" w:eastAsia="IRNazanin"/>
          <w:color w:val="111111"/>
          <w:sz w:val="28"/>
          <w:sz w:val="28"/>
          <w:szCs w:val="28"/>
          <w:rtl w:val="true"/>
          <w:lang w:bidi="fa-IR"/>
        </w:rPr>
        <w:t xml:space="preserve">بعضهم </w:t>
      </w:r>
      <w:r>
        <w:rPr>
          <w:rStyle w:val="FootnoteAnchor"/>
          <w:rtl w:val="true"/>
        </w:rPr>
        <w:footnoteReference w:id="1462"/>
      </w:r>
      <w:r>
        <w:rPr>
          <w:rFonts w:ascii="Amiri" w:hAnsi="Amiri" w:eastAsia="Amiri" w:cs="Amiri"/>
          <w:color w:val="111111"/>
          <w:sz w:val="28"/>
          <w:sz w:val="28"/>
          <w:szCs w:val="28"/>
          <w:rtl w:val="true"/>
          <w:lang w:bidi="ar-SA"/>
        </w:rPr>
        <w:t>من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استحب وضع القطن عليها </w:t>
      </w:r>
      <w:r>
        <w:rPr>
          <w:rStyle w:val="FootnoteAnchor"/>
          <w:rtl w:val="true"/>
        </w:rPr>
        <w:footnoteReference w:id="1463"/>
      </w:r>
      <w:r>
        <w:rPr>
          <w:rFonts w:ascii="Amiri" w:hAnsi="Amiri" w:eastAsia="Amiri" w:cs="Amiri"/>
          <w:color w:val="111111"/>
          <w:sz w:val="28"/>
          <w:sz w:val="28"/>
          <w:szCs w:val="28"/>
          <w:rtl w:val="true"/>
          <w:lang w:bidi="ar-SA"/>
        </w:rPr>
        <w:t>، وكأنه لاستبقاء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وينافيه ما مرّ به من الإلصاق بالجلد ، فالترك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الصدوق في الهداية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كتابة الشهادة بالتوحيد عنه عليهما ، بل زادوا الشهادة بالرسالة والإمامة للأئمة بأسمائهم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نص عليه بخصوصه ، إلاّ أن الشهرة العظيمة ، وتصريح الأجلّة ، وطلب اليمن والبركة كافية في الإثبات ، للمسامحة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استحباب الجريدتين بالمكلّف ، كما يوهمه ظاهر التعليل بمنعهما عن العذاب؟ أو لا ، كما يقتضيه إطلاق الأخبار وظاهر فتاوى الأصحاب ، فتوضعان لكلّ ميت حتى الصغير والمجنون؟</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لما مرّ ، وإفادتهما في حق غير المكلّف لدفع الوحشة ، وحصول الانس الذي هو أيضا علّة أخرى كما يستفاد من بعض الروايات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الوحشة أيضا نوع عذاب غير مخصوص بالمكلّفين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يضع في يمين الميت مع الجريدة كتابا يكتب فيه إقراره في حياته ، وتستشهد بما فيه جماعة ، على ما ذكره الشيخ في المصباح </w:t>
      </w:r>
      <w:r>
        <w:rPr>
          <w:rStyle w:val="FootnoteAnchor"/>
          <w:rtl w:val="true"/>
        </w:rPr>
        <w:footnoteReference w:id="1466"/>
      </w:r>
      <w:r>
        <w:rPr>
          <w:rFonts w:ascii="Amiri" w:hAnsi="Amiri" w:eastAsia="Amiri" w:cs="Amiri"/>
          <w:color w:val="111111"/>
          <w:sz w:val="28"/>
          <w:sz w:val="28"/>
          <w:szCs w:val="28"/>
          <w:rtl w:val="true"/>
          <w:lang w:bidi="ar-SA"/>
        </w:rPr>
        <w:t xml:space="preserve">، بل رواه ، كما في المنتهى </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إثبات استحبابه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وطريقه على ما ذكره أن يهيّئه كلّ أحد في حياته ، فيقول قبل أن يكتب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أشهد أن لا إله إلاّ اللّه وحده لا شريك له وأنّ محمّدا عبده ورسوله وأنّ الجنة حقّ وأنّ النار حقّ وأنّ الساعة آتية لا ريب فيها وأنّ اللّه يبعث من في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شهد الشهود المسمّون في هذا الكتاب أنّ أخاهم في اللّه عزّ وجلّ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اسم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أشهدهم واستودعهم وأقرّ عندهم أنه يشهد أن لا إله إلاّ اللّه وحده لا شريك له ، وأنّ محمدا عبده ورسوله ، وأنه مقر بجميع الأنبياء والرسل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عليا وليّ اللّه وإمامه ، وأنّ الأئمة من ولده أئمته ، وأنّ أوّلهم 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ابن الحسين عليه السلام ومحمد بن علي عليه السلام وجعفر بن محمد عليه السلام وموسى بن جعفر عليه السلام وعلي بن موسى عليه السلام ومحمد بن علي عليه السلام وعلي بن محمد عليه السلام والحسن بن علي عليه السلام والقائم الحجة عليه السلام ، وأنّ الجنّة حقّ ، والنار حقّ ، والساعة آتية لا ريب فيها ، وأنّ اللّه يبعث من في القبور ، وأن محمّدا صلی اللّه عليه وآله رسوله جاء بالحقّ ، وأنّ عليا عليه السلام ولي اللّه والخليفة من بعد رسول اللّه صلی اللّه عليه وآله ومستخلفه في أمته مؤديا لأمر ربه تبارك وتعالى ، وأنّ فاطمة بنت رسول اللّه صلی اللّه عليه وآله وابنيها الحسن والحسين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رسول اللّه صلی اللّه عليه وآله وسبطاه وإماما الهدى وقائدا الرحمة ، وأنّ عليا عليه السلام ومحمدا وجعفرا وموسى وعليّا ومحمدا وعليّا وحسنا والحجة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وقادة ودعاة إلى اللّه عزّ وجلّ وحجّة على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للشهود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ويا فلان المسمّين في هذا الكتاب أثبتوا لي هذه الشهادة عندكم حتى تلقوني بها عند الحوض ، ثمَّ يقول الشهود يا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نستودعك اللّه ، والشهادة والإخاء والإقرار لمودوعة عند رسول اللّه صلی اللّه عليه وآله ، ونقرأ عليك السلام ورحمة اللّه وبركاته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تطوى الصحيفة وتطبع وتختم بخاتم الشهود وخاتم الميت ويوضع عن </w:t>
      </w:r>
    </w:p>
    <w:p>
      <w:pPr>
        <w:pStyle w:val="BookText"/>
        <w:rPr/>
      </w:pPr>
      <w:r>
        <w:rPr>
          <w:rFonts w:ascii="Amiri" w:hAnsi="Amiri" w:eastAsia="Amiri" w:cs="Amiri"/>
          <w:color w:val="111111"/>
          <w:sz w:val="28"/>
          <w:sz w:val="28"/>
          <w:szCs w:val="28"/>
          <w:rtl w:val="true"/>
          <w:lang w:bidi="ar-SA"/>
        </w:rPr>
        <w:t>يمين الميت مع الجريدة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وتكتب الصحيفة بكافور وعود على جهة غير مطيب ، أي يؤخذ العود مكان القلم من غير أن يبرئ أو يلطّخ بشي‌ء ومن غير أن يطيب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الأخبار غفران الميت بشهادة أربعين رجلا بعد موته بأن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نعلم منه إلاّ خيرا فاغفر له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وأمّا كتابة تلك الشهادة بعد الموت ، فلا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الواجب للميت غير المرأة ذات البعل يؤخذ من أصل تركته ، مقدّما على الديون والوصايا ، بإجماع الطائفة كما صرّح به جماعة </w:t>
      </w:r>
      <w:r>
        <w:rPr>
          <w:rStyle w:val="FootnoteAnchor"/>
          <w:rtl w:val="true"/>
        </w:rPr>
        <w:footnoteReference w:id="1469"/>
      </w:r>
      <w:r>
        <w:rPr>
          <w:rFonts w:ascii="Amiri" w:hAnsi="Amiri" w:eastAsia="Amiri" w:cs="Amiri"/>
          <w:color w:val="111111"/>
          <w:sz w:val="28"/>
          <w:sz w:val="28"/>
          <w:szCs w:val="28"/>
          <w:rtl w:val="true"/>
          <w:lang w:bidi="ar-SA"/>
        </w:rPr>
        <w:t xml:space="preserve">، ونفى عنه الخلاف في المنتهى وشرح القواعد </w:t>
      </w:r>
      <w:r>
        <w:rPr>
          <w:rStyle w:val="FootnoteAnchor"/>
          <w:rtl w:val="true"/>
        </w:rPr>
        <w:footnoteReference w:id="1470"/>
      </w:r>
      <w:r>
        <w:rPr>
          <w:rFonts w:ascii="Amiri" w:hAnsi="Amiri" w:eastAsia="Amiri" w:cs="Amiri"/>
          <w:color w:val="111111"/>
          <w:sz w:val="28"/>
          <w:sz w:val="28"/>
          <w:szCs w:val="28"/>
          <w:rtl w:val="true"/>
          <w:lang w:bidi="ar-SA"/>
        </w:rPr>
        <w:t>وغيرهما ، لاستفاضة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وعليه دين وخلف قدر ثمن كفنه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ما ترك في ثمن كفنه إلاّ أن يتجر عليه إنسان يكفنه ويقضي دينه مما ترك </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شي‌ء يبدأ به من المال الكفن ثمَّ الدين ثمَّ الوصية ثمَّ الميراث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وروى نحوه في الدعائم عن مولانا أمير المؤمنين عليه السلام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الأخبار وفتاوى علمائنا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على حق المرتهن وغرماء المفلس ، لعدم خروج المال عن الملك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في المرهون وفي حق المجني عليه في شرح القواعد </w:t>
      </w:r>
      <w:r>
        <w:rPr>
          <w:rStyle w:val="FootnoteAnchor"/>
          <w:rtl w:val="true"/>
        </w:rPr>
        <w:footnoteReference w:id="1474"/>
      </w:r>
      <w:r>
        <w:rPr>
          <w:rFonts w:ascii="IRNazanin" w:hAnsi="IRNazanin" w:eastAsia="IRNazanin"/>
          <w:color w:val="111111"/>
          <w:sz w:val="28"/>
          <w:sz w:val="28"/>
          <w:szCs w:val="28"/>
          <w:rtl w:val="true"/>
          <w:lang w:bidi="fa-IR"/>
        </w:rPr>
        <w:t>، لاقتضائهما الاختصاص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اجتهاد في مقابلة الأخبار ، إلاّ أن يستشكل في شمولها لهما لشيوع غيرهما ، وانصراف المطلق إلى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 مع الوصية يكون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يتوقّف إخراجه عن التركة على إجازة الورثة إن كانوا جميعا من أهلها بعد إخراج الديون ، لأصالة عدم تعلّقه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لهم الإجازة ، كما تستحب على سائر المطّلعين من المكلّفين كفاية ، لتوقّف التكفين المستحب كذلك عليه ، واستحباب مقدّمة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الوصف المندوب للواجب من الجودة ونحوها ، فيتوقّف إخراج الأجود بل الجيّد على 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والمخرج من التركة ليس إلاّ الأدون ممّا يصدق عليه الاسم ، إلاّ أن يبلغ حدّا انصرفت الإطلاقات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مراعاة القصد في الجنس بحسب حال الميت في الإخراج عن التركة لا دليل عليه ، والقياس على بعض ما روي فيه ذلك باطل ، وشهادة العرف به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والكفن الواجب لذات البعل على بعلها ولو كانت موسرة إذا كان موسرا ولو بإرثه من تركتها ، إجماعا كما في المدارك </w:t>
      </w:r>
      <w:r>
        <w:rPr>
          <w:rStyle w:val="FootnoteAnchor"/>
          <w:rtl w:val="true"/>
        </w:rPr>
        <w:footnoteReference w:id="1475"/>
      </w:r>
      <w:r>
        <w:rPr>
          <w:rFonts w:ascii="Amiri" w:hAnsi="Amiri" w:eastAsia="Amiri" w:cs="Amiri"/>
          <w:color w:val="111111"/>
          <w:sz w:val="28"/>
          <w:sz w:val="28"/>
          <w:szCs w:val="28"/>
          <w:rtl w:val="true"/>
          <w:lang w:bidi="ar-SA"/>
        </w:rPr>
        <w:t xml:space="preserve">واللوامع ، وعن صريح الخلاف ونهاية الإحكام </w:t>
      </w:r>
      <w:r>
        <w:rPr>
          <w:rStyle w:val="FootnoteAnchor"/>
          <w:rtl w:val="true"/>
        </w:rPr>
        <w:footnoteReference w:id="1476"/>
      </w:r>
      <w:r>
        <w:rPr>
          <w:rFonts w:ascii="Amiri" w:hAnsi="Amiri" w:eastAsia="Amiri" w:cs="Amiri"/>
          <w:color w:val="111111"/>
          <w:sz w:val="28"/>
          <w:sz w:val="28"/>
          <w:szCs w:val="28"/>
          <w:rtl w:val="true"/>
          <w:lang w:bidi="ar-SA"/>
        </w:rPr>
        <w:t xml:space="preserve">، وظاهر المعتبر والمنتهى والتذكرة والذكرى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لخبر السكوني ، ومرسلة الصدوق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الزوج كفن امرأته إذا ماتت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المرأة على زوجها إذا ماتت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ومقتضى إطلاقهما كفتاوى الأصحاب عدم الفرق بين الصغيرة والكبيرة ، المدخول بها وغيرها ، المطيعة والناشزة ، والدائمة والمنقطعة ، وإن كان الشمول للأخيرة محل نظر وتأمل ، بل قد ينظر في الناشزة أيضا ، لعدم انصراف الإطلاق إلى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للنظر انصرافه إلى غيرها بحيث يتبادر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كان معسرا ، وفسّروه بأن لا يفضل ماله عن قوت يومه وليلته له ولعياله وما يستثني في دينه ، إذا أمكن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المدارك </w:t>
      </w:r>
      <w:r>
        <w:rPr>
          <w:rStyle w:val="FootnoteAnchor"/>
          <w:rtl w:val="true"/>
        </w:rPr>
        <w:footnoteReference w:id="1480"/>
      </w:r>
      <w:r>
        <w:rPr>
          <w:rFonts w:ascii="IRNazanin" w:hAnsi="IRNazanin" w:eastAsia="IRNazanin"/>
          <w:color w:val="111111"/>
          <w:sz w:val="28"/>
          <w:sz w:val="28"/>
          <w:szCs w:val="28"/>
          <w:rtl w:val="true"/>
          <w:lang w:bidi="fa-IR"/>
        </w:rPr>
        <w:t>، 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 غلبة إيساره وانصراف المطلق إلى الغالب باطلة ، لمنع الغلبة الموجبة للتبادر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له كفنت من تركتها ، لتقييد التكاليف بالإمكان قطعا ، فتبقى إطلاقات كون الكفن على التركة في حق مثل هذه خالية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لها أيضا مال تكون كغيرها من فاقدي الكفن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ماتا معا لم يجب كفتها عليه ، لخروجه عن التكليف ، فلا يشمله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بعدها وجب من تركته ، لسبق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أوصت الموسرة بكفنها نفذت من الثلث ، لعمومات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سائر المؤن الواجبة بالكفن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كالأكثر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والأصل يدفعه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يلحق بالزوجة غيرها ممن تجب نفقته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المملوك ، فإنّ كفنه ومؤن تجهيزه على مولاه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للميت تركة تفي بكفنه يكفّن من الزكاة وجوبا ، على الأظهر ، وفاقا للمنتهى والكركي والأردبيلي </w:t>
      </w:r>
      <w:r>
        <w:rPr>
          <w:rStyle w:val="FootnoteAnchor"/>
          <w:rtl w:val="true"/>
        </w:rPr>
        <w:footnoteReference w:id="1482"/>
      </w:r>
      <w:r>
        <w:rPr>
          <w:rFonts w:ascii="Amiri" w:hAnsi="Amiri" w:eastAsia="Amiri" w:cs="Amiri"/>
          <w:color w:val="111111"/>
          <w:sz w:val="28"/>
          <w:sz w:val="28"/>
          <w:szCs w:val="28"/>
          <w:rtl w:val="true"/>
          <w:lang w:bidi="ar-SA"/>
        </w:rPr>
        <w:t xml:space="preserve">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اللوامع ، وعن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لموثّقة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من أصحابنا يموت ولم يترك ما يكفّن به أشتري له كفنه من الزكاة؟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عياله من الزكاة قدر ما يجهزونه ، فيكونون هم الذين يجهزونه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ولا أحد يقوم بأمره فأجهزه أنا من الزكاة؟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المؤمن ميتا كحرمته حيا ، فوار بدنه وعورته ، وجهّزه وكفّنه وحنّطه ، واحتسب بذلك من الزكاة </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واستحبابا عند جماعة </w:t>
      </w:r>
      <w:r>
        <w:rPr>
          <w:rStyle w:val="FootnoteAnchor"/>
          <w:rtl w:val="true"/>
        </w:rPr>
        <w:footnoteReference w:id="1484"/>
      </w:r>
      <w:r>
        <w:rPr>
          <w:rFonts w:ascii="Amiri" w:hAnsi="Amiri" w:eastAsia="Amiri" w:cs="Amiri"/>
          <w:color w:val="111111"/>
          <w:sz w:val="28"/>
          <w:sz w:val="28"/>
          <w:szCs w:val="28"/>
          <w:rtl w:val="true"/>
          <w:lang w:bidi="ar-SA"/>
        </w:rPr>
        <w:t>، للأصل المندفع بالأمر الذي هو 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توجد الزكاة أيضا فالمصرّح به في كلام الأصحاب أنه لا يجب على المسلمين 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استحب لمرغّبات 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يدفن بلا كفن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ممّا ليس خلاف فيه بين العلماء </w:t>
      </w:r>
      <w:r>
        <w:rPr>
          <w:rStyle w:val="FootnoteAnchor"/>
          <w:rtl w:val="true"/>
        </w:rPr>
        <w:footnoteReference w:id="1485"/>
      </w:r>
      <w:r>
        <w:rPr>
          <w:rFonts w:ascii="Amiri" w:hAnsi="Amiri" w:eastAsia="Amiri" w:cs="Amiri"/>
          <w:color w:val="111111"/>
          <w:sz w:val="28"/>
          <w:sz w:val="28"/>
          <w:szCs w:val="28"/>
          <w:rtl w:val="true"/>
          <w:lang w:bidi="ar-SA"/>
        </w:rPr>
        <w:t xml:space="preserve">، 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للأصل ،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الإجماع ، وإلاّ فيدفع الأصل بوجوب التكفين من غير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على كلّ أحد ، وهو يتوقّف على بذله الكفن ، ومقدمة الواجب المطلق واجبة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وجوبه المطلق لأنه يثبت بالإجماع الغير الثابت منه إلاّ المشروط ، </w:t>
      </w:r>
    </w:p>
    <w:p>
      <w:pPr>
        <w:pStyle w:val="BookText"/>
        <w:rPr/>
      </w:pPr>
      <w:r>
        <w:rPr>
          <w:rFonts w:ascii="Amiri" w:hAnsi="Amiri" w:eastAsia="Amiri" w:cs="Amiri"/>
          <w:color w:val="111111"/>
          <w:sz w:val="28"/>
          <w:sz w:val="28"/>
          <w:szCs w:val="28"/>
          <w:rtl w:val="true"/>
          <w:lang w:bidi="ar-SA"/>
        </w:rPr>
        <w:t>يندفع بعدم اختصاص دليله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يدلّ عليه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الكفن فريضة للرجال ثلاثة أثواب </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فإن المفروض عليه ليس الميت ولا أحد بخصوصه إجماعا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كلّ أحد من المسلمين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وفت التركة ببعض القطع ، أو لم يوجد إلاّ البعض يكتفي بما يوجد من ثوبين أو واحد جوازا إجماعا ، ووجوبا عند الأكثر ، بل غير شاذ ممّن تأخّر </w:t>
      </w:r>
      <w:r>
        <w:rPr>
          <w:rStyle w:val="FootnoteAnchor"/>
          <w:rtl w:val="true"/>
        </w:rPr>
        <w:footnoteReference w:id="1487"/>
      </w:r>
      <w:r>
        <w:rPr>
          <w:rFonts w:ascii="Amiri" w:hAnsi="Amiri" w:eastAsia="Amiri" w:cs="Amiri"/>
          <w:color w:val="111111"/>
          <w:sz w:val="28"/>
          <w:sz w:val="28"/>
          <w:szCs w:val="28"/>
          <w:rtl w:val="true"/>
          <w:lang w:bidi="ar-SA"/>
        </w:rPr>
        <w:t>، لأصالة بقاء وجوب ما يمكن ، حيث إنه يجب كلّ قطعة بأمر منفرد ، والأصل عدم الارتباط والاشتراط ، فيمتثل 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مبتدئا من اللفافة ، ثمَّ القميص ، ثمَّ المئزر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رتّب في شرح القواعد </w:t>
      </w:r>
      <w:r>
        <w:rPr>
          <w:rStyle w:val="FootnoteAnchor"/>
          <w:rtl w:val="true"/>
        </w:rPr>
        <w:footnoteReference w:id="148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وجوبه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بعض ثوب لم يجب على الأظهر ما زاد على ساتر العورة الواجب مطلقا إجماعا ، للأصل ، وكون وجوبه تبعيا ساقطا بسقوط متبوعه ، وعدم دلالة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وجد الكفن الممنوع منه ، فإن كان منعه لإطلاق كالحرير والمغصوب ، اتّجه المنع هنا أيضا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 بحال الاختيار للانصراف إليه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للإجماع كالنجس ، اتّجه الجواز بل الوجوب ، لاختصاصه بصورة وجود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كفن وميتان ، فإن اختص بأحدهما يكفّن به ، وإلاّ تخيّر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المعتبر الميل إلى جعلهما في كفن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تثبت مشروعيته ، وفعل النبي صلی اللّه عليه وآله كذلك في قتلى احد </w:t>
      </w:r>
      <w:r>
        <w:rPr>
          <w:rStyle w:val="FootnoteAnchor"/>
          <w:rtl w:val="true"/>
        </w:rPr>
        <w:footnoteReference w:id="1491"/>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سقط من الميت من شعر أو ظفر أو لحم أو غيرها يجب جعله في كفنه على الأظهر الأشهر ، بل عليه الإجماع في المدارك </w:t>
      </w:r>
      <w:r>
        <w:rPr>
          <w:rStyle w:val="FootnoteAnchor"/>
          <w:rtl w:val="true"/>
        </w:rPr>
        <w:footnoteReference w:id="1492"/>
      </w:r>
      <w:r>
        <w:rPr>
          <w:rFonts w:ascii="Amiri" w:hAnsi="Amiri" w:eastAsia="Amiri" w:cs="Amiri"/>
          <w:color w:val="111111"/>
          <w:sz w:val="28"/>
          <w:sz w:val="28"/>
          <w:szCs w:val="28"/>
          <w:rtl w:val="true"/>
          <w:lang w:bidi="ar-SA"/>
        </w:rPr>
        <w:t xml:space="preserve">واللوامع وعن التذكرة ونهاية الإحكام </w:t>
      </w:r>
      <w:r>
        <w:rPr>
          <w:rStyle w:val="FootnoteAnchor"/>
          <w:rtl w:val="true"/>
        </w:rPr>
        <w:footnoteReference w:id="1493"/>
      </w:r>
      <w:r>
        <w:rPr>
          <w:rFonts w:ascii="Amiri" w:hAnsi="Amiri" w:eastAsia="Amiri" w:cs="Amiri"/>
          <w:color w:val="111111"/>
          <w:sz w:val="28"/>
          <w:sz w:val="28"/>
          <w:szCs w:val="28"/>
          <w:rtl w:val="true"/>
          <w:lang w:bidi="ar-SA"/>
        </w:rPr>
        <w:t xml:space="preserve">، لمرسلة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سقط منه شي‌ء فاجعله في كفنه </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الجامع </w:t>
      </w:r>
      <w:r>
        <w:rPr>
          <w:rStyle w:val="FootnoteAnchor"/>
          <w:rtl w:val="true"/>
        </w:rPr>
        <w:footnoteReference w:id="1495"/>
      </w:r>
      <w:r>
        <w:rPr>
          <w:rFonts w:ascii="Amiri" w:hAnsi="Amiri" w:eastAsia="Amiri" w:cs="Amiri"/>
          <w:color w:val="111111"/>
          <w:sz w:val="28"/>
          <w:sz w:val="28"/>
          <w:szCs w:val="28"/>
          <w:rtl w:val="true"/>
          <w:lang w:bidi="ar-SA"/>
        </w:rPr>
        <w:t>، فقال باستحبابه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الأمر الوارد في الخبر المنجبر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حجيته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غسله؟ صرّح في شرح القواعد </w:t>
      </w:r>
      <w:r>
        <w:rPr>
          <w:rStyle w:val="FootnoteAnchor"/>
          <w:rtl w:val="true"/>
        </w:rPr>
        <w:footnoteReference w:id="1496"/>
      </w:r>
      <w:r>
        <w:rPr>
          <w:rFonts w:ascii="Amiri" w:hAnsi="Amiri" w:eastAsia="Amiri" w:cs="Amiri"/>
          <w:color w:val="111111"/>
          <w:sz w:val="28"/>
          <w:sz w:val="28"/>
          <w:szCs w:val="28"/>
          <w:rtl w:val="true"/>
          <w:lang w:bidi="ar-SA"/>
        </w:rPr>
        <w:t xml:space="preserve">واللوامع ، مدّعيا عليه في الأخير الإجماع ، لخبر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يكون عليه الشعر فيحلق عنه أو يقلم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منه شي‌ء اغسله وادفنه </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يذكره في الشرائع والمنتهى والقواعد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يقتضي العدم ، والخبر المذكور لا يثبته ، لجواز كون المرجع في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وادفنه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من الميت نجاسة ولقيت كفنه ، فقبل وضعه في القبر يغسل ، وبعده يقرض مطلقا ، وفاقا للشرائع والنافع والمنتهى والقواعد </w:t>
      </w:r>
      <w:r>
        <w:rPr>
          <w:rStyle w:val="FootnoteAnchor"/>
          <w:rtl w:val="true"/>
        </w:rPr>
        <w:footnoteReference w:id="1499"/>
      </w:r>
      <w:r>
        <w:rPr>
          <w:rFonts w:ascii="IRNazanin" w:hAnsi="IRNazanin" w:eastAsia="IRNazanin"/>
          <w:color w:val="111111"/>
          <w:sz w:val="28"/>
          <w:sz w:val="28"/>
          <w:szCs w:val="28"/>
          <w:rtl w:val="true"/>
          <w:lang w:bidi="fa-IR"/>
        </w:rPr>
        <w:t xml:space="preserve">، وعن </w:t>
      </w:r>
    </w:p>
    <w:p>
      <w:pPr>
        <w:pStyle w:val="BookText"/>
        <w:rPr/>
      </w:pPr>
      <w:r>
        <w:rPr>
          <w:rFonts w:ascii="Amiri" w:hAnsi="Amiri" w:eastAsia="Amiri" w:cs="Amiri"/>
          <w:color w:val="111111"/>
          <w:sz w:val="28"/>
          <w:sz w:val="28"/>
          <w:szCs w:val="28"/>
          <w:rtl w:val="true"/>
          <w:lang w:bidi="ar-SA"/>
        </w:rPr>
        <w:t xml:space="preserve">الصدوقين </w:t>
      </w:r>
      <w:r>
        <w:rPr>
          <w:rStyle w:val="FootnoteAnchor"/>
          <w:rtl w:val="true"/>
        </w:rPr>
        <w:footnoteReference w:id="1500"/>
      </w:r>
      <w:r>
        <w:rPr>
          <w:rFonts w:ascii="Amiri" w:hAnsi="Amiri" w:eastAsia="Amiri" w:cs="Amiri"/>
          <w:color w:val="111111"/>
          <w:sz w:val="28"/>
          <w:sz w:val="28"/>
          <w:szCs w:val="28"/>
          <w:rtl w:val="true"/>
          <w:lang w:bidi="ar-SA"/>
        </w:rPr>
        <w:t xml:space="preserve">، والحلّي </w:t>
      </w:r>
      <w:r>
        <w:rPr>
          <w:rStyle w:val="FootnoteAnchor"/>
          <w:rtl w:val="true"/>
        </w:rPr>
        <w:footnoteReference w:id="1501"/>
      </w:r>
      <w:r>
        <w:rPr>
          <w:rFonts w:ascii="Amiri" w:hAnsi="Amiri" w:eastAsia="Amiri" w:cs="Amiri"/>
          <w:color w:val="111111"/>
          <w:sz w:val="28"/>
          <w:sz w:val="28"/>
          <w:szCs w:val="28"/>
          <w:rtl w:val="true"/>
          <w:lang w:bidi="ar-SA"/>
        </w:rPr>
        <w:t xml:space="preserve">، بل عن الأكثر كما في المدارك والبحار </w:t>
      </w:r>
      <w:r>
        <w:rPr>
          <w:rStyle w:val="FootnoteAnchor"/>
          <w:rtl w:val="true"/>
        </w:rPr>
        <w:footnoteReference w:id="1502"/>
      </w:r>
      <w:r>
        <w:rPr>
          <w:rFonts w:ascii="IRNazanin" w:hAnsi="IRNazanin" w:eastAsia="IRNazanin"/>
          <w:color w:val="111111"/>
          <w:sz w:val="28"/>
          <w:sz w:val="28"/>
          <w:szCs w:val="28"/>
          <w:rtl w:val="true"/>
          <w:lang w:bidi="fa-IR"/>
        </w:rPr>
        <w:t>واللوامع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للرضوي المنجبر ضعفه بالشهرة المحكية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خرج منه شي‌ء بعد الغسل فلا تعد الغسل ، ولكن اغسل ما أصاب من الكفن إلى أن تضعه في لحده ، فإن خرج منه شي‌ء في لحده لم تغسل كفنه ، ولكن قرضت من كفنه ما أصاب من الذي خرج منه ، ومددت أحد الثوبين على الآخر </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تخصص إطلاقات الغسل ، المتقدّمة في بحث الغسل </w:t>
      </w:r>
      <w:r>
        <w:rPr>
          <w:rStyle w:val="FootnoteAnchor"/>
          <w:rtl w:val="true"/>
        </w:rPr>
        <w:footnoteReference w:id="1504"/>
      </w:r>
      <w:r>
        <w:rPr>
          <w:rFonts w:ascii="Amiri" w:hAnsi="Amiri" w:eastAsia="Amiri" w:cs="Amiri"/>
          <w:color w:val="111111"/>
          <w:sz w:val="28"/>
          <w:sz w:val="28"/>
          <w:szCs w:val="28"/>
          <w:rtl w:val="true"/>
          <w:lang w:bidi="ar-SA"/>
        </w:rPr>
        <w:t xml:space="preserve">، ومطلقات القرض كحسنة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من منخر الميت الدم أو الشي‌ء بعد الغسل فأصاب العمامة أو الكفن قرض بالمقراض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وبمعناها مرسلة ابن أبي عمير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للكركي </w:t>
      </w:r>
      <w:r>
        <w:rPr>
          <w:rStyle w:val="FootnoteAnchor"/>
          <w:rtl w:val="true"/>
        </w:rPr>
        <w:footnoteReference w:id="1507"/>
      </w:r>
      <w:r>
        <w:rPr>
          <w:rFonts w:ascii="Amiri" w:hAnsi="Amiri" w:eastAsia="Amiri" w:cs="Amiri"/>
          <w:color w:val="111111"/>
          <w:sz w:val="28"/>
          <w:sz w:val="28"/>
          <w:szCs w:val="28"/>
          <w:rtl w:val="true"/>
          <w:lang w:bidi="ar-SA"/>
        </w:rPr>
        <w:t xml:space="preserve">والمحكي عن المحقّق </w:t>
      </w:r>
      <w:r>
        <w:rPr>
          <w:rStyle w:val="FootnoteAnchor"/>
          <w:rtl w:val="true"/>
        </w:rPr>
        <w:footnoteReference w:id="1508"/>
      </w:r>
      <w:r>
        <w:rPr>
          <w:rFonts w:ascii="Amiri" w:hAnsi="Amiri" w:eastAsia="Amiri" w:cs="Amiri"/>
          <w:color w:val="111111"/>
          <w:sz w:val="28"/>
          <w:sz w:val="28"/>
          <w:szCs w:val="28"/>
          <w:rtl w:val="true"/>
          <w:lang w:bidi="ar-SA"/>
        </w:rPr>
        <w:t>، فخصّصا القرض بعد الوضع بصورة عدم إمكان الغسل ، واستقربه والدي في اللوامع ، لحرمة إتلاف المال ، خرج ما إذا لم يمكن الغسل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الإتلاف قد تحقّق ، ولذا تراهم يستدلّون لحرمة الحرير الزائد عن القدر المستحب في 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إضاعة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التسليم فالنصّ جوّزه ، كما في صورة عدم إمكان الغسل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الشيخين </w:t>
      </w:r>
      <w:r>
        <w:rPr>
          <w:rStyle w:val="FootnoteAnchor"/>
          <w:rtl w:val="true"/>
        </w:rPr>
        <w:footnoteReference w:id="1509"/>
      </w:r>
      <w:r>
        <w:rPr>
          <w:rFonts w:ascii="Amiri" w:hAnsi="Amiri" w:eastAsia="Amiri" w:cs="Amiri"/>
          <w:color w:val="111111"/>
          <w:sz w:val="28"/>
          <w:sz w:val="28"/>
          <w:szCs w:val="28"/>
          <w:rtl w:val="true"/>
          <w:lang w:bidi="ar-SA"/>
        </w:rPr>
        <w:t xml:space="preserve">وبني حمزة والبراج وسعيد </w:t>
      </w:r>
      <w:r>
        <w:rPr>
          <w:rStyle w:val="FootnoteAnchor"/>
          <w:rtl w:val="true"/>
        </w:rPr>
        <w:footnoteReference w:id="1510"/>
      </w:r>
      <w:r>
        <w:rPr>
          <w:rFonts w:ascii="IRNazanin" w:hAnsi="IRNazanin" w:eastAsia="IRNazanin"/>
          <w:color w:val="111111"/>
          <w:sz w:val="28"/>
          <w:sz w:val="28"/>
          <w:szCs w:val="28"/>
          <w:rtl w:val="true"/>
          <w:lang w:bidi="fa-IR"/>
        </w:rPr>
        <w:t xml:space="preserve">، فأطلقوا القرض ، </w:t>
      </w:r>
    </w:p>
    <w:p>
      <w:pPr>
        <w:pStyle w:val="BookText"/>
        <w:rPr/>
      </w:pPr>
      <w:r>
        <w:rPr>
          <w:rFonts w:ascii="Amiri" w:hAnsi="Amiri" w:eastAsia="Amiri" w:cs="Amiri"/>
          <w:color w:val="111111"/>
          <w:sz w:val="28"/>
          <w:sz w:val="28"/>
          <w:szCs w:val="28"/>
          <w:rtl w:val="true"/>
          <w:lang w:bidi="ar-SA"/>
        </w:rPr>
        <w:t>لإطلاق الحسن والمرسل بعد تقييد مطلقات الغسل بهما ، لاختصاصهما بما أصاب الكفن ، وعمومها بالنسبة إليه وإلى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لا الرضوي الذي هو أخص منهما ، ولذا يحكم بالقرض أيضا فيما لم يشمله الرضوي أيضا ، وهو ما إذا خرج قبل الوضع وأصابه بعده أو قبله وعلم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لم تتفاحش النجاسة بحيث يؤدّي القرض إلى كشف بدن الميت وهتكه وعدم إمكان مدّ الثوب الآخر عليه ، وإلاّ فعن الشهيدين والكركي </w:t>
      </w:r>
      <w:r>
        <w:rPr>
          <w:rStyle w:val="FootnoteAnchor"/>
          <w:rtl w:val="true"/>
        </w:rPr>
        <w:footnoteReference w:id="1511"/>
      </w:r>
      <w:r>
        <w:rPr>
          <w:rFonts w:ascii="Amiri" w:hAnsi="Amiri" w:eastAsia="Amiri" w:cs="Amiri"/>
          <w:color w:val="111111"/>
          <w:sz w:val="28"/>
          <w:sz w:val="28"/>
          <w:szCs w:val="28"/>
          <w:rtl w:val="true"/>
          <w:lang w:bidi="ar-SA"/>
        </w:rPr>
        <w:t>سقوط القرض فيغسل إن أمكن ، وإلاّ يسقط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وللمقال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 المحرم كالمحلّ حتى في تغطية الرأس والوجه ، على الأشهر الأظهر ، ونسبه في المنتهى إلى علمائنا </w:t>
      </w:r>
      <w:r>
        <w:rPr>
          <w:rStyle w:val="FootnoteAnchor"/>
          <w:rtl w:val="true"/>
        </w:rPr>
        <w:footnoteReference w:id="1512"/>
      </w:r>
      <w:r>
        <w:rPr>
          <w:rFonts w:ascii="Amiri" w:hAnsi="Amiri" w:eastAsia="Amiri" w:cs="Amiri"/>
          <w:color w:val="111111"/>
          <w:sz w:val="28"/>
          <w:sz w:val="28"/>
          <w:szCs w:val="28"/>
          <w:rtl w:val="true"/>
          <w:lang w:bidi="ar-SA"/>
        </w:rPr>
        <w:t xml:space="preserve">، وعن الخلاف الإجماع عليه </w:t>
      </w:r>
      <w:r>
        <w:rPr>
          <w:rStyle w:val="FootnoteAnchor"/>
          <w:rtl w:val="true"/>
        </w:rPr>
        <w:footnoteReference w:id="1513"/>
      </w:r>
      <w:r>
        <w:rPr>
          <w:rFonts w:ascii="Amiri" w:hAnsi="Amiri" w:eastAsia="Amiri" w:cs="Amiri"/>
          <w:color w:val="111111"/>
          <w:sz w:val="28"/>
          <w:sz w:val="28"/>
          <w:szCs w:val="28"/>
          <w:rtl w:val="true"/>
          <w:lang w:bidi="ar-SA"/>
        </w:rPr>
        <w:t xml:space="preserve">، للعمومات المتقدّمة والخصوصات الآتية في المبحث الآتي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السيد والجعفي والعماني </w:t>
      </w:r>
      <w:r>
        <w:rPr>
          <w:rStyle w:val="FootnoteAnchor"/>
          <w:rtl w:val="true"/>
        </w:rPr>
        <w:footnoteReference w:id="1515"/>
      </w:r>
      <w:r>
        <w:rPr>
          <w:rFonts w:ascii="Amiri" w:hAnsi="Amiri" w:eastAsia="Amiri" w:cs="Amiri"/>
          <w:color w:val="111111"/>
          <w:sz w:val="28"/>
          <w:sz w:val="28"/>
          <w:szCs w:val="28"/>
          <w:rtl w:val="true"/>
          <w:lang w:bidi="ar-SA"/>
        </w:rPr>
        <w:t xml:space="preserve">، فأوجبوا كشف الرأس ، وزاد الثاني الرجلين ، لاستصحاب حكم الإحرام ، ودلالة النهي عن تطييبه على بقاء إحرامه ، والنبوي 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تخمروا رأسه </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 والاكتفاء في بعض أخبارنا بتغطية الوجه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الإحرام كان على المحرم نفسه ، ولا يمكن استصحابه ، لخروجه بالموت عن التكليف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w:t>
      </w:r>
      <w:r>
        <w:rPr>
          <w:rFonts w:eastAsia="Amiri" w:cs="Amiri" w:ascii="Amiri" w:hAnsi="Amiri"/>
          <w:color w:val="111111"/>
          <w:sz w:val="28"/>
          <w:szCs w:val="28"/>
          <w:rtl w:val="true"/>
          <w:lang w:bidi="ar-SA"/>
        </w:rPr>
        <w:t xml:space="preserve">. </w:t>
      </w:r>
      <w:bookmarkStart w:id="88" w:name="pg11616_94694"/>
    </w:p>
    <w:p>
      <w:pPr>
        <w:pStyle w:val="BookText"/>
        <w:rPr/>
      </w:pPr>
      <w:bookmarkEnd w:id="88"/>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مفهوم ضعيف ، ومع ما أمر بتغطية الرأس معارض</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588115_73709187"/>
      <w:bookmarkStart w:id="90" w:name="_Toc35"/>
      <w:bookmarkEnd w:id="89"/>
      <w:r>
        <w:rPr>
          <w:rtl w:val="true"/>
        </w:rPr>
        <w:t xml:space="preserve">البحث الرابع </w:t>
      </w:r>
      <w:r>
        <w:rPr>
          <w:rtl w:val="true"/>
        </w:rPr>
        <w:t xml:space="preserve">: </w:t>
      </w:r>
      <w:r>
        <w:rPr>
          <w:rtl w:val="true"/>
        </w:rPr>
        <w:t>في تحنيطه</w:t>
      </w:r>
      <w:bookmarkEnd w:id="90"/>
    </w:p>
    <w:p>
      <w:pPr>
        <w:pStyle w:val="Heading4"/>
        <w:numPr>
          <w:ilvl w:val="3"/>
          <w:numId w:val="1"/>
        </w:numPr>
        <w:rPr/>
      </w:pPr>
      <w:bookmarkStart w:id="91" w:name="__RefHeading___Toc5588117_73709187"/>
      <w:bookmarkStart w:id="92" w:name="_Toc36"/>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وهو واجب بالإجماع كما في المنتهى </w:t>
      </w:r>
      <w:r>
        <w:rPr>
          <w:rStyle w:val="FootnoteAnchor"/>
          <w:rtl w:val="true"/>
        </w:rPr>
        <w:footnoteReference w:id="1518"/>
      </w:r>
      <w:r>
        <w:rPr>
          <w:rFonts w:ascii="Amiri" w:hAnsi="Amiri" w:eastAsia="Amiri" w:cs="Amiri"/>
          <w:color w:val="111111"/>
          <w:sz w:val="28"/>
          <w:sz w:val="28"/>
          <w:szCs w:val="28"/>
          <w:rtl w:val="true"/>
          <w:lang w:bidi="ar-SA"/>
        </w:rPr>
        <w:t xml:space="preserve">واللوامع ، وعن الخلاف والتذكرة </w:t>
      </w:r>
      <w:r>
        <w:rPr>
          <w:rStyle w:val="FootnoteAnchor"/>
          <w:rtl w:val="true"/>
        </w:rPr>
        <w:footnoteReference w:id="1519"/>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من مذهب الأصحاب </w:t>
      </w:r>
      <w:r>
        <w:rPr>
          <w:rStyle w:val="FootnoteAnchor"/>
          <w:rtl w:val="true"/>
        </w:rPr>
        <w:footnoteReference w:id="1520"/>
      </w:r>
      <w:r>
        <w:rPr>
          <w:rFonts w:ascii="Amiri" w:hAnsi="Amiri" w:eastAsia="Amiri" w:cs="Amiri"/>
          <w:color w:val="111111"/>
          <w:sz w:val="28"/>
          <w:sz w:val="28"/>
          <w:szCs w:val="28"/>
          <w:rtl w:val="true"/>
          <w:lang w:bidi="ar-SA"/>
        </w:rPr>
        <w:t>، للأمر به في الأخبار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المراسم الاستحباب </w:t>
      </w:r>
      <w:r>
        <w:rPr>
          <w:rStyle w:val="FootnoteAnchor"/>
          <w:rtl w:val="true"/>
        </w:rPr>
        <w:footnoteReference w:id="1521"/>
      </w:r>
      <w:r>
        <w:rPr>
          <w:rFonts w:ascii="IRNazanin" w:hAnsi="IRNazanin" w:eastAsia="IRNazanin"/>
          <w:color w:val="111111"/>
          <w:sz w:val="28"/>
          <w:sz w:val="28"/>
          <w:szCs w:val="28"/>
          <w:rtl w:val="true"/>
          <w:lang w:bidi="fa-IR"/>
        </w:rPr>
        <w:t>، وهو شاذّ مردود بالأوامر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التأزير بالمئزر ، ندبا على الظاهر ، عند المحكي عن ظاهر المقنعة والنهاية والمبسوط والوسيلة </w:t>
      </w:r>
      <w:r>
        <w:rPr>
          <w:rStyle w:val="FootnoteAnchor"/>
          <w:rtl w:val="true"/>
        </w:rPr>
        <w:footnoteReference w:id="1522"/>
      </w:r>
      <w:r>
        <w:rPr>
          <w:rFonts w:ascii="Amiri" w:hAnsi="Amiri" w:eastAsia="Amiri" w:cs="Amiri"/>
          <w:color w:val="111111"/>
          <w:sz w:val="28"/>
          <w:sz w:val="28"/>
          <w:szCs w:val="28"/>
          <w:rtl w:val="true"/>
          <w:lang w:bidi="ar-SA"/>
        </w:rPr>
        <w:t xml:space="preserve">، وصريح التحرير ونهاية الإحكام والمنتهى والمراسم </w:t>
      </w:r>
      <w:r>
        <w:rPr>
          <w:rStyle w:val="FootnoteAnchor"/>
          <w:rtl w:val="true"/>
        </w:rPr>
        <w:footnoteReference w:id="1523"/>
      </w:r>
      <w:r>
        <w:rPr>
          <w:rFonts w:ascii="Amiri" w:hAnsi="Amiri" w:eastAsia="Amiri" w:cs="Amiri"/>
          <w:color w:val="111111"/>
          <w:sz w:val="28"/>
          <w:sz w:val="28"/>
          <w:szCs w:val="28"/>
          <w:rtl w:val="true"/>
          <w:lang w:bidi="ar-SA"/>
        </w:rPr>
        <w:t>، ولعلّه لخبر يونس الآتي حيث جعل الوضع على القميص بعد التحنيط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جواز التأخير عن لبس القميص عند الأول والأخيرين ، وبعد لبسه ولبس العمامة عند المهذب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لظاهر الموثّقة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القميص ، تشدّ الخرقة على القميص بحيال العورة والفرج حتى لا يظهر منه شي‌ء ، واجعل الكافور في مسامعه وأثر سجوده </w:t>
      </w:r>
    </w:p>
    <w:p>
      <w:pPr>
        <w:pStyle w:val="BookText"/>
        <w:rPr/>
      </w:pPr>
      <w:r>
        <w:rPr>
          <w:rFonts w:ascii="Amiri" w:hAnsi="Amiri" w:eastAsia="Amiri" w:cs="Amiri"/>
          <w:color w:val="111111"/>
          <w:sz w:val="28"/>
          <w:sz w:val="28"/>
          <w:szCs w:val="28"/>
          <w:rtl w:val="true"/>
          <w:lang w:bidi="ar-SA"/>
        </w:rPr>
        <w:t xml:space="preserve">منه وفيه ، وأقلّ من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عمّمه </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الحديث ، ولكن مقتضاها تأخير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التكفين استحبابا عند بعضهم </w:t>
      </w:r>
      <w:r>
        <w:rPr>
          <w:rStyle w:val="FootnoteAnchor"/>
          <w:rtl w:val="true"/>
        </w:rPr>
        <w:footnoteReference w:id="1526"/>
      </w:r>
      <w:r>
        <w:rPr>
          <w:rFonts w:ascii="Amiri" w:hAnsi="Amiri" w:eastAsia="Amiri" w:cs="Amiri"/>
          <w:color w:val="111111"/>
          <w:sz w:val="28"/>
          <w:sz w:val="28"/>
          <w:szCs w:val="28"/>
          <w:rtl w:val="true"/>
          <w:lang w:bidi="ar-SA"/>
        </w:rPr>
        <w:t xml:space="preserve">، ووجوبا على ما هو صريح القواعد </w:t>
      </w:r>
      <w:r>
        <w:rPr>
          <w:rStyle w:val="FootnoteAnchor"/>
          <w:rtl w:val="true"/>
        </w:rPr>
        <w:footnoteReference w:id="1527"/>
      </w:r>
      <w:r>
        <w:rPr>
          <w:rFonts w:ascii="Amiri" w:hAnsi="Amiri" w:eastAsia="Amiri" w:cs="Amiri"/>
          <w:color w:val="111111"/>
          <w:sz w:val="28"/>
          <w:sz w:val="28"/>
          <w:szCs w:val="28"/>
          <w:rtl w:val="true"/>
          <w:lang w:bidi="ar-SA"/>
        </w:rPr>
        <w:t xml:space="preserve">، لظاهر خبر يونس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اعمد إلى كافور مسحوق ، فضعه على جبهته موضع سجوده ، وامسح بالكافور على جميع مفاصله من قرنه إلى قدمه ، وفي رأسه وعنقه ومن كبيه ومرافقه ، وفي كلّ مفصل من مفاصله من اليدين والرجلين ، وفي وسط راحتيه ، ثمَّ يحمل فيوضع على قميصه </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 الميت عمدت إلى الكافور ، فمسحت به آثار السجود ومفاصله كلّها ، واجعل في فيه ومسامعه ورأسه ولحيته من الحنوط وعلى صدره وفرجه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حنوط الرجل والمرأة سواء </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 من غسل الميت نشف في ثوب ، وجعل الكافور والحنوط في مواضع سجوده جبهته وأنفه ويديه وركبتيه ورجليه ، ويجعل ذلك في مسامعه وفيه ولحيته وصدره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غسله حنطت بثلاثة عشر درهما وثلث درهم كافورا يجعل في المفاصل ، ولا يقرب السمع والبصر ، ويجعل في موضع سجوده وأدنى ما يجزيه من الكافور مثقال ونصف ، ثمَّ يكفن </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دلالة لشي‌ء منها على الوجوب ، بل في دلالة بعضها على التقديم على التكفين أيضا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أنها معارضة بالرضوي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من كفنه حنطته بوزن ثلاثة عشر درهما وثلث من الكافور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وظاهر الموثّقة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جواز الكلّ من غير ثبوت رجحان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 أن يمسّ بالكافور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مساجده السبعة إجماعا محقّقا ومحكيا </w:t>
      </w:r>
      <w:r>
        <w:rPr>
          <w:rStyle w:val="FootnoteAnchor"/>
          <w:rtl w:val="true"/>
        </w:rPr>
        <w:footnoteReference w:id="1534"/>
      </w:r>
      <w:r>
        <w:rPr>
          <w:rFonts w:ascii="Amiri" w:hAnsi="Amiri" w:eastAsia="Amiri" w:cs="Amiri"/>
          <w:color w:val="111111"/>
          <w:sz w:val="28"/>
          <w:sz w:val="28"/>
          <w:szCs w:val="28"/>
          <w:rtl w:val="true"/>
          <w:lang w:bidi="ar-SA"/>
        </w:rPr>
        <w:t xml:space="preserve">متكرّرا ، له ، وللنصوص المستفيضة الخالية عن المعارض ، منها بعض ما تقدم ، ومنها موثّقتا البصري وسماعة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الحنوط للميت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اجعله في مساجده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وتجعل شيئا من الحنوط على مسامعه ، ومساجده ، وشيئا على ظهر الكفن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وحسنتا الحلبي وحمران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تحنط الميت فاعمد إلى الكافور فامسح به آثار السجود منه ، ومفاصله كلها ، ورأسه ، ولحيته ، وعلى صدره من 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حنوط الرجل والمرأة سواء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فالحنوط كيف أصنع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يوضع في منخره ، وموضع سجوده ، ومفاصله </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بالحنوط؟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تضع في فمه ، ومسامعه ، وآثار السجود من وجهه ويديه وركبتيه </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يوضع الكافور من الميت على موضع المساجد ، وعلى اللبّة ، وباطن القدمين ، وموضع الشراك من القدمين ، وعلى الركبتين والراحتين ، والجبهة واللبّة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وندبا طرف الأنف ، لرواية الدعائم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لا معارض للأمر به ، من سائر المواضع المتقدّمة في الروايات ، لأجلها ، كالصدر ومنه اللبّة </w:t>
      </w:r>
      <w:r>
        <w:rPr>
          <w:rStyle w:val="FootnoteAnchor"/>
          <w:rtl w:val="true"/>
        </w:rPr>
        <w:footnoteReference w:id="1542"/>
      </w:r>
      <w:r>
        <w:rPr>
          <w:rFonts w:ascii="Amiri" w:hAnsi="Amiri" w:eastAsia="Amiri" w:cs="Amiri"/>
          <w:color w:val="111111"/>
          <w:sz w:val="28"/>
          <w:sz w:val="28"/>
          <w:szCs w:val="28"/>
          <w:rtl w:val="true"/>
          <w:lang w:bidi="ar-SA"/>
        </w:rPr>
        <w:t xml:space="preserve">، وكالمفاصل ومنها المغابن </w:t>
      </w:r>
      <w:r>
        <w:rPr>
          <w:rStyle w:val="FootnoteAnchor"/>
          <w:rtl w:val="true"/>
        </w:rPr>
        <w:footnoteReference w:id="1543"/>
      </w:r>
      <w:r>
        <w:rPr>
          <w:rFonts w:ascii="Amiri" w:hAnsi="Amiri" w:eastAsia="Amiri" w:cs="Amiri"/>
          <w:color w:val="111111"/>
          <w:sz w:val="28"/>
          <w:sz w:val="28"/>
          <w:szCs w:val="28"/>
          <w:rtl w:val="true"/>
          <w:lang w:bidi="ar-SA"/>
        </w:rPr>
        <w:t>والمرافق والمناكب ، وكاليدين والرأس والعنق واللحية وموضع الشراك وباطن القدمين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الصدوق والمفيد </w:t>
      </w:r>
      <w:r>
        <w:rPr>
          <w:rStyle w:val="FootnoteAnchor"/>
          <w:rtl w:val="true"/>
        </w:rPr>
        <w:footnoteReference w:id="1544"/>
      </w:r>
      <w:r>
        <w:rPr>
          <w:rFonts w:ascii="Amiri" w:hAnsi="Amiri" w:eastAsia="Amiri" w:cs="Amiri"/>
          <w:color w:val="111111"/>
          <w:sz w:val="28"/>
          <w:sz w:val="28"/>
          <w:szCs w:val="28"/>
          <w:rtl w:val="true"/>
          <w:lang w:bidi="ar-SA"/>
        </w:rPr>
        <w:t xml:space="preserve">، والعماني </w:t>
      </w:r>
      <w:r>
        <w:rPr>
          <w:rStyle w:val="FootnoteAnchor"/>
          <w:rtl w:val="true"/>
        </w:rPr>
        <w:footnoteReference w:id="1545"/>
      </w:r>
      <w:r>
        <w:rPr>
          <w:rFonts w:ascii="Amiri" w:hAnsi="Amiri" w:eastAsia="Amiri" w:cs="Amiri"/>
          <w:color w:val="111111"/>
          <w:sz w:val="28"/>
          <w:sz w:val="28"/>
          <w:szCs w:val="28"/>
          <w:rtl w:val="true"/>
          <w:lang w:bidi="ar-SA"/>
        </w:rPr>
        <w:t xml:space="preserve">، والقاضي والحلبي </w:t>
      </w:r>
      <w:r>
        <w:rPr>
          <w:rStyle w:val="FootnoteAnchor"/>
          <w:rtl w:val="true"/>
        </w:rPr>
        <w:footnoteReference w:id="1546"/>
      </w:r>
      <w:r>
        <w:rPr>
          <w:rFonts w:ascii="IRNazanin" w:hAnsi="IRNazanin" w:eastAsia="IRNazanin"/>
          <w:color w:val="111111"/>
          <w:sz w:val="28"/>
          <w:sz w:val="28"/>
          <w:szCs w:val="28"/>
          <w:rtl w:val="true"/>
          <w:lang w:bidi="fa-IR"/>
        </w:rPr>
        <w:t xml:space="preserve">، والمنتهى </w:t>
      </w:r>
      <w:r>
        <w:rPr>
          <w:rStyle w:val="FootnoteAnchor"/>
          <w:rtl w:val="true"/>
        </w:rPr>
        <w:footnoteReference w:id="1547"/>
      </w:r>
      <w:r>
        <w:rPr>
          <w:rFonts w:ascii="IRNazanin" w:hAnsi="IRNazanin" w:eastAsia="IRNazanin"/>
          <w:color w:val="111111"/>
          <w:sz w:val="28"/>
          <w:sz w:val="28"/>
          <w:szCs w:val="28"/>
          <w:rtl w:val="true"/>
          <w:lang w:bidi="fa-IR"/>
        </w:rPr>
        <w:t xml:space="preserve">، والمختلف </w:t>
      </w:r>
      <w:r>
        <w:rPr>
          <w:rStyle w:val="FootnoteAnchor"/>
          <w:rtl w:val="true"/>
        </w:rPr>
        <w:footnoteReference w:id="1548"/>
      </w:r>
      <w:r>
        <w:rPr>
          <w:rFonts w:ascii="Amiri" w:hAnsi="Amiri" w:eastAsia="Amiri" w:cs="Amiri"/>
          <w:color w:val="111111"/>
          <w:sz w:val="28"/>
          <w:sz w:val="28"/>
          <w:szCs w:val="28"/>
          <w:rtl w:val="true"/>
          <w:lang w:bidi="ar-SA"/>
        </w:rPr>
        <w:t xml:space="preserve">في الأول </w:t>
      </w:r>
      <w:r>
        <w:rPr>
          <w:rStyle w:val="FootnoteAnchor"/>
          <w:rtl w:val="true"/>
        </w:rPr>
        <w:footnoteReference w:id="1549"/>
      </w:r>
      <w:r>
        <w:rPr>
          <w:rFonts w:ascii="Amiri" w:hAnsi="Amiri" w:eastAsia="Amiri" w:cs="Amiri"/>
          <w:color w:val="111111"/>
          <w:sz w:val="28"/>
          <w:sz w:val="28"/>
          <w:szCs w:val="28"/>
          <w:rtl w:val="true"/>
          <w:lang w:bidi="ar-SA"/>
        </w:rPr>
        <w:t>، فأوجبوه ، لما مرّ ، ولعموم ما دلّ على تحنيط المساجد ، وهو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الوجوب ومنع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منها ، لجواز أن يكون المراد ما يجب أن يسجد به أو يسجد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الأول </w:t>
      </w:r>
      <w:r>
        <w:rPr>
          <w:rStyle w:val="FootnoteAnchor"/>
          <w:rtl w:val="true"/>
        </w:rPr>
        <w:footnoteReference w:id="1550"/>
      </w:r>
      <w:r>
        <w:rPr>
          <w:rFonts w:ascii="Amiri" w:hAnsi="Amiri" w:eastAsia="Amiri" w:cs="Amiri"/>
          <w:color w:val="111111"/>
          <w:sz w:val="28"/>
          <w:sz w:val="28"/>
          <w:szCs w:val="28"/>
          <w:rtl w:val="true"/>
          <w:lang w:bidi="ar-SA"/>
        </w:rPr>
        <w:t xml:space="preserve">في الثاني ، وعنه </w:t>
      </w:r>
      <w:r>
        <w:rPr>
          <w:rStyle w:val="FootnoteAnchor"/>
          <w:rtl w:val="true"/>
        </w:rPr>
        <w:footnoteReference w:id="1551"/>
      </w:r>
      <w:r>
        <w:rPr>
          <w:rFonts w:ascii="Amiri" w:hAnsi="Amiri" w:eastAsia="Amiri" w:cs="Amiri"/>
          <w:color w:val="111111"/>
          <w:sz w:val="28"/>
          <w:sz w:val="28"/>
          <w:szCs w:val="28"/>
          <w:rtl w:val="true"/>
          <w:lang w:bidi="ar-SA"/>
        </w:rPr>
        <w:t>وعن الأخير في الثالث والرابع ، لورود الأوامر بها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صلاحيتها لإثبات الزائد عن الاستحباب ، لمخالفة الوجوب للشهرة العظيمة الجديدة والقديمة ، وهي مخرجة للرواية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موافقة من ذكر لها أيضا غير معلومة ، لجواز إرادتهم الاستحباب ، كما صرّح به في روض الجنان والروضة </w:t>
      </w:r>
      <w:r>
        <w:rPr>
          <w:rStyle w:val="FootnoteAnchor"/>
          <w:rtl w:val="true"/>
        </w:rPr>
        <w:footnoteReference w:id="1552"/>
      </w:r>
      <w:r>
        <w:rPr>
          <w:rFonts w:ascii="Amiri" w:hAnsi="Amiri" w:eastAsia="Amiri" w:cs="Amiri"/>
          <w:color w:val="111111"/>
          <w:sz w:val="28"/>
          <w:sz w:val="28"/>
          <w:szCs w:val="28"/>
          <w:rtl w:val="true"/>
          <w:lang w:bidi="ar-SA"/>
        </w:rPr>
        <w:t xml:space="preserve">في مخالفة الصدوق ،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بعض آخر ، بل صرّح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قائل بالوجوب في غير السبعة والأنف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 الأوامر بمعارضتها الأصل ، واختلافها بالنسبة إلى المذكورات زيادة ونقيصة ، واشتمالها على كثير من المستحبات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للأمر به معارض ، كالمسامع والبصر والفم والمنخر ، المنهي عنها في الرضوي المتقدّم </w:t>
      </w:r>
      <w:r>
        <w:rPr>
          <w:rStyle w:val="FootnoteAnchor"/>
          <w:rtl w:val="true"/>
        </w:rPr>
        <w:footnoteReference w:id="1554"/>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يجعل في فمه ولا منخره ولا في عينيه ولا في مسامعه ولا على وجهه قطن ولا كافور </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في منخريه ولا في بصره ومسامعه ولا على وجهه </w:t>
      </w:r>
      <w:bookmarkStart w:id="93" w:name="pg11616_94699"/>
    </w:p>
    <w:p>
      <w:pPr>
        <w:pStyle w:val="BookText"/>
        <w:rPr/>
      </w:pPr>
      <w:bookmarkEnd w:id="93"/>
      <w:r>
        <w:rPr>
          <w:rFonts w:ascii="Amiri" w:hAnsi="Amiri" w:eastAsia="Amiri" w:cs="Amiri"/>
          <w:color w:val="111111"/>
          <w:sz w:val="28"/>
          <w:sz w:val="28"/>
          <w:szCs w:val="28"/>
          <w:rtl w:val="true"/>
          <w:lang w:bidi="ar-SA"/>
        </w:rPr>
        <w:t xml:space="preserve">قطنا ولا كافورا </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يجعل في مسامع الميت حنوطا </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النوّاء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 مسامعه بكافور </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تركه ، لتوقيفية المسألة الغير المعلومة بعد التعارض ، مع أرجحية المعارض بمخالفة العامّة ، كما صرّح به جمع من الخاصة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في الرضوي من الإفتاء بالمنع ، ونسبة الجواز إلى الرواية </w:t>
      </w:r>
      <w:r>
        <w:rPr>
          <w:rStyle w:val="FootnoteAnchor"/>
          <w:rtl w:val="true"/>
        </w:rPr>
        <w:footnoteReference w:id="1560"/>
      </w:r>
      <w:r>
        <w:rPr>
          <w:rFonts w:ascii="Amiri" w:hAnsi="Amiri" w:eastAsia="Amiri" w:cs="Amiri"/>
          <w:color w:val="111111"/>
          <w:sz w:val="28"/>
          <w:sz w:val="28"/>
          <w:szCs w:val="28"/>
          <w:rtl w:val="true"/>
          <w:lang w:bidi="ar-SA"/>
        </w:rPr>
        <w:t xml:space="preserve">ملحقا فيها المسك بالكافور ، فإنه مذهب العامة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عن الخلاف من الإجماع على أنه لا يترك على أنفه ولا اذنه ولا عينه ولا فيه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5588119_73709187"/>
      <w:bookmarkStart w:id="95" w:name="_Toc37"/>
      <w:bookmarkEnd w:id="94"/>
      <w:r>
        <w:rPr>
          <w:rtl w:val="true"/>
        </w:rPr>
        <w:t xml:space="preserve">فروع </w:t>
      </w:r>
      <w:r>
        <w:rPr>
          <w:rtl w:val="true"/>
        </w:rPr>
        <w:t>:</w:t>
      </w:r>
      <w:bookmarkEnd w:id="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التحنيط بالكافور ، بلا خلاف أجده ، للأمر به في الروايات المتقدّمة ، والحصر فيه في صحيح ابن سرحان ، المتقدّم </w:t>
      </w:r>
      <w:r>
        <w:rPr>
          <w:rStyle w:val="FootnoteAnchor"/>
          <w:rtl w:val="true"/>
        </w:rPr>
        <w:footnoteReference w:id="1563"/>
      </w:r>
      <w:r>
        <w:rPr>
          <w:rFonts w:ascii="Amiri" w:hAnsi="Amiri" w:eastAsia="Amiri" w:cs="Amiri"/>
          <w:color w:val="111111"/>
          <w:sz w:val="28"/>
          <w:sz w:val="28"/>
          <w:szCs w:val="28"/>
          <w:rtl w:val="true"/>
          <w:lang w:bidi="ar-SA"/>
        </w:rPr>
        <w:t xml:space="preserve">، وفي 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الحنوط هو الكافور </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الكافور هو </w:t>
      </w:r>
    </w:p>
    <w:p>
      <w:pPr>
        <w:pStyle w:val="BookText"/>
        <w:rPr/>
      </w:pPr>
      <w:r>
        <w:rPr>
          <w:rFonts w:ascii="IRNazanin" w:hAnsi="IRNazanin" w:eastAsia="IRNazanin"/>
          <w:color w:val="111111"/>
          <w:sz w:val="28"/>
          <w:sz w:val="28"/>
          <w:szCs w:val="28"/>
          <w:rtl w:val="true"/>
          <w:lang w:bidi="fa-IR"/>
        </w:rPr>
        <w:t xml:space="preserve">الحنوط </w:t>
      </w:r>
      <w:r>
        <w:rPr>
          <w:rFonts w:eastAsia="IRNazanin" w:cs="IRNazanin"/>
          <w:color w:val="111111"/>
          <w:sz w:val="28"/>
          <w:szCs w:val="28"/>
          <w:rtl w:val="true"/>
          <w:lang w:bidi="fa-IR"/>
        </w:rPr>
        <w:t xml:space="preserve">» </w:t>
      </w:r>
      <w:r>
        <w:rPr>
          <w:rStyle w:val="FootnoteAnchor"/>
          <w:rtl w:val="true"/>
        </w:rPr>
        <w:footnoteReference w:id="156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يفيد الجواز موافق للعامّة ، محمول على التقية ، غير صالح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 غيره ، بل المشهور كما في شرح القواعد </w:t>
      </w:r>
      <w:r>
        <w:rPr>
          <w:rStyle w:val="FootnoteAnchor"/>
          <w:rtl w:val="true"/>
        </w:rPr>
        <w:footnoteReference w:id="1566"/>
      </w:r>
      <w:r>
        <w:rPr>
          <w:rFonts w:ascii="Amiri" w:hAnsi="Amiri" w:eastAsia="Amiri" w:cs="Amiri"/>
          <w:color w:val="111111"/>
          <w:sz w:val="28"/>
          <w:sz w:val="28"/>
          <w:szCs w:val="28"/>
          <w:rtl w:val="true"/>
          <w:lang w:bidi="ar-SA"/>
        </w:rPr>
        <w:t>حرمة تطييبه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اللوامع نسبة الكراهة إلى الأكثر ، والترك أحوط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الواجب منه لكلّ موضع مسمّاه ، كما في المنتهى والقواعد والشرائع والنافع </w:t>
      </w:r>
      <w:r>
        <w:rPr>
          <w:rStyle w:val="FootnoteAnchor"/>
          <w:rtl w:val="true"/>
        </w:rPr>
        <w:footnoteReference w:id="1567"/>
      </w:r>
      <w:r>
        <w:rPr>
          <w:rFonts w:ascii="IRNazanin" w:hAnsi="IRNazanin" w:eastAsia="IRNazanin"/>
          <w:color w:val="111111"/>
          <w:sz w:val="28"/>
          <w:sz w:val="28"/>
          <w:szCs w:val="28"/>
          <w:rtl w:val="true"/>
          <w:lang w:bidi="fa-IR"/>
        </w:rPr>
        <w:t xml:space="preserve">، وعن الجمل والعقود </w:t>
      </w:r>
      <w:r>
        <w:rPr>
          <w:rStyle w:val="FootnoteAnchor"/>
          <w:rtl w:val="true"/>
        </w:rPr>
        <w:footnoteReference w:id="1568"/>
      </w:r>
      <w:r>
        <w:rPr>
          <w:rFonts w:ascii="Amiri" w:hAnsi="Amiri" w:eastAsia="Amiri" w:cs="Amiri"/>
          <w:color w:val="111111"/>
          <w:sz w:val="28"/>
          <w:sz w:val="28"/>
          <w:szCs w:val="28"/>
          <w:rtl w:val="true"/>
          <w:lang w:bidi="ar-SA"/>
        </w:rPr>
        <w:t xml:space="preserve">والوسيلة والسرائر والجامع </w:t>
      </w:r>
      <w:r>
        <w:rPr>
          <w:rStyle w:val="FootnoteAnchor"/>
          <w:rtl w:val="true"/>
        </w:rPr>
        <w:footnoteReference w:id="1569"/>
      </w:r>
      <w:r>
        <w:rPr>
          <w:rFonts w:ascii="Amiri" w:hAnsi="Amiri" w:eastAsia="Amiri" w:cs="Amiri"/>
          <w:color w:val="111111"/>
          <w:sz w:val="28"/>
          <w:sz w:val="28"/>
          <w:szCs w:val="28"/>
          <w:rtl w:val="true"/>
          <w:lang w:bidi="ar-SA"/>
        </w:rPr>
        <w:t xml:space="preserve">، بل نفي بعض الأجلّة </w:t>
      </w:r>
      <w:r>
        <w:rPr>
          <w:rStyle w:val="FootnoteAnchor"/>
          <w:rtl w:val="true"/>
        </w:rPr>
        <w:footnoteReference w:id="1570"/>
      </w:r>
      <w:r>
        <w:rPr>
          <w:rFonts w:ascii="IRNazanin" w:hAnsi="IRNazanin" w:eastAsia="IRNazanin"/>
          <w:color w:val="111111"/>
          <w:sz w:val="28"/>
          <w:sz w:val="28"/>
          <w:szCs w:val="28"/>
          <w:rtl w:val="true"/>
          <w:lang w:bidi="fa-IR"/>
        </w:rPr>
        <w:t>عنه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للإطلاق ، وصدق الامتثال ، وقوله في إحدى الموثّقتين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وأقلّ من الكافور </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وتجعل شيئا من الحنوط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يقيّدها مرسلة التميمي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يجزي من الكافور للميت مثقال ونصف </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ونحوها الرضوي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لمعارضتهما مع مثلهما ، ففي مرسلته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يجزي من الكافور للميت مثقال </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وفي الرضوي الآخر بعد الأمر بالتحنيط بثلاثة عشر درهما </w:t>
      </w:r>
    </w:p>
    <w:p>
      <w:pPr>
        <w:pStyle w:val="BookText"/>
        <w:rPr/>
      </w:pPr>
      <w:r>
        <w:rPr>
          <w:rFonts w:ascii="Amiri" w:hAnsi="Amiri" w:eastAsia="Amiri" w:cs="Amiri"/>
          <w:color w:val="111111"/>
          <w:sz w:val="28"/>
          <w:sz w:val="28"/>
          <w:szCs w:val="28"/>
          <w:rtl w:val="true"/>
          <w:lang w:bidi="ar-SA"/>
        </w:rPr>
        <w:t xml:space="preserve">وثلث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يقدر بهذا المقدار كافورا فأربعة دراهم ، فإن لم يقدر فمثقال ، لا أقل من ذلك لمن وجده </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الأخيران ، لمعارضتهما مع الأوليين ، مع أن المرسلتين مطلقتان بالنسبة إلى كافور الغسل والحنوط ، والظاهر توقّف حصول ماء الكافور في الأول ، وصدق الاسم في الثاني على هذا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وأقلّ المستحب درهم ، وفاقا للمنتهى والشرائع والنافع </w:t>
      </w:r>
      <w:r>
        <w:rPr>
          <w:rStyle w:val="FootnoteAnchor"/>
          <w:rtl w:val="true"/>
        </w:rPr>
        <w:footnoteReference w:id="1577"/>
      </w:r>
      <w:r>
        <w:rPr>
          <w:rFonts w:ascii="Amiri" w:hAnsi="Amiri" w:eastAsia="Amiri" w:cs="Amiri"/>
          <w:color w:val="111111"/>
          <w:sz w:val="28"/>
          <w:sz w:val="28"/>
          <w:szCs w:val="28"/>
          <w:rtl w:val="true"/>
          <w:lang w:bidi="ar-SA"/>
        </w:rPr>
        <w:t xml:space="preserve">، وعن النهاية والمبسوط والجمل والعقود والمصباح </w:t>
      </w:r>
      <w:r>
        <w:rPr>
          <w:rStyle w:val="FootnoteAnchor"/>
          <w:rtl w:val="true"/>
        </w:rPr>
        <w:footnoteReference w:id="1578"/>
      </w:r>
      <w:r>
        <w:rPr>
          <w:rFonts w:ascii="Amiri" w:hAnsi="Amiri" w:eastAsia="Amiri" w:cs="Amiri"/>
          <w:color w:val="111111"/>
          <w:sz w:val="28"/>
          <w:sz w:val="28"/>
          <w:szCs w:val="28"/>
          <w:rtl w:val="true"/>
          <w:lang w:bidi="ar-SA"/>
        </w:rPr>
        <w:t xml:space="preserve">ومختصره والوسيلة والسرائر والجامع والمعتبر </w:t>
      </w:r>
      <w:r>
        <w:rPr>
          <w:rStyle w:val="FootnoteAnchor"/>
          <w:rtl w:val="true"/>
        </w:rPr>
        <w:footnoteReference w:id="1579"/>
      </w:r>
      <w:r>
        <w:rPr>
          <w:rFonts w:ascii="Amiri" w:hAnsi="Amiri" w:eastAsia="Amiri" w:cs="Amiri"/>
          <w:color w:val="111111"/>
          <w:sz w:val="28"/>
          <w:sz w:val="28"/>
          <w:szCs w:val="28"/>
          <w:rtl w:val="true"/>
          <w:lang w:bidi="ar-SA"/>
        </w:rPr>
        <w:t>، نافيا في الأخير عنه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لحمل المثقال في الأخبار على الدرهم كما في المنتهى وعن السرائر </w:t>
      </w:r>
      <w:r>
        <w:rPr>
          <w:rStyle w:val="FootnoteAnchor"/>
          <w:rtl w:val="true"/>
        </w:rPr>
        <w:footnoteReference w:id="1580"/>
      </w:r>
      <w:r>
        <w:rPr>
          <w:rFonts w:ascii="Amiri" w:hAnsi="Amiri" w:eastAsia="Amiri" w:cs="Amiri"/>
          <w:color w:val="111111"/>
          <w:sz w:val="28"/>
          <w:sz w:val="28"/>
          <w:szCs w:val="28"/>
          <w:rtl w:val="true"/>
          <w:lang w:bidi="ar-SA"/>
        </w:rPr>
        <w:t>، لأنه حمل بلاد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لنفي الخلاف المنقول وفتوى هؤلاء الفحول ، فإنّ المقام محل المسامحة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والأفضل منه مثقال ، للمرسلة والرضوي </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الصدوق </w:t>
      </w:r>
      <w:r>
        <w:rPr>
          <w:rStyle w:val="FootnoteAnchor"/>
          <w:rtl w:val="true"/>
        </w:rPr>
        <w:footnoteReference w:id="1582"/>
      </w:r>
      <w:r>
        <w:rPr>
          <w:rFonts w:ascii="Amiri" w:hAnsi="Amiri" w:eastAsia="Amiri" w:cs="Amiri"/>
          <w:color w:val="111111"/>
          <w:sz w:val="28"/>
          <w:sz w:val="28"/>
          <w:szCs w:val="28"/>
          <w:rtl w:val="true"/>
          <w:lang w:bidi="ar-SA"/>
        </w:rPr>
        <w:t xml:space="preserve">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الاستحباب ، وهو المحكي عن المقنعة والخلاف والاقتصاد وجمل العلم والمراسم والكافي </w:t>
      </w:r>
      <w:r>
        <w:rPr>
          <w:rStyle w:val="FootnoteAnchor"/>
          <w:rtl w:val="true"/>
        </w:rPr>
        <w:footnoteReference w:id="1583"/>
      </w:r>
      <w:r>
        <w:rPr>
          <w:rFonts w:ascii="Amiri" w:hAnsi="Amiri" w:eastAsia="Amiri" w:cs="Amiri"/>
          <w:color w:val="111111"/>
          <w:sz w:val="28"/>
          <w:sz w:val="28"/>
          <w:szCs w:val="28"/>
          <w:rtl w:val="true"/>
          <w:lang w:bidi="ar-SA"/>
        </w:rPr>
        <w:t xml:space="preserve">والإسكافي </w:t>
      </w:r>
      <w:r>
        <w:rPr>
          <w:rStyle w:val="FootnoteAnchor"/>
          <w:rtl w:val="true"/>
        </w:rPr>
        <w:footnoteReference w:id="1584"/>
      </w:r>
      <w:r>
        <w:rPr>
          <w:rFonts w:ascii="Amiri" w:hAnsi="Amiri" w:eastAsia="Amiri" w:cs="Amiri"/>
          <w:color w:val="111111"/>
          <w:sz w:val="28"/>
          <w:sz w:val="28"/>
          <w:szCs w:val="28"/>
          <w:rtl w:val="true"/>
          <w:lang w:bidi="ar-SA"/>
        </w:rPr>
        <w:t>، لما مرّ ، وهو كاف حسنا لو لا ثبوت رجحان للدرهم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والجعفي </w:t>
      </w:r>
      <w:r>
        <w:rPr>
          <w:rStyle w:val="FootnoteAnchor"/>
          <w:rtl w:val="true"/>
        </w:rPr>
        <w:footnoteReference w:id="1585"/>
      </w:r>
      <w:r>
        <w:rPr>
          <w:rFonts w:ascii="IRNazanin" w:hAnsi="IRNazanin" w:eastAsia="IRNazanin"/>
          <w:color w:val="111111"/>
          <w:sz w:val="28"/>
          <w:sz w:val="28"/>
          <w:szCs w:val="28"/>
          <w:rtl w:val="true"/>
          <w:lang w:bidi="fa-IR"/>
        </w:rPr>
        <w:t>جعله مثقالا وثلثا ، ولم أعثر على مستند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والأفضل منه مثقال ونصف ، كما صرّح به والدي رحمه اللّه ، للمرسلة والرضوي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منه أربعة دراهم ، لأول الرضويين ، وفاقا لوالدي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الخلاف والمقنعة والسرائر والشرائع والمعتبر </w:t>
      </w:r>
      <w:r>
        <w:rPr>
          <w:rStyle w:val="FootnoteAnchor"/>
          <w:rtl w:val="true"/>
        </w:rPr>
        <w:footnoteReference w:id="1586"/>
      </w:r>
      <w:r>
        <w:rPr>
          <w:rFonts w:ascii="Amiri" w:hAnsi="Amiri" w:eastAsia="Amiri" w:cs="Amiri"/>
          <w:color w:val="111111"/>
          <w:sz w:val="28"/>
          <w:sz w:val="28"/>
          <w:szCs w:val="28"/>
          <w:rtl w:val="true"/>
          <w:lang w:bidi="ar-SA"/>
        </w:rPr>
        <w:t xml:space="preserve">، بل عن الأول الإجماع عليه ، وعن الأخير نفي الخلاف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ثاني مرتبة الاستحباب ، ففضّلوها على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جيدا لو لا ثبوت الرجحان لما بينهما من المثقال والمثقال والنصف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الأفضل منها أربعة مثاقيل ، كما صرّح به الوالد ، لخبر الكاهلي وابن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من الكافور أربعة مثاقيل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كتب الصدوق </w:t>
      </w:r>
      <w:r>
        <w:rPr>
          <w:rStyle w:val="FootnoteAnchor"/>
          <w:rtl w:val="true"/>
        </w:rPr>
        <w:footnoteReference w:id="1588"/>
      </w:r>
      <w:r>
        <w:rPr>
          <w:rFonts w:ascii="Amiri" w:hAnsi="Amiri" w:eastAsia="Amiri" w:cs="Amiri"/>
          <w:color w:val="111111"/>
          <w:sz w:val="28"/>
          <w:sz w:val="28"/>
          <w:szCs w:val="28"/>
          <w:rtl w:val="true"/>
          <w:lang w:bidi="ar-SA"/>
        </w:rPr>
        <w:t xml:space="preserve">، وبعض كتب الشيخ </w:t>
      </w:r>
      <w:r>
        <w:rPr>
          <w:rStyle w:val="FootnoteAnchor"/>
          <w:rtl w:val="true"/>
        </w:rPr>
        <w:footnoteReference w:id="1589"/>
      </w:r>
      <w:r>
        <w:rPr>
          <w:rFonts w:ascii="Amiri" w:hAnsi="Amiri" w:eastAsia="Amiri" w:cs="Amiri"/>
          <w:color w:val="111111"/>
          <w:sz w:val="28"/>
          <w:sz w:val="28"/>
          <w:szCs w:val="28"/>
          <w:rtl w:val="true"/>
          <w:lang w:bidi="ar-SA"/>
        </w:rPr>
        <w:t xml:space="preserve">، والوسيلة والإصباح والجامع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المراتب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والأكمل منها ثلاثة عشر درهما وثلث ، للرضويين </w:t>
      </w:r>
      <w:r>
        <w:rPr>
          <w:rStyle w:val="FootnoteAnchor"/>
          <w:rtl w:val="true"/>
        </w:rPr>
        <w:footnoteReference w:id="1591"/>
      </w:r>
      <w:r>
        <w:rPr>
          <w:rFonts w:ascii="Amiri" w:hAnsi="Amiri" w:eastAsia="Amiri" w:cs="Amiri"/>
          <w:color w:val="111111"/>
          <w:sz w:val="28"/>
          <w:sz w:val="28"/>
          <w:szCs w:val="28"/>
          <w:rtl w:val="true"/>
          <w:lang w:bidi="ar-SA"/>
        </w:rPr>
        <w:t xml:space="preserve">، ومرفوعة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الحنوط ثلاثة عشر درهما وثلث أكثره </w:t>
      </w:r>
      <w:r>
        <w:rPr>
          <w:rFonts w:eastAsia="Amiri" w:cs="Amiri" w:ascii="Amiri" w:hAnsi="Amiri"/>
          <w:color w:val="111111"/>
          <w:sz w:val="28"/>
          <w:szCs w:val="28"/>
          <w:rtl w:val="true"/>
          <w:lang w:bidi="ar-SA"/>
        </w:rPr>
        <w:t xml:space="preserve">» </w:t>
      </w:r>
      <w:r>
        <w:rPr>
          <w:rStyle w:val="FootnoteAnchor"/>
          <w:rtl w:val="true"/>
        </w:rPr>
        <w:footnoteReference w:id="1592"/>
      </w:r>
      <w:r>
        <w:rPr>
          <w:rFonts w:ascii="IRNazanin" w:hAnsi="IRNazanin" w:eastAsia="IRNazanin"/>
          <w:color w:val="111111"/>
          <w:sz w:val="28"/>
          <w:sz w:val="28"/>
          <w:szCs w:val="28"/>
          <w:rtl w:val="true"/>
          <w:lang w:bidi="fa-IR"/>
        </w:rPr>
        <w:t xml:space="preserve">والأخبار الدالّة على أنّ الحنوط الذي أتى به جبرئيل للنبي صلی اللّه عليه وآله كان أربعين درهما ، فقسّمه ثلاثة أقسام ، له ولفاطمة عليها السلام وعلي عليه السلام ، فصار سهم كلّ ما ذكر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القاضي إبدال الثلث بالنصف </w:t>
      </w:r>
      <w:r>
        <w:rPr>
          <w:rStyle w:val="FootnoteAnchor"/>
          <w:rtl w:val="true"/>
        </w:rPr>
        <w:footnoteReference w:id="1594"/>
      </w:r>
      <w:r>
        <w:rPr>
          <w:rFonts w:ascii="Amiri" w:hAnsi="Amiri" w:eastAsia="Amiri" w:cs="Amiri"/>
          <w:color w:val="111111"/>
          <w:sz w:val="28"/>
          <w:sz w:val="28"/>
          <w:szCs w:val="28"/>
          <w:rtl w:val="true"/>
          <w:lang w:bidi="ar-SA"/>
        </w:rPr>
        <w:t>، ولا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أكثر مراتب الفضل كما في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شي‌ء منها ، لكون ما تضمّنها بين ضعيف وغير دالّ على الوجوب ، بل مصرّح في بعضها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أكثر الأخبار المتقدمة غاية الظهور أنّ ما ذكر كافور الحنوط ،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الحلّي </w:t>
      </w:r>
      <w:r>
        <w:rPr>
          <w:rStyle w:val="FootnoteAnchor"/>
          <w:rtl w:val="true"/>
        </w:rPr>
        <w:footnoteReference w:id="1595"/>
      </w:r>
      <w:r>
        <w:rPr>
          <w:rFonts w:ascii="Amiri" w:hAnsi="Amiri" w:eastAsia="Amiri" w:cs="Amiri"/>
          <w:color w:val="111111"/>
          <w:sz w:val="28"/>
          <w:sz w:val="28"/>
          <w:szCs w:val="28"/>
          <w:rtl w:val="true"/>
          <w:lang w:bidi="ar-SA"/>
        </w:rPr>
        <w:t xml:space="preserve">إلى بعضهم مشاركة الغسل معه ، وحكي عن نادر من متأخّري المتأخّرين أيضا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استيعاب المواضع بالمسح ، بل يكفي المسمّى ، للأصل ، والإطلاق ، وحصول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w:t>
      </w:r>
      <w:r>
        <w:rPr>
          <w:rStyle w:val="FootnoteAnchor"/>
          <w:rtl w:val="true"/>
        </w:rPr>
        <w:footnoteReference w:id="1597"/>
      </w:r>
      <w:r>
        <w:rPr>
          <w:rFonts w:ascii="IRNazanin" w:hAnsi="IRNazanin" w:eastAsia="IRNazanin"/>
          <w:color w:val="111111"/>
          <w:sz w:val="28"/>
          <w:sz w:val="28"/>
          <w:szCs w:val="28"/>
          <w:rtl w:val="true"/>
          <w:lang w:bidi="fa-IR"/>
        </w:rPr>
        <w:t xml:space="preserve">وأتباعهما </w:t>
      </w:r>
      <w:r>
        <w:rPr>
          <w:rStyle w:val="FootnoteAnchor"/>
          <w:rtl w:val="true"/>
        </w:rPr>
        <w:footnoteReference w:id="1598"/>
      </w:r>
      <w:r>
        <w:rPr>
          <w:rFonts w:ascii="Amiri" w:hAnsi="Amiri" w:eastAsia="Amiri" w:cs="Amiri"/>
          <w:color w:val="111111"/>
          <w:sz w:val="28"/>
          <w:sz w:val="28"/>
          <w:szCs w:val="28"/>
          <w:rtl w:val="true"/>
          <w:lang w:bidi="ar-SA"/>
        </w:rPr>
        <w:t>برجحان سحق كافور الحنوط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له في الأخبار على المستند ، إلاّ أنّه لا بأس به لفتوى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يعلل بالخوف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إلقاء ما فضل من الكافور عن المساجد والمواضع المستحب تحنيطها على صدره ، للرضوي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ويبدأ بجبهته وتمسح مفاصله كلها به ، ويلقى ما بقي على صدره وفي وسط راحتيه </w:t>
      </w:r>
      <w:r>
        <w:rPr>
          <w:rFonts w:eastAsia="Amiri" w:cs="Amiri" w:ascii="Amiri" w:hAnsi="Amiri"/>
          <w:color w:val="111111"/>
          <w:sz w:val="28"/>
          <w:szCs w:val="28"/>
          <w:rtl w:val="true"/>
          <w:lang w:bidi="ar-SA"/>
        </w:rPr>
        <w:t xml:space="preserve">» </w:t>
      </w:r>
      <w:r>
        <w:rPr>
          <w:rStyle w:val="FootnoteAnchor"/>
          <w:rtl w:val="true"/>
        </w:rPr>
        <w:footnoteReference w:id="159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منه استحباب الابتداء بالجبهة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يحنّط المحرم إجماعا ، كما عن الغنية والمنتهى </w:t>
      </w:r>
      <w:r>
        <w:rPr>
          <w:rStyle w:val="FootnoteAnchor"/>
          <w:rtl w:val="true"/>
        </w:rPr>
        <w:footnoteReference w:id="1600"/>
      </w:r>
      <w:r>
        <w:rPr>
          <w:rFonts w:ascii="Amiri" w:hAnsi="Amiri" w:eastAsia="Amiri" w:cs="Amiri"/>
          <w:color w:val="111111"/>
          <w:sz w:val="28"/>
          <w:sz w:val="28"/>
          <w:szCs w:val="28"/>
          <w:rtl w:val="true"/>
          <w:lang w:bidi="ar-SA"/>
        </w:rPr>
        <w:t xml:space="preserve">وغيرهما ، للمستفيضة ، كصحيحتي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كيف يصنع به إذا مات؟ قال </w:t>
      </w:r>
      <w:r>
        <w:rPr>
          <w:rFonts w:eastAsia="Amiri" w:cs="Amiri" w:ascii="Amiri" w:hAnsi="Amiri"/>
          <w:color w:val="111111"/>
          <w:sz w:val="28"/>
          <w:szCs w:val="28"/>
          <w:rtl w:val="true"/>
          <w:lang w:bidi="ar-SA"/>
        </w:rPr>
        <w:t xml:space="preserve">: </w:t>
      </w:r>
      <w:bookmarkStart w:id="96" w:name="pg11616_94704"/>
    </w:p>
    <w:p>
      <w:pPr>
        <w:pStyle w:val="BookText"/>
        <w:rPr/>
      </w:pPr>
      <w:bookmarkEnd w:id="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يغطّى وجهه ويصنع به كما يصنع بالحلال ، غير أنه لا يقرب طيبا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منهما موثّقة سماعة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الحسين بن علي وابنا العباس وعبد اللّه بن جعفر ، ومعهم ابن للحسن ، فمات بالأبواء وهو محرم ، فغسّلوه وكفّنوه ولم يحنّطوه وخمّروا وجهه ورأسه ودفنوه </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 xml:space="preserve">وقريبة منها موثّقته الأخرى </w:t>
      </w:r>
      <w:r>
        <w:rPr>
          <w:rStyle w:val="FootnoteAnchor"/>
          <w:rtl w:val="true"/>
        </w:rPr>
        <w:footnoteReference w:id="1604"/>
      </w:r>
      <w:r>
        <w:rPr>
          <w:rFonts w:ascii="Amiri" w:hAnsi="Amiri" w:eastAsia="Amiri" w:cs="Amiri"/>
          <w:color w:val="111111"/>
          <w:sz w:val="28"/>
          <w:sz w:val="28"/>
          <w:szCs w:val="28"/>
          <w:rtl w:val="true"/>
          <w:lang w:bidi="ar-SA"/>
        </w:rPr>
        <w:t xml:space="preserve">، وبمضمونها صحيحة ابن سنان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يموت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ويكفّن ، ويغطّى وجهه ، ولا يحنّط ، ولا يمسّ شيئا من الطيب </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المحرم فليغسّل وليكفّن كما يغسّل الحلال ، غير أنه لا يقرب طيبا ولا يحنّط ولا يغطّى وجهه </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588121_73709187"/>
      <w:bookmarkStart w:id="98" w:name="_Toc38"/>
      <w:bookmarkEnd w:id="97"/>
      <w:r>
        <w:rPr>
          <w:rtl w:val="true"/>
        </w:rPr>
        <w:t xml:space="preserve">البحث الخامس </w:t>
      </w:r>
      <w:r>
        <w:rPr>
          <w:rtl w:val="true"/>
        </w:rPr>
        <w:t xml:space="preserve">: </w:t>
      </w:r>
      <w:r>
        <w:rPr>
          <w:rtl w:val="true"/>
        </w:rPr>
        <w:t>في دفنه وما يتبعه</w:t>
      </w:r>
      <w:bookmarkEnd w:id="98"/>
    </w:p>
    <w:p>
      <w:pPr>
        <w:pStyle w:val="Heading4"/>
        <w:numPr>
          <w:ilvl w:val="3"/>
          <w:numId w:val="1"/>
        </w:numPr>
        <w:rPr/>
      </w:pPr>
      <w:bookmarkStart w:id="99" w:name="__RefHeading___Toc5588123_73709187"/>
      <w:bookmarkStart w:id="100" w:name="_Toc39"/>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والكلام إمّا فيما يتعلّق بما قبل الدفن ، أو المدفن ، أو الدفن ، أو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أربعة مقامات </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588125_73709187"/>
      <w:bookmarkStart w:id="102" w:name="_Toc40"/>
      <w:bookmarkEnd w:id="101"/>
      <w:r>
        <w:rPr>
          <w:rtl w:val="true"/>
        </w:rPr>
        <w:t xml:space="preserve">المقام الأول </w:t>
      </w:r>
      <w:r>
        <w:rPr>
          <w:rtl w:val="true"/>
        </w:rPr>
        <w:t xml:space="preserve">: </w:t>
      </w:r>
      <w:r>
        <w:rPr>
          <w:rtl w:val="true"/>
        </w:rPr>
        <w:t>فيما يتعلّق بما قبل الدفن</w:t>
      </w:r>
      <w:bookmarkEnd w:id="102"/>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كفاية مع توقّف الدفن الواجب عليه ، وبدونه مستحب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كثير وليس فيه دناءة ولا سقوط مروّة ، فقد حمل </w:t>
      </w:r>
    </w:p>
    <w:p>
      <w:pPr>
        <w:pStyle w:val="BookText"/>
        <w:rPr/>
      </w:pPr>
      <w:r>
        <w:rPr>
          <w:rFonts w:ascii="Amiri" w:hAnsi="Amiri" w:eastAsia="Amiri" w:cs="Amiri"/>
          <w:color w:val="111111"/>
          <w:sz w:val="28"/>
          <w:sz w:val="28"/>
          <w:szCs w:val="28"/>
          <w:rtl w:val="true"/>
          <w:lang w:bidi="ar-SA"/>
        </w:rPr>
        <w:t xml:space="preserve">النبي جنازة سعد بن معاذ </w:t>
      </w:r>
      <w:r>
        <w:rPr>
          <w:rStyle w:val="FootnoteAnchor"/>
          <w:rtl w:val="true"/>
        </w:rPr>
        <w:footnoteReference w:id="1608"/>
      </w:r>
      <w:r>
        <w:rPr>
          <w:rFonts w:ascii="Amiri" w:hAnsi="Amiri" w:eastAsia="Amiri" w:cs="Amiri"/>
          <w:color w:val="111111"/>
          <w:sz w:val="28"/>
          <w:sz w:val="28"/>
          <w:szCs w:val="28"/>
          <w:rtl w:val="true"/>
          <w:lang w:bidi="ar-SA"/>
        </w:rPr>
        <w:t>، ولم يزل كذلك أكابر الصحابة والتابعين ومن لحقهم من سلفنا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يجعل له النعش وإن كان رجلا ، على الأشهر ، لعمل المسلمين في عصر الحجج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يحملها الرجال وإن جاز الحمل على الدواب ، لعمل الناس في الأول ، والأصل في الثاني ، والمروي في الدعائم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رخّص في حمل الجنازة على الدابة إذا لم يوجد من يحملها أو من عذر ، فأما السنّة أن يحملها الرجال </w:t>
      </w:r>
      <w:r>
        <w:rPr>
          <w:rFonts w:eastAsia="Amiri" w:cs="Amiri" w:ascii="Amiri" w:hAnsi="Amiri"/>
          <w:color w:val="111111"/>
          <w:sz w:val="28"/>
          <w:szCs w:val="28"/>
          <w:rtl w:val="true"/>
          <w:lang w:bidi="ar-SA"/>
        </w:rPr>
        <w:t xml:space="preserve">» </w:t>
      </w:r>
      <w:r>
        <w:rPr>
          <w:rStyle w:val="FootnoteAnchor"/>
          <w:rtl w:val="true"/>
        </w:rPr>
        <w:footnoteReference w:id="160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يقول الحامل ما رواه عمار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Style w:val="FootnoteAnchor"/>
          <w:rtl w:val="true"/>
        </w:rPr>
        <w:footnoteReference w:id="1610"/>
      </w:r>
      <w:r>
        <w:rPr>
          <w:rFonts w:ascii="Amiri" w:hAnsi="Amiri" w:eastAsia="Amiri" w:cs="Amiri"/>
          <w:color w:val="111111"/>
          <w:sz w:val="28"/>
          <w:sz w:val="28"/>
          <w:szCs w:val="28"/>
          <w:rtl w:val="true"/>
          <w:lang w:bidi="ar-SA"/>
        </w:rPr>
        <w:t xml:space="preserve">صلّ على محمد وآل محمد ، اللّهم اغفر للمؤمنين والمؤمنات </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والمشاهد لها ما رواه عنبسة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هذا ما وعدنا اللّه ورسوله وصدق اللّه ورسوله ، اللّهم زدنا إيمانا وتسليما ، الحمد لله الذي تعزز بالقدرة وقهر عباده بالموت </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الثمالي والنهدي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يجعلني من السواد المخترم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يسرع بها ، ذكره في المنتهى ناسبا له إلى العلماء </w:t>
      </w:r>
      <w:r>
        <w:rPr>
          <w:rStyle w:val="FootnoteAnchor"/>
          <w:rtl w:val="true"/>
        </w:rPr>
        <w:footnoteReference w:id="1614"/>
      </w:r>
      <w:r>
        <w:rPr>
          <w:rFonts w:ascii="IRNazanin" w:hAnsi="IRNazanin" w:eastAsia="IRNazanin"/>
          <w:color w:val="111111"/>
          <w:sz w:val="28"/>
          <w:sz w:val="28"/>
          <w:szCs w:val="28"/>
          <w:rtl w:val="true"/>
          <w:lang w:bidi="fa-IR"/>
        </w:rPr>
        <w:t xml:space="preserve">، مؤذنا بدعوى </w:t>
      </w:r>
    </w:p>
    <w:p>
      <w:pPr>
        <w:pStyle w:val="BookText"/>
        <w:rPr/>
      </w:pPr>
      <w:r>
        <w:rPr>
          <w:rFonts w:ascii="Amiri" w:hAnsi="Amiri" w:eastAsia="Amiri" w:cs="Amiri"/>
          <w:color w:val="111111"/>
          <w:sz w:val="28"/>
          <w:sz w:val="28"/>
          <w:szCs w:val="28"/>
          <w:rtl w:val="true"/>
          <w:lang w:bidi="ar-SA"/>
        </w:rPr>
        <w:t xml:space="preserve">الإجماع ، للمستفيضة المصرّحة بتعجيلهم إلى مضاجعهم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في الكتاب المذكور بالمشي المعتاد ، لكراهة الزائد عنه بالإجماع كما عن الشيخ </w:t>
      </w:r>
      <w:r>
        <w:rPr>
          <w:rStyle w:val="FootnoteAnchor"/>
          <w:rtl w:val="true"/>
        </w:rPr>
        <w:footnoteReference w:id="1616"/>
      </w:r>
      <w:r>
        <w:rPr>
          <w:rFonts w:ascii="Amiri" w:hAnsi="Amiri" w:eastAsia="Amiri" w:cs="Amiri"/>
          <w:color w:val="111111"/>
          <w:sz w:val="28"/>
          <w:sz w:val="28"/>
          <w:szCs w:val="28"/>
          <w:rtl w:val="true"/>
          <w:lang w:bidi="ar-SA"/>
        </w:rPr>
        <w:t xml:space="preserve">، للعامي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المشي بالجنازة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دون الخبب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والمروي في مجالس ابن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بالقصد في المشي بجنائزكم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الجعفي أفضلية العدو </w:t>
      </w:r>
      <w:r>
        <w:rPr>
          <w:rStyle w:val="FootnoteAnchor"/>
          <w:rtl w:val="true"/>
        </w:rPr>
        <w:footnoteReference w:id="1619"/>
      </w:r>
      <w:r>
        <w:rPr>
          <w:rFonts w:ascii="Amiri" w:hAnsi="Amiri" w:eastAsia="Amiri" w:cs="Amiri"/>
          <w:color w:val="111111"/>
          <w:sz w:val="28"/>
          <w:sz w:val="28"/>
          <w:szCs w:val="28"/>
          <w:rtl w:val="true"/>
          <w:lang w:bidi="ar-SA"/>
        </w:rPr>
        <w:t xml:space="preserve">، وعن الإسكافي الخبب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قول الحامل بل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به وترحّموا عليه ، للرضوي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بإيقاف الجنازة ، ذكره في المنتهى </w:t>
      </w:r>
      <w:r>
        <w:rPr>
          <w:rStyle w:val="FootnoteAnchor"/>
          <w:rtl w:val="true"/>
        </w:rPr>
        <w:footnoteReference w:id="1622"/>
      </w:r>
      <w:r>
        <w:rPr>
          <w:rFonts w:ascii="Amiri" w:hAnsi="Amiri" w:eastAsia="Amiri" w:cs="Amiri"/>
          <w:color w:val="111111"/>
          <w:sz w:val="28"/>
          <w:sz w:val="28"/>
          <w:szCs w:val="28"/>
          <w:rtl w:val="true"/>
          <w:lang w:bidi="ar-SA"/>
        </w:rPr>
        <w:t>، لمخالفته الأمر بالتعجيل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ميتين على سرير ، على الأظهر الأشهر ، وفاقا للمحكي عن الوسيلة والتذكرة والمختلف والمنتهى ونهاية الإحكام والمعتبر </w:t>
      </w:r>
      <w:r>
        <w:rPr>
          <w:rStyle w:val="FootnoteAnchor"/>
          <w:rtl w:val="true"/>
        </w:rPr>
        <w:footnoteReference w:id="1623"/>
      </w:r>
      <w:r>
        <w:rPr>
          <w:rFonts w:ascii="Amiri" w:hAnsi="Amiri" w:eastAsia="Amiri" w:cs="Amiri"/>
          <w:color w:val="111111"/>
          <w:sz w:val="28"/>
          <w:sz w:val="28"/>
          <w:szCs w:val="28"/>
          <w:rtl w:val="true"/>
          <w:lang w:bidi="ar-SA"/>
        </w:rPr>
        <w:t xml:space="preserve">، 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ميتين على جنازة واحدة </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مكاتبة الصفّار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يحمل الرجل والمرأة على سرير واحد </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للمحكي عن النهاية والسرائر </w:t>
      </w:r>
      <w:r>
        <w:rPr>
          <w:rStyle w:val="FootnoteAnchor"/>
          <w:rtl w:val="true"/>
        </w:rPr>
        <w:footnoteReference w:id="1626"/>
      </w:r>
      <w:r>
        <w:rPr>
          <w:rFonts w:ascii="Amiri" w:hAnsi="Amiri" w:eastAsia="Amiri" w:cs="Amiri"/>
          <w:color w:val="111111"/>
          <w:sz w:val="28"/>
          <w:sz w:val="28"/>
          <w:szCs w:val="28"/>
          <w:rtl w:val="true"/>
          <w:lang w:bidi="ar-SA"/>
        </w:rPr>
        <w:t xml:space="preserve">والوسيلة </w:t>
      </w:r>
      <w:r>
        <w:rPr>
          <w:rStyle w:val="FootnoteAnchor"/>
          <w:rtl w:val="true"/>
        </w:rPr>
        <w:footnoteReference w:id="1627"/>
      </w:r>
      <w:r>
        <w:rPr>
          <w:rFonts w:ascii="IRNazanin" w:hAnsi="IRNazanin" w:eastAsia="IRNazanin"/>
          <w:color w:val="111111"/>
          <w:sz w:val="28"/>
          <w:sz w:val="28"/>
          <w:szCs w:val="28"/>
          <w:rtl w:val="true"/>
          <w:lang w:bidi="fa-IR"/>
        </w:rPr>
        <w:t xml:space="preserve">والقواعد </w:t>
      </w:r>
      <w:r>
        <w:rPr>
          <w:rStyle w:val="FootnoteAnchor"/>
          <w:rtl w:val="true"/>
        </w:rPr>
        <w:footnoteReference w:id="1628"/>
      </w:r>
      <w:r>
        <w:rPr>
          <w:rFonts w:ascii="Amiri" w:hAnsi="Amiri" w:eastAsia="Amiri" w:cs="Amiri"/>
          <w:color w:val="111111"/>
          <w:sz w:val="28"/>
          <w:sz w:val="28"/>
          <w:szCs w:val="28"/>
          <w:rtl w:val="true"/>
          <w:lang w:bidi="ar-SA"/>
        </w:rPr>
        <w:t xml:space="preserve">، ومحتمل كلام الجعفي </w:t>
      </w:r>
      <w:r>
        <w:rPr>
          <w:rStyle w:val="FootnoteAnchor"/>
          <w:rtl w:val="true"/>
        </w:rPr>
        <w:footnoteReference w:id="1629"/>
      </w:r>
      <w:r>
        <w:rPr>
          <w:rFonts w:ascii="IRNazanin" w:hAnsi="IRNazanin" w:eastAsia="IRNazanin"/>
          <w:color w:val="111111"/>
          <w:sz w:val="28"/>
          <w:sz w:val="28"/>
          <w:szCs w:val="28"/>
          <w:rtl w:val="true"/>
          <w:lang w:bidi="fa-IR"/>
        </w:rPr>
        <w:t xml:space="preserve">والمهذّب والجامع </w:t>
      </w:r>
      <w:r>
        <w:rPr>
          <w:rStyle w:val="FootnoteAnchor"/>
          <w:rtl w:val="true"/>
        </w:rPr>
        <w:footnoteReference w:id="1630"/>
      </w:r>
      <w:r>
        <w:rPr>
          <w:rFonts w:ascii="Amiri" w:hAnsi="Amiri" w:eastAsia="Amiri" w:cs="Amiri"/>
          <w:color w:val="111111"/>
          <w:sz w:val="28"/>
          <w:sz w:val="28"/>
          <w:szCs w:val="28"/>
          <w:rtl w:val="true"/>
          <w:lang w:bidi="ar-SA"/>
        </w:rPr>
        <w:t>، فحرّموه ، لما ذكره ، ولأنه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الحرمة ، مع ضعف الرضوي الخالي عن الجابر ، وأخصّية المكاتبة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 قصد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والقيام لجنازة إلاّ مع إرادة حملها وتشييعها ، إجماعا كما في اللوامع ، لصحيحة زرارة </w:t>
      </w:r>
      <w:r>
        <w:rPr>
          <w:rStyle w:val="FootnoteAnchor"/>
          <w:rtl w:val="true"/>
        </w:rPr>
        <w:footnoteReference w:id="1631"/>
      </w:r>
      <w:r>
        <w:rPr>
          <w:rFonts w:ascii="IRNazanin" w:hAnsi="IRNazanin" w:eastAsia="IRNazanin"/>
          <w:color w:val="111111"/>
          <w:sz w:val="28"/>
          <w:sz w:val="28"/>
          <w:szCs w:val="28"/>
          <w:rtl w:val="true"/>
          <w:lang w:bidi="fa-IR"/>
        </w:rPr>
        <w:t xml:space="preserve">وخبر الحنّاط </w:t>
      </w:r>
      <w:r>
        <w:rPr>
          <w:rStyle w:val="FootnoteAnchor"/>
          <w:rtl w:val="true"/>
        </w:rPr>
        <w:footnoteReference w:id="16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الدفن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وأصرح منهما 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نظر إلى قوم مرّت بهم جنازة ، فقاموا قياما بأقدامهم ، فأشار إليهم أن اجلسوا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الحسن بن علي صلوات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مشى مع جنازة فمرّ على قوم ، فذهبوا ليقوموا ، فنهاهم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وإتباعها بالنار بالإجماع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كلّ من يحفظ عنه العلم </w:t>
      </w:r>
      <w:r>
        <w:rPr>
          <w:rStyle w:val="FootnoteAnchor"/>
          <w:rtl w:val="true"/>
        </w:rPr>
        <w:footnoteReference w:id="1633"/>
      </w:r>
      <w:r>
        <w:rPr>
          <w:rFonts w:ascii="Amiri" w:hAnsi="Amiri" w:eastAsia="Amiri" w:cs="Amiri"/>
          <w:color w:val="111111"/>
          <w:sz w:val="28"/>
          <w:sz w:val="28"/>
          <w:szCs w:val="28"/>
          <w:rtl w:val="true"/>
          <w:lang w:bidi="ar-SA"/>
        </w:rPr>
        <w:t xml:space="preserve">، وهو الدليل له ، لا النهي عن إتباع المجمرة في المعتبرة </w:t>
      </w:r>
      <w:r>
        <w:rPr>
          <w:rStyle w:val="FootnoteAnchor"/>
          <w:rtl w:val="true"/>
        </w:rPr>
        <w:footnoteReference w:id="1634"/>
      </w:r>
      <w:r>
        <w:rPr>
          <w:rFonts w:ascii="Amiri" w:hAnsi="Amiri" w:eastAsia="Amiri" w:cs="Amiri"/>
          <w:color w:val="111111"/>
          <w:sz w:val="28"/>
          <w:sz w:val="28"/>
          <w:szCs w:val="28"/>
          <w:rtl w:val="true"/>
          <w:lang w:bidi="ar-SA"/>
        </w:rPr>
        <w:t>، لأخصيته عن المطلوب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كراهة في إتباع المصابيح إذا كان ذلك في الليل ، لمرسلة الفقيه ورواية العلل المصرّحتين بإتباعها جنازة البتول عليها السلام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ورفع الصوت عند الجنازة ، ذكره في المنتهى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 رواية عامية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به في مقام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تربيعها بمعنيين مستحبين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بأربعة رجال من جوانبها الأربعة ، لأنه أدخل في توقير الميت وأسهل من الحمل بين العمودين كما استحبه بعض العامة ، وتحتمله 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أن يحمل السرير من جوانبه الأربعة ، وما كان بعد ذلك من حمل فهو تطوع </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التناوب أي دوران الحامل في الجوانب الأربعة ، وحمل الواحد كلا من جوانبها ، للأخبار المتضافرة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جنازة من أربع جوانبها غفر اللّه له أربعين كبيرة </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أخاه الميت بجوانب السرير الأربعة محا اللّه عنه أربعين كبيرة من الكبائر </w:t>
      </w:r>
      <w:r>
        <w:rPr>
          <w:rStyle w:val="FootnoteAnchor"/>
          <w:rtl w:val="true"/>
        </w:rPr>
        <w:footnoteReference w:id="1639"/>
      </w:r>
      <w:r>
        <w:rPr>
          <w:rFonts w:ascii="Amiri" w:hAnsi="Amiri" w:eastAsia="Amiri" w:cs="Amiri"/>
          <w:color w:val="111111"/>
          <w:sz w:val="28"/>
          <w:sz w:val="28"/>
          <w:szCs w:val="28"/>
          <w:rtl w:val="true"/>
          <w:lang w:bidi="ar-SA"/>
        </w:rPr>
        <w:t xml:space="preserve">ومرسلة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بقائمة السرير غفر اللّه له خمسا وعشرين كبيرة ، فإذا ربع خرج من الذنوب </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ويحصل التربيع المستحب بهذا المعنى بأيّ نحو فعله ، لمكاتبة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سرير الميت إله جانب يبدأ به في الحمل من جوانبه الأربعة أو يحمل الرجل </w:t>
      </w:r>
    </w:p>
    <w:p>
      <w:pPr>
        <w:pStyle w:val="BookText"/>
        <w:rPr/>
      </w:pPr>
      <w:r>
        <w:rPr>
          <w:rFonts w:ascii="Amiri" w:hAnsi="Amiri" w:eastAsia="Amiri" w:cs="Amiri"/>
          <w:color w:val="111111"/>
          <w:sz w:val="28"/>
          <w:sz w:val="28"/>
          <w:szCs w:val="28"/>
          <w:rtl w:val="true"/>
          <w:lang w:bidi="ar-SA"/>
        </w:rPr>
        <w:t xml:space="preserve">من أيها شاء؟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أيّها شاء </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في ذلك ، كما لا خلاف في أن الأفضل فيه أن يبدأ بمقدّم السرير ، ثمَّ بما يليه من مؤخّره ، ويدور عليه دوران الرحى أي لا يرجع حتى يتم الدور فيختمه بالمقدّم الآخر ، وتضافرت بذلك الروايات أيضا كما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يبتدئ به من طرفي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يبتدئ الطرف الذي يقابل يسار المشيّع في الخلف وعليه اليد اليمنى للميت ، وهو ظاهر المحكي عن الخلاف وصريح المنتهى والدروس والبحار والكفاية والأردبيلي </w:t>
      </w:r>
      <w:r>
        <w:rPr>
          <w:rStyle w:val="FootnoteAnchor"/>
          <w:rtl w:val="true"/>
        </w:rPr>
        <w:footnoteReference w:id="1642"/>
      </w:r>
      <w:r>
        <w:rPr>
          <w:rFonts w:ascii="Amiri" w:hAnsi="Amiri" w:eastAsia="Amiri" w:cs="Amiri"/>
          <w:color w:val="111111"/>
          <w:sz w:val="28"/>
          <w:sz w:val="28"/>
          <w:szCs w:val="28"/>
          <w:rtl w:val="true"/>
          <w:lang w:bidi="ar-SA"/>
        </w:rPr>
        <w:t xml:space="preserve">، والهندي ناسبا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w:t>
      </w:r>
      <w:r>
        <w:rPr>
          <w:rStyle w:val="FootnoteAnchor"/>
          <w:rtl w:val="true"/>
        </w:rPr>
        <w:footnoteReference w:id="1643"/>
      </w:r>
      <w:r>
        <w:rPr>
          <w:rFonts w:ascii="Amiri" w:hAnsi="Amiri" w:eastAsia="Amiri" w:cs="Amiri"/>
          <w:color w:val="111111"/>
          <w:sz w:val="28"/>
          <w:sz w:val="28"/>
          <w:szCs w:val="28"/>
          <w:rtl w:val="true"/>
          <w:lang w:bidi="ar-SA"/>
        </w:rPr>
        <w:t>، بل عن صريح الأول وفي ظاهر الثاني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لموثّقة فضل بن يونس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يتّقي فيه فإنّ تربيع الجنازة أن يبدأ باليد اليمنى ثمَّ بالرجل اليمنى ثمَّ بالرجل اليسرى ثمَّ باليد اليسرى حتى يدور حولها </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على هذه الكيفية ظاهرة غاية الظهور ، فإنّ المراد باليمنى ليس يد الحامل بقرينة الرجل ، فليس إلاّ يد الميت ، ولا تطلق اليد على الجنازة ، وصحّته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بها للكيفية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القواعد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حمل الجنازة أن تستقبل جانب السرير بشقك </w:t>
      </w:r>
    </w:p>
    <w:p>
      <w:pPr>
        <w:pStyle w:val="BookText"/>
        <w:rPr/>
      </w:pPr>
      <w:r>
        <w:rPr>
          <w:rFonts w:ascii="Amiri" w:hAnsi="Amiri" w:eastAsia="Amiri" w:cs="Amiri"/>
          <w:color w:val="111111"/>
          <w:sz w:val="28"/>
          <w:sz w:val="28"/>
          <w:szCs w:val="28"/>
          <w:rtl w:val="true"/>
          <w:lang w:bidi="ar-SA"/>
        </w:rPr>
        <w:t xml:space="preserve">الأيمن ، فتلزم الأيسر بكتفك الأيمن ، ثمَّ تمر عليه إلى الجانب الآخر وتدور خلفه إلى الجانب الثالث من السرير ، ثمَّ تمر عليه إلى الجانب الرابع ممّا يلي يسارك </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الأيسر أيسر السرير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جانب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الملتزم للكتف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أيسر السرير ، وإن احتمل بأن يكون ما عليه يسار الميت ، إلاّ أنّ الظاهر منه المقابل ليسار المشيّع في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الحمل بالكتف الأيمن ، إذ حمل الطرف الآخر باليمين غير منفك عن مشقة تامة في الدخول تحت الجنازة وعن مزاحمة مقابل له فيه ، بل لا يتيسّر غالبا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يلي يسارك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المرور ممّا يلي يسار الحامل إلى الجانب الرابع لا يكون إلاّ بالختم بيسار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الجانب الرابع ممّا يلي يسار الحامل إلاّ على حمل الرابع على يمين السرير الذي عليه يسار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الآخر مقابلا ليسار المشيّع لا يفيد ، لأنه ما يقابله لا ممّا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الدعائم 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يستحب لمن بدا له أن يعين في حمل الجنازة أن يبدأ بياسرة السرير ، فيأخذها ممّن هي في يديه بيمينه ، ثمَّ يدور بالجوانب الأربعة </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لصريح روض الجنان </w:t>
      </w:r>
      <w:r>
        <w:rPr>
          <w:rStyle w:val="FootnoteAnchor"/>
          <w:rtl w:val="true"/>
        </w:rPr>
        <w:footnoteReference w:id="1648"/>
      </w:r>
      <w:r>
        <w:rPr>
          <w:rFonts w:ascii="IRNazanin" w:hAnsi="IRNazanin" w:eastAsia="IRNazanin"/>
          <w:color w:val="111111"/>
          <w:sz w:val="28"/>
          <w:sz w:val="28"/>
          <w:szCs w:val="28"/>
          <w:rtl w:val="true"/>
          <w:lang w:bidi="fa-IR"/>
        </w:rPr>
        <w:t xml:space="preserve">وظاهر جمع آخر </w:t>
      </w:r>
      <w:r>
        <w:rPr>
          <w:rStyle w:val="FootnoteAnchor"/>
          <w:rtl w:val="true"/>
        </w:rPr>
        <w:footnoteReference w:id="1649"/>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بمقدم السرير الأيمن وهو الذي يلي يسار الميت ، لرواية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في حمل السرير من جانبه </w:t>
      </w:r>
      <w:r>
        <w:rPr>
          <w:rStyle w:val="FootnoteAnchor"/>
          <w:rtl w:val="true"/>
        </w:rPr>
        <w:footnoteReference w:id="1650"/>
      </w:r>
      <w:r>
        <w:rPr>
          <w:rFonts w:ascii="Amiri" w:hAnsi="Amiri" w:eastAsia="Amiri" w:cs="Amiri"/>
          <w:color w:val="111111"/>
          <w:sz w:val="28"/>
          <w:sz w:val="28"/>
          <w:szCs w:val="28"/>
          <w:rtl w:val="true"/>
          <w:lang w:bidi="ar-SA"/>
        </w:rPr>
        <w:t xml:space="preserve">الأيمن ، ثمَّ يمرّ عليه من خلفه إلى الجانب الآخر ، ثمَّ يمرّ عليه حتى </w:t>
      </w:r>
    </w:p>
    <w:p>
      <w:pPr>
        <w:pStyle w:val="BookText"/>
        <w:rPr/>
      </w:pPr>
      <w:r>
        <w:rPr>
          <w:rFonts w:ascii="Amiri" w:hAnsi="Amiri" w:eastAsia="Amiri" w:cs="Amiri"/>
          <w:color w:val="111111"/>
          <w:sz w:val="28"/>
          <w:sz w:val="28"/>
          <w:szCs w:val="28"/>
          <w:rtl w:val="true"/>
          <w:lang w:bidi="ar-SA"/>
        </w:rPr>
        <w:t xml:space="preserve">يرجع إلى المقدّم ، كذلك دور الرحى عليه </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أن تستقبل الجنازة من جانبها الأيمن وهو ممّا يلي يسارك ، ثمَّ تسير إلى مؤخّره وتدور عليه حتى ترجع إلى مقدّمه </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أن تربّعها فابدأ بالشق الأيمن فخذه بيمينك ، ثمَّ تدور إلى المؤخّر فتأخذه بيمينك ، ثمَّ تدور إلى المؤخّر الثاني فتأخذه بيسارك ، ثمَّ تدور إلى المقدّم الأيسر فتأخذه بيسارك ، ثمَّ تدور على الجنازة كدور كفّي الرحى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رجوع المجرور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الميت أو إلى الحامل البادي ، لجواز كون الصيغ للغيبية ، فلا يدلّ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لو ارجع إلى السرير ، إذ ليس للسرير نفسه يمين ويسار ، فاعتبارهما فيه إمّا باعتبار المشيّع خلفه ، أو توهّمه شخصا ماشيا ، أو باعتبار المستقبل إيّاه كما هو الأكثر في إطلاق اليمين واليسار في غير الحيوانات ، أو بمجاورة يدي الميت ، أو توهّمه شخصا مستلقيا على قفاه ماشيا كالميت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الأولين وإن ثبت ما ذكروه من الرواية ، ولكن على الثلاثة الأخيرة يثبت فيها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الأخير أظهر فلا أقلّ من التساوي المسقط للاستدلال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التشبيه بدور الرحى فالغرض منه مجرّد الدوران وعدم الرجوع في الأثناء كما تفعله العامة كما صرّح به في صدر الموثّقة </w:t>
      </w:r>
      <w:r>
        <w:rPr>
          <w:rStyle w:val="FootnoteAnchor"/>
          <w:rtl w:val="true"/>
        </w:rPr>
        <w:footnoteReference w:id="1654"/>
      </w:r>
      <w:r>
        <w:rPr>
          <w:rFonts w:ascii="Amiri" w:hAnsi="Amiri" w:eastAsia="Amiri" w:cs="Amiri"/>
          <w:color w:val="111111"/>
          <w:sz w:val="28"/>
          <w:sz w:val="28"/>
          <w:szCs w:val="28"/>
          <w:rtl w:val="true"/>
          <w:lang w:bidi="ar-SA"/>
        </w:rPr>
        <w:t xml:space="preserve">وذكره علماؤهم في كتبهم </w:t>
      </w:r>
      <w:r>
        <w:rPr>
          <w:rStyle w:val="FootnoteAnchor"/>
          <w:rtl w:val="true"/>
        </w:rPr>
        <w:footnoteReference w:id="1655"/>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الدور من اليمين إلى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أيضا لا يختص بذلك ، لاختلاف يمين الميت والحامل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الجواب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الثاني إلى أن تفسير جانبها الأيمن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يلي يسارك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إرادة ما ذكرنا ، لأنّ ما يلي يساره في بدء الأمر المتصل بحالة التشييع ، هو جانب يمين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إلى أن الأمر بأخذ اليمين باليمين يبيّن ما بيّنّاه ، لما تقدّم من صعوبة حمل يمين السرير الذي هو يسار الميت ، بل عدم تيسّره في الأغلب ، ولذلك جعله بعضهم </w:t>
      </w:r>
      <w:r>
        <w:rPr>
          <w:rStyle w:val="FootnoteAnchor"/>
          <w:rtl w:val="true"/>
        </w:rPr>
        <w:footnoteReference w:id="1656"/>
      </w:r>
      <w:r>
        <w:rPr>
          <w:rFonts w:ascii="Amiri" w:hAnsi="Amiri" w:eastAsia="Amiri" w:cs="Amiri"/>
          <w:color w:val="111111"/>
          <w:sz w:val="28"/>
          <w:sz w:val="28"/>
          <w:szCs w:val="28"/>
          <w:rtl w:val="true"/>
          <w:lang w:bidi="ar-SA"/>
        </w:rPr>
        <w:t>دليلا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الوهن العظيم فيما ادّعي من الشهرة على القول الأخير </w:t>
      </w:r>
      <w:r>
        <w:rPr>
          <w:rStyle w:val="FootnoteAnchor"/>
          <w:rtl w:val="true"/>
        </w:rPr>
        <w:footnoteReference w:id="1657"/>
      </w:r>
      <w:r>
        <w:rPr>
          <w:rFonts w:ascii="Amiri" w:hAnsi="Amiri" w:eastAsia="Amiri" w:cs="Amiri"/>
          <w:color w:val="111111"/>
          <w:sz w:val="28"/>
          <w:sz w:val="28"/>
          <w:szCs w:val="28"/>
          <w:rtl w:val="true"/>
          <w:lang w:bidi="ar-SA"/>
        </w:rPr>
        <w:t xml:space="preserve">، إذ ليس في كلامهم غالبا إلاّ مقدّمة السرير اليمنى ، وهي لما عليه يمين الميت محتملة ، ولذا ترى المنتهى بعد ما عبّر بذلك فسّره بيمين الميت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شرّاح القواعد في بيان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البدأة بمقدم السرير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يلي يمين الميت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صرّح جمع من المتأخّرين </w:t>
      </w:r>
      <w:r>
        <w:rPr>
          <w:rStyle w:val="FootnoteAnchor"/>
          <w:rtl w:val="true"/>
        </w:rPr>
        <w:footnoteReference w:id="1660"/>
      </w:r>
      <w:r>
        <w:rPr>
          <w:rFonts w:ascii="Amiri" w:hAnsi="Amiri" w:eastAsia="Amiri" w:cs="Amiri"/>
          <w:color w:val="111111"/>
          <w:sz w:val="28"/>
          <w:sz w:val="28"/>
          <w:szCs w:val="28"/>
          <w:rtl w:val="true"/>
          <w:lang w:bidi="ar-SA"/>
        </w:rPr>
        <w:t xml:space="preserve">بموافقة الشيخ في المبسوط والنهاية </w:t>
      </w:r>
      <w:r>
        <w:rPr>
          <w:rStyle w:val="FootnoteAnchor"/>
          <w:rtl w:val="true"/>
        </w:rPr>
        <w:footnoteReference w:id="1661"/>
      </w:r>
      <w:r>
        <w:rPr>
          <w:rFonts w:ascii="IRNazanin" w:hAnsi="IRNazanin" w:eastAsia="IRNazanin"/>
          <w:color w:val="111111"/>
          <w:sz w:val="28"/>
          <w:sz w:val="28"/>
          <w:szCs w:val="28"/>
          <w:rtl w:val="true"/>
          <w:lang w:bidi="fa-IR"/>
        </w:rPr>
        <w:t>مع القول الأول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الراوندي </w:t>
      </w:r>
      <w:r>
        <w:rPr>
          <w:rStyle w:val="FootnoteAnchor"/>
          <w:rtl w:val="true"/>
        </w:rPr>
        <w:footnoteReference w:id="1662"/>
      </w:r>
      <w:r>
        <w:rPr>
          <w:rFonts w:ascii="Amiri" w:hAnsi="Amiri" w:eastAsia="Amiri" w:cs="Amiri"/>
          <w:color w:val="111111"/>
          <w:sz w:val="28"/>
          <w:sz w:val="28"/>
          <w:szCs w:val="28"/>
          <w:rtl w:val="true"/>
          <w:lang w:bidi="ar-SA"/>
        </w:rPr>
        <w:t xml:space="preserve">التصريح باتحاد قولي الشيخ فيهما وفي الخلاف </w:t>
      </w:r>
      <w:r>
        <w:rPr>
          <w:rStyle w:val="FootnoteAnchor"/>
          <w:rtl w:val="true"/>
        </w:rPr>
        <w:footnoteReference w:id="16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ويؤكّده دعواه الإجماع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الاستظهار للأخير بالإجماع المحكي عن المبسوط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ولطائفة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والدي رحمه اللّه </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فحكموا بالتخيير بين الطريقين ، جمعا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فرع الدلالة ، وقد عرفت فيها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يؤخذ به من كتفي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المشهور أخذ طرفي ميامن الميت بالميامن ومياسره بالمياسر ، لروايتي ابن يقطين </w:t>
      </w:r>
      <w:r>
        <w:rPr>
          <w:rStyle w:val="FootnoteAnchor"/>
          <w:rtl w:val="true"/>
        </w:rPr>
        <w:footnoteReference w:id="1667"/>
      </w:r>
      <w:r>
        <w:rPr>
          <w:rFonts w:ascii="IRNazanin" w:hAnsi="IRNazanin" w:eastAsia="IRNazanin"/>
          <w:color w:val="111111"/>
          <w:sz w:val="28"/>
          <w:sz w:val="28"/>
          <w:szCs w:val="28"/>
          <w:rtl w:val="true"/>
          <w:lang w:bidi="fa-IR"/>
        </w:rPr>
        <w:t xml:space="preserve">والدعائم </w:t>
      </w:r>
      <w:r>
        <w:rPr>
          <w:rStyle w:val="FootnoteAnchor"/>
          <w:rtl w:val="true"/>
        </w:rPr>
        <w:footnoteReference w:id="1668"/>
      </w:r>
      <w:r>
        <w:rPr>
          <w:rFonts w:ascii="Amiri" w:hAnsi="Amiri" w:eastAsia="Amiri" w:cs="Amiri"/>
          <w:color w:val="111111"/>
          <w:sz w:val="28"/>
          <w:sz w:val="28"/>
          <w:szCs w:val="28"/>
          <w:rtl w:val="true"/>
          <w:lang w:bidi="ar-SA"/>
        </w:rPr>
        <w:t xml:space="preserve">، وللأمر ببداءة الأخذ بالميامن فيهما وفي الرضوي </w:t>
      </w:r>
      <w:r>
        <w:rPr>
          <w:rStyle w:val="FootnoteAnchor"/>
          <w:rtl w:val="true"/>
        </w:rPr>
        <w:footnoteReference w:id="1669"/>
      </w:r>
      <w:r>
        <w:rPr>
          <w:rFonts w:ascii="Amiri" w:hAnsi="Amiri" w:eastAsia="Amiri" w:cs="Amiri"/>
          <w:color w:val="111111"/>
          <w:sz w:val="28"/>
          <w:sz w:val="28"/>
          <w:szCs w:val="28"/>
          <w:rtl w:val="true"/>
          <w:lang w:bidi="ar-SA"/>
        </w:rPr>
        <w:t xml:space="preserve">، المستلزمة لما ذكرنا ، بعد ثبوت البدأة بأخذ ميامن الميت بالموثّقة </w:t>
      </w:r>
      <w:r>
        <w:rPr>
          <w:rStyle w:val="FootnoteAnchor"/>
          <w:rtl w:val="true"/>
        </w:rPr>
        <w:footnoteReference w:id="1670"/>
      </w:r>
      <w:r>
        <w:rPr>
          <w:rFonts w:ascii="Amiri" w:hAnsi="Amiri" w:eastAsia="Amiri" w:cs="Amiri"/>
          <w:color w:val="111111"/>
          <w:sz w:val="28"/>
          <w:sz w:val="28"/>
          <w:szCs w:val="28"/>
          <w:rtl w:val="true"/>
          <w:lang w:bidi="ar-SA"/>
        </w:rPr>
        <w:t>، ولصعوبة العكس ومشقته أو عدم تيسّره وعدم تعارفه ، والألفاظ تحمل على المعاني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عكس ، وهو بين من يبدأ بمياسر الميت </w:t>
      </w:r>
      <w:r>
        <w:rPr>
          <w:rStyle w:val="FootnoteAnchor"/>
          <w:rtl w:val="true"/>
        </w:rPr>
        <w:footnoteReference w:id="1671"/>
      </w:r>
      <w:r>
        <w:rPr>
          <w:rFonts w:ascii="Amiri" w:hAnsi="Amiri" w:eastAsia="Amiri" w:cs="Amiri"/>
          <w:color w:val="111111"/>
          <w:sz w:val="28"/>
          <w:sz w:val="28"/>
          <w:szCs w:val="28"/>
          <w:rtl w:val="true"/>
          <w:lang w:bidi="ar-SA"/>
        </w:rPr>
        <w:t>، ودليله الرضوي وروايتا ابن يقطين والدعائم ، بضميمة الاستلزام المذكور ، وقد عرفت ضعف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يبدأ بميامنه </w:t>
      </w:r>
      <w:r>
        <w:rPr>
          <w:rStyle w:val="FootnoteAnchor"/>
          <w:rtl w:val="true"/>
        </w:rPr>
        <w:footnoteReference w:id="1672"/>
      </w:r>
      <w:r>
        <w:rPr>
          <w:rFonts w:ascii="Amiri" w:hAnsi="Amiri" w:eastAsia="Amiri" w:cs="Amiri"/>
          <w:color w:val="111111"/>
          <w:sz w:val="28"/>
          <w:sz w:val="28"/>
          <w:szCs w:val="28"/>
          <w:rtl w:val="true"/>
          <w:lang w:bidi="ar-SA"/>
        </w:rPr>
        <w:t>، ولا دليل له أصلا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تشييع الجنازة ، وهو مستحب بإجماع العلماء كافة ، والنصوص في فضله متواترة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الأردبيلي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بالمشي معها في الجملة ، كما تدلّ عليه مطلقات المرغّبات في متابعة الجنازة ، وإن كان الأفضل المتابعة إلى أن يصلّى عليها ، والأكمل إلى أن يدفن كما في روايتي جابر </w:t>
      </w:r>
      <w:r>
        <w:rPr>
          <w:rStyle w:val="FootnoteAnchor"/>
          <w:rtl w:val="true"/>
        </w:rPr>
        <w:footnoteReference w:id="1675"/>
      </w:r>
      <w:r>
        <w:rPr>
          <w:rFonts w:ascii="Amiri" w:hAnsi="Amiri" w:eastAsia="Amiri" w:cs="Amiri"/>
          <w:color w:val="111111"/>
          <w:sz w:val="28"/>
          <w:sz w:val="28"/>
          <w:szCs w:val="28"/>
          <w:rtl w:val="true"/>
          <w:lang w:bidi="ar-SA"/>
        </w:rPr>
        <w:t xml:space="preserve">وأبي بصير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المنتهى وعن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التشييع إلى موضع الصلاة </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 وإثبات ثواب زائد له لا ينفي مطلقه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للمشيّع التفكر في مئاله وما يؤول إليه عاقبة حاله ، والتخشّع والاتّعاظ بالموت ، كما ذكره الجماعة وقالوا بوروده في الأخبار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والسير من ورائها أو أحد جانبيها بالإجماع ، كما في المنتهى وشرح القواعد </w:t>
      </w:r>
      <w:r>
        <w:rPr>
          <w:rStyle w:val="FootnoteAnchor"/>
          <w:rtl w:val="true"/>
        </w:rPr>
        <w:footnoteReference w:id="1679"/>
      </w:r>
      <w:r>
        <w:rPr>
          <w:rFonts w:ascii="Amiri" w:hAnsi="Amiri" w:eastAsia="Amiri" w:cs="Amiri"/>
          <w:color w:val="111111"/>
          <w:sz w:val="28"/>
          <w:sz w:val="28"/>
          <w:szCs w:val="28"/>
          <w:rtl w:val="true"/>
          <w:lang w:bidi="ar-SA"/>
        </w:rPr>
        <w:t xml:space="preserve">واللوامع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من مذهب الأصحاب </w:t>
      </w:r>
      <w:r>
        <w:rPr>
          <w:rStyle w:val="FootnoteAnchor"/>
          <w:rtl w:val="true"/>
        </w:rPr>
        <w:footnoteReference w:id="1680"/>
      </w:r>
      <w:r>
        <w:rPr>
          <w:rFonts w:ascii="IRNazanin" w:hAnsi="IRNazanin" w:eastAsia="IRNazanin"/>
          <w:color w:val="111111"/>
          <w:sz w:val="28"/>
          <w:sz w:val="28"/>
          <w:szCs w:val="28"/>
          <w:rtl w:val="true"/>
          <w:lang w:bidi="fa-IR"/>
        </w:rPr>
        <w:t>، له ، وللنصوص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خلف الجنازة أفضل من المشي بين يديها ، ولا بأس بأن يمشي بين يديها </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الجنازة ولا تتبعكم ، خالفوا أهل الكتاب </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يمشي مع الكرام الكاتبين فليمش جنبي السرير </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حضرت جنازة فامش خلفها ولا تمش أمامها ، وإنّما يؤجر من تبعها لا من تبعته ، اتبعوا الجنازة ولا تتبعكم ، فإنه من عمل المجوس ، وأفضل المشي في اتباع الجنازة ما بين جنبي الجنازة ، وهو مشي الكرام الكاتبين </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المقنع والخلاف الاقتصار على الأول </w:t>
      </w:r>
      <w:r>
        <w:rPr>
          <w:rStyle w:val="FootnoteAnchor"/>
          <w:rtl w:val="true"/>
        </w:rPr>
        <w:footnoteReference w:id="1685"/>
      </w:r>
      <w:r>
        <w:rPr>
          <w:rFonts w:ascii="Amiri" w:hAnsi="Amiri" w:eastAsia="Amiri" w:cs="Amiri"/>
          <w:color w:val="111111"/>
          <w:sz w:val="28"/>
          <w:sz w:val="28"/>
          <w:szCs w:val="28"/>
          <w:rtl w:val="true"/>
          <w:lang w:bidi="ar-SA"/>
        </w:rPr>
        <w:t>، ولعلّهما أرادا مقابل الامام منه لجعلهما إيّاه مقابلا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إطلاق الرضوي أفضلية الثاني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بعض المتأخّرين بالعكس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كونه أولى بمعنى الاتباع والتشييع ، ولما روي من مشي النبي صلی اللّه عليه وآله خلف جنازة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ممنوع والثاني غير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ماشيا ، كما عن النهاية والجامع والمعتبر وظاهر المقنع والمقنعة </w:t>
      </w:r>
      <w:r>
        <w:rPr>
          <w:rStyle w:val="FootnoteAnchor"/>
          <w:rtl w:val="true"/>
        </w:rPr>
        <w:footnoteReference w:id="1688"/>
      </w:r>
      <w:r>
        <w:rPr>
          <w:rFonts w:ascii="Amiri" w:hAnsi="Amiri" w:eastAsia="Amiri" w:cs="Amiri"/>
          <w:color w:val="111111"/>
          <w:sz w:val="28"/>
          <w:sz w:val="28"/>
          <w:szCs w:val="28"/>
          <w:rtl w:val="true"/>
          <w:lang w:bidi="ar-SA"/>
        </w:rPr>
        <w:t xml:space="preserve">وجمل العلم وشرحه للقاضي ، والغنية والوسيلة والشرائع </w:t>
      </w:r>
      <w:r>
        <w:rPr>
          <w:rStyle w:val="FootnoteAnchor"/>
          <w:rtl w:val="true"/>
        </w:rPr>
        <w:footnoteReference w:id="1689"/>
      </w:r>
      <w:r>
        <w:rPr>
          <w:rFonts w:ascii="IRNazanin" w:hAnsi="IRNazanin" w:eastAsia="IRNazanin"/>
          <w:color w:val="111111"/>
          <w:sz w:val="28"/>
          <w:sz w:val="28"/>
          <w:szCs w:val="28"/>
          <w:rtl w:val="true"/>
          <w:lang w:bidi="fa-IR"/>
        </w:rPr>
        <w:t>، لفتوى هؤلاء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كونه لازما لما في الركوب من الكراهة بإجماع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المعتبرة كصحيحة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لأكره أن أركب والملائكة يمشون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ومرسلة ابن أبي عمير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رأى رسول اللّه صلی اللّه عليه وآله قوما خلف جنازة ركبانا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أستحيي هؤلاء أن يتبعوا صاحبهم ركبانا وقد أسلموه على هذه الحالة </w:t>
      </w:r>
      <w:r>
        <w:rPr>
          <w:rFonts w:eastAsia="IRNazanin" w:cs="IRNazanin"/>
          <w:color w:val="111111"/>
          <w:sz w:val="28"/>
          <w:szCs w:val="28"/>
          <w:rtl w:val="true"/>
          <w:lang w:bidi="fa-IR"/>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أن يركب الرجل مع الجنازة في بدأته إلاّ من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يركب إذا رجع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 انتفاء الكراهة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المكروهات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أمام الجنازة مطلقا ، كما في المنتهى وعن صريح السرائر والوسيلة والبيان </w:t>
      </w:r>
      <w:r>
        <w:rPr>
          <w:rStyle w:val="FootnoteAnchor"/>
          <w:rtl w:val="true"/>
        </w:rPr>
        <w:footnoteReference w:id="1694"/>
      </w:r>
      <w:r>
        <w:rPr>
          <w:rFonts w:ascii="Amiri" w:hAnsi="Amiri" w:eastAsia="Amiri" w:cs="Amiri"/>
          <w:color w:val="111111"/>
          <w:sz w:val="28"/>
          <w:sz w:val="28"/>
          <w:szCs w:val="28"/>
          <w:rtl w:val="true"/>
          <w:lang w:bidi="ar-SA"/>
        </w:rPr>
        <w:t xml:space="preserve">، والتذكرة </w:t>
      </w:r>
      <w:r>
        <w:rPr>
          <w:rStyle w:val="FootnoteAnchor"/>
          <w:rtl w:val="true"/>
        </w:rPr>
        <w:footnoteReference w:id="1695"/>
      </w:r>
      <w:r>
        <w:rPr>
          <w:rFonts w:ascii="Amiri" w:hAnsi="Amiri" w:eastAsia="Amiri" w:cs="Amiri"/>
          <w:color w:val="111111"/>
          <w:sz w:val="28"/>
          <w:sz w:val="28"/>
          <w:szCs w:val="28"/>
          <w:rtl w:val="true"/>
          <w:lang w:bidi="ar-SA"/>
        </w:rPr>
        <w:t xml:space="preserve">، وظاهر المقنع والمقنعة والاقتصاد </w:t>
      </w:r>
      <w:r>
        <w:rPr>
          <w:rStyle w:val="FootnoteAnchor"/>
          <w:rtl w:val="true"/>
        </w:rPr>
        <w:footnoteReference w:id="1696"/>
      </w:r>
      <w:r>
        <w:rPr>
          <w:rFonts w:ascii="IRNazanin" w:hAnsi="IRNazanin" w:eastAsia="IRNazanin"/>
          <w:color w:val="111111"/>
          <w:sz w:val="28"/>
          <w:sz w:val="28"/>
          <w:szCs w:val="28"/>
          <w:rtl w:val="true"/>
          <w:lang w:bidi="fa-IR"/>
        </w:rPr>
        <w:t xml:space="preserve">، والمراسم وجمل العلم </w:t>
      </w:r>
      <w:r>
        <w:rPr>
          <w:rStyle w:val="FootnoteAnchor"/>
          <w:rtl w:val="true"/>
        </w:rPr>
        <w:footnoteReference w:id="1697"/>
      </w:r>
      <w:r>
        <w:rPr>
          <w:rFonts w:ascii="Amiri" w:hAnsi="Amiri" w:eastAsia="Amiri" w:cs="Amiri"/>
          <w:color w:val="111111"/>
          <w:sz w:val="28"/>
          <w:sz w:val="28"/>
          <w:szCs w:val="28"/>
          <w:rtl w:val="true"/>
          <w:lang w:bidi="ar-SA"/>
        </w:rPr>
        <w:t xml:space="preserve">، بل في المنتهى الإجماع عليه </w:t>
      </w:r>
      <w:r>
        <w:rPr>
          <w:rStyle w:val="FootnoteAnchor"/>
          <w:rtl w:val="true"/>
        </w:rPr>
        <w:footnoteReference w:id="1698"/>
      </w:r>
      <w:r>
        <w:rPr>
          <w:rFonts w:ascii="Amiri" w:hAnsi="Amiri" w:eastAsia="Amiri" w:cs="Amiri"/>
          <w:color w:val="111111"/>
          <w:sz w:val="28"/>
          <w:sz w:val="28"/>
          <w:szCs w:val="28"/>
          <w:rtl w:val="true"/>
          <w:lang w:bidi="ar-SA"/>
        </w:rPr>
        <w:t xml:space="preserve">، لخبر السكوني والرضوي السابقين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والنهي فيهما وإن كان ظاهرا في الحرمة ، إلاّ أنّ عدم القول بها مطلقا ، مع ضعف الثاني ، مضافا إلى النصوص المصرّحة بالجواز المصرّحة بالجواز ، كموثّقة إسحاق السابقة </w:t>
      </w:r>
      <w:r>
        <w:rPr>
          <w:rStyle w:val="FootnoteAnchor"/>
          <w:rtl w:val="true"/>
        </w:rPr>
        <w:footnoteReference w:id="1700"/>
      </w:r>
      <w:r>
        <w:rPr>
          <w:rFonts w:ascii="Amiri" w:hAnsi="Amiri" w:eastAsia="Amiri" w:cs="Amiri"/>
          <w:color w:val="111111"/>
          <w:sz w:val="28"/>
          <w:sz w:val="28"/>
          <w:szCs w:val="28"/>
          <w:rtl w:val="true"/>
          <w:lang w:bidi="ar-SA"/>
        </w:rPr>
        <w:t xml:space="preserve">، 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المشي مع الجنازة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يديها وعن يمينها وعن شمالها وخلفها </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امش بين يدي الجنازة وخلفها </w:t>
      </w:r>
      <w:r>
        <w:rPr>
          <w:rFonts w:eastAsia="Amiri" w:cs="Amiri" w:ascii="Amiri" w:hAnsi="Amiri"/>
          <w:color w:val="111111"/>
          <w:sz w:val="28"/>
          <w:szCs w:val="28"/>
          <w:rtl w:val="true"/>
          <w:lang w:bidi="ar-SA"/>
        </w:rPr>
        <w:t xml:space="preserve">» </w:t>
      </w:r>
      <w:r>
        <w:rPr>
          <w:rStyle w:val="FootnoteAnchor"/>
          <w:rtl w:val="true"/>
        </w:rPr>
        <w:footnoteReference w:id="1702"/>
      </w:r>
      <w:r>
        <w:rPr>
          <w:rFonts w:ascii="IRNazanin" w:hAnsi="IRNazanin" w:eastAsia="IRNazanin"/>
          <w:color w:val="111111"/>
          <w:sz w:val="28"/>
          <w:sz w:val="28"/>
          <w:szCs w:val="28"/>
          <w:rtl w:val="true"/>
          <w:lang w:bidi="fa-IR"/>
        </w:rPr>
        <w:t xml:space="preserve">أوجب الحمل </w:t>
      </w:r>
    </w:p>
    <w:p>
      <w:pPr>
        <w:pStyle w:val="BookText"/>
        <w:rPr/>
      </w:pPr>
      <w:r>
        <w:rPr>
          <w:rFonts w:ascii="Amiri" w:hAnsi="Amiri" w:eastAsia="Amiri" w:cs="Amiri"/>
          <w:color w:val="111111"/>
          <w:sz w:val="28"/>
          <w:sz w:val="28"/>
          <w:szCs w:val="28"/>
          <w:rtl w:val="true"/>
          <w:lang w:bidi="ar-SA"/>
        </w:rPr>
        <w:t xml:space="preserve">على الكراهة أي المرجوحية الإضافية ، كما هي مراد القائلين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المعنى المصطلح ، لظهور دلالة الموثّقة على ثبوت فضل للمشي في الإمام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الماشي خلفها على الماشي أمامها كفضل الصلاة المكتوبة على التطوع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قرينتان على تعيين إرادة المرجوحية الإضافية دون الكراهة المصطلحة ، فإنهما مجازان لا بدّ في تعيينهما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يصلح نفي الأجر في الرضوي </w:t>
      </w:r>
      <w:r>
        <w:rPr>
          <w:rStyle w:val="FootnoteAnchor"/>
          <w:rtl w:val="true"/>
        </w:rPr>
        <w:footnoteReference w:id="1704"/>
      </w:r>
      <w:r>
        <w:rPr>
          <w:rFonts w:ascii="Amiri" w:hAnsi="Amiri" w:eastAsia="Amiri" w:cs="Amiri"/>
          <w:color w:val="111111"/>
          <w:sz w:val="28"/>
          <w:sz w:val="28"/>
          <w:szCs w:val="28"/>
          <w:rtl w:val="true"/>
          <w:lang w:bidi="ar-SA"/>
        </w:rPr>
        <w:t>لتعيين الثاني ، لضعفه ، والمسامحة إنما هي في إثبات الأجر دون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صريح المعتبر والذكرى وظاهر المبسوط والنهاية وموضع من المنتهى </w:t>
      </w:r>
      <w:r>
        <w:rPr>
          <w:rStyle w:val="FootnoteAnchor"/>
          <w:rtl w:val="true"/>
        </w:rPr>
        <w:footnoteReference w:id="1705"/>
      </w:r>
      <w:r>
        <w:rPr>
          <w:rFonts w:ascii="Amiri" w:hAnsi="Amiri" w:eastAsia="Amiri" w:cs="Amiri"/>
          <w:color w:val="111111"/>
          <w:sz w:val="28"/>
          <w:sz w:val="28"/>
          <w:szCs w:val="28"/>
          <w:rtl w:val="true"/>
          <w:lang w:bidi="ar-SA"/>
        </w:rPr>
        <w:t xml:space="preserve">، فلا كراهة مطلقا ، للأمر به ، وإثبات الفضل له ، ونفي البأس عنه فيما تقدم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بعدم منافاة شي‌ء منها للمرجوحية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أرادوا نفي الكراهة المصطلحة فالأولان ينفيانها ، ولكن لا نقول بها ونطالب من ادّعاها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تمسّك بالنهي ، نجيب بأنه مجاز قطعا في أحد المعنيين ، وإثبات الفضل يعيّن ما ذكرنا ، فلو عيّن الآخر بنفي الأجر نردّه بما مرّ ، أو بكونه طريقة أهل الكتاب نردّه بعدم دلالته على الزائد بهما على المرجوحية الإضافية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مع تسليم تكافؤ المعيّنين يتكافأ المعنيان أيضا ، لعدم المرجّح ، وما ذكرناه ثابت إجماعا ، والآخر ساقط بالأصل وورود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وللمحكي عن الإسكافي </w:t>
      </w:r>
      <w:r>
        <w:rPr>
          <w:rStyle w:val="FootnoteAnchor"/>
          <w:rtl w:val="true"/>
        </w:rPr>
        <w:footnoteReference w:id="1707"/>
      </w:r>
      <w:r>
        <w:rPr>
          <w:rFonts w:ascii="Amiri" w:hAnsi="Amiri" w:eastAsia="Amiri" w:cs="Amiri"/>
          <w:color w:val="111111"/>
          <w:sz w:val="28"/>
          <w:sz w:val="28"/>
          <w:szCs w:val="28"/>
          <w:rtl w:val="true"/>
          <w:lang w:bidi="ar-SA"/>
        </w:rPr>
        <w:t xml:space="preserve">، فخصّ الكراهة بغير صاحب الجنازة ، وقال باستحباب مشيه بين يديها ، للأخبار المصرّحة بتقديم مولانا الصادق عليه السلام على سرير إسماعيل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بأنه غير مناف لأفضلية التأخّر ، مع أنه يحتمل التقية ، لأنّ أفضليته مذهب العامة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جنازة المؤمن ، وأمّا غيره فالحقّ في التقديم عليها الكراهة المصطلحة ، بل عن العماني فيه الحرمة </w:t>
      </w:r>
      <w:r>
        <w:rPr>
          <w:rStyle w:val="FootnoteAnchor"/>
          <w:rtl w:val="true"/>
        </w:rPr>
        <w:footnoteReference w:id="1710"/>
      </w:r>
      <w:r>
        <w:rPr>
          <w:rFonts w:ascii="Amiri" w:hAnsi="Amiri" w:eastAsia="Amiri" w:cs="Amiri"/>
          <w:color w:val="111111"/>
          <w:sz w:val="28"/>
          <w:sz w:val="28"/>
          <w:szCs w:val="28"/>
          <w:rtl w:val="true"/>
          <w:lang w:bidi="ar-SA"/>
        </w:rPr>
        <w:t xml:space="preserve">، للنهي عنه في المعتبرة </w:t>
      </w:r>
      <w:r>
        <w:rPr>
          <w:rStyle w:val="FootnoteAnchor"/>
          <w:rtl w:val="true"/>
        </w:rPr>
        <w:footnoteReference w:id="1711"/>
      </w:r>
      <w:r>
        <w:rPr>
          <w:rFonts w:ascii="Amiri" w:hAnsi="Amiri" w:eastAsia="Amiri" w:cs="Amiri"/>
          <w:color w:val="111111"/>
          <w:sz w:val="28"/>
          <w:sz w:val="28"/>
          <w:szCs w:val="28"/>
          <w:rtl w:val="true"/>
          <w:lang w:bidi="ar-SA"/>
        </w:rPr>
        <w:t>، وعدم دليل فيه على الراجحية المطلقة ، لاختصاص أكثر المرغّبات والأوامر صريحا ، والجميع ظاهرا بجنازة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استحباب التشييع لجنازة غيره أيضا ، إلاّ مع مصلحة داعية ، ومعها 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المشيّع حتى يدفن أو يأذن الولي ، إلاّ من ضرورة ، لمرفوعة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أميران وليسا بأميرين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لمن شيّع جنازة أن يرجع حتى يدفن أو يؤذن له </w:t>
      </w:r>
      <w:r>
        <w:rPr>
          <w:rFonts w:eastAsia="Amiri" w:cs="Amiri" w:ascii="Amiri" w:hAnsi="Amiri"/>
          <w:color w:val="111111"/>
          <w:sz w:val="28"/>
          <w:szCs w:val="28"/>
          <w:rtl w:val="true"/>
          <w:lang w:bidi="ar-SA"/>
        </w:rPr>
        <w:t xml:space="preserve">» </w:t>
      </w:r>
      <w:r>
        <w:rPr>
          <w:rStyle w:val="FootnoteAnchor"/>
          <w:rtl w:val="true"/>
        </w:rPr>
        <w:footnoteReference w:id="171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أذن له الولي في الانصراف لم يسقط استحباب إتمام التشييع ، للاستصحاب ، وحسنة زرارة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على الجنازة قال وليّها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مأجورا رحمك اللّه ، فإنك لا تقوى على المشي ، فأبى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بإذنه جئنا ولا بإذنه نرجع ، وإنما هو فضل وأجر طلبناه ، فبقدر ما يتبع الجنازة الرجل يؤجر على ذلك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المشيّع حتى يوضع الميت في لحده ، كما عن العماني </w:t>
      </w:r>
      <w:r>
        <w:rPr>
          <w:rStyle w:val="FootnoteAnchor"/>
          <w:rtl w:val="true"/>
        </w:rPr>
        <w:footnoteReference w:id="1714"/>
      </w:r>
      <w:r>
        <w:rPr>
          <w:rFonts w:ascii="Amiri" w:hAnsi="Amiri" w:eastAsia="Amiri" w:cs="Amiri"/>
          <w:color w:val="111111"/>
          <w:sz w:val="28"/>
          <w:sz w:val="28"/>
          <w:szCs w:val="28"/>
          <w:rtl w:val="true"/>
          <w:lang w:bidi="ar-SA"/>
        </w:rPr>
        <w:t xml:space="preserve">وابن حمزة ، والفاضلين ، والذكرى </w:t>
      </w:r>
      <w:r>
        <w:rPr>
          <w:rStyle w:val="FootnoteAnchor"/>
          <w:rtl w:val="true"/>
        </w:rPr>
        <w:footnoteReference w:id="1715"/>
      </w:r>
      <w:r>
        <w:rPr>
          <w:rFonts w:ascii="Amiri" w:hAnsi="Amiri" w:eastAsia="Amiri" w:cs="Amiri"/>
          <w:color w:val="111111"/>
          <w:sz w:val="28"/>
          <w:sz w:val="28"/>
          <w:szCs w:val="28"/>
          <w:rtl w:val="true"/>
          <w:lang w:bidi="ar-SA"/>
        </w:rPr>
        <w:t xml:space="preserve">، 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لمن شيّع أن لا يجلس حتى يوضع في لحده ، فإذا وضع في لحده فلا بأس </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بن علي مشى مع جنازة ، فلمّا انتهى إلى القبر وقف يتحدّث مع أبي هريرة وابن الزبير حتى وضعت الجنازة ، فلمّا وضعت جلس وجلسوا </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والإسكافي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الكراهة </w:t>
      </w:r>
      <w:r>
        <w:rPr>
          <w:rStyle w:val="FootnoteAnchor"/>
          <w:rtl w:val="true"/>
        </w:rPr>
        <w:footnoteReference w:id="1718"/>
      </w:r>
      <w:r>
        <w:rPr>
          <w:rFonts w:ascii="Amiri" w:hAnsi="Amiri" w:eastAsia="Amiri" w:cs="Amiri"/>
          <w:color w:val="111111"/>
          <w:sz w:val="28"/>
          <w:sz w:val="28"/>
          <w:szCs w:val="28"/>
          <w:rtl w:val="true"/>
          <w:lang w:bidi="ar-SA"/>
        </w:rPr>
        <w:t xml:space="preserve">، لحسنة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ما شاء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القبر تنحّى فجلس فلمّا ادخل الميت قام فحثا عليه التراب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إذا كان في جنازة لم يجلس حتى توضع في اللحد ، فقال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لنفعل ذلك ، فجلس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خالفوهم </w:t>
      </w:r>
      <w:r>
        <w:rPr>
          <w:rFonts w:eastAsia="IRNazanin" w:cs="IRNazanin"/>
          <w:color w:val="111111"/>
          <w:sz w:val="28"/>
          <w:szCs w:val="28"/>
          <w:rtl w:val="true"/>
          <w:lang w:bidi="fa-IR"/>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منافاته الكراهة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الثبوت ، ولو ثبت فمرجوح بالنسبة إلى ما ذكر بالضعف </w:t>
      </w:r>
    </w:p>
    <w:p>
      <w:pPr>
        <w:pStyle w:val="BookText"/>
        <w:rPr/>
      </w:pPr>
      <w:r>
        <w:rPr>
          <w:rFonts w:ascii="Amiri" w:hAnsi="Amiri" w:eastAsia="Amiri" w:cs="Amiri"/>
          <w:color w:val="111111"/>
          <w:sz w:val="28"/>
          <w:sz w:val="28"/>
          <w:szCs w:val="28"/>
          <w:rtl w:val="true"/>
          <w:lang w:bidi="ar-SA"/>
        </w:rPr>
        <w:t>والأقدمية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الكراهة بالمشيّع ، فلا يكره لمن لحق حين وضع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له ، لقول أمير المؤمنين عليه السلام في النهج حين تبع جنازة فسمع رجلا يضحك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الموت فيها على غيرنا كتب </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تنبيه الخاطر للورّام ،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ضحك على جنازة أهانه اللّه يوم القيامة على رؤوس الأشهاد ، ولا يستجاب دعاؤه </w:t>
      </w:r>
      <w:r>
        <w:rPr>
          <w:rFonts w:eastAsia="IRNazanin" w:cs="IRNazanin"/>
          <w:color w:val="111111"/>
          <w:sz w:val="28"/>
          <w:szCs w:val="28"/>
          <w:rtl w:val="true"/>
          <w:lang w:bidi="fa-IR"/>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النساء معها واتباعها ، كما عن الشيخ </w:t>
      </w:r>
      <w:r>
        <w:rPr>
          <w:rStyle w:val="FootnoteAnchor"/>
          <w:rtl w:val="true"/>
        </w:rPr>
        <w:footnoteReference w:id="1723"/>
      </w:r>
      <w:r>
        <w:rPr>
          <w:rFonts w:ascii="Amiri" w:hAnsi="Amiri" w:eastAsia="Amiri" w:cs="Amiri"/>
          <w:color w:val="111111"/>
          <w:sz w:val="28"/>
          <w:sz w:val="28"/>
          <w:szCs w:val="28"/>
          <w:rtl w:val="true"/>
          <w:lang w:bidi="ar-SA"/>
        </w:rPr>
        <w:t xml:space="preserve">، والفاضلين والشهيد </w:t>
      </w:r>
      <w:r>
        <w:rPr>
          <w:rStyle w:val="FootnoteAnchor"/>
          <w:rtl w:val="true"/>
        </w:rPr>
        <w:footnoteReference w:id="1724"/>
      </w:r>
      <w:r>
        <w:rPr>
          <w:rFonts w:ascii="Amiri" w:hAnsi="Amiri" w:eastAsia="Amiri" w:cs="Amiri"/>
          <w:color w:val="111111"/>
          <w:sz w:val="28"/>
          <w:sz w:val="28"/>
          <w:szCs w:val="28"/>
          <w:rtl w:val="true"/>
          <w:lang w:bidi="ar-SA"/>
        </w:rPr>
        <w:t xml:space="preserve">، لخبر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على جنازة معها امرأة </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والمرويين في المجالس مسندا ، والدعائم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خرج فرأى نساء قعودا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أقعدكنّ هاهنا؟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أفتحملن مع من يحمل؟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أتغسلن مع من يغسل؟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أفتدلين فيمن يدلي؟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فارجعن مأزورات غير مأجورات </w:t>
      </w:r>
      <w:r>
        <w:rPr>
          <w:rFonts w:eastAsia="IRNazanin" w:cs="IRNazanin"/>
          <w:color w:val="111111"/>
          <w:sz w:val="28"/>
          <w:szCs w:val="28"/>
          <w:rtl w:val="true"/>
          <w:lang w:bidi="fa-IR"/>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ونحوه روى السيد الحيدر في غرر الدرر مرسلا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 إنّ رسول اللّه صلی اللّه عليه وآله مشى مع جنازة ، فنظر إلى امرأة</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3" w:name="pg11616_94721"/>
    </w:p>
    <w:p>
      <w:pPr>
        <w:pStyle w:val="BookText"/>
        <w:rPr/>
      </w:pPr>
      <w:bookmarkEnd w:id="103"/>
      <w:r>
        <w:rPr>
          <w:rFonts w:ascii="Amiri" w:hAnsi="Amiri" w:eastAsia="Amiri" w:cs="Amiri"/>
          <w:color w:val="111111"/>
          <w:sz w:val="28"/>
          <w:sz w:val="28"/>
          <w:szCs w:val="28"/>
          <w:rtl w:val="true"/>
          <w:lang w:bidi="ar-SA"/>
        </w:rPr>
        <w:t xml:space="preserve">تتبعها ، فوقف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 ووقف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توارت بجدار المدينة يا رسول اللّه ، فمضى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تخصّص عمومات التشييع وتقيّد إطلاقاتها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الثالثة فلم يكرهه </w:t>
      </w:r>
      <w:r>
        <w:rPr>
          <w:rStyle w:val="FootnoteAnchor"/>
          <w:rtl w:val="true"/>
        </w:rPr>
        <w:footnoteReference w:id="1729"/>
      </w:r>
      <w:r>
        <w:rPr>
          <w:rFonts w:ascii="Amiri" w:hAnsi="Amiri" w:eastAsia="Amiri" w:cs="Amiri"/>
          <w:color w:val="111111"/>
          <w:sz w:val="28"/>
          <w:sz w:val="28"/>
          <w:szCs w:val="28"/>
          <w:rtl w:val="true"/>
          <w:lang w:bidi="ar-SA"/>
        </w:rPr>
        <w:t xml:space="preserve">، لما روي من خروج البتول على جنازة أختيها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عمّا ذكر بالحمل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منافاته للكراهة ، مع أنّ المذكور فيه صلاتها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التقية إنما يكون مع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ينبغي للمرأة الشابة أن تخرج إلى الجنازة وتصلّي عليها إلاّ أن تكون امرأة دخلت في السن </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خصوصيته تخصيص ما مرّ بالشابة ، إلاّ أنّ الظاهر عدم قائل بالفرق</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588127_73709187"/>
      <w:bookmarkStart w:id="105" w:name="_Toc41"/>
      <w:bookmarkEnd w:id="104"/>
      <w:r>
        <w:rPr>
          <w:rtl w:val="true"/>
        </w:rPr>
        <w:t xml:space="preserve">المقام الثاني </w:t>
      </w:r>
      <w:r>
        <w:rPr>
          <w:rtl w:val="true"/>
        </w:rPr>
        <w:t xml:space="preserve">: </w:t>
      </w:r>
      <w:r>
        <w:rPr>
          <w:rtl w:val="true"/>
        </w:rPr>
        <w:t>فيما يتعلّق بالمدفن</w:t>
      </w:r>
      <w:bookmarkEnd w:id="105"/>
    </w:p>
    <w:p>
      <w:pPr>
        <w:pStyle w:val="Heading5"/>
        <w:numPr>
          <w:ilvl w:val="4"/>
          <w:numId w:val="1"/>
        </w:numPr>
        <w:rPr/>
      </w:pPr>
      <w:bookmarkStart w:id="106" w:name="__RefHeading___Toc5588129_73709187"/>
      <w:bookmarkStart w:id="107" w:name="_Toc42"/>
      <w:bookmarkEnd w:id="106"/>
      <w:r>
        <w:rPr>
          <w:rtl w:val="true"/>
        </w:rPr>
        <w:t>اشارة</w:t>
      </w:r>
      <w:bookmarkEnd w:id="10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والواجب فيه أن يكون مع الإمكان حفيرة في الأرض ، فلا يجوز وضعه في بناء أو تابوت بدون ضرورة ، تأسّيا بالنبي صلی اللّه عليه وآله والأئمة الطاهرين ، واقتداء بالصحابة والتابعين ، وجريا على الطريقة المستمرة بين المسلمين ، وللأمر بالدفن كما في رواية العلل ، الآتية وغيرها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bookmarkStart w:id="108" w:name="pg11616_94722"/>
    </w:p>
    <w:p>
      <w:pPr>
        <w:pStyle w:val="BookText"/>
        <w:rPr/>
      </w:pPr>
      <w:bookmarkEnd w:id="108"/>
      <w:r>
        <w:rPr>
          <w:rFonts w:ascii="IRNazanin" w:hAnsi="IRNazanin" w:eastAsia="IRNazanin"/>
          <w:color w:val="111111"/>
          <w:sz w:val="28"/>
          <w:sz w:val="28"/>
          <w:szCs w:val="28"/>
          <w:rtl w:val="true"/>
          <w:lang w:bidi="fa-IR"/>
        </w:rPr>
        <w:t xml:space="preserve">والمتبادر منه المواراة في عمق الأرض ، وفي العاميّ المروي في المنتهى وغيره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احفروا وأوسعوا وعمّقوا </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تكون سعته بقدر يسع جثته نائمة على القبلة على الوجه الآتي ، لوجوبه المتوقّف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وعمقا على نحو يحرسها عن السباع غالبا ، ويكتم رائحته عن الانتشار ، بإجماع المسلمين ، ولأنّهما العلّة في شرع الدفن كما في 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بالدفن لئلاّ يظهر للناس فساد جسده وقبح منظره وتغيّر رائحته ، ولا يتأذّى الأحياء بريحه </w:t>
      </w:r>
      <w:r>
        <w:rPr>
          <w:rFonts w:eastAsia="Amiri" w:cs="Amiri" w:ascii="Amiri" w:hAnsi="Amiri"/>
          <w:color w:val="111111"/>
          <w:sz w:val="28"/>
          <w:szCs w:val="28"/>
          <w:rtl w:val="true"/>
          <w:lang w:bidi="ar-SA"/>
        </w:rPr>
        <w:t xml:space="preserve">» </w:t>
      </w:r>
      <w:r>
        <w:rPr>
          <w:rStyle w:val="FootnoteAnchor"/>
          <w:rtl w:val="true"/>
        </w:rPr>
        <w:footnoteReference w:id="173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والوصفان متلازمان غالبا ، ولو فرض الانفكاك بينهما وجب مراعاتهما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والسرداب من المحفورات ، فيجوز الدفن فيه وسدّ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الحفر أجزأ مواراته في البناء بما يحصّل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دفنه في الأرض بالتابوت إجماعا ، كما عن المبسوط والخلاف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أن تكون الأرض ممّا يجوز التصرّف فيها لذلك ، إمّا بكونها مباحة ، أو مرخّصا فيها من قبل المالك ، خالية من ميت آخر حيث يحرم النبش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الدفن في ملك الميت مع عدم رضا الوارث أو كونه صغيرا فيكون من المستثنيات كمؤن التجهيز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5588131_73709187"/>
      <w:bookmarkStart w:id="110" w:name="_Toc43"/>
      <w:bookmarkEnd w:id="109"/>
      <w:r>
        <w:rPr>
          <w:rtl w:val="true"/>
        </w:rPr>
        <w:t xml:space="preserve">ومستحباته </w:t>
      </w:r>
      <w:r>
        <w:rPr>
          <w:rtl w:val="true"/>
        </w:rPr>
        <w:t>:</w:t>
      </w:r>
      <w:bookmarkEnd w:id="11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حفر القبر إلى الترقوة أو قدر قامة معتدلة ، إجماعا ، كما في ظاهر </w:t>
      </w:r>
    </w:p>
    <w:p>
      <w:pPr>
        <w:pStyle w:val="BookText"/>
        <w:rPr/>
      </w:pPr>
      <w:r>
        <w:rPr>
          <w:rFonts w:ascii="Amiri" w:hAnsi="Amiri" w:eastAsia="Amiri" w:cs="Amiri"/>
          <w:color w:val="111111"/>
          <w:sz w:val="28"/>
          <w:sz w:val="28"/>
          <w:szCs w:val="28"/>
          <w:rtl w:val="true"/>
          <w:lang w:bidi="ar-SA"/>
        </w:rPr>
        <w:t xml:space="preserve">المدارك </w:t>
      </w:r>
      <w:r>
        <w:rPr>
          <w:rStyle w:val="FootnoteAnchor"/>
          <w:rtl w:val="true"/>
        </w:rPr>
        <w:footnoteReference w:id="1736"/>
      </w:r>
      <w:r>
        <w:rPr>
          <w:rFonts w:ascii="IRNazanin" w:hAnsi="IRNazanin" w:eastAsia="IRNazanin"/>
          <w:color w:val="111111"/>
          <w:sz w:val="28"/>
          <w:sz w:val="28"/>
          <w:szCs w:val="28"/>
          <w:rtl w:val="true"/>
          <w:lang w:bidi="fa-IR"/>
        </w:rPr>
        <w:t xml:space="preserve">، والقواعد </w:t>
      </w:r>
      <w:r>
        <w:rPr>
          <w:rStyle w:val="FootnoteAnchor"/>
          <w:rtl w:val="true"/>
        </w:rPr>
        <w:footnoteReference w:id="1737"/>
      </w:r>
      <w:r>
        <w:rPr>
          <w:rFonts w:ascii="Amiri" w:hAnsi="Amiri" w:eastAsia="Amiri" w:cs="Amiri"/>
          <w:color w:val="111111"/>
          <w:sz w:val="28"/>
          <w:sz w:val="28"/>
          <w:szCs w:val="28"/>
          <w:rtl w:val="true"/>
          <w:lang w:bidi="ar-SA"/>
        </w:rPr>
        <w:t xml:space="preserve">، وعن الخلاف والغنية والتذكرة </w:t>
      </w:r>
      <w:r>
        <w:rPr>
          <w:rStyle w:val="FootnoteAnchor"/>
          <w:rtl w:val="true"/>
        </w:rPr>
        <w:footnoteReference w:id="1738"/>
      </w:r>
      <w:r>
        <w:rPr>
          <w:rFonts w:ascii="Amiri" w:hAnsi="Amiri" w:eastAsia="Amiri" w:cs="Amiri"/>
          <w:color w:val="111111"/>
          <w:sz w:val="28"/>
          <w:sz w:val="28"/>
          <w:szCs w:val="28"/>
          <w:rtl w:val="true"/>
          <w:lang w:bidi="ar-SA"/>
        </w:rPr>
        <w:t>، وهو الحجة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القبر إلى الترقوة </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إلى مرسلة ابن أبي عمير ، عن بعض أصحابه ، عن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القبر إلى الترقوة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الثدي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الرجل حتى يمد الثوب على رأس من في القبر </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أنّ حد القبر إلى الترقوة </w:t>
      </w:r>
      <w:r>
        <w:rPr>
          <w:rFonts w:eastAsia="Amiri" w:cs="Amiri" w:ascii="Amiri" w:hAnsi="Amiri"/>
          <w:color w:val="111111"/>
          <w:sz w:val="28"/>
          <w:szCs w:val="28"/>
          <w:rtl w:val="true"/>
          <w:lang w:bidi="ar-SA"/>
        </w:rPr>
        <w:t xml:space="preserve">» </w:t>
      </w:r>
      <w:r>
        <w:rPr>
          <w:rStyle w:val="FootnoteAnchor"/>
          <w:rtl w:val="true"/>
        </w:rPr>
        <w:footnoteReference w:id="1741"/>
      </w:r>
      <w:r>
        <w:rPr>
          <w:rFonts w:ascii="IRNazanin" w:hAnsi="IRNazanin" w:eastAsia="IRNazanin"/>
          <w:color w:val="111111"/>
          <w:sz w:val="28"/>
          <w:sz w:val="28"/>
          <w:szCs w:val="28"/>
          <w:rtl w:val="true"/>
          <w:lang w:bidi="fa-IR"/>
        </w:rPr>
        <w:t>إلى آخر 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والقدح في الاستدلال للقامة بهما بعدم معلومية القائل </w:t>
      </w:r>
      <w:r>
        <w:rPr>
          <w:rStyle w:val="FootnoteAnchor"/>
          <w:rtl w:val="true"/>
        </w:rPr>
        <w:footnoteReference w:id="1742"/>
      </w:r>
      <w:r>
        <w:rPr>
          <w:rFonts w:ascii="Amiri" w:hAnsi="Amiri" w:eastAsia="Amiri" w:cs="Amiri"/>
          <w:color w:val="111111"/>
          <w:sz w:val="28"/>
          <w:sz w:val="28"/>
          <w:szCs w:val="28"/>
          <w:rtl w:val="true"/>
          <w:lang w:bidi="ar-SA"/>
        </w:rPr>
        <w:t xml:space="preserve">غير جيّد ، إذ الظاهر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روى عن بعض أصحابه عن الصادق عليه السلام أنه إلى الترقوة ، وعن بعض آخر عنه أنه إلى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مرسل آخر ، ومثل ذلك شائع في المجاورات مع تعدّد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ذلك القدح في المرسلة الأولى ،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كذا ، وقال بعضهم كذا ، وأمّا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الأخريين </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فلا ، ولو سلّم الاحتمال الضعيف فهو لا يضرّ في مقام المسامحة سيما مع الانضمام بالإجماعات المنقولة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لذلك مع ضميمة عدم القائل لم يلتفتوا إلى التقدير بالثدي ، أو لإجماله لترديده بين الثاء المثلثة ، والنون ليكون المراد الرشح ، فلا يصلح دليلا </w:t>
      </w:r>
    </w:p>
    <w:p>
      <w:pPr>
        <w:pStyle w:val="BookText"/>
        <w:rPr/>
      </w:pPr>
      <w:r>
        <w:rPr>
          <w:rFonts w:ascii="Amiri" w:hAnsi="Amiri" w:eastAsia="Amiri" w:cs="Amiri"/>
          <w:color w:val="111111"/>
          <w:sz w:val="28"/>
          <w:sz w:val="28"/>
          <w:szCs w:val="28"/>
          <w:rtl w:val="true"/>
          <w:lang w:bidi="ar-SA"/>
        </w:rPr>
        <w:t>لشي‌ء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يصلح آخر المرسلة الأخيرة من قول السجاد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احفروا لي حتى يبلغ الرشح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للأخير ، لجواز كون أرض البقيع بحيث يصل إلى الندى قبل الترقوة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بما مرّ من دليل القامة يخصّص عموم خبر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نهي النبي صلی اللّه عليه وآله أن يعمق القبر فوق ثلاثة أذرع </w:t>
      </w:r>
      <w:r>
        <w:rPr>
          <w:rFonts w:eastAsia="IRNazanin" w:cs="IRNazanin"/>
          <w:color w:val="111111"/>
          <w:sz w:val="28"/>
          <w:szCs w:val="28"/>
          <w:rtl w:val="true"/>
          <w:lang w:bidi="fa-IR"/>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حيث إنّها أقلّ منها ، مع احتمال اختصاص النهي ببلده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لحد له ، بالإجماع كما عن الكتب الثلاثة الأخيرة </w:t>
      </w:r>
      <w:r>
        <w:rPr>
          <w:rStyle w:val="FootnoteAnchor"/>
          <w:rtl w:val="true"/>
        </w:rPr>
        <w:footnoteReference w:id="1745"/>
      </w:r>
      <w:r>
        <w:rPr>
          <w:rFonts w:ascii="IRNazanin" w:hAnsi="IRNazanin" w:eastAsia="IRNazanin"/>
          <w:color w:val="111111"/>
          <w:sz w:val="28"/>
          <w:sz w:val="28"/>
          <w:szCs w:val="28"/>
          <w:rtl w:val="true"/>
          <w:lang w:bidi="fa-IR"/>
        </w:rPr>
        <w:t xml:space="preserve">، له ، وللتلحيد لرسول اللّه صلی اللّه عليه وآله ولسعد بن معاذ بحضوره كما في العلل </w:t>
      </w:r>
      <w:r>
        <w:rPr>
          <w:rStyle w:val="FootnoteAnchor"/>
          <w:rtl w:val="true"/>
        </w:rPr>
        <w:footnoteReference w:id="1746"/>
      </w:r>
      <w:r>
        <w:rPr>
          <w:rFonts w:ascii="Amiri" w:hAnsi="Amiri" w:eastAsia="Amiri" w:cs="Amiri"/>
          <w:color w:val="111111"/>
          <w:sz w:val="28"/>
          <w:sz w:val="28"/>
          <w:szCs w:val="28"/>
          <w:rtl w:val="true"/>
          <w:lang w:bidi="ar-SA"/>
        </w:rPr>
        <w:t xml:space="preserve">، ولتوقّف الوضع في اللحد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ضعه في لحده </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xml:space="preserve">ونحوه في الرضوي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وما يتوقّف عليه المستحب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يحفر بعد البلوغ إلى أرض القبر في حائطه ممّا يلي القبلة حفيرة ، بالإجماع ، له ، وللمروي ظاهرا في الدعائم عن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اللحد هو أن يشق للميت في القبر مكانه الذي يضجع فيه مما يلي القبلة مع حائط القبر ، والضريح أن يشق له وسط القبر </w:t>
      </w:r>
      <w:r>
        <w:rPr>
          <w:rFonts w:eastAsia="Amiri" w:cs="Amiri" w:ascii="Amiri" w:hAnsi="Amiri"/>
          <w:color w:val="111111"/>
          <w:sz w:val="28"/>
          <w:szCs w:val="28"/>
          <w:rtl w:val="true"/>
          <w:lang w:bidi="ar-SA"/>
        </w:rPr>
        <w:t xml:space="preserve">» </w:t>
      </w:r>
      <w:r>
        <w:rPr>
          <w:rStyle w:val="FootnoteAnchor"/>
          <w:rtl w:val="true"/>
        </w:rPr>
        <w:footnoteReference w:id="174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يسع الميت طولا وعرضا ، لأنها معدّة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ويتمكّن الجالس من الجلوس فيه عمقا إجماعا ، لمرسلة ابن أبي عمير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اللحد فبقدر ما يمكن فيه </w:t>
      </w:r>
    </w:p>
    <w:p>
      <w:pPr>
        <w:pStyle w:val="BookText"/>
        <w:rPr/>
      </w:pPr>
      <w:r>
        <w:rPr>
          <w:rFonts w:ascii="IRNazanin" w:hAnsi="IRNazanin" w:eastAsia="IRNazanin"/>
          <w:color w:val="111111"/>
          <w:sz w:val="28"/>
          <w:sz w:val="28"/>
          <w:szCs w:val="28"/>
          <w:rtl w:val="true"/>
          <w:lang w:bidi="fa-IR"/>
        </w:rPr>
        <w:t xml:space="preserve">الجلوس </w:t>
      </w:r>
      <w:r>
        <w:rPr>
          <w:rFonts w:eastAsia="IRNazanin" w:cs="IRNazanin"/>
          <w:color w:val="111111"/>
          <w:sz w:val="28"/>
          <w:szCs w:val="28"/>
          <w:rtl w:val="true"/>
          <w:lang w:bidi="fa-IR"/>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واللحد أفضل من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الضريح ، وهو أن يحفر في أرض القبر شقا يوضع فيه الميت ويسقف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وفي المنتهى أنه قول العلماء </w:t>
      </w:r>
      <w:r>
        <w:rPr>
          <w:rStyle w:val="FootnoteAnchor"/>
          <w:rtl w:val="true"/>
        </w:rPr>
        <w:footnoteReference w:id="1751"/>
      </w:r>
      <w:r>
        <w:rPr>
          <w:rFonts w:ascii="Amiri" w:hAnsi="Amiri" w:eastAsia="Amiri" w:cs="Amiri"/>
          <w:color w:val="111111"/>
          <w:sz w:val="28"/>
          <w:sz w:val="28"/>
          <w:szCs w:val="28"/>
          <w:rtl w:val="true"/>
          <w:lang w:bidi="ar-SA"/>
        </w:rPr>
        <w:t>،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ما دلّ على أمر مولانا الباقر عليه السلام بالشق له ، لاحتمال الاختصاص به ، لكونه جسيما وكون أرض البقيع رخوة ، فلا يحتمل الحفيرة الواسعة فينهدم ، صرّح بذلك في خبر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وشققنا له الأرض شقّا لأنه كان بادنا </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ضرّح لأبيه عليه السلام ، احتاج إلى ذلك لأنه كان جسيما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ينافيه أمر مولانا الرضا عليه السلام أيضا بالتضريح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أبوا إلاّ أن يلحّدوا فتأمرهم أن يجعلوا اللحد ذراعين وشبرا ، فإنّ اللّه سيوسّعه ما شاء </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لما ذكر ، كما يرشد إليه ذيله ، أو لمانع آخر من التلحيد الوسيع فيه من مدفون ونحوه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تظهر أفضلية الشق في صورة المانع كما صرّح به جماعة </w:t>
      </w:r>
      <w:r>
        <w:rPr>
          <w:rStyle w:val="FootnoteAnchor"/>
          <w:rtl w:val="true"/>
        </w:rPr>
        <w:footnoteReference w:id="1755"/>
      </w:r>
      <w:r>
        <w:rPr>
          <w:rFonts w:ascii="Amiri" w:hAnsi="Amiri" w:eastAsia="Amiri" w:cs="Amiri"/>
          <w:color w:val="111111"/>
          <w:sz w:val="28"/>
          <w:sz w:val="28"/>
          <w:szCs w:val="28"/>
          <w:rtl w:val="true"/>
          <w:lang w:bidi="ar-SA"/>
        </w:rPr>
        <w:t xml:space="preserve">، وعن الإسكافي </w:t>
      </w:r>
      <w:r>
        <w:rPr>
          <w:rStyle w:val="FootnoteAnchor"/>
          <w:rtl w:val="true"/>
        </w:rPr>
        <w:footnoteReference w:id="1756"/>
      </w:r>
      <w:r>
        <w:rPr>
          <w:rFonts w:ascii="IRNazanin" w:hAnsi="IRNazanin" w:eastAsia="IRNazanin"/>
          <w:color w:val="111111"/>
          <w:sz w:val="28"/>
          <w:sz w:val="28"/>
          <w:szCs w:val="28"/>
          <w:rtl w:val="true"/>
          <w:lang w:bidi="fa-IR"/>
        </w:rPr>
        <w:t xml:space="preserve">والمعتبر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يعمل حينئذ شبه اللحد من بناء في قبلته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وتشريج </w:t>
      </w:r>
      <w:r>
        <w:rPr>
          <w:rStyle w:val="FootnoteAnchor"/>
          <w:rtl w:val="true"/>
        </w:rPr>
        <w:footnoteReference w:id="1758"/>
      </w:r>
      <w:r>
        <w:rPr>
          <w:rFonts w:ascii="Amiri" w:hAnsi="Amiri" w:eastAsia="Amiri" w:cs="Amiri"/>
          <w:color w:val="111111"/>
          <w:sz w:val="28"/>
          <w:sz w:val="28"/>
          <w:szCs w:val="28"/>
          <w:rtl w:val="true"/>
          <w:lang w:bidi="ar-SA"/>
        </w:rPr>
        <w:t xml:space="preserve">اللحد وتنضيده بعد وضع الميت فيه ، باللبن والطين ، على وجه يمنع دخول التراب فيه ، بالإجماع كما في المدارك </w:t>
      </w:r>
      <w:r>
        <w:rPr>
          <w:rStyle w:val="FootnoteAnchor"/>
          <w:rtl w:val="true"/>
        </w:rPr>
        <w:footnoteReference w:id="1759"/>
      </w:r>
      <w:r>
        <w:rPr>
          <w:rFonts w:ascii="Amiri" w:hAnsi="Amiri" w:eastAsia="Amiri" w:cs="Amiri"/>
          <w:color w:val="111111"/>
          <w:sz w:val="28"/>
          <w:sz w:val="28"/>
          <w:szCs w:val="28"/>
          <w:rtl w:val="true"/>
          <w:lang w:bidi="ar-SA"/>
        </w:rPr>
        <w:t xml:space="preserve">واللوامع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خلافا </w:t>
      </w:r>
      <w:r>
        <w:rPr>
          <w:rStyle w:val="FootnoteAnchor"/>
          <w:rtl w:val="true"/>
        </w:rPr>
        <w:footnoteReference w:id="1760"/>
      </w:r>
      <w:r>
        <w:rPr>
          <w:rFonts w:ascii="IRNazanin" w:hAnsi="IRNazanin" w:eastAsia="IRNazanin"/>
          <w:color w:val="111111"/>
          <w:sz w:val="28"/>
          <w:sz w:val="28"/>
          <w:szCs w:val="28"/>
          <w:rtl w:val="true"/>
          <w:lang w:bidi="fa-IR"/>
        </w:rPr>
        <w:t xml:space="preserve">، وهو الحجة فيه ، مضافا إلى المستفيضة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ابن تغلب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عليّ على قبر رسول اللّه صلی اللّه عليه وآله لبنا </w:t>
      </w:r>
      <w:r>
        <w:rPr>
          <w:rFonts w:eastAsia="IRNazanin" w:cs="IRNazanin"/>
          <w:color w:val="111111"/>
          <w:sz w:val="28"/>
          <w:szCs w:val="28"/>
          <w:rtl w:val="true"/>
          <w:lang w:bidi="fa-IR"/>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تضع الطين واللبن </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المروي في دعوات الراوندي </w:t>
      </w:r>
      <w:r>
        <w:rPr>
          <w:rStyle w:val="FootnoteAnchor"/>
          <w:rtl w:val="true"/>
        </w:rPr>
        <w:footnoteReference w:id="1763"/>
      </w:r>
      <w:r>
        <w:rPr>
          <w:rFonts w:ascii="Amiri" w:hAnsi="Amiri" w:eastAsia="Amiri" w:cs="Amiri"/>
          <w:color w:val="111111"/>
          <w:sz w:val="28"/>
          <w:sz w:val="28"/>
          <w:szCs w:val="28"/>
          <w:rtl w:val="true"/>
          <w:lang w:bidi="ar-SA"/>
        </w:rPr>
        <w:t xml:space="preserve">والمعتبرة </w:t>
      </w:r>
      <w:r>
        <w:rPr>
          <w:rStyle w:val="FootnoteAnchor"/>
          <w:rtl w:val="true"/>
        </w:rPr>
        <w:footnoteReference w:id="1764"/>
      </w:r>
      <w:r>
        <w:rPr>
          <w:rFonts w:ascii="Amiri" w:hAnsi="Amiri" w:eastAsia="Amiri" w:cs="Amiri"/>
          <w:color w:val="111111"/>
          <w:sz w:val="28"/>
          <w:sz w:val="28"/>
          <w:szCs w:val="28"/>
          <w:rtl w:val="true"/>
          <w:lang w:bidi="ar-SA"/>
        </w:rPr>
        <w:t xml:space="preserve">المشعرة بالمداومة عليه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ويقوم مقام اللبن ما يساويه في المنع من تعدي التراب إليه ، كالحجر والقصب والخشب ، كما عن الغنية والمنتهى والمهذب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المروي في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رسول اللّه صلی اللّه عليه وآله قبر سعد بن معاذ ، ولحّده ، وسوىّ عليه اللبن ،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حجرا ناولني ترابا رطبا ، يسدّ به ما بين اللبن </w:t>
      </w:r>
      <w:r>
        <w:rPr>
          <w:rFonts w:eastAsia="IRNazanin" w:cs="IRNazanin"/>
          <w:color w:val="111111"/>
          <w:sz w:val="28"/>
          <w:szCs w:val="28"/>
          <w:rtl w:val="true"/>
          <w:lang w:bidi="fa-IR"/>
        </w:rPr>
        <w:t xml:space="preserve">» </w:t>
      </w:r>
      <w:r>
        <w:rPr>
          <w:rStyle w:val="FootnoteAnchor"/>
          <w:rtl w:val="true"/>
        </w:rPr>
        <w:footnoteReference w:id="176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يستفاد منه إطلاق اللبن على ما يعمّ الحجر ، لجواز أن يكون الحجر لسدّ </w:t>
      </w:r>
    </w:p>
    <w:p>
      <w:pPr>
        <w:pStyle w:val="BookText"/>
        <w:rPr/>
      </w:pPr>
      <w:r>
        <w:rPr>
          <w:rFonts w:ascii="IRNazanin" w:hAnsi="IRNazanin" w:eastAsia="IRNazanin"/>
          <w:color w:val="111111"/>
          <w:sz w:val="28"/>
          <w:sz w:val="28"/>
          <w:szCs w:val="28"/>
          <w:rtl w:val="true"/>
          <w:lang w:bidi="fa-IR"/>
        </w:rPr>
        <w:t>الخلل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ويبتدئ في التشريج من جانب الرأس ، للمحكي عن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عمل العارفين من الطائفة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وتسطيح القبر بعد طمّه ، إجماعا منّا كما في شرح القواعد </w:t>
      </w:r>
      <w:r>
        <w:rPr>
          <w:rStyle w:val="FootnoteAnchor"/>
          <w:rtl w:val="true"/>
        </w:rPr>
        <w:footnoteReference w:id="1769"/>
      </w:r>
      <w:r>
        <w:rPr>
          <w:rFonts w:ascii="Amiri" w:hAnsi="Amiri" w:eastAsia="Amiri" w:cs="Amiri"/>
          <w:color w:val="111111"/>
          <w:sz w:val="28"/>
          <w:sz w:val="28"/>
          <w:szCs w:val="28"/>
          <w:rtl w:val="true"/>
          <w:lang w:bidi="ar-SA"/>
        </w:rPr>
        <w:t xml:space="preserve">، وصرّح به جماعة ،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قول علمائنا أجمع </w:t>
      </w:r>
      <w:r>
        <w:rPr>
          <w:rStyle w:val="FootnoteAnchor"/>
          <w:rtl w:val="true"/>
        </w:rPr>
        <w:footnoteReference w:id="1770"/>
      </w:r>
      <w:r>
        <w:rPr>
          <w:rFonts w:ascii="Amiri" w:hAnsi="Amiri" w:eastAsia="Amiri" w:cs="Amiri"/>
          <w:color w:val="111111"/>
          <w:sz w:val="28"/>
          <w:sz w:val="28"/>
          <w:szCs w:val="28"/>
          <w:rtl w:val="true"/>
          <w:lang w:bidi="ar-SA"/>
        </w:rPr>
        <w:t>، له ، ولاستحباب التربيع المستلزم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والسنّة أنّ القبر يرفع أربع أصابع مفرّجة من الأرض ، وإن كان أكثر فلا بأس ، ويكون مسطّحا ، ولا يكون مسنّما </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قبرا إلاّ سوّيته </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قبرا مشرفا إلاّ سوّيته </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والتسوية هو التسطيح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 القاسم بن محمد كما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 النبي والقبرين عنده مسطّحة لا مشرفة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وتربيعه ، بالإجماع كما في المدارك </w:t>
      </w:r>
      <w:r>
        <w:rPr>
          <w:rStyle w:val="FootnoteAnchor"/>
          <w:rtl w:val="true"/>
        </w:rPr>
        <w:footnoteReference w:id="1775"/>
      </w:r>
      <w:r>
        <w:rPr>
          <w:rFonts w:ascii="Amiri" w:hAnsi="Amiri" w:eastAsia="Amiri" w:cs="Amiri"/>
          <w:color w:val="111111"/>
          <w:sz w:val="28"/>
          <w:sz w:val="28"/>
          <w:szCs w:val="28"/>
          <w:rtl w:val="true"/>
          <w:lang w:bidi="ar-SA"/>
        </w:rPr>
        <w:t xml:space="preserve">، واللوامع ، للرضوي المتقدّم ، وخبر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تربّع قبره </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الخصال ، والعلل ، والدعائم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القبور تربّع ولا تسنّم </w:t>
      </w:r>
      <w:r>
        <w:rPr>
          <w:rFonts w:eastAsia="IRNazanin" w:cs="IRNazanin"/>
          <w:color w:val="111111"/>
          <w:sz w:val="28"/>
          <w:szCs w:val="28"/>
          <w:rtl w:val="true"/>
          <w:lang w:bidi="fa-IR"/>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يربّع القبر؟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لعلّة البيت لأنه نزل مربّعا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عليه السلام لمّا دفن رسول اللّه صلی اللّه عليه وآله ربّع قبره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ورفعه أربع أصابع باتّفاق الأصحاب ، كما عن المعتبر </w:t>
      </w:r>
      <w:r>
        <w:rPr>
          <w:rStyle w:val="FootnoteAnchor"/>
          <w:rtl w:val="true"/>
        </w:rPr>
        <w:footnoteReference w:id="1780"/>
      </w:r>
      <w:r>
        <w:rPr>
          <w:rFonts w:ascii="Amiri" w:hAnsi="Amiri" w:eastAsia="Amiri" w:cs="Amiri"/>
          <w:color w:val="111111"/>
          <w:sz w:val="28"/>
          <w:sz w:val="28"/>
          <w:szCs w:val="28"/>
          <w:rtl w:val="true"/>
          <w:lang w:bidi="ar-SA"/>
        </w:rPr>
        <w:t xml:space="preserve">، بل العلماء كما في المنتهى </w:t>
      </w:r>
      <w:r>
        <w:rPr>
          <w:rStyle w:val="FootnoteAnchor"/>
          <w:rtl w:val="true"/>
        </w:rPr>
        <w:footnoteReference w:id="1781"/>
      </w:r>
      <w:r>
        <w:rPr>
          <w:rFonts w:ascii="Amiri" w:hAnsi="Amiri" w:eastAsia="Amiri" w:cs="Amiri"/>
          <w:color w:val="111111"/>
          <w:sz w:val="28"/>
          <w:sz w:val="28"/>
          <w:szCs w:val="28"/>
          <w:rtl w:val="true"/>
          <w:lang w:bidi="ar-SA"/>
        </w:rPr>
        <w:t xml:space="preserve">، بل بالإجماع كما في المدارك </w:t>
      </w:r>
      <w:r>
        <w:rPr>
          <w:rStyle w:val="FootnoteAnchor"/>
          <w:rtl w:val="true"/>
        </w:rPr>
        <w:footnoteReference w:id="1782"/>
      </w:r>
      <w:r>
        <w:rPr>
          <w:rFonts w:ascii="Amiri" w:hAnsi="Amiri" w:eastAsia="Amiri" w:cs="Amiri"/>
          <w:color w:val="111111"/>
          <w:sz w:val="28"/>
          <w:sz w:val="28"/>
          <w:szCs w:val="28"/>
          <w:rtl w:val="true"/>
          <w:lang w:bidi="ar-SA"/>
        </w:rPr>
        <w:t xml:space="preserve">، لخبري محمد وعقبة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القبر فوق الأرض أربع أصابع </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وارفع قبري من الأرض أربع أصابع </w:t>
      </w:r>
      <w:r>
        <w:rPr>
          <w:rFonts w:eastAsia="IRNazanin" w:cs="IRNazanin"/>
          <w:color w:val="111111"/>
          <w:sz w:val="28"/>
          <w:szCs w:val="28"/>
          <w:rtl w:val="true"/>
          <w:lang w:bidi="fa-IR"/>
        </w:rPr>
        <w:t xml:space="preserve">» </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مفرّجات أو مضمومات مخيّرا بينهما ، كما في المنتهى ، وشرح القواعد ، وعن الذكرى </w:t>
      </w:r>
      <w:r>
        <w:rPr>
          <w:rStyle w:val="FootnoteAnchor"/>
          <w:rtl w:val="true"/>
        </w:rPr>
        <w:footnoteReference w:id="1785"/>
      </w:r>
      <w:r>
        <w:rPr>
          <w:rFonts w:ascii="Amiri" w:hAnsi="Amiri" w:eastAsia="Amiri" w:cs="Amiri"/>
          <w:color w:val="111111"/>
          <w:sz w:val="28"/>
          <w:sz w:val="28"/>
          <w:szCs w:val="28"/>
          <w:rtl w:val="true"/>
          <w:lang w:bidi="ar-SA"/>
        </w:rPr>
        <w:t xml:space="preserve">، ويحتمله كلام من أطلق ، كما في الشرائع ، والقواعد ، وعن التحرير والإرشاد </w:t>
      </w:r>
      <w:r>
        <w:rPr>
          <w:rStyle w:val="FootnoteAnchor"/>
          <w:rtl w:val="true"/>
        </w:rPr>
        <w:footnoteReference w:id="1786"/>
      </w:r>
      <w:r>
        <w:rPr>
          <w:rFonts w:ascii="Amiri" w:hAnsi="Amiri" w:eastAsia="Amiri" w:cs="Amiri"/>
          <w:color w:val="111111"/>
          <w:sz w:val="28"/>
          <w:sz w:val="28"/>
          <w:szCs w:val="28"/>
          <w:rtl w:val="true"/>
          <w:lang w:bidi="ar-SA"/>
        </w:rPr>
        <w:t xml:space="preserve">، بل حكي عن الأكثر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لورود الاولى في الرضوي المتقدم وخبر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وتلزق القبر بالأرض إلاّ قدر أربع أصابع مفرّجات </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وحسنة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وارفع قبري أربع أصابع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مفرّجات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ويرفع قبره من الأرض أربع أصابع مضمومة </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المفيد والديلمي والاقتصاد </w:t>
      </w:r>
      <w:r>
        <w:rPr>
          <w:rStyle w:val="FootnoteAnchor"/>
          <w:rtl w:val="true"/>
        </w:rPr>
        <w:footnoteReference w:id="1791"/>
      </w:r>
      <w:r>
        <w:rPr>
          <w:rFonts w:ascii="Amiri" w:hAnsi="Amiri" w:eastAsia="Amiri" w:cs="Amiri"/>
          <w:color w:val="111111"/>
          <w:sz w:val="28"/>
          <w:sz w:val="28"/>
          <w:szCs w:val="28"/>
          <w:rtl w:val="true"/>
          <w:lang w:bidi="ar-SA"/>
        </w:rPr>
        <w:t xml:space="preserve">، والحلبيين </w:t>
      </w:r>
      <w:r>
        <w:rPr>
          <w:rStyle w:val="FootnoteAnchor"/>
          <w:rtl w:val="true"/>
        </w:rPr>
        <w:footnoteReference w:id="1792"/>
      </w:r>
      <w:r>
        <w:rPr>
          <w:rFonts w:ascii="Amiri" w:hAnsi="Amiri" w:eastAsia="Amiri" w:cs="Amiri"/>
          <w:color w:val="111111"/>
          <w:sz w:val="28"/>
          <w:sz w:val="28"/>
          <w:szCs w:val="28"/>
          <w:rtl w:val="true"/>
          <w:lang w:bidi="ar-SA"/>
        </w:rPr>
        <w:t xml:space="preserve">، وابني حمزة وإدريس </w:t>
      </w:r>
      <w:r>
        <w:rPr>
          <w:rStyle w:val="FootnoteAnchor"/>
          <w:rtl w:val="true"/>
        </w:rPr>
        <w:footnoteReference w:id="1793"/>
      </w:r>
      <w:r>
        <w:rPr>
          <w:rFonts w:ascii="Amiri" w:hAnsi="Amiri" w:eastAsia="Amiri" w:cs="Amiri"/>
          <w:color w:val="111111"/>
          <w:sz w:val="28"/>
          <w:sz w:val="28"/>
          <w:szCs w:val="28"/>
          <w:rtl w:val="true"/>
          <w:lang w:bidi="ar-SA"/>
        </w:rPr>
        <w:t xml:space="preserve">، والنافع والتذكرة ونهاية الإحكام </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الاولى ، بل نسب إلى الأشهر </w:t>
      </w:r>
      <w:r>
        <w:rPr>
          <w:rStyle w:val="FootnoteAnchor"/>
          <w:rtl w:val="true"/>
        </w:rPr>
        <w:footnoteReference w:id="1795"/>
      </w:r>
      <w:r>
        <w:rPr>
          <w:rFonts w:ascii="Amiri" w:hAnsi="Amiri" w:eastAsia="Amiri" w:cs="Amiri"/>
          <w:color w:val="111111"/>
          <w:sz w:val="28"/>
          <w:sz w:val="28"/>
          <w:szCs w:val="28"/>
          <w:rtl w:val="true"/>
          <w:lang w:bidi="ar-SA"/>
        </w:rPr>
        <w:t xml:space="preserve">، والعماني على الثانية </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يردّ برواية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يستحب الرفع زائدا ولو كان شبرا ، بل يكره ، لدعوى الإجماع في المنتهى على كراهة الزائد عن الأربع </w:t>
      </w:r>
      <w:r>
        <w:rPr>
          <w:rStyle w:val="FootnoteAnchor"/>
          <w:rtl w:val="true"/>
        </w:rPr>
        <w:footnoteReference w:id="1797"/>
      </w:r>
      <w:r>
        <w:rPr>
          <w:rFonts w:ascii="Amiri" w:hAnsi="Amiri" w:eastAsia="Amiri" w:cs="Amiri"/>
          <w:color w:val="111111"/>
          <w:sz w:val="28"/>
          <w:sz w:val="28"/>
          <w:szCs w:val="28"/>
          <w:rtl w:val="true"/>
          <w:lang w:bidi="ar-SA"/>
        </w:rPr>
        <w:t xml:space="preserve">، والمروي في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ترفعوا قبري أكثر من أربع أصابع مفرّجات </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ابن زهرة ، فخيّر بين الشبر وبين الاولى </w:t>
      </w:r>
      <w:r>
        <w:rPr>
          <w:rStyle w:val="FootnoteAnchor"/>
          <w:rtl w:val="true"/>
        </w:rPr>
        <w:footnoteReference w:id="1799"/>
      </w:r>
      <w:r>
        <w:rPr>
          <w:rFonts w:ascii="Amiri" w:hAnsi="Amiri" w:eastAsia="Amiri" w:cs="Amiri"/>
          <w:color w:val="111111"/>
          <w:sz w:val="28"/>
          <w:sz w:val="28"/>
          <w:szCs w:val="28"/>
          <w:rtl w:val="true"/>
          <w:lang w:bidi="ar-SA"/>
        </w:rPr>
        <w:t xml:space="preserve">، وعن القاضي فبينه وبين الثانية </w:t>
      </w:r>
      <w:r>
        <w:rPr>
          <w:rStyle w:val="FootnoteAnchor"/>
          <w:rtl w:val="true"/>
        </w:rPr>
        <w:footnoteReference w:id="1800"/>
      </w:r>
      <w:r>
        <w:rPr>
          <w:rFonts w:ascii="Amiri" w:hAnsi="Amiri" w:eastAsia="Amiri" w:cs="Amiri"/>
          <w:color w:val="111111"/>
          <w:sz w:val="28"/>
          <w:sz w:val="28"/>
          <w:szCs w:val="28"/>
          <w:rtl w:val="true"/>
          <w:lang w:bidi="ar-SA"/>
        </w:rPr>
        <w:t xml:space="preserve">، وعن بعض آخر فبين الثلاثة </w:t>
      </w:r>
      <w:r>
        <w:rPr>
          <w:rStyle w:val="FootnoteAnchor"/>
          <w:rtl w:val="true"/>
        </w:rPr>
        <w:footnoteReference w:id="1801"/>
      </w:r>
      <w:r>
        <w:rPr>
          <w:rFonts w:ascii="IRNazanin" w:hAnsi="IRNazanin" w:eastAsia="IRNazanin"/>
          <w:color w:val="111111"/>
          <w:sz w:val="28"/>
          <w:sz w:val="28"/>
          <w:szCs w:val="28"/>
          <w:rtl w:val="true"/>
          <w:lang w:bidi="fa-IR"/>
        </w:rPr>
        <w:t xml:space="preserve">، واختاره والدي قدس اللّه روحه ، لخبر 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قبر رسول اللّه صلی اللّه عليه وآله رفع </w:t>
      </w:r>
      <w:bookmarkStart w:id="111" w:name="pg11616_94730"/>
    </w:p>
    <w:p>
      <w:pPr>
        <w:pStyle w:val="BookText"/>
        <w:rPr/>
      </w:pPr>
      <w:bookmarkEnd w:id="111"/>
      <w:r>
        <w:rPr>
          <w:rFonts w:ascii="IRNazanin" w:hAnsi="IRNazanin" w:eastAsia="IRNazanin"/>
          <w:color w:val="111111"/>
          <w:sz w:val="28"/>
          <w:sz w:val="28"/>
          <w:szCs w:val="28"/>
          <w:rtl w:val="true"/>
          <w:lang w:bidi="fa-IR"/>
        </w:rPr>
        <w:t xml:space="preserve">شبرا من الأرض </w:t>
      </w:r>
      <w:r>
        <w:rPr>
          <w:rFonts w:eastAsia="IRNazanin" w:cs="IRNazanin"/>
          <w:color w:val="111111"/>
          <w:sz w:val="28"/>
          <w:szCs w:val="28"/>
          <w:rtl w:val="true"/>
          <w:lang w:bidi="fa-IR"/>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يعارض ما مرّ ، لجواز الاختصاص ، ولسقوطه بنقل خلافه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ووضع حجر أو خشب عند الرأس ، فيه اسم الميت علامة ليزار ويترحّم عليه ، لفعل النبي صلی اللّه عليه وآله ذلك بقبر ابن مظعون ، كما في الدعائم </w:t>
      </w:r>
      <w:r>
        <w:rPr>
          <w:rStyle w:val="FootnoteAnchor"/>
          <w:rtl w:val="true"/>
        </w:rPr>
        <w:footnoteReference w:id="1803"/>
      </w:r>
      <w:r>
        <w:rPr>
          <w:rFonts w:ascii="Amiri" w:hAnsi="Amiri" w:eastAsia="Amiri" w:cs="Amiri"/>
          <w:color w:val="111111"/>
          <w:sz w:val="28"/>
          <w:sz w:val="28"/>
          <w:szCs w:val="28"/>
          <w:rtl w:val="true"/>
          <w:lang w:bidi="ar-SA"/>
        </w:rPr>
        <w:t xml:space="preserve">، والكاظم عليه السلام بقبر ابنة له ، كما في خبر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بغداد إلى المدينة ماتت ابنة له في رجوعه بفيد ، فأمر بعض مواليه أن يجصّص قبرها ، ويكتب على لوح اسمها ويجعله في القبر </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ووجوده على قبر أمّ المهدي عليه السلام في حياة أبي محمد عليه السلام ، كما في إكمال الدين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ووضع الحصباء عليه ، لفعل النبي صلی اللّه عليه وآله ذلك بقبر ابنه ، وفي مرسلة أبان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رسول اللّه صلی اللّه عليه وآله محصّب حصباء حمراء </w:t>
      </w:r>
      <w:r>
        <w:rPr>
          <w:rFonts w:eastAsia="IRNazanin" w:cs="IRNazanin"/>
          <w:color w:val="111111"/>
          <w:sz w:val="28"/>
          <w:szCs w:val="28"/>
          <w:rtl w:val="true"/>
          <w:lang w:bidi="fa-IR"/>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5588133_73709187"/>
      <w:bookmarkStart w:id="113" w:name="_Toc44"/>
      <w:bookmarkEnd w:id="112"/>
      <w:r>
        <w:rPr>
          <w:rtl w:val="true"/>
        </w:rPr>
        <w:t xml:space="preserve">ومكروهاته </w:t>
      </w:r>
      <w:r>
        <w:rPr>
          <w:rtl w:val="true"/>
        </w:rPr>
        <w:t>:</w:t>
      </w:r>
      <w:bookmarkEnd w:id="11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فرش القبر بالساج وشبهه ، كما عن الوسيلة </w:t>
      </w:r>
      <w:r>
        <w:rPr>
          <w:rStyle w:val="FootnoteAnchor"/>
          <w:rtl w:val="true"/>
        </w:rPr>
        <w:footnoteReference w:id="1807"/>
      </w:r>
      <w:r>
        <w:rPr>
          <w:rFonts w:ascii="Amiri" w:hAnsi="Amiri" w:eastAsia="Amiri" w:cs="Amiri"/>
          <w:color w:val="111111"/>
          <w:sz w:val="28"/>
          <w:sz w:val="28"/>
          <w:szCs w:val="28"/>
          <w:rtl w:val="true"/>
          <w:lang w:bidi="ar-SA"/>
        </w:rPr>
        <w:t xml:space="preserve">، وفي الشرائع والنافع </w:t>
      </w:r>
      <w:r>
        <w:rPr>
          <w:rStyle w:val="FootnoteAnchor"/>
          <w:rtl w:val="true"/>
        </w:rPr>
        <w:footnoteReference w:id="1808"/>
      </w:r>
      <w:r>
        <w:rPr>
          <w:rFonts w:ascii="IRNazanin" w:hAnsi="IRNazanin" w:eastAsia="IRNazanin"/>
          <w:color w:val="111111"/>
          <w:sz w:val="28"/>
          <w:sz w:val="28"/>
          <w:szCs w:val="28"/>
          <w:rtl w:val="true"/>
          <w:lang w:bidi="fa-IR"/>
        </w:rPr>
        <w:t xml:space="preserve">، والقواعد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وعلّل بكونه لازما لوضع خدّه على التراب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لإمكان وضع التراب على 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وباستلزامه الإتلاف المنهي عنه من دون رخصة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 على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 في كتابة الكفن من عمل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الساجة </w:t>
      </w:r>
      <w:r>
        <w:rPr>
          <w:rStyle w:val="FootnoteAnchor"/>
          <w:rtl w:val="true"/>
        </w:rPr>
        <w:footnoteReference w:id="1813"/>
      </w:r>
      <w:r>
        <w:rPr>
          <w:rFonts w:ascii="Amiri" w:hAnsi="Amiri" w:eastAsia="Amiri" w:cs="Amiri"/>
          <w:color w:val="111111"/>
          <w:sz w:val="28"/>
          <w:sz w:val="28"/>
          <w:szCs w:val="28"/>
          <w:rtl w:val="true"/>
          <w:lang w:bidi="ar-SA"/>
        </w:rPr>
        <w:t xml:space="preserve">، 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الثالث إطلاق في أن يفرش القبر بالساج ويطبق على الميت الساج </w:t>
      </w:r>
      <w:r>
        <w:rPr>
          <w:rStyle w:val="FootnoteAnchor"/>
          <w:rtl w:val="true"/>
        </w:rPr>
        <w:footnoteReference w:id="1814"/>
      </w:r>
      <w:r>
        <w:rPr>
          <w:rFonts w:ascii="Amiri" w:hAnsi="Amiri" w:eastAsia="Amiri" w:cs="Amiri"/>
          <w:color w:val="111111"/>
          <w:sz w:val="28"/>
          <w:sz w:val="28"/>
          <w:szCs w:val="28"/>
          <w:rtl w:val="true"/>
          <w:lang w:bidi="ar-SA"/>
        </w:rPr>
        <w:t xml:space="preserve">، بل المكاتبة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التقييد فيها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كراهة مع الضرورة اتّفاقا ، ومنها النداوة ، لمكاتبة 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مات الميت عندنا وتكون الأرض ندية فيفرش القبر بالساج أو يطبق عليه ، هل يجوز ذلك؟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جائز </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بتطبيق الساج عليه جعله حواليه كأنه وضع في تابوت </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كراهة وضع الفرش عليه مطلقا ، أو عدمها كذلك ، أو الثاني مع </w:t>
      </w:r>
    </w:p>
    <w:p>
      <w:pPr>
        <w:pStyle w:val="BookText"/>
        <w:rPr/>
      </w:pPr>
      <w:r>
        <w:rPr>
          <w:rFonts w:ascii="IRNazanin" w:hAnsi="IRNazanin" w:eastAsia="IRNazanin"/>
          <w:color w:val="111111"/>
          <w:sz w:val="28"/>
          <w:sz w:val="28"/>
          <w:szCs w:val="28"/>
          <w:rtl w:val="true"/>
          <w:lang w:bidi="fa-IR"/>
        </w:rPr>
        <w:t xml:space="preserve">النداوة والأول بدونها ، أوجه ، بل أقوال ، والأصل مع الثاني ، وتؤيده الأخبار الواردة في فرش قبر النبي صلی اللّه عليه وآله بالقطيفة </w:t>
      </w:r>
      <w:r>
        <w:rPr>
          <w:rStyle w:val="FootnoteAnchor"/>
          <w:rtl w:val="true"/>
        </w:rPr>
        <w:footnoteReference w:id="1817"/>
      </w:r>
      <w:r>
        <w:rPr>
          <w:rFonts w:ascii="Amiri" w:hAnsi="Amiri" w:eastAsia="Amiri" w:cs="Amiri"/>
          <w:color w:val="111111"/>
          <w:sz w:val="28"/>
          <w:sz w:val="28"/>
          <w:szCs w:val="28"/>
          <w:rtl w:val="true"/>
          <w:lang w:bidi="ar-SA"/>
        </w:rPr>
        <w:t>وإن احتمل كونه لأجل النداوة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تراب غير القبر فيه ونقله إليه ،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جعل على القبر من غير تراب القبر فهو ثقل على الميت </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وخبري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يزاد على القبر تراب لم يخرج منه </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تطيّنوا القبر من غير طينه </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وإطلاقها يتناول حال الدفن وبعده ، فتخصيص الإسكافي بالأول </w:t>
      </w:r>
      <w:r>
        <w:rPr>
          <w:rStyle w:val="FootnoteAnchor"/>
          <w:rtl w:val="true"/>
        </w:rPr>
        <w:footnoteReference w:id="1821"/>
      </w:r>
      <w:r>
        <w:rPr>
          <w:rFonts w:ascii="Amiri" w:hAnsi="Amiri" w:eastAsia="Amiri" w:cs="Amiri"/>
          <w:color w:val="111111"/>
          <w:sz w:val="28"/>
          <w:sz w:val="28"/>
          <w:szCs w:val="28"/>
          <w:rtl w:val="true"/>
          <w:lang w:bidi="ar-SA"/>
        </w:rPr>
        <w:t>لا وجه له ، وهو بدليل الفرق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وتجصيصه ، بإجماعنا ، كما في المنتهى والتذكرة وعن المبسوط ونهاية الإحكام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الناهية عنه ، كموثّقة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البناء على القبر ، ولا الجلوس عليه ، ولا تجصيصه ، ولا تطيينه </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المناهي المروي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يجصّص القبور </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والمروي في معاني الأخبار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نهى عن تقصيص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التجصيص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وإطلاقها يقتضي عدم الفرق بين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تخصّ الكراهة بالباطن دون الظاهر ، جمعا بينه وبين ما تقدّم من أمر مولانا الكاظم عليه السلام بتجصيص قبر ابنته </w:t>
      </w:r>
      <w:r>
        <w:rPr>
          <w:rStyle w:val="FootnoteAnchor"/>
          <w:rtl w:val="true"/>
        </w:rPr>
        <w:footnoteReference w:id="1826"/>
      </w:r>
      <w:r>
        <w:rPr>
          <w:rFonts w:ascii="Amiri" w:hAnsi="Amiri" w:eastAsia="Amiri" w:cs="Amiri"/>
          <w:color w:val="111111"/>
          <w:sz w:val="28"/>
          <w:sz w:val="28"/>
          <w:szCs w:val="28"/>
          <w:rtl w:val="true"/>
          <w:lang w:bidi="ar-SA"/>
        </w:rPr>
        <w:t>، فإنّ الظاهر منه تجصيص الظاهر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بتخصيص التجصيص المباح بهم وبأولادهم ، لجوازه في قبور الأنبياء والأئمة وأولادهم والعلماء والصلحاء ، لاستمرار الناس عليه من غير نكير ، مع كونه تعظيما لشعائر اللّه وتحصيلا لكثير من المصالح الدينية ، مضافا إلى ورود أخبار المنع مورد الغالب ، وهو ما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بما ذكر وإن كان ممكنا ، إلاّ أنه لا دليل على تعيينه حتى يوجب تخصيص المانع ، لجواز الجمع بما مرّ ، أو بالفرق بين الابتداء والاندراس ، كما عن الشيخ والكركي </w:t>
      </w:r>
      <w:r>
        <w:rPr>
          <w:rStyle w:val="FootnoteAnchor"/>
          <w:rtl w:val="true"/>
        </w:rPr>
        <w:footnoteReference w:id="1827"/>
      </w:r>
      <w:r>
        <w:rPr>
          <w:rFonts w:ascii="Amiri" w:hAnsi="Amiri" w:eastAsia="Amiri" w:cs="Amiri"/>
          <w:color w:val="111111"/>
          <w:sz w:val="28"/>
          <w:sz w:val="28"/>
          <w:szCs w:val="28"/>
          <w:rtl w:val="true"/>
          <w:lang w:bidi="ar-SA"/>
        </w:rPr>
        <w:t>، أو بوجود داع آخر لم نطّلع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تجويزه في قبور من ذكر ، فإن أريد عدم الحرمة فغيرهم أيضا كذلك إجماعا ، وإن أريد عدم الكراهة فالإطلاقات تشملها ، وما ذكروه لا يصلح لتقييدها ، لأنّ استمرار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التعمير والبناء دون التجصيص ، بل لا ندري منهم قبرا مجصّصا ، سيما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تعظيما ممنوع ، ولا مصلحة دينية فيه ، وكون الغالب غير من ذكر بحيث ينصرف الإطلاق إليه ممنوع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فالأظهر تعميم الكراهة في التجصيص ، مع احتمال قريب في انتفائها في </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والبناء عليه ، إجماعا ، كما عن المبسوط والتذكرة </w:t>
      </w:r>
      <w:r>
        <w:rPr>
          <w:rStyle w:val="FootnoteAnchor"/>
          <w:rtl w:val="true"/>
        </w:rPr>
        <w:footnoteReference w:id="1828"/>
      </w:r>
      <w:r>
        <w:rPr>
          <w:rFonts w:ascii="Amiri" w:hAnsi="Amiri" w:eastAsia="Amiri" w:cs="Amiri"/>
          <w:color w:val="111111"/>
          <w:sz w:val="28"/>
          <w:sz w:val="28"/>
          <w:szCs w:val="28"/>
          <w:rtl w:val="true"/>
          <w:lang w:bidi="ar-SA"/>
        </w:rPr>
        <w:t>، سواء كان القبر في أرض مباحة مسبّلة أو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لاستفاضة النصوص على النهي عنه المحمول على الكراهة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المتقدّمة </w:t>
      </w:r>
      <w:r>
        <w:rPr>
          <w:rStyle w:val="FootnoteAnchor"/>
          <w:rtl w:val="true"/>
        </w:rPr>
        <w:footnoteReference w:id="1829"/>
      </w:r>
      <w:r>
        <w:rPr>
          <w:rFonts w:ascii="IRNazanin" w:hAnsi="IRNazanin" w:eastAsia="IRNazanin"/>
          <w:color w:val="111111"/>
          <w:sz w:val="28"/>
          <w:sz w:val="28"/>
          <w:szCs w:val="28"/>
          <w:rtl w:val="true"/>
          <w:lang w:bidi="fa-IR"/>
        </w:rPr>
        <w:t xml:space="preserve">، ورواية يونس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أن يصلّى على قبر ، أو يقعد عليه ، أو يبنى عليه </w:t>
      </w:r>
      <w:r>
        <w:rPr>
          <w:rFonts w:eastAsia="IRNazanin" w:cs="IRNazanin"/>
          <w:color w:val="111111"/>
          <w:sz w:val="28"/>
          <w:szCs w:val="28"/>
          <w:rtl w:val="true"/>
          <w:lang w:bidi="fa-IR"/>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المدائني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تبنوا على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رسول اللّه صلی اللّه عليه وآله كره ذلك </w:t>
      </w:r>
      <w:r>
        <w:rPr>
          <w:rFonts w:eastAsia="IRNazanin" w:cs="IRNazanin"/>
          <w:color w:val="111111"/>
          <w:sz w:val="28"/>
          <w:szCs w:val="28"/>
          <w:rtl w:val="true"/>
          <w:lang w:bidi="fa-IR"/>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والتخصيص بالأرض 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كبعضهم </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والمتبادر منها كراهة البناء على القبر ، فلا يكره الدفن في موضع فيه بناء ولو على قبر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والتعليق ينبئ على العلّية ، فالمكروه البناء عليه لأجل القبر ، فلا يكره بناء بيت فيه قبر لو خرب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الشهيد </w:t>
      </w:r>
      <w:r>
        <w:rPr>
          <w:rStyle w:val="FootnoteAnchor"/>
          <w:rtl w:val="true"/>
        </w:rPr>
        <w:footnoteReference w:id="1833"/>
      </w:r>
      <w:r>
        <w:rPr>
          <w:rFonts w:ascii="Amiri" w:hAnsi="Amiri" w:eastAsia="Amiri" w:cs="Amiri"/>
          <w:color w:val="111111"/>
          <w:sz w:val="28"/>
          <w:sz w:val="28"/>
          <w:szCs w:val="28"/>
          <w:rtl w:val="true"/>
          <w:lang w:bidi="ar-SA"/>
        </w:rPr>
        <w:t xml:space="preserve">، وجماعة </w:t>
      </w:r>
      <w:r>
        <w:rPr>
          <w:rStyle w:val="FootnoteAnchor"/>
          <w:rtl w:val="true"/>
        </w:rPr>
        <w:footnoteReference w:id="1834"/>
      </w:r>
      <w:r>
        <w:rPr>
          <w:rFonts w:ascii="Amiri" w:hAnsi="Amiri" w:eastAsia="Amiri" w:cs="Amiri"/>
          <w:color w:val="111111"/>
          <w:sz w:val="28"/>
          <w:sz w:val="28"/>
          <w:szCs w:val="28"/>
          <w:rtl w:val="true"/>
          <w:lang w:bidi="ar-SA"/>
        </w:rPr>
        <w:t xml:space="preserve">من ذلك الحكم قبور الأنبياء والأئمّة ، مدّعيا فيه إطباق الإمامية على أن يبنوا عليها ، مخصّصا للعمومات بإجماعهم على البناء في عهود كانت الأئمة ظاهرة بينهم وبعدهم من غير نكير ، وبكون قبر </w:t>
      </w:r>
    </w:p>
    <w:p>
      <w:pPr>
        <w:pStyle w:val="BookText"/>
        <w:rPr/>
      </w:pPr>
      <w:r>
        <w:rPr>
          <w:rFonts w:ascii="IRNazanin" w:hAnsi="IRNazanin" w:eastAsia="IRNazanin"/>
          <w:color w:val="111111"/>
          <w:sz w:val="28"/>
          <w:sz w:val="28"/>
          <w:szCs w:val="28"/>
          <w:rtl w:val="true"/>
          <w:lang w:bidi="fa-IR"/>
        </w:rPr>
        <w:t>الرسول صلی اللّه عليه وآله مبنيا عليه ، وبالأخبار الدالّة على تعظيم قبورهم وعمارتها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إطباقهم على البناء ففيه كلام ، فإنّ الأكثر من السلاطين والذين لا يمكن مخالفتهم ، سيما مع عدم الاهتمام بالمخالفة ، إذ غايته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قبر الرسول فهو وقع في البناء لكونه بيته لا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تعظيم القبور فهو غير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يحسن التخصيص بما دلّ على فضل تعمير قبورهم ، كرواية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قلوب نجباء من خلقه وصفوة من عباده تحنّ إليكم ، وتحتمل المذلة والأذى فيكم ، فيعمرون 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يا علي المخصوصون بشفاعتي ، والواردون حوضي ، وهم زوّاري غدا في الجنة ، يا علي من عمّر قبوركم وتعاهدها فكأنّما أعان سليمان بن داود على بناء بيت المقدس </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ورواه في فرحة الغري أيضا بسندين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فضل البناء عليها الروايات المتكثّرة المصرّحة بالأمر بالوقوف على باب الروضة أو القبة أو الناحية المقدّسة ، والاستئذان ، وتقبيل العتبة ، والدعاء عند ترائي القبة الشريفة ، ونحو ذلك مما وردت فيه الأخبار الغير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المؤذنة برضاهم ، بل ميلهم إلى هذه الأبنية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والآمرة بآداب متوقّفة على وجود الباب والقبة والعتبة الموقوفة على البناء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الريب في تخصيص عمومات المنع بغير قبورهم ، واستحباب البناء عليها مؤكّدا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قويا التعدّي إلى قبور من علم انتسابه بالولادة إليه من الأبرار من أولادهم ، لاحتمال دخوله في ضمير الجمع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يعلم انتسابه إليهم ، وكذا غير أولادهم من العلماء والصلحاء ، فلا أرى لإخراجهم من عمومات الكراهة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انصرافها إليهم فاسد ، فالقول بالكراهة فيها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بالبناء المكروه ما يسمّى بناء عرفا ، وأمّا مطلق التظليل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بالصناديق والضرائح والخيام والفساطيط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كراهته ، إلاّ أنه ذكرها جماعة ، كما في القواعد وعن النهاية والمصباح والوسيلة والسرائر </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لفتاواهم ، مع استثناء ما إذا تعلّق به غرض صحيح ، كما صرّح به بعضهم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وتجديده بعد الاندراس ، كما في القواعد وعن النهاية والمبسوط والمصباح ومختصره والسرائر والمهذب والوسيلة </w:t>
      </w:r>
      <w:r>
        <w:rPr>
          <w:rStyle w:val="FootnoteAnchor"/>
          <w:rtl w:val="true"/>
        </w:rPr>
        <w:footnoteReference w:id="1841"/>
      </w:r>
      <w:r>
        <w:rPr>
          <w:rFonts w:ascii="Amiri" w:hAnsi="Amiri" w:eastAsia="Amiri" w:cs="Amiri"/>
          <w:color w:val="111111"/>
          <w:sz w:val="28"/>
          <w:sz w:val="28"/>
          <w:szCs w:val="28"/>
          <w:rtl w:val="true"/>
          <w:lang w:bidi="ar-SA"/>
        </w:rPr>
        <w:t xml:space="preserve">والإصباح ، بل على الأشهر ، كما صرّح به بعض من تأخّر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لخبر الأصبغ ، 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جدّد قبرا أو مثل مثالا فقد خرج عن ربقة الإسلام </w:t>
      </w:r>
      <w:r>
        <w:rPr>
          <w:rFonts w:eastAsia="Amiri" w:cs="Amiri" w:ascii="Amiri" w:hAnsi="Amiri"/>
          <w:color w:val="111111"/>
          <w:sz w:val="28"/>
          <w:szCs w:val="28"/>
          <w:rtl w:val="true"/>
          <w:lang w:bidi="ar-SA"/>
        </w:rPr>
        <w:t xml:space="preserve">» </w:t>
      </w:r>
      <w:r>
        <w:rPr>
          <w:rStyle w:val="FootnoteAnchor"/>
          <w:rtl w:val="true"/>
        </w:rPr>
        <w:footnoteReference w:id="1843"/>
      </w:r>
      <w:r>
        <w:rPr>
          <w:rFonts w:ascii="Amiri" w:hAnsi="Amiri" w:eastAsia="Amiri" w:cs="Amiri"/>
          <w:color w:val="111111"/>
          <w:sz w:val="28"/>
          <w:sz w:val="28"/>
          <w:szCs w:val="28"/>
          <w:rtl w:val="true"/>
          <w:lang w:bidi="ar-SA"/>
        </w:rPr>
        <w:t xml:space="preserve">بناء على ما هو المشهور والمنقول عن الصفّار أنه بالجيم </w:t>
      </w:r>
      <w:r>
        <w:rPr>
          <w:rStyle w:val="FootnoteAnchor"/>
          <w:rtl w:val="true"/>
        </w:rPr>
        <w:footnoteReference w:id="1844"/>
      </w:r>
      <w:r>
        <w:rPr>
          <w:rFonts w:ascii="Amiri" w:hAnsi="Amiri" w:eastAsia="Amiri" w:cs="Amiri"/>
          <w:color w:val="111111"/>
          <w:sz w:val="28"/>
          <w:sz w:val="28"/>
          <w:szCs w:val="28"/>
          <w:rtl w:val="true"/>
          <w:lang w:bidi="ar-SA"/>
        </w:rPr>
        <w:t xml:space="preserve">، وإن احتمل فيه احتمالات أخر ، ولكن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قريبا ، مع اعتضاده بفتوى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المطلوب ، لكونه مقام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مخصوص بقبور غير المعصومين ،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والجلوس عليه ، بلا خلاف ظاهر ، لما مرّ من موثّقة علي وخبر يونس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والمشي عليه ، عند جماعة ، بل عن الخلاف </w:t>
      </w:r>
      <w:r>
        <w:rPr>
          <w:rStyle w:val="FootnoteAnchor"/>
          <w:rtl w:val="true"/>
        </w:rPr>
        <w:footnoteReference w:id="1846"/>
      </w:r>
      <w:r>
        <w:rPr>
          <w:rFonts w:ascii="Amiri" w:hAnsi="Amiri" w:eastAsia="Amiri" w:cs="Amiri"/>
          <w:color w:val="111111"/>
          <w:sz w:val="28"/>
          <w:sz w:val="28"/>
          <w:szCs w:val="28"/>
          <w:rtl w:val="true"/>
          <w:lang w:bidi="ar-SA"/>
        </w:rPr>
        <w:t xml:space="preserve">، والمعتبر والتذكرة </w:t>
      </w:r>
      <w:r>
        <w:rPr>
          <w:rStyle w:val="FootnoteAnchor"/>
          <w:rtl w:val="true"/>
        </w:rPr>
        <w:footnoteReference w:id="1847"/>
      </w:r>
      <w:r>
        <w:rPr>
          <w:rFonts w:ascii="IRNazanin" w:hAnsi="IRNazanin" w:eastAsia="IRNazanin"/>
          <w:color w:val="111111"/>
          <w:sz w:val="28"/>
          <w:sz w:val="28"/>
          <w:szCs w:val="28"/>
          <w:rtl w:val="true"/>
          <w:lang w:bidi="fa-IR"/>
        </w:rPr>
        <w:t>الإجماع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للمروي في المنتهى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أطأ على جمرة أو سيف أحب إليّ من أن أطأ على قبر مسلم </w:t>
      </w:r>
      <w:r>
        <w:rPr>
          <w:rFonts w:eastAsia="IRNazanin" w:cs="IRNazanin"/>
          <w:color w:val="111111"/>
          <w:sz w:val="28"/>
          <w:szCs w:val="28"/>
          <w:rtl w:val="true"/>
          <w:lang w:bidi="fa-IR"/>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تعارضه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المقابر فطأ القبور ، فمن كان مؤمنا استروح إلى ذلك ومن كان منافقا وجد ألمه </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مال في المعتبر إلى عدم الكراهة ، وقال به في المدارك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وخصّص جماعة الكراهة بما إذا لم يدخل لأجل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المنتهى التوقف </w:t>
      </w:r>
      <w:r>
        <w:rPr>
          <w:rStyle w:val="FootnoteAnchor"/>
          <w:rtl w:val="true"/>
        </w:rPr>
        <w:footnoteReference w:id="1851"/>
      </w:r>
      <w:r>
        <w:rPr>
          <w:rFonts w:ascii="Amiri" w:hAnsi="Amiri" w:eastAsia="Amiri" w:cs="Amiri"/>
          <w:color w:val="111111"/>
          <w:sz w:val="28"/>
          <w:sz w:val="28"/>
          <w:szCs w:val="28"/>
          <w:rtl w:val="true"/>
          <w:lang w:bidi="ar-SA"/>
        </w:rPr>
        <w:t>، وهو في محلّه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مسائل أخر متعلّقة بالمدافن والمقابر لا بدّ من 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يكره جعل المدفن في البيت ، للمروي في المحاسن وكنز الكراجكي ، عن أبي الدنيا المعمّر ، عن أمير المؤمنين عليه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قبري عيدا ، ولا تتّخذوا قبوركم مساجد ، ولا بيوتكم قبورا </w:t>
      </w:r>
      <w:r>
        <w:rPr>
          <w:rFonts w:eastAsia="IRNazanin" w:cs="IRNazanin"/>
          <w:color w:val="111111"/>
          <w:sz w:val="28"/>
          <w:szCs w:val="28"/>
          <w:rtl w:val="true"/>
          <w:lang w:bidi="fa-IR"/>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بدفنه في بيته اعتبرت الإجازة أو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في البلد أو القرية مقبرة يدفن فيه الموتى كان الدفن فيها أولى ، لما فيها من زيادة الزيارة والدعاء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أن يجعل الأقارب في مقبرة واحدة ، لقول النبي صلی اللّه عليه وآله لمّا دفن ابن مظعون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ادفن إليه من مات من أهله </w:t>
      </w:r>
      <w:r>
        <w:rPr>
          <w:rFonts w:eastAsia="IRNazanin" w:cs="IRNazanin"/>
          <w:color w:val="111111"/>
          <w:sz w:val="28"/>
          <w:szCs w:val="28"/>
          <w:rtl w:val="true"/>
          <w:lang w:bidi="fa-IR"/>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يكون للإنسان مقبرة ملك يدفن فيها أهله وأقاربه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فيها مقبرة بها قوم صالحون كان الأحسن اختيارها ، لتناله بركتهم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كتاب اختيار الرجال من أمر مولانا الرضا عليه السلام بحفر قبر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مات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دفن الكفّار وأولادهم بأصنافهم في مقبرة المسلمين ، بالإجماع المحقّق ، والمحكي في شرح القواعد والشرائع </w:t>
      </w:r>
      <w:r>
        <w:rPr>
          <w:rStyle w:val="FootnoteAnchor"/>
          <w:rtl w:val="true"/>
        </w:rPr>
        <w:footnoteReference w:id="1855"/>
      </w:r>
      <w:r>
        <w:rPr>
          <w:rFonts w:ascii="Amiri" w:hAnsi="Amiri" w:eastAsia="Amiri" w:cs="Amiri"/>
          <w:color w:val="111111"/>
          <w:sz w:val="28"/>
          <w:sz w:val="28"/>
          <w:szCs w:val="28"/>
          <w:rtl w:val="true"/>
          <w:lang w:bidi="ar-SA"/>
        </w:rPr>
        <w:t xml:space="preserve">، وعن التذكرة ونهاية الإحكام والذكرى وروض الجنان </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دفن المسلم في مقبرة الكفّار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الأول الكافرة الحامل من مسلم ، بالإجماع ، كما عن الخلاف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نقل الموتى عن بلد موتهم إلى غير المواضع المكرّمة والمشاهد المشرّفة ، بالإجماع المحقّق ، والمحكي عن 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 xml:space="preserve">والتذكرة والذكرى </w:t>
      </w:r>
      <w:r>
        <w:rPr>
          <w:rStyle w:val="FootnoteAnchor"/>
          <w:rtl w:val="true"/>
        </w:rPr>
        <w:footnoteReference w:id="1859"/>
      </w:r>
      <w:r>
        <w:rPr>
          <w:rFonts w:ascii="Amiri" w:hAnsi="Amiri" w:eastAsia="Amiri" w:cs="Amiri"/>
          <w:color w:val="111111"/>
          <w:sz w:val="28"/>
          <w:sz w:val="28"/>
          <w:szCs w:val="28"/>
          <w:rtl w:val="true"/>
          <w:lang w:bidi="ar-SA"/>
        </w:rPr>
        <w:t xml:space="preserve">، وغيرها </w:t>
      </w:r>
      <w:r>
        <w:rPr>
          <w:rStyle w:val="FootnoteAnchor"/>
          <w:rtl w:val="true"/>
        </w:rPr>
        <w:footnoteReference w:id="1860"/>
      </w:r>
      <w:r>
        <w:rPr>
          <w:rFonts w:ascii="Amiri" w:hAnsi="Amiri" w:eastAsia="Amiri" w:cs="Amiri"/>
          <w:color w:val="111111"/>
          <w:sz w:val="28"/>
          <w:sz w:val="28"/>
          <w:szCs w:val="28"/>
          <w:rtl w:val="true"/>
          <w:lang w:bidi="ar-SA"/>
        </w:rPr>
        <w:t xml:space="preserve">، له ، ولمنافاته للتعجيل في الدفن المستحب بالإجماع ، </w:t>
      </w:r>
    </w:p>
    <w:p>
      <w:pPr>
        <w:pStyle w:val="BookText"/>
        <w:rPr/>
      </w:pPr>
      <w:r>
        <w:rPr>
          <w:rFonts w:ascii="Amiri" w:hAnsi="Amiri" w:eastAsia="Amiri" w:cs="Amiri"/>
          <w:color w:val="111111"/>
          <w:sz w:val="28"/>
          <w:sz w:val="28"/>
          <w:szCs w:val="28"/>
          <w:rtl w:val="true"/>
          <w:lang w:bidi="ar-SA"/>
        </w:rPr>
        <w:t xml:space="preserve">والروايات المحمولة عليه </w:t>
      </w:r>
      <w:r>
        <w:rPr>
          <w:rStyle w:val="FootnoteAnchor"/>
          <w:rtl w:val="true"/>
        </w:rPr>
        <w:footnoteReference w:id="1861"/>
      </w:r>
      <w:r>
        <w:rPr>
          <w:rFonts w:ascii="IRNazanin" w:hAnsi="IRNazanin" w:eastAsia="IRNazanin"/>
          <w:color w:val="111111"/>
          <w:sz w:val="28"/>
          <w:sz w:val="28"/>
          <w:szCs w:val="28"/>
          <w:rtl w:val="true"/>
          <w:lang w:bidi="fa-IR"/>
        </w:rPr>
        <w:t>، لعدم القول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ضعفه عن إثبات الحرمة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إلى أمير المؤمنين عليه السلام أنّ رجلا مات بالرستاق فحملوه إلى الكوفة ، فأنهكهم عقوبة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ادفنوا الأجساد في مصارعها ، ولا تفعلوا كفعل اليهود ينقلون موتاهم إلى بيت المقدس </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إليها فمستحب ، إجماعا منّا ، كما عن الكتب الثلاثة الأخيرة </w:t>
      </w:r>
      <w:r>
        <w:rPr>
          <w:rStyle w:val="FootnoteAnchor"/>
          <w:rtl w:val="true"/>
        </w:rPr>
        <w:footnoteReference w:id="1863"/>
      </w:r>
      <w:r>
        <w:rPr>
          <w:rFonts w:ascii="Amiri" w:hAnsi="Amiri" w:eastAsia="Amiri" w:cs="Amiri"/>
          <w:color w:val="111111"/>
          <w:sz w:val="28"/>
          <w:sz w:val="28"/>
          <w:szCs w:val="28"/>
          <w:rtl w:val="true"/>
          <w:lang w:bidi="ar-SA"/>
        </w:rPr>
        <w:t xml:space="preserve">، وفي اللوامع وغيرها </w:t>
      </w:r>
      <w:r>
        <w:rPr>
          <w:rStyle w:val="FootnoteAnchor"/>
          <w:rtl w:val="true"/>
        </w:rPr>
        <w:footnoteReference w:id="1864"/>
      </w:r>
      <w:r>
        <w:rPr>
          <w:rFonts w:ascii="Amiri" w:hAnsi="Amiri" w:eastAsia="Amiri" w:cs="Amiri"/>
          <w:color w:val="111111"/>
          <w:sz w:val="28"/>
          <w:sz w:val="28"/>
          <w:szCs w:val="28"/>
          <w:rtl w:val="true"/>
          <w:lang w:bidi="ar-SA"/>
        </w:rPr>
        <w:t xml:space="preserve">، وعليه عمل الأصحاب من زمن الأئمة إلى الآن ، وهو مشهور بينهم لا يتناكرون ، له ، وللمروي في إرشاد القلوب وفرحة الغري من حكاية أمير المؤمنين وجنازة اليماني التي رآها في طرف الغري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وللمرويين في عزّية المفيد ومصباح الشيخ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حديث يدلّ على رخصته في نقل الميت إلى بعض مشاهد آل الرسول إن وصّى الميت بذلك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رواية بجواز نقله إلى بعض مشاهد الأئمة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والمرويين في الكافي والتهذيب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يموت بعرفات ، يدفن بعرفات أو ينقل إلى الحرم ، فأيهما أفضل؟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إلى الحرم ويدفن فهو أفضل </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 وهو 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المجمع وقصص الأنبياء للراوندي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يعقوب لمّا مات حمله يوسف في تابوت إلى أرض الشام فدفنه في بيت المقدس </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وفحوى المرويين في كامل الزيارة ، وفي الكافي والفقيه والعلل والعيون والخصال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نوحا استخرج تابوتا من الحرم فيه عظام آدم ، فدفنه في الغري </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استخرج عظام يوسف من شاطئ النيل وحمله إلى الشام </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الأول عمل اليماني ، والتعبير في الثانيين بالرخصة والجواز المجتمعين مع الكراهة أيضا ، والاختصاص في الرابعين بالحرم ، ووقوع الأخيرين في الشرع السالف ، غير ضائر ، لأنّ المناط في الأول تقرير الأمير بل تحسينه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واللّه ذلك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بالرخصة والجواز في الثانيين ليس معناهما الأعم ، لتحقّقه في غير المشاهد أيضا ، بل أقلهما الإباحة المستلزمة للاستحباب في المقام ، لعدم القائل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والثبوت في النقل إلى الحرم بالرابعين يستلزمه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المواضع التالية له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وكفاية الوقوع في شرع وعدم النسخ لنا للاستصحاب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يرد 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ورود الأوامر بالتعجيل في شرعنا لا يتمّ </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يتمّم دلالتهما بنقلهم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التقرير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 ، إذ ليس هاهنا موضع التقرير ولا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المطلوب بل يثبته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امرئ ما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فيصل القاصد بذلك تمسّكه بمن له مرتبة الشفاعة وله بمن توسّل به العناية ، إلى ما قصده ونواه ، وهل يتوسّل العبد إلاّ بمولاة؟</w:t>
      </w:r>
    </w:p>
    <w:p>
      <w:pPr>
        <w:pStyle w:val="BookText"/>
        <w:rPr/>
      </w:pPr>
      <w:r>
        <w:rPr>
          <w:rFonts w:ascii="Amiri" w:hAnsi="Amiri" w:eastAsia="Amiri" w:cs="Amiri"/>
          <w:color w:val="111111"/>
          <w:sz w:val="28"/>
          <w:sz w:val="28"/>
          <w:szCs w:val="28"/>
          <w:rtl w:val="true"/>
          <w:lang w:bidi="ar-SA"/>
        </w:rPr>
        <w:t xml:space="preserve">بل يدلّ على المطلوب أتمّ دلالة ، ويبيّنه كتبيان النور على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الروايات المعتبرة المتواترة المملوءة منها كتب المزار في الزيارات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الواردتين عن الرضا والهادي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من لجأ إليكم ، وفاز من تمسّك بكم ، ومن اعتصم بكم فقد اعتصم باللّه ، ومن أتاكم فقد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المتوسّل بكم غير خائب ، وأنّ من وصل حبله بحبلكم فقد وصل بالعروة الوثقى ، إلى غير ذلك ممّا ملي‌ء منه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لجأ وتمسّك واعتصام وتوسّل ووصل أعلى وآكد وأظهر وأشدّ من طرح الجسم في فناهم ، وإلقاء القالب في حماهم ، وتعفير الخدود في سددهم السنية ، ووضع الرؤوس على أعتابهم العليّة ، بل الظاهر أنّ أهل العرف يعدّون ذلك أعلى أصناف الالتجاء والتمسّك ، وأقصى مراتب الاعتصام 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سبحانه التوسّد في ترابهم ، وعفر وجوهنا في أعتابهم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كلّه تخصّص عمومات المنع ، بل لا اعتبار بها عند ما ذكر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بعض ما تقدم وإن كان مختصا بصورة وصية الميت ، إلاّ أنّ كثيرا منها أعم ، ومنها حديث التوسّل والاعتصام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ممّا ذكر يظهر عدم استثناء صورة خوف انفجار الميت وتقطّعه لبعد </w:t>
      </w:r>
    </w:p>
    <w:p>
      <w:pPr>
        <w:pStyle w:val="BookText"/>
        <w:rPr/>
      </w:pPr>
      <w:r>
        <w:rPr>
          <w:rFonts w:ascii="Amiri" w:hAnsi="Amiri" w:eastAsia="Amiri" w:cs="Amiri"/>
          <w:color w:val="111111"/>
          <w:sz w:val="28"/>
          <w:sz w:val="28"/>
          <w:szCs w:val="28"/>
          <w:rtl w:val="true"/>
          <w:lang w:bidi="ar-SA"/>
        </w:rPr>
        <w:t>المسافة ، فإنّ دليل استثنائها ما يدلّ على حرمة الميت ، وإلاّ فالانفجار والتقطّع حاصلان لا محالة ، ولا ينافي التقطّع في سبيلهم والانفجار في طريق الالتجاء إلى حرمهم للحرمة ، بل هو عين الاحترام والعزة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قبل الدفن ، وأمّا بعده فذهب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وعن المنتهى والتلخيص والتذكرة والمختلف ونهاية الإحكام والعزّية والسرائر والإصباح والذكرى والبيان </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عليها سوى استلزامه النبش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المدّعى ، إذ الكلام بعد النبش وقد يحصل بفعل 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 حرمة اللازم هنا ، إذ ليس دليلها إلاّ الإجماع المنتفي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الجواز أقوى ، وفاقا لوالدي رحمه اللّه ، وهو المحكي عن ظاهر النهاية والمبسوط والمصباح </w:t>
      </w:r>
      <w:r>
        <w:rPr>
          <w:rStyle w:val="FootnoteAnchor"/>
          <w:rtl w:val="true"/>
        </w:rPr>
        <w:footnoteReference w:id="1875"/>
      </w:r>
      <w:r>
        <w:rPr>
          <w:rFonts w:ascii="Amiri" w:hAnsi="Amiri" w:eastAsia="Amiri" w:cs="Amiri"/>
          <w:color w:val="111111"/>
          <w:sz w:val="28"/>
          <w:sz w:val="28"/>
          <w:szCs w:val="28"/>
          <w:rtl w:val="true"/>
          <w:lang w:bidi="ar-SA"/>
        </w:rPr>
        <w:t xml:space="preserve">، ومختصره ، والإسكافي </w:t>
      </w:r>
      <w:r>
        <w:rPr>
          <w:rStyle w:val="FootnoteAnchor"/>
          <w:rtl w:val="true"/>
        </w:rPr>
        <w:footnoteReference w:id="1876"/>
      </w:r>
      <w:r>
        <w:rPr>
          <w:rFonts w:ascii="Amiri" w:hAnsi="Amiri" w:eastAsia="Amiri" w:cs="Amiri"/>
          <w:color w:val="111111"/>
          <w:sz w:val="28"/>
          <w:sz w:val="28"/>
          <w:szCs w:val="28"/>
          <w:rtl w:val="true"/>
          <w:lang w:bidi="ar-SA"/>
        </w:rPr>
        <w:t xml:space="preserve">، وابن حمزة </w:t>
      </w:r>
      <w:r>
        <w:rPr>
          <w:rStyle w:val="FootnoteAnchor"/>
          <w:rtl w:val="true"/>
        </w:rPr>
        <w:footnoteReference w:id="1877"/>
      </w:r>
      <w:r>
        <w:rPr>
          <w:rFonts w:ascii="Amiri" w:hAnsi="Amiri" w:eastAsia="Amiri" w:cs="Amiri"/>
          <w:color w:val="111111"/>
          <w:sz w:val="28"/>
          <w:sz w:val="28"/>
          <w:szCs w:val="28"/>
          <w:rtl w:val="true"/>
          <w:lang w:bidi="ar-SA"/>
        </w:rPr>
        <w:t xml:space="preserve">، والكركي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تقدّم من نقل آدم ويوسف </w:t>
      </w:r>
      <w:r>
        <w:rPr>
          <w:rStyle w:val="FootnoteAnchor"/>
          <w:rtl w:val="true"/>
        </w:rPr>
        <w:footnoteReference w:id="1879"/>
      </w:r>
      <w:r>
        <w:rPr>
          <w:rFonts w:ascii="Amiri" w:hAnsi="Amiri" w:eastAsia="Amiri" w:cs="Amiri"/>
          <w:color w:val="111111"/>
          <w:sz w:val="28"/>
          <w:sz w:val="28"/>
          <w:szCs w:val="28"/>
          <w:rtl w:val="true"/>
          <w:lang w:bidi="ar-SA"/>
        </w:rPr>
        <w:t>، بل ما نقل من نقل جماعة من العلماء بعد دفنهم ، كالمفيد والمرتضى وشيخنا البهائي ، لأنّ الظاهر أنّ ذلك لم يكن إلاّ بتجويز فقهاء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أكثر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لاشتهار الحرمة ، أولا ، لما ذكر من أدلّة الفضيلة؟ فيه تردّد وإن كان الأخير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مستند الحرمة وضعفه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عدم الوصية ، وأمّا معها ومخالفتها لمانع أو بدونه فالنقل </w:t>
      </w:r>
      <w:bookmarkStart w:id="114" w:name="pg11616_94743"/>
    </w:p>
    <w:p>
      <w:pPr>
        <w:pStyle w:val="BookText"/>
        <w:rPr/>
      </w:pPr>
      <w:bookmarkEnd w:id="114"/>
      <w:r>
        <w:rPr>
          <w:rFonts w:ascii="Amiri" w:hAnsi="Amiri" w:eastAsia="Amiri" w:cs="Amiri"/>
          <w:color w:val="111111"/>
          <w:sz w:val="28"/>
          <w:sz w:val="28"/>
          <w:szCs w:val="28"/>
          <w:rtl w:val="true"/>
          <w:lang w:bidi="ar-SA"/>
        </w:rPr>
        <w:t>واجب ، عملا بعمومات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نبش القبر بالإجماع المحقّق ، والمحكي في المنتهى واللوامع وعن المعتبر والتذكرة ونهاية الإحكام والذكرى </w:t>
      </w:r>
      <w:r>
        <w:rPr>
          <w:rStyle w:val="FootnoteAnchor"/>
          <w:rtl w:val="true"/>
        </w:rPr>
        <w:footnoteReference w:id="1881"/>
      </w:r>
      <w:r>
        <w:rPr>
          <w:rFonts w:ascii="Amiri" w:hAnsi="Amiri" w:eastAsia="Amiri" w:cs="Amiri"/>
          <w:color w:val="111111"/>
          <w:sz w:val="28"/>
          <w:sz w:val="28"/>
          <w:szCs w:val="28"/>
          <w:rtl w:val="true"/>
          <w:lang w:bidi="ar-SA"/>
        </w:rPr>
        <w:t xml:space="preserve">، وغيرها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الدليل عليه ، لا ما قيل من أنه مثلة بالميت وهتك لحرمته </w:t>
      </w:r>
      <w:r>
        <w:rPr>
          <w:rStyle w:val="FootnoteAnchor"/>
          <w:rtl w:val="true"/>
        </w:rPr>
        <w:footnoteReference w:id="1883"/>
      </w:r>
      <w:r>
        <w:rPr>
          <w:rFonts w:ascii="IRNazanin" w:hAnsi="IRNazanin" w:eastAsia="IRNazanin"/>
          <w:color w:val="111111"/>
          <w:sz w:val="28"/>
          <w:sz w:val="28"/>
          <w:szCs w:val="28"/>
          <w:rtl w:val="true"/>
          <w:lang w:bidi="fa-IR"/>
        </w:rPr>
        <w:t>، لمنعه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أخبار قطع النباش ، لظهورها في كون القطع للسرقة أو للمجموع ، وفي خبر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تقطع يده لنبشه وسلبه الثياب </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فيقتصر في الحكم بالتحريم على موضع الإجماع ، فلا يحرم فيما لا إجماع فيه ، كأن يقع في القبر ما له قيمة وإن قلّت ، أو يدفن في أرض بغير إذن مالكها ، أو بلا غسل أو كفن ، أو إلى غير القبلة ، أو يكفن في ثوب مغصوب ، أو لأن يستشهد على عينه ، أو لصيرورة المدفون رميما ، وغير ذلك</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588135_73709187"/>
      <w:bookmarkStart w:id="116" w:name="_Toc45"/>
      <w:bookmarkEnd w:id="115"/>
      <w:r>
        <w:rPr>
          <w:rtl w:val="true"/>
        </w:rPr>
        <w:t xml:space="preserve">المقام الثالث </w:t>
      </w:r>
      <w:r>
        <w:rPr>
          <w:rtl w:val="true"/>
        </w:rPr>
        <w:t xml:space="preserve">: </w:t>
      </w:r>
      <w:r>
        <w:rPr>
          <w:rtl w:val="true"/>
        </w:rPr>
        <w:t>فيما يتعلق بالدفن</w:t>
      </w:r>
      <w:bookmarkEnd w:id="116"/>
    </w:p>
    <w:p>
      <w:pPr>
        <w:pStyle w:val="Heading5"/>
        <w:numPr>
          <w:ilvl w:val="4"/>
          <w:numId w:val="1"/>
        </w:numPr>
        <w:rPr/>
      </w:pPr>
      <w:bookmarkStart w:id="117" w:name="__RefHeading___Toc5588137_73709187"/>
      <w:bookmarkStart w:id="118" w:name="_Toc46"/>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والواجب منه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مواراته في الأرض على الوجه المتقدم في أول المقام الثاني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مستقبلا بوجهه إلى القبلة ، كما في المنتهى والقواعد وعن المقنعة والنهاية والمبسوط والغنية والجامع والنافع والشرائع والمعتبر </w:t>
      </w:r>
      <w:r>
        <w:rPr>
          <w:rStyle w:val="FootnoteAnchor"/>
          <w:rtl w:val="true"/>
        </w:rPr>
        <w:footnoteReference w:id="1886"/>
      </w:r>
      <w:r>
        <w:rPr>
          <w:rFonts w:ascii="Amiri" w:hAnsi="Amiri" w:eastAsia="Amiri" w:cs="Amiri"/>
          <w:color w:val="111111"/>
          <w:sz w:val="28"/>
          <w:sz w:val="28"/>
          <w:szCs w:val="28"/>
          <w:rtl w:val="true"/>
          <w:lang w:bidi="ar-SA"/>
        </w:rPr>
        <w:t xml:space="preserve">، وفي اللوامع ، </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المشهور كما صرّح به جماعة </w:t>
      </w:r>
      <w:r>
        <w:rPr>
          <w:rStyle w:val="FootnoteAnchor"/>
          <w:rtl w:val="true"/>
        </w:rPr>
        <w:footnoteReference w:id="1888"/>
      </w:r>
      <w:r>
        <w:rPr>
          <w:rFonts w:ascii="Amiri" w:hAnsi="Amiri" w:eastAsia="Amiri" w:cs="Amiri"/>
          <w:color w:val="111111"/>
          <w:sz w:val="28"/>
          <w:sz w:val="28"/>
          <w:szCs w:val="28"/>
          <w:rtl w:val="true"/>
          <w:lang w:bidi="ar-SA"/>
        </w:rPr>
        <w:t xml:space="preserve">، بل بلا خلاف كما عن شرح الجمل للقاضي </w:t>
      </w:r>
      <w:r>
        <w:rPr>
          <w:rStyle w:val="FootnoteAnchor"/>
          <w:rtl w:val="true"/>
        </w:rPr>
        <w:footnoteReference w:id="1889"/>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الأصحاب </w:t>
      </w:r>
      <w:r>
        <w:rPr>
          <w:rStyle w:val="FootnoteAnchor"/>
          <w:rtl w:val="true"/>
        </w:rPr>
        <w:footnoteReference w:id="1890"/>
      </w:r>
      <w:r>
        <w:rPr>
          <w:rFonts w:ascii="Amiri" w:hAnsi="Amiri" w:eastAsia="Amiri" w:cs="Amiri"/>
          <w:color w:val="111111"/>
          <w:sz w:val="28"/>
          <w:sz w:val="28"/>
          <w:szCs w:val="28"/>
          <w:rtl w:val="true"/>
          <w:lang w:bidi="ar-SA"/>
        </w:rPr>
        <w:t xml:space="preserve">، مؤذنا بدعوى الإجماع ، بل عن ظاهر التذكرة إجماعنا عليه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لما دلّ على وجوبه حال الاحتضار الموجب له هنا بالأولوية ، لمنع الأولوية ، مضافا إلى الاختلاف في الكيفية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لصحيحة معاوية الحاكية لوصية البراء بجعل وجهه إلى رسول اللّه صلی اللّه عليه وآله إلى القبلة فجرت به السنّة </w:t>
      </w:r>
      <w:r>
        <w:rPr>
          <w:rStyle w:val="FootnoteAnchor"/>
          <w:rtl w:val="true"/>
        </w:rPr>
        <w:footnoteReference w:id="1892"/>
      </w:r>
      <w:r>
        <w:rPr>
          <w:rFonts w:ascii="Amiri" w:hAnsi="Amiri" w:eastAsia="Amiri" w:cs="Amiri"/>
          <w:color w:val="111111"/>
          <w:sz w:val="28"/>
          <w:sz w:val="28"/>
          <w:szCs w:val="28"/>
          <w:rtl w:val="true"/>
          <w:lang w:bidi="ar-SA"/>
        </w:rPr>
        <w:t>، لأنّ السنّة فيها وإن لم تكن ظاهرة في الندبية بل الظاهر منها إرادة الطريقة ، إلاّ أنها تحتمل الأعمية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للرضوي ، والمروي في الدعائم ، ودعوات الراوندي ، المنجبر ضعفها بما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ضعه في لحده على يمينه مستقبل القبلة </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اضجعوه في لحده على جنبه الأيمن مستقبل القبلة ، ولا تكبّوه لوجهه ولا تلقوه على ظهره ، ثمَّ قال للذي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أنفه حتى يتبيّن لك استقبال القبلة </w:t>
      </w:r>
      <w:r>
        <w:rPr>
          <w:rFonts w:eastAsia="Amiri" w:cs="Amiri" w:ascii="Amiri" w:hAnsi="Amiri"/>
          <w:color w:val="111111"/>
          <w:sz w:val="28"/>
          <w:szCs w:val="28"/>
          <w:rtl w:val="true"/>
          <w:lang w:bidi="ar-SA"/>
        </w:rPr>
        <w:t xml:space="preserve">» </w:t>
      </w:r>
      <w:r>
        <w:rPr>
          <w:rStyle w:val="FootnoteAnchor"/>
          <w:rtl w:val="true"/>
        </w:rPr>
        <w:footnoteReference w:id="189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وضعته في قبره فضعه على يمينه مستقبل القبلة </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المعتضدة بخبر ابن سيابة في حديث الرجل الذي قطع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صرت إلى القبر تناولته مع الجسد وأدخلته اللحد ووجهته إلى القبلة </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ابن حمزة فاستحبّه </w:t>
      </w:r>
      <w:r>
        <w:rPr>
          <w:rStyle w:val="FootnoteAnchor"/>
          <w:rtl w:val="true"/>
        </w:rPr>
        <w:footnoteReference w:id="1897"/>
      </w:r>
      <w:r>
        <w:rPr>
          <w:rFonts w:ascii="Amiri" w:hAnsi="Amiri" w:eastAsia="Amiri" w:cs="Amiri"/>
          <w:color w:val="111111"/>
          <w:sz w:val="28"/>
          <w:sz w:val="28"/>
          <w:szCs w:val="28"/>
          <w:rtl w:val="true"/>
          <w:lang w:bidi="ar-SA"/>
        </w:rPr>
        <w:t xml:space="preserve">، وقد ينسب إلى جمل الشيخ ، والديلمي أيضا ، لحصر الأول الواجب في واحد هو دفنه </w:t>
      </w:r>
      <w:r>
        <w:rPr>
          <w:rStyle w:val="FootnoteAnchor"/>
          <w:rtl w:val="true"/>
        </w:rPr>
        <w:footnoteReference w:id="1898"/>
      </w:r>
      <w:r>
        <w:rPr>
          <w:rFonts w:ascii="Amiri" w:hAnsi="Amiri" w:eastAsia="Amiri" w:cs="Amiri"/>
          <w:color w:val="111111"/>
          <w:sz w:val="28"/>
          <w:sz w:val="28"/>
          <w:szCs w:val="28"/>
          <w:rtl w:val="true"/>
          <w:lang w:bidi="ar-SA"/>
        </w:rPr>
        <w:t xml:space="preserve">، وعدم تعرّض الثاني لذكره </w:t>
      </w:r>
      <w:r>
        <w:rPr>
          <w:rStyle w:val="FootnoteAnchor"/>
          <w:rtl w:val="true"/>
        </w:rPr>
        <w:footnoteReference w:id="1899"/>
      </w:r>
      <w:r>
        <w:rPr>
          <w:rFonts w:ascii="Amiri" w:hAnsi="Amiri" w:eastAsia="Amiri" w:cs="Amiri"/>
          <w:color w:val="111111"/>
          <w:sz w:val="28"/>
          <w:sz w:val="28"/>
          <w:szCs w:val="28"/>
          <w:rtl w:val="true"/>
          <w:lang w:bidi="ar-SA"/>
        </w:rPr>
        <w:t>، للأصل الواجب تركه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إضجاعه على جنبه الأيمن ، فيكون رجلاه شرقيين ورأسه غربيا ، وفاقا لغير الجامع ممّن ذكر ، وعليه نفي الخلاف ، والإجماع عن شرح الجمل والتذكرة </w:t>
      </w:r>
      <w:r>
        <w:rPr>
          <w:rStyle w:val="FootnoteAnchor"/>
          <w:rtl w:val="true"/>
        </w:rPr>
        <w:footnoteReference w:id="1900"/>
      </w:r>
      <w:r>
        <w:rPr>
          <w:rFonts w:ascii="Amiri" w:hAnsi="Amiri" w:eastAsia="Amiri" w:cs="Amiri"/>
          <w:color w:val="111111"/>
          <w:sz w:val="28"/>
          <w:sz w:val="28"/>
          <w:szCs w:val="28"/>
          <w:rtl w:val="true"/>
          <w:lang w:bidi="ar-SA"/>
        </w:rPr>
        <w:t>، للروايات المتقدّمة المنجبرة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للمحكي عن الجامع ، فجعله سنّة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ويستثنى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مواراته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مات في سفر البحر ، فإنه يلقى في البحر بعد الغسل والتكفين والصلاة ، إمّا مثقلا بحجر ونحوه ، أو مستورا في وعاء ثقيل كالخابية ، مخيّرا بين الأمرين كما في النافع والشرائع والمنتهى والقواعد </w:t>
      </w:r>
      <w:r>
        <w:rPr>
          <w:rStyle w:val="FootnoteAnchor"/>
          <w:rtl w:val="true"/>
        </w:rPr>
        <w:footnoteReference w:id="1902"/>
      </w:r>
      <w:r>
        <w:rPr>
          <w:rFonts w:ascii="Amiri" w:hAnsi="Amiri" w:eastAsia="Amiri" w:cs="Amiri"/>
          <w:color w:val="111111"/>
          <w:sz w:val="28"/>
          <w:sz w:val="28"/>
          <w:szCs w:val="28"/>
          <w:rtl w:val="true"/>
          <w:lang w:bidi="ar-SA"/>
        </w:rPr>
        <w:t xml:space="preserve">واللوامع وغيرها </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الأشهر كما صرّح به بعض من تأخّر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لورود الأول في مرسل أبان ، ومرفوع سهل ، وخبر أبي البختري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يموت مع القوم في البحر ، يغسّل ويكفّن ويصلّى عليه </w:t>
      </w:r>
    </w:p>
    <w:p>
      <w:pPr>
        <w:pStyle w:val="BookText"/>
        <w:rPr/>
      </w:pPr>
      <w:r>
        <w:rPr>
          <w:rFonts w:ascii="Amiri" w:hAnsi="Amiri" w:eastAsia="Amiri" w:cs="Amiri"/>
          <w:color w:val="111111"/>
          <w:sz w:val="28"/>
          <w:sz w:val="28"/>
          <w:szCs w:val="28"/>
          <w:rtl w:val="true"/>
          <w:lang w:bidi="ar-SA"/>
        </w:rPr>
        <w:t xml:space="preserve">ويثقل ويرمى في البحر </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في السفينة ولم يقدر على الشط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يكفّن ويحنّط ويلقى في الماء </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الميت في البحر غسّل وكفّن وحنّط ، ثمَّ يوثق في رجليه حجر ويرمى به في الماء </w:t>
      </w:r>
      <w:r>
        <w:rPr>
          <w:rFonts w:eastAsia="Amiri" w:cs="Amiri" w:ascii="Amiri" w:hAnsi="Amiri"/>
          <w:color w:val="111111"/>
          <w:sz w:val="28"/>
          <w:szCs w:val="28"/>
          <w:rtl w:val="true"/>
          <w:lang w:bidi="ar-SA"/>
        </w:rPr>
        <w:t xml:space="preserve">» </w:t>
      </w:r>
      <w:r>
        <w:rPr>
          <w:rStyle w:val="FootnoteAnchor"/>
          <w:rtl w:val="true"/>
        </w:rPr>
        <w:footnoteReference w:id="1907"/>
      </w:r>
      <w:r>
        <w:rPr>
          <w:rFonts w:ascii="Amiri" w:hAnsi="Amiri" w:eastAsia="Amiri" w:cs="Amiri"/>
          <w:color w:val="111111"/>
          <w:sz w:val="28"/>
          <w:sz w:val="28"/>
          <w:szCs w:val="28"/>
          <w:rtl w:val="true"/>
          <w:lang w:bidi="ar-SA"/>
        </w:rPr>
        <w:t xml:space="preserve">وبمضمونها الرضوي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في صحيحة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وهو في السفينة في البحر كيف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يوضع في خابية ويوكى رأسها ويطرح في الماء </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تقديم الثاني ، لصحة مستنده ، وصونه الميت عن الحيوانات وهتك الحرمة ، فإن تعذّر فالأول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بشي‌ء ، لحجية مستند الأول أيضا ، ووجوب الصون والاحترام ما دام ظاهرا ، لا بعد الدفن ، ولذا لا يصان في القبر عن الحشرات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وجوب الاستقبال حين الإلقاء ، كما عن الإسكافي والشهيدين </w:t>
      </w:r>
      <w:r>
        <w:rPr>
          <w:rStyle w:val="FootnoteAnchor"/>
          <w:rtl w:val="true"/>
        </w:rPr>
        <w:footnoteReference w:id="1911"/>
      </w:r>
      <w:r>
        <w:rPr>
          <w:rFonts w:ascii="Amiri" w:hAnsi="Amiri" w:eastAsia="Amiri" w:cs="Amiri"/>
          <w:color w:val="111111"/>
          <w:sz w:val="28"/>
          <w:sz w:val="28"/>
          <w:szCs w:val="28"/>
          <w:rtl w:val="true"/>
          <w:lang w:bidi="ar-SA"/>
        </w:rPr>
        <w:t xml:space="preserve">، وأضيف إلى المشهور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استحبابه ، كما نسبه في اللوامع إلى الأكثر ، قولان ، </w:t>
      </w:r>
    </w:p>
    <w:p>
      <w:pPr>
        <w:pStyle w:val="BookText"/>
        <w:rPr/>
      </w:pPr>
      <w:r>
        <w:rPr>
          <w:rFonts w:ascii="Amiri" w:hAnsi="Amiri" w:eastAsia="Amiri" w:cs="Amiri"/>
          <w:color w:val="111111"/>
          <w:sz w:val="28"/>
          <w:sz w:val="28"/>
          <w:szCs w:val="28"/>
          <w:rtl w:val="true"/>
          <w:lang w:bidi="ar-SA"/>
        </w:rPr>
        <w:t>والثاني موافق للأصل ، فهو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الإلقاء إنما هو بعد تعذّر النقل إلى البرّ في زمان لا يعتريه الفساد ، كما هو ظاهر الأكثر ومقتضى مفهوم المرفوع ، أو يجوز ابتداء كما عن بعضهم </w:t>
      </w:r>
      <w:r>
        <w:rPr>
          <w:rStyle w:val="FootnoteAnchor"/>
          <w:rtl w:val="true"/>
        </w:rPr>
        <w:footnoteReference w:id="1913"/>
      </w:r>
      <w:r>
        <w:rPr>
          <w:rFonts w:ascii="Amiri" w:hAnsi="Amiri" w:eastAsia="Amiri" w:cs="Amiri"/>
          <w:color w:val="111111"/>
          <w:sz w:val="28"/>
          <w:sz w:val="28"/>
          <w:szCs w:val="28"/>
          <w:rtl w:val="true"/>
          <w:lang w:bidi="ar-SA"/>
        </w:rPr>
        <w:t xml:space="preserve">، لإطلاق البواقي؟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حملا للمطلق على المقيد ، كما يقيّد إطلاق المقيد في الإلقاء بتقييد المطلقات بالتثقيل أو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الثاني ما إذا التبست القبلة ، أو تعذّر صرف الميت إليها ، كأن يموت في بئر ونحوه وتعذّر الإخراج والصرف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صور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ولد توأمان ملصقا ظهر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في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فيستقبل بأحدهما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القطع والاستقبال بهما فتنفيه حرمة القطع وعدم دليل وجوب الاستقبال ، لانحصاره في المرويين </w:t>
      </w:r>
      <w:r>
        <w:rPr>
          <w:rStyle w:val="FootnoteAnchor"/>
          <w:rtl w:val="true"/>
        </w:rPr>
        <w:footnoteReference w:id="1914"/>
      </w:r>
      <w:r>
        <w:rPr>
          <w:rFonts w:ascii="Amiri" w:hAnsi="Amiri" w:eastAsia="Amiri" w:cs="Amiri"/>
          <w:color w:val="111111"/>
          <w:sz w:val="28"/>
          <w:sz w:val="28"/>
          <w:szCs w:val="28"/>
          <w:rtl w:val="true"/>
          <w:lang w:bidi="ar-SA"/>
        </w:rPr>
        <w:t>الخاليين عن الجابر في المقام ، المنصرفين إلى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يستثنى أيضا الكافرة الحاملة من المسلم بنكاح أو ملك أو شبهة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ولو بالزنا كما عن بعضهم </w:t>
      </w:r>
      <w:r>
        <w:rPr>
          <w:rStyle w:val="FootnoteAnchor"/>
          <w:rtl w:val="true"/>
        </w:rPr>
        <w:footnoteReference w:id="1916"/>
      </w:r>
      <w:r>
        <w:rPr>
          <w:rFonts w:ascii="Amiri" w:hAnsi="Amiri" w:eastAsia="Amiri" w:cs="Amiri"/>
          <w:color w:val="111111"/>
          <w:sz w:val="28"/>
          <w:sz w:val="28"/>
          <w:szCs w:val="28"/>
          <w:rtl w:val="true"/>
          <w:lang w:bidi="ar-SA"/>
        </w:rPr>
        <w:t xml:space="preserve">، فيستدبر بها القبلة في مقبرة المسلمين حتى يكون الولد إلى القبلة ، على المشهور ، بل عليه الإجماع عن الخلاف والتذكرة </w:t>
      </w:r>
      <w:r>
        <w:rPr>
          <w:rStyle w:val="FootnoteAnchor"/>
          <w:rtl w:val="true"/>
        </w:rPr>
        <w:footnoteReference w:id="1917"/>
      </w:r>
      <w:r>
        <w:rPr>
          <w:rFonts w:ascii="Amiri" w:hAnsi="Amiri" w:eastAsia="Amiri" w:cs="Amiri"/>
          <w:color w:val="111111"/>
          <w:sz w:val="28"/>
          <w:sz w:val="28"/>
          <w:szCs w:val="28"/>
          <w:rtl w:val="true"/>
          <w:lang w:bidi="ar-SA"/>
        </w:rPr>
        <w:t xml:space="preserve">، لرواية يونس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دلالة فيها أصلا ، كما لا حجية للإجماع المنقول ، إلاّ أن يقال مقتضى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الولد معها من غير إخراج ، ويجب الاستقبال به والدفن في مقبرة </w:t>
      </w:r>
      <w:bookmarkStart w:id="119" w:name="pg11616_94748"/>
    </w:p>
    <w:p>
      <w:pPr>
        <w:pStyle w:val="BookText"/>
        <w:rPr/>
      </w:pPr>
      <w:bookmarkEnd w:id="119"/>
      <w:r>
        <w:rPr>
          <w:rFonts w:ascii="Amiri" w:hAnsi="Amiri" w:eastAsia="Amiri" w:cs="Amiri"/>
          <w:color w:val="111111"/>
          <w:sz w:val="28"/>
          <w:sz w:val="28"/>
          <w:szCs w:val="28"/>
          <w:rtl w:val="true"/>
          <w:lang w:bidi="ar-SA"/>
        </w:rPr>
        <w:t>المسلمين ، وهو موقوف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يخدشه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انصراف أدلّة الاستقبال والدفن في مقبرتهم إلى مثل ذلك ، ولذا تردّد بعضهم في الحكم </w:t>
      </w:r>
      <w:r>
        <w:rPr>
          <w:rStyle w:val="FootnoteAnchor"/>
          <w:rtl w:val="true"/>
        </w:rPr>
        <w:footnoteReference w:id="1919"/>
      </w:r>
      <w:r>
        <w:rPr>
          <w:rFonts w:ascii="Amiri" w:hAnsi="Amiri" w:eastAsia="Amiri" w:cs="Amiri"/>
          <w:color w:val="111111"/>
          <w:sz w:val="28"/>
          <w:sz w:val="28"/>
          <w:szCs w:val="28"/>
          <w:rtl w:val="true"/>
          <w:lang w:bidi="ar-SA"/>
        </w:rPr>
        <w:t xml:space="preserve">، ونسبه في النافع إلى القيل مشعرا بالتردّد </w:t>
      </w:r>
      <w:r>
        <w:rPr>
          <w:rStyle w:val="FootnoteAnchor"/>
          <w:rtl w:val="true"/>
        </w:rPr>
        <w:footnoteReference w:id="1920"/>
      </w:r>
      <w:r>
        <w:rPr>
          <w:rFonts w:ascii="Amiri" w:hAnsi="Amiri" w:eastAsia="Amiri" w:cs="Amiri"/>
          <w:color w:val="111111"/>
          <w:sz w:val="28"/>
          <w:sz w:val="28"/>
          <w:szCs w:val="28"/>
          <w:rtl w:val="true"/>
          <w:lang w:bidi="ar-SA"/>
        </w:rPr>
        <w:t>، وهو في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الحكم أيضا فليس محلا للاستثناء ، إذ لا يجب دفن الكافرة فضلا عن الاستقبال بها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588139_73709187"/>
      <w:bookmarkStart w:id="121" w:name="_Toc47"/>
      <w:bookmarkEnd w:id="120"/>
      <w:r>
        <w:rPr>
          <w:rtl w:val="true"/>
        </w:rPr>
        <w:t xml:space="preserve">وأما مستحباته فأمور </w:t>
      </w:r>
      <w:r>
        <w:rPr>
          <w:rtl w:val="true"/>
        </w:rPr>
        <w:t>:</w:t>
      </w:r>
      <w:bookmarkEnd w:id="12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جنازة الرجل قرب القبر عند رجليه ، بأن يكون رأسه مما يلي الرجل ، والمرأة مما يلي القبلة عرضا ، نسبهما في المنتهى إلى علمائنا مؤذنا بدعوى الإجماع عليهما </w:t>
      </w:r>
      <w:r>
        <w:rPr>
          <w:rStyle w:val="FootnoteAnchor"/>
          <w:rtl w:val="true"/>
        </w:rPr>
        <w:footnoteReference w:id="1921"/>
      </w:r>
      <w:r>
        <w:rPr>
          <w:rFonts w:ascii="Amiri" w:hAnsi="Amiri" w:eastAsia="Amiri" w:cs="Amiri"/>
          <w:color w:val="111111"/>
          <w:sz w:val="28"/>
          <w:sz w:val="28"/>
          <w:szCs w:val="28"/>
          <w:rtl w:val="true"/>
          <w:lang w:bidi="ar-SA"/>
        </w:rPr>
        <w:t xml:space="preserve">، كما عن التذكرة ونهاية الإحكام والغنية الإجماع على الثاني </w:t>
      </w:r>
      <w:r>
        <w:rPr>
          <w:rStyle w:val="FootnoteAnchor"/>
          <w:rtl w:val="true"/>
        </w:rPr>
        <w:footnoteReference w:id="1922"/>
      </w:r>
      <w:r>
        <w:rPr>
          <w:rFonts w:ascii="Amiri" w:hAnsi="Amiri" w:eastAsia="Amiri" w:cs="Amiri"/>
          <w:color w:val="111111"/>
          <w:sz w:val="28"/>
          <w:sz w:val="28"/>
          <w:szCs w:val="28"/>
          <w:rtl w:val="true"/>
          <w:lang w:bidi="ar-SA"/>
        </w:rPr>
        <w:t>، وهو الحجة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باب ، وباب القبر من قبل الرجلين ، إذا وضعت الجنازة فضعها مما يلي الرجلين </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الروايات الآمرة بوضعها أسفل القبر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إلى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امرأة فخذها بالعرض من قبل اللحد ، وتأخذ الرجل من قبل رجليه ، تسلّه سلا </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وقريب منه المروي في الخصال والفقيه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مرّ من الإجماعات يقيّد إطلاق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قليلا بعد وضع الجنازة ، وعدم المفاجأة بالميت إلى القبر ، إجماعا ، له ، وللمعتبرة ، كصحيحة ابن سنان </w:t>
      </w:r>
      <w:r>
        <w:rPr>
          <w:rStyle w:val="FootnoteAnchor"/>
          <w:rtl w:val="true"/>
        </w:rPr>
        <w:footnoteReference w:id="1927"/>
      </w:r>
      <w:r>
        <w:rPr>
          <w:rFonts w:ascii="Amiri" w:hAnsi="Amiri" w:eastAsia="Amiri" w:cs="Amiri"/>
          <w:color w:val="111111"/>
          <w:sz w:val="28"/>
          <w:sz w:val="28"/>
          <w:szCs w:val="28"/>
          <w:rtl w:val="true"/>
          <w:lang w:bidi="ar-SA"/>
        </w:rPr>
        <w:t xml:space="preserve">، وروايات ابن عطية </w:t>
      </w:r>
      <w:r>
        <w:rPr>
          <w:rStyle w:val="FootnoteAnchor"/>
          <w:rtl w:val="true"/>
        </w:rPr>
        <w:footnoteReference w:id="1928"/>
      </w:r>
      <w:r>
        <w:rPr>
          <w:rFonts w:ascii="IRNazanin" w:hAnsi="IRNazanin" w:eastAsia="IRNazanin"/>
          <w:color w:val="111111"/>
          <w:sz w:val="28"/>
          <w:sz w:val="28"/>
          <w:szCs w:val="28"/>
          <w:rtl w:val="true"/>
          <w:lang w:bidi="fa-IR"/>
        </w:rPr>
        <w:t xml:space="preserve">وابن عجلان </w:t>
      </w:r>
      <w:r>
        <w:rPr>
          <w:rStyle w:val="FootnoteAnchor"/>
          <w:rtl w:val="true"/>
        </w:rPr>
        <w:footnoteReference w:id="1929"/>
      </w:r>
      <w:r>
        <w:rPr>
          <w:rFonts w:ascii="Amiri" w:hAnsi="Amiri" w:eastAsia="Amiri" w:cs="Amiri"/>
          <w:color w:val="111111"/>
          <w:sz w:val="28"/>
          <w:sz w:val="28"/>
          <w:szCs w:val="28"/>
          <w:rtl w:val="true"/>
          <w:lang w:bidi="ar-SA"/>
        </w:rPr>
        <w:t xml:space="preserve">ويونس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النقل ثانيا ، والوضع والصبر قليلا ، ثمَّ النقل إلى شفير القبر ووضعه عليه ، ثمَّ إدخاله القبر حتى يتحقّق وضعان آخران بعد الوضع الأول ،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للمروي في العلل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ضعه قريب شفير القبر واصبر عليه هنيّة ، ثمَّ قدّمه قليلا واصبر عليه لتأخذ أهبته ، ثمَّ قدّمه إلى شفير القبر </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ونحوه الرضوي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وبهما يقيّد إطلاق الأخبار الخالية عن التثليث التي هي مستند من اكتفى بالوضع مرة ، كما عن الإسكافي </w:t>
      </w:r>
      <w:r>
        <w:rPr>
          <w:rStyle w:val="FootnoteAnchor"/>
          <w:rtl w:val="true"/>
        </w:rPr>
        <w:footnoteReference w:id="1933"/>
      </w:r>
      <w:r>
        <w:rPr>
          <w:rFonts w:ascii="Amiri" w:hAnsi="Amiri" w:eastAsia="Amiri" w:cs="Amiri"/>
          <w:color w:val="111111"/>
          <w:sz w:val="28"/>
          <w:sz w:val="28"/>
          <w:szCs w:val="28"/>
          <w:rtl w:val="true"/>
          <w:lang w:bidi="ar-SA"/>
        </w:rPr>
        <w:t xml:space="preserve">، وآخر كلام المحقّق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نقل عن بعضهم اختصاص التعدّد بالرجل </w:t>
      </w:r>
      <w:r>
        <w:rPr>
          <w:rStyle w:val="FootnoteAnchor"/>
          <w:rtl w:val="true"/>
        </w:rPr>
        <w:footnoteReference w:id="1935"/>
      </w:r>
      <w:r>
        <w:rPr>
          <w:rFonts w:ascii="IRNazanin" w:hAnsi="IRNazanin" w:eastAsia="IRNazanin"/>
          <w:color w:val="111111"/>
          <w:sz w:val="28"/>
          <w:sz w:val="28"/>
          <w:szCs w:val="28"/>
          <w:rtl w:val="true"/>
          <w:lang w:bidi="fa-IR"/>
        </w:rPr>
        <w:t>، ولم أعثر على مستند الفرق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الميت إلى القبر سابقا برأسه من قبل الرجلين من القبر إن كان رجلا ، والمرأة عرضا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للإجماع المحكي عن الغنية فيهما </w:t>
      </w:r>
      <w:r>
        <w:rPr>
          <w:rStyle w:val="FootnoteAnchor"/>
          <w:rtl w:val="true"/>
        </w:rPr>
        <w:footnoteReference w:id="1936"/>
      </w:r>
      <w:r>
        <w:rPr>
          <w:rFonts w:ascii="Amiri" w:hAnsi="Amiri" w:eastAsia="Amiri" w:cs="Amiri"/>
          <w:color w:val="111111"/>
          <w:sz w:val="28"/>
          <w:sz w:val="28"/>
          <w:szCs w:val="28"/>
          <w:rtl w:val="true"/>
          <w:lang w:bidi="ar-SA"/>
        </w:rPr>
        <w:t xml:space="preserve">، وعن ظاهر نهاية الإحكام والمنتهى والتذكرة في الثاني </w:t>
      </w:r>
      <w:r>
        <w:rPr>
          <w:rStyle w:val="FootnoteAnchor"/>
          <w:rtl w:val="true"/>
        </w:rPr>
        <w:footnoteReference w:id="1937"/>
      </w:r>
      <w:r>
        <w:rPr>
          <w:rFonts w:ascii="Amiri" w:hAnsi="Amiri" w:eastAsia="Amiri" w:cs="Amiri"/>
          <w:color w:val="111111"/>
          <w:sz w:val="28"/>
          <w:sz w:val="28"/>
          <w:szCs w:val="28"/>
          <w:rtl w:val="true"/>
          <w:lang w:bidi="ar-SA"/>
        </w:rPr>
        <w:t xml:space="preserve">، وللرضوي السابق </w:t>
      </w:r>
      <w:r>
        <w:rPr>
          <w:rStyle w:val="FootnoteAnchor"/>
          <w:rtl w:val="true"/>
        </w:rPr>
        <w:footnoteReference w:id="1938"/>
      </w:r>
      <w:r>
        <w:rPr>
          <w:rFonts w:ascii="Amiri" w:hAnsi="Amiri" w:eastAsia="Amiri" w:cs="Amiri"/>
          <w:color w:val="111111"/>
          <w:sz w:val="28"/>
          <w:sz w:val="28"/>
          <w:szCs w:val="28"/>
          <w:rtl w:val="true"/>
          <w:lang w:bidi="ar-SA"/>
        </w:rPr>
        <w:t xml:space="preserve">، وخبر عبد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أدخلت الميت القبر إن كان رجلا يسلّ سلا ، والمرأة تؤخذ عرضا </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عمرو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 الرجل سلا ، وتستقبل المرأة استقبالا </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يسلّ من قبل رجليه سلا ، والمرأة تؤخذ بالعرض من قبل اللحد </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الأمر بالسلّ في الرجل من قبل الرجلين إرشاد إلى ما ذكره في الرجل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النازل في قبر المرأة من محارمها ، إجماعا في الرجحان ، كما عن التذكرة والمنتهى </w:t>
      </w:r>
      <w:r>
        <w:rPr>
          <w:rStyle w:val="FootnoteAnchor"/>
          <w:rtl w:val="true"/>
        </w:rPr>
        <w:footnoteReference w:id="1942"/>
      </w:r>
      <w:r>
        <w:rPr>
          <w:rFonts w:ascii="Amiri" w:hAnsi="Amiri" w:eastAsia="Amiri" w:cs="Amiri"/>
          <w:color w:val="111111"/>
          <w:sz w:val="28"/>
          <w:sz w:val="28"/>
          <w:szCs w:val="28"/>
          <w:rtl w:val="true"/>
          <w:lang w:bidi="ar-SA"/>
        </w:rPr>
        <w:t xml:space="preserve">، لخبر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لا يدخل قبرها إلاّ من كان يراها في حياتها </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وأولى المحارم زوجها ، لخبر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 أحق بأمرها حتى يضعها في لحدها </w:t>
      </w:r>
      <w:r>
        <w:rPr>
          <w:rFonts w:eastAsia="Amiri" w:cs="Amiri" w:ascii="Amiri" w:hAnsi="Amiri"/>
          <w:color w:val="111111"/>
          <w:sz w:val="28"/>
          <w:szCs w:val="28"/>
          <w:rtl w:val="true"/>
          <w:lang w:bidi="ar-SA"/>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يأخذها زوجها من قبل وركها ، وإن لم يكن لها زوج فأولى الناس </w:t>
      </w:r>
    </w:p>
    <w:p>
      <w:pPr>
        <w:pStyle w:val="BookText"/>
        <w:rPr/>
      </w:pPr>
      <w:r>
        <w:rPr>
          <w:rFonts w:ascii="Amiri" w:hAnsi="Amiri" w:eastAsia="Amiri" w:cs="Amiri"/>
          <w:color w:val="111111"/>
          <w:sz w:val="28"/>
          <w:sz w:val="28"/>
          <w:szCs w:val="28"/>
          <w:rtl w:val="true"/>
          <w:lang w:bidi="ar-SA"/>
        </w:rPr>
        <w:t xml:space="preserve">بها ، للرضوي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أدخلت المرأة القبر وقف زوجها مما ينال وركها </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أولى الناس في مؤخّرها </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جمل العلم والنهاية والمبسوط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وخلوّ الأخبار عن الدال على الوجوب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النهاية والمبسوط والوسيلة والمقنعة والمعتبر والمنتهى والنافع ونهاية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نزول الأجنبي في قبره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مستند له عموما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ورد فيها كراهة نزول الوالد قبر ولده ، كالروايات الأربعة للعبادلة الثلاثة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وعلّلت في المروي في الدعائم وغيره بخوف رقّة قلبه وجزعه المحبط لأجره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وإثبات أولوية الأجنبي لفتاوي من ذكر وإن أمكن ، ولكن لو لا معارضتها مع 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أولى الناس بها على مؤخّرها ، وأولى الناس بالرجال على مقدّمه </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جئت بأخيك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ضعه في لحده ، وإن استطعت أن تلصق خدّه بالأرض وتحسر عن خدّه ، وليكن أولى الناس به مما يلي رأسه </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فالحكم بالأولوية مشكل وعدمها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يتعيّن عدد في النازل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أو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التعيين إلى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يكون النازل متطهرا ، كما صرّح به جماعة ، لموثّقة الحلبي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إذا أدخلت الميت القبر </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ونحوه الرضوي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يحفي النازل ، ويكشف رأسه ، ويحلّ أزراره ، لظاهر الوفاق ، والمستفيضة من النصوص المصرّحة بالأحكام الثلاثة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حلّ مولانا أبي الحسن عليه السلام أزراره عند دخول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w:t>
      </w:r>
      <w:r>
        <w:rPr>
          <w:rStyle w:val="FootnoteAnchor"/>
          <w:rtl w:val="true"/>
        </w:rPr>
        <w:footnoteReference w:id="1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الكراهة ، مع احتمال كونه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عقد الأكفان من قبل رأسه ورجليه بعد وضعه في قبره ، لصحيحة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كفن الميت؟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ويبرز وجهه </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ويحلّ عقد كفنه كلها ويكشف عن وجهه </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أدخلته القبر فحلّها </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وضعته في قبره فحلّ عقدته </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 عقد كفنه ، وضع خدّه على التراب </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المراد من شقّ الكفن من عند الرأس الوارد في صحيحتي حفص </w:t>
      </w:r>
      <w:r>
        <w:rPr>
          <w:rStyle w:val="FootnoteAnchor"/>
          <w:rtl w:val="true"/>
        </w:rPr>
        <w:footnoteReference w:id="1962"/>
      </w:r>
      <w:r>
        <w:rPr>
          <w:rFonts w:ascii="Amiri" w:hAnsi="Amiri" w:eastAsia="Amiri" w:cs="Amiri"/>
          <w:color w:val="111111"/>
          <w:sz w:val="28"/>
          <w:sz w:val="28"/>
          <w:szCs w:val="28"/>
          <w:rtl w:val="true"/>
          <w:lang w:bidi="ar-SA"/>
        </w:rPr>
        <w:t xml:space="preserve">وابن أبي عمير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الأخير استحباب وضعه خدّه على التراب ، وبه صرّح كثير من الأصحاب </w:t>
      </w:r>
      <w:r>
        <w:rPr>
          <w:rStyle w:val="FootnoteAnchor"/>
          <w:rtl w:val="true"/>
        </w:rPr>
        <w:footnoteReference w:id="1964"/>
      </w:r>
      <w:r>
        <w:rPr>
          <w:rFonts w:ascii="Amiri" w:hAnsi="Amiri" w:eastAsia="Amiri" w:cs="Amiri"/>
          <w:color w:val="111111"/>
          <w:sz w:val="28"/>
          <w:sz w:val="28"/>
          <w:szCs w:val="28"/>
          <w:rtl w:val="true"/>
          <w:lang w:bidi="ar-SA"/>
        </w:rPr>
        <w:t xml:space="preserve">،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محفوظ الإسكاف </w:t>
      </w:r>
      <w:r>
        <w:rPr>
          <w:rStyle w:val="FootnoteAnchor"/>
          <w:rtl w:val="true"/>
        </w:rPr>
        <w:footnoteReference w:id="1965"/>
      </w:r>
      <w:r>
        <w:rPr>
          <w:rFonts w:ascii="Amiri" w:hAnsi="Amiri" w:eastAsia="Amiri" w:cs="Amiri"/>
          <w:color w:val="111111"/>
          <w:sz w:val="28"/>
          <w:sz w:val="28"/>
          <w:szCs w:val="28"/>
          <w:rtl w:val="true"/>
          <w:lang w:bidi="ar-SA"/>
        </w:rPr>
        <w:t xml:space="preserve">، وروايتا ابن عجلان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مرسلة الفقيه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وسادة من تراب ، ويجعل خلف ظهره مدرة لئلاّ يستلقي </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معه شي‌ء من التربة المباركة ، لأنّها أمان من كلّ خوف ، كما ورد في الأخبار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ولصحيحة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طين القبر يوضع مع الميت في قبره ، فهل يجوز ذلك أم لا؟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يوضع مع الميت في قبره ويخلط بحنوطه إن شاء اللّه </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في أكفانه شي‌ء من طين القبر ، قبر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أن امرأة قذفها القبر مرارا ، لأنّها كانت تزني وتحرق أولادها ، فأخبرت أمّها الصادق عليه السلام بذلك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معها شيئا من تربة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جعلها تحت خدّه كما عن المفيد والحلّي والشهيد </w:t>
      </w:r>
      <w:r>
        <w:rPr>
          <w:rStyle w:val="FootnoteAnchor"/>
          <w:rtl w:val="true"/>
        </w:rPr>
        <w:footnoteReference w:id="1972"/>
      </w:r>
      <w:r>
        <w:rPr>
          <w:rFonts w:ascii="Amiri" w:hAnsi="Amiri" w:eastAsia="Amiri" w:cs="Amiri"/>
          <w:color w:val="111111"/>
          <w:sz w:val="28"/>
          <w:sz w:val="28"/>
          <w:szCs w:val="28"/>
          <w:rtl w:val="true"/>
          <w:lang w:bidi="ar-SA"/>
        </w:rPr>
        <w:t xml:space="preserve">، أو في وجهه كما عن الاقتصاد والعزّية </w:t>
      </w:r>
      <w:r>
        <w:rPr>
          <w:rStyle w:val="FootnoteAnchor"/>
          <w:rtl w:val="true"/>
        </w:rPr>
        <w:footnoteReference w:id="1973"/>
      </w:r>
      <w:r>
        <w:rPr>
          <w:rFonts w:ascii="Amiri" w:hAnsi="Amiri" w:eastAsia="Amiri" w:cs="Amiri"/>
          <w:color w:val="111111"/>
          <w:sz w:val="28"/>
          <w:sz w:val="28"/>
          <w:szCs w:val="28"/>
          <w:rtl w:val="true"/>
          <w:lang w:bidi="ar-SA"/>
        </w:rPr>
        <w:t xml:space="preserve">، أو تلقاء وجهه كما في قول آخر للشيخ كما ذكره الحلّي </w:t>
      </w:r>
      <w:r>
        <w:rPr>
          <w:rStyle w:val="FootnoteAnchor"/>
          <w:rtl w:val="true"/>
        </w:rPr>
        <w:footnoteReference w:id="1974"/>
      </w:r>
      <w:r>
        <w:rPr>
          <w:rFonts w:ascii="Amiri" w:hAnsi="Amiri" w:eastAsia="Amiri" w:cs="Amiri"/>
          <w:color w:val="111111"/>
          <w:sz w:val="28"/>
          <w:sz w:val="28"/>
          <w:szCs w:val="28"/>
          <w:rtl w:val="true"/>
          <w:lang w:bidi="ar-SA"/>
        </w:rPr>
        <w:t xml:space="preserve">، ويحتمل اتّحاده مع سابقة ، أو في كفنه كما عن بعضهم </w:t>
      </w:r>
      <w:r>
        <w:rPr>
          <w:rStyle w:val="FootnoteAnchor"/>
          <w:rtl w:val="true"/>
        </w:rPr>
        <w:footnoteReference w:id="1975"/>
      </w:r>
      <w:r>
        <w:rPr>
          <w:rFonts w:ascii="Amiri" w:hAnsi="Amiri" w:eastAsia="Amiri" w:cs="Amiri"/>
          <w:color w:val="111111"/>
          <w:sz w:val="28"/>
          <w:sz w:val="28"/>
          <w:szCs w:val="28"/>
          <w:rtl w:val="true"/>
          <w:lang w:bidi="ar-SA"/>
        </w:rPr>
        <w:t xml:space="preserve">، أو كيف اتّفق كما عن النهاية والمبسوط والمختلف </w:t>
      </w:r>
      <w:r>
        <w:rPr>
          <w:rStyle w:val="FootnoteAnchor"/>
          <w:rtl w:val="true"/>
        </w:rPr>
        <w:footnoteReference w:id="1976"/>
      </w:r>
      <w:r>
        <w:rPr>
          <w:rFonts w:ascii="Amiri" w:hAnsi="Amiri" w:eastAsia="Amiri" w:cs="Amiri"/>
          <w:color w:val="111111"/>
          <w:sz w:val="28"/>
          <w:sz w:val="28"/>
          <w:szCs w:val="28"/>
          <w:rtl w:val="true"/>
          <w:lang w:bidi="ar-SA"/>
        </w:rPr>
        <w:t xml:space="preserve">بل نسب إلى الأكثر </w:t>
      </w:r>
      <w:r>
        <w:rPr>
          <w:rStyle w:val="FootnoteAnchor"/>
          <w:rtl w:val="true"/>
        </w:rPr>
        <w:footnoteReference w:id="1977"/>
      </w:r>
      <w:r>
        <w:rPr>
          <w:rFonts w:ascii="Amiri" w:hAnsi="Amiri" w:eastAsia="Amiri" w:cs="Amiri"/>
          <w:color w:val="111111"/>
          <w:sz w:val="28"/>
          <w:sz w:val="28"/>
          <w:szCs w:val="28"/>
          <w:rtl w:val="true"/>
          <w:lang w:bidi="ar-SA"/>
        </w:rPr>
        <w:t xml:space="preserve">،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الأخيرين ، لعدم دليل على غيرهما ، سوى ما استدلّ به للثالث من المروي في المصباح من الترغيب في وضع لبنة من الطين مقابل وجهه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وإرادة طين القبر منه غير معلومة وإن فهمه الشيخ ، وغيره </w:t>
      </w:r>
      <w:r>
        <w:rPr>
          <w:rStyle w:val="FootnoteAnchor"/>
          <w:rtl w:val="true"/>
        </w:rPr>
        <w:footnoteReference w:id="1979"/>
      </w:r>
      <w:r>
        <w:rPr>
          <w:rFonts w:ascii="Amiri" w:hAnsi="Amiri" w:eastAsia="Amiri" w:cs="Amiri"/>
          <w:color w:val="111111"/>
          <w:sz w:val="28"/>
          <w:sz w:val="28"/>
          <w:szCs w:val="28"/>
          <w:rtl w:val="true"/>
          <w:lang w:bidi="ar-SA"/>
        </w:rPr>
        <w:t xml:space="preserve">، وشيوع </w:t>
      </w:r>
    </w:p>
    <w:p>
      <w:pPr>
        <w:pStyle w:val="BookText"/>
        <w:rPr/>
      </w:pPr>
      <w:r>
        <w:rPr>
          <w:rFonts w:ascii="Amiri" w:hAnsi="Amiri" w:eastAsia="Amiri" w:cs="Amiri"/>
          <w:color w:val="111111"/>
          <w:sz w:val="28"/>
          <w:sz w:val="28"/>
          <w:szCs w:val="28"/>
          <w:rtl w:val="true"/>
          <w:lang w:bidi="ar-SA"/>
        </w:rPr>
        <w:t>إطلاق الطين المطلق عليه بحيث يتبادر منه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قبر المرأة بثوب حين دفنها ، كما عن الإسكافي والمفيد في كتاب أحكام النساء </w:t>
      </w:r>
      <w:r>
        <w:rPr>
          <w:rStyle w:val="FootnoteAnchor"/>
          <w:rtl w:val="true"/>
        </w:rPr>
        <w:footnoteReference w:id="1980"/>
      </w:r>
      <w:r>
        <w:rPr>
          <w:rFonts w:ascii="Amiri" w:hAnsi="Amiri" w:eastAsia="Amiri" w:cs="Amiri"/>
          <w:color w:val="111111"/>
          <w:sz w:val="28"/>
          <w:sz w:val="28"/>
          <w:szCs w:val="28"/>
          <w:rtl w:val="true"/>
          <w:lang w:bidi="ar-SA"/>
        </w:rPr>
        <w:t xml:space="preserve">، والتهذيب والخلاف والمحقق والمنتهى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العلماء </w:t>
      </w:r>
      <w:r>
        <w:rPr>
          <w:rStyle w:val="FootnoteAnchor"/>
          <w:rtl w:val="true"/>
        </w:rPr>
        <w:footnoteReference w:id="1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الحجة فيه ، مضافا إلى إطلاق خبر ابن سويد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يلحق بها الرجل على الأظهر ، لما في ذلك الخبر ، وللأصل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ما روي من مدّ ثوب على قبر سعد </w:t>
      </w:r>
      <w:r>
        <w:rPr>
          <w:rStyle w:val="FootnoteAnchor"/>
          <w:rtl w:val="true"/>
        </w:rPr>
        <w:footnoteReference w:id="1983"/>
      </w:r>
      <w:r>
        <w:rPr>
          <w:rFonts w:ascii="Amiri" w:hAnsi="Amiri" w:eastAsia="Amiri" w:cs="Amiri"/>
          <w:color w:val="111111"/>
          <w:sz w:val="28"/>
          <w:sz w:val="28"/>
          <w:szCs w:val="28"/>
          <w:rtl w:val="true"/>
          <w:lang w:bidi="ar-SA"/>
        </w:rPr>
        <w:t>، إذ ليس فيه تصريح بكونه قبل الدفن ، ولأنه فعل فلا يعارض القول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النازل في القبر عند نزوله فيه ، وعند تناوله الميت ، وعند إدخاله القبر ، وعند وضعه في اللحد ، وبعده ، وعند وضع اللبن على اللحد ، وعند الخروج من القبر ، وعند تسوية التراب عليه وإهالته عليه ، بالدعوات المأثورة في كلّ منها في الروايات </w:t>
      </w:r>
      <w:r>
        <w:rPr>
          <w:rStyle w:val="FootnoteAnchor"/>
          <w:rtl w:val="true"/>
        </w:rPr>
        <w:footnoteReference w:id="1984"/>
      </w:r>
      <w:r>
        <w:rPr>
          <w:rFonts w:ascii="Amiri" w:hAnsi="Amiri" w:eastAsia="Amiri" w:cs="Amiri"/>
          <w:color w:val="111111"/>
          <w:sz w:val="28"/>
          <w:sz w:val="28"/>
          <w:szCs w:val="28"/>
          <w:rtl w:val="true"/>
          <w:lang w:bidi="ar-SA"/>
        </w:rPr>
        <w:t>، ومع اختلافها له التخيير أو الجمع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في قبره قبل التلقين فاتحة الكتاب والمعوّذتين والتوحيد وآية الكرسي ، كما تظافرت عليه الروايات وتكاثرت ، كما في الرضوي </w:t>
      </w:r>
      <w:r>
        <w:rPr>
          <w:rStyle w:val="FootnoteAnchor"/>
          <w:rtl w:val="true"/>
        </w:rPr>
        <w:footnoteReference w:id="1985"/>
      </w:r>
      <w:r>
        <w:rPr>
          <w:rFonts w:ascii="Amiri" w:hAnsi="Amiri" w:eastAsia="Amiri" w:cs="Amiri"/>
          <w:color w:val="111111"/>
          <w:sz w:val="28"/>
          <w:sz w:val="28"/>
          <w:szCs w:val="28"/>
          <w:rtl w:val="true"/>
          <w:lang w:bidi="ar-SA"/>
        </w:rPr>
        <w:t xml:space="preserve">، وفي حسنة ابن يقطين </w:t>
      </w:r>
      <w:r>
        <w:rPr>
          <w:rStyle w:val="FootnoteAnchor"/>
          <w:rtl w:val="true"/>
        </w:rPr>
        <w:footnoteReference w:id="1986"/>
      </w:r>
      <w:r>
        <w:rPr>
          <w:rFonts w:ascii="Amiri" w:hAnsi="Amiri" w:eastAsia="Amiri" w:cs="Amiri"/>
          <w:color w:val="111111"/>
          <w:sz w:val="28"/>
          <w:sz w:val="28"/>
          <w:szCs w:val="28"/>
          <w:rtl w:val="true"/>
          <w:lang w:bidi="ar-SA"/>
        </w:rPr>
        <w:t xml:space="preserve">، والمروي في دعوات الراوندي </w:t>
      </w:r>
      <w:r>
        <w:rPr>
          <w:rStyle w:val="FootnoteAnchor"/>
          <w:rtl w:val="true"/>
        </w:rPr>
        <w:footnoteReference w:id="1987"/>
      </w:r>
      <w:r>
        <w:rPr>
          <w:rFonts w:ascii="Amiri" w:hAnsi="Amiri" w:eastAsia="Amiri" w:cs="Amiri"/>
          <w:color w:val="111111"/>
          <w:sz w:val="28"/>
          <w:sz w:val="28"/>
          <w:szCs w:val="28"/>
          <w:rtl w:val="true"/>
          <w:lang w:bidi="ar-SA"/>
        </w:rPr>
        <w:t xml:space="preserve">، وروايتي ابن عجلان </w:t>
      </w:r>
      <w:r>
        <w:rPr>
          <w:rStyle w:val="FootnoteAnchor"/>
          <w:rtl w:val="true"/>
        </w:rPr>
        <w:footnoteReference w:id="1988"/>
      </w:r>
      <w:r>
        <w:rPr>
          <w:rFonts w:ascii="IRNazanin" w:hAnsi="IRNazanin" w:eastAsia="IRNazanin"/>
          <w:color w:val="111111"/>
          <w:sz w:val="28"/>
          <w:sz w:val="28"/>
          <w:szCs w:val="28"/>
          <w:rtl w:val="true"/>
          <w:lang w:bidi="fa-IR"/>
        </w:rPr>
        <w:t xml:space="preserve">، وخبر </w:t>
      </w:r>
    </w:p>
    <w:p>
      <w:pPr>
        <w:pStyle w:val="BookText"/>
        <w:rPr/>
      </w:pPr>
      <w:r>
        <w:rPr>
          <w:rFonts w:ascii="Amiri" w:hAnsi="Amiri" w:eastAsia="Amiri" w:cs="Amiri"/>
          <w:color w:val="111111"/>
          <w:sz w:val="28"/>
          <w:sz w:val="28"/>
          <w:szCs w:val="28"/>
          <w:rtl w:val="true"/>
          <w:lang w:bidi="ar-SA"/>
        </w:rPr>
        <w:t xml:space="preserve">ابن عطية </w:t>
      </w:r>
      <w:r>
        <w:rPr>
          <w:rStyle w:val="FootnoteAnchor"/>
          <w:rtl w:val="true"/>
        </w:rPr>
        <w:footnoteReference w:id="198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التعوّذ باللّه من الشيطان الرجيم قبلها كما في الثالث ، والصلوات أيضا كما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القارئ أولى الناس به ، كما في الثاني </w:t>
      </w:r>
      <w:r>
        <w:rPr>
          <w:rStyle w:val="FootnoteAnchor"/>
          <w:rtl w:val="true"/>
        </w:rPr>
        <w:footnoteReference w:id="1990"/>
      </w:r>
      <w:r>
        <w:rPr>
          <w:rFonts w:ascii="Amiri" w:hAnsi="Amiri" w:eastAsia="Amiri" w:cs="Amiri"/>
          <w:color w:val="111111"/>
          <w:sz w:val="28"/>
          <w:sz w:val="28"/>
          <w:szCs w:val="28"/>
          <w:rtl w:val="true"/>
          <w:lang w:bidi="ar-SA"/>
        </w:rPr>
        <w:t>والرابعين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بعد وضع خدّه إلى التراب وقبل شرج اللحد الشهادتين ، والإقرار بالأئمة من أولهم إلى آخرهم ، إجماعا كما عن الغنية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استفاضت الأخبار ، ففي حسنة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قدر أن يحسر عن خدّه ويلصقه بالأرض فليفعل ، وليتشهّد ، وليذكر ما يعلم حتى ينتهي إلى صاحبه </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الدفن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بالأئمة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ابن عجلان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روايته 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ليقل ما يعلم ، ويسمعه تلقينه شهادة أن لا إله إلاّ اللّه ، وأن محمدا رسول اللّه صلی اللّه عليه وآله ، ويذكر له ما يعلم واحدا بعد واحد </w:t>
      </w:r>
      <w:r>
        <w:rPr>
          <w:rFonts w:eastAsia="IRNazanin" w:cs="IRNazanin"/>
          <w:color w:val="111111"/>
          <w:sz w:val="28"/>
          <w:szCs w:val="28"/>
          <w:rtl w:val="true"/>
          <w:lang w:bidi="fa-IR"/>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ومقتضاها حصول التلقين بالشهادات الثلاث بأيّ عبارة أدّاها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التعبير بواحدة ممّا ورد في الروايات ، كما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يدك على منكبه الأيمن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رضيت باللّه ربا ، وبالإسلام دينا ، وبمحمد نبيا ، وبعلي إماما ، ويسمّي إمام زمانه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ما في رواية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فضع يدك على اذنه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ربك ، والإسلام دينك ، ومحمد صلی اللّه عليه وآله نبيّك ، والقرآن كتابك ، وعلي إمامك </w:t>
      </w:r>
      <w:r>
        <w:rPr>
          <w:rFonts w:eastAsia="IRNazanin" w:cs="IRNazanin"/>
          <w:color w:val="111111"/>
          <w:sz w:val="28"/>
          <w:szCs w:val="28"/>
          <w:rtl w:val="true"/>
          <w:lang w:bidi="fa-IR"/>
        </w:rPr>
        <w:t xml:space="preserve">» </w:t>
      </w:r>
      <w:r>
        <w:rPr>
          <w:rStyle w:val="FootnoteAnchor"/>
          <w:rtl w:val="true"/>
        </w:rPr>
        <w:footnoteReference w:id="1996"/>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فمك على اذنه </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بدل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ما في رواية محفوظ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ويدني فمه إلى سمعه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ربك ، ومحمد صلی اللّه عليه وآله نبيّك ، والإسلام دينك ، وفلان إمامك ، اسمع وافهم ، وأعدها عليه ثلاث مرّات هذا التلقين </w:t>
      </w:r>
      <w:r>
        <w:rPr>
          <w:rFonts w:eastAsia="IRNazanin" w:cs="IRNazanin"/>
          <w:color w:val="111111"/>
          <w:sz w:val="28"/>
          <w:szCs w:val="28"/>
          <w:rtl w:val="true"/>
          <w:lang w:bidi="fa-IR"/>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ويذكر الأئمة بأسمائهم على هذه الرواية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إمامك والحسن إمامك إلى آخر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ما في رواية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تضع يدك اليسرى على عضده الأيسر وتحرّكه تحريكا شديدا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 ومحمد صلی اللّه عليه وآله نبيّي ، والإسلام ديني ، والقرآن كتابي ، وعلي 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يستوفي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تعيد عليه القول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أفهمت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يجيب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ثبّتك اللّه بالقول الثابت وهداك اللّه إلى صراط مستقيم ، عرّف اللّه بينك وبين أوليائك في مستقر رحمته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الأرض </w:t>
      </w:r>
      <w:r>
        <w:rPr>
          <w:rFonts w:eastAsia="IRNazanin" w:cs="IRNazanin"/>
          <w:color w:val="111111"/>
          <w:sz w:val="28"/>
          <w:szCs w:val="28"/>
          <w:rtl w:val="true"/>
          <w:lang w:bidi="fa-IR"/>
        </w:rPr>
        <w:t xml:space="preserve">» </w:t>
      </w:r>
      <w:r>
        <w:rPr>
          <w:rStyle w:val="FootnoteAnchor"/>
          <w:rtl w:val="true"/>
        </w:rPr>
        <w:footnoteReference w:id="199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 في مرسلة الفقيه عن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تدخل يدك اليمنى تحت منكبه الأيمن ، وتضع يدك اليسرى على منكبه الأيسر ، وتحرّكه تحريكا شديدا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ربك ، ومحمد صلی اللّه عليه وآله نبيّك ، والإسلام دينك ، وعلي وليك وإمامك ، وتسمّي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واحدا إلى آخرهم </w:t>
      </w:r>
    </w:p>
    <w:p>
      <w:pPr>
        <w:pStyle w:val="BookText"/>
        <w:rPr/>
      </w:pPr>
      <w:r>
        <w:rPr>
          <w:rFonts w:ascii="Amiri" w:hAnsi="Amiri" w:eastAsia="Amiri" w:cs="Amiri"/>
          <w:color w:val="111111"/>
          <w:sz w:val="28"/>
          <w:sz w:val="28"/>
          <w:szCs w:val="28"/>
          <w:rtl w:val="true"/>
          <w:lang w:bidi="ar-SA"/>
        </w:rPr>
        <w:t xml:space="preserve">أئمتك أئمة هدى أبرار ، ثمَّ تعيد عليه التلقين مرة بعد اخرى </w:t>
      </w:r>
      <w:r>
        <w:rPr>
          <w:rFonts w:eastAsia="Amiri" w:cs="Amiri" w:ascii="Amiri" w:hAnsi="Amiri"/>
          <w:color w:val="111111"/>
          <w:sz w:val="28"/>
          <w:szCs w:val="28"/>
          <w:rtl w:val="true"/>
          <w:lang w:bidi="ar-SA"/>
        </w:rPr>
        <w:t xml:space="preserve">» </w:t>
      </w:r>
      <w:r>
        <w:rPr>
          <w:rStyle w:val="FootnoteAnchor"/>
          <w:rtl w:val="true"/>
        </w:rPr>
        <w:footnoteReference w:id="200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الجمع بين جميع الروايات فيلقّن بالجميع ، وأن يلقّن في كلّ مرة بواحد منها ، فإنه يستحب تكرير التلقين ثلاثا ، كما صرّح به في بعض الروايات المتقدمة ، وله الزيادة بكلّ ما يناسب المقام ، كما فعله شيخنا المجلسي في التلقين الذي ذكره في زاد المعاد ، وهو يتضمّن التكرار بالمرّات الثلاث أيضا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فيه أن يكون الملقّن هو الولي ، وأن يدني فمه إلى اذنه ، وأن يضع يده على منكبه الأيسر واليمنى تحت منكبه الأيمن ، كما صرّح بكل ذلك فيما مرّ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وضع اليد على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استحبابه ، لاختلاف العبارة فيها ، كما عرفت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يباشر الولي فالأولى أن يكون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ولو لقّن مع ما ذكر كلّ أحد بلسانه أيضا كان أولى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التلقين هو التلقين الثاني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 بناء على ما ذكره من استحبابه عند التكفين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ما مرّ من تلقين الاحتضار ، والثالث ما يأتي من التلقين بعد تسوية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الرجلين مطلقا ، للمعتبرة الدالّة على أنه باب القبر </w:t>
      </w:r>
      <w:r>
        <w:rPr>
          <w:rStyle w:val="FootnoteAnchor"/>
          <w:rtl w:val="true"/>
        </w:rPr>
        <w:footnoteReference w:id="2003"/>
      </w:r>
      <w:r>
        <w:rPr>
          <w:rFonts w:ascii="Amiri" w:hAnsi="Amiri" w:eastAsia="Amiri" w:cs="Amiri"/>
          <w:color w:val="111111"/>
          <w:sz w:val="28"/>
          <w:sz w:val="28"/>
          <w:szCs w:val="28"/>
          <w:rtl w:val="true"/>
          <w:lang w:bidi="ar-SA"/>
        </w:rPr>
        <w:t xml:space="preserve">، وخبري السكوني وسهل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القبر فلا يخرج إلاّ من قبل الرجلين </w:t>
      </w:r>
      <w:r>
        <w:rPr>
          <w:rFonts w:eastAsia="Amiri" w:cs="Amiri" w:ascii="Amiri" w:hAnsi="Amiri"/>
          <w:color w:val="111111"/>
          <w:sz w:val="28"/>
          <w:szCs w:val="28"/>
          <w:rtl w:val="true"/>
          <w:lang w:bidi="ar-SA"/>
        </w:rPr>
        <w:t xml:space="preserve">»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الرجل القبر من حيث شاء ، ولا يخرج إلاّ من قبل رجليه </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 في المرأة ، فيخرج من عند رأسها ، للبعد من العورة </w:t>
      </w:r>
      <w:r>
        <w:rPr>
          <w:rStyle w:val="FootnoteAnchor"/>
          <w:rtl w:val="true"/>
        </w:rPr>
        <w:footnoteReference w:id="2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والإطلاقات عليه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الدخول ، وبه يخصّص إشعار المعتبرة المذكورة ، ففتوى المنتهى بكونه كالخروج </w:t>
      </w:r>
      <w:r>
        <w:rPr>
          <w:rStyle w:val="FootnoteAnchor"/>
          <w:rtl w:val="true"/>
        </w:rPr>
        <w:footnoteReference w:id="2007"/>
      </w:r>
      <w:r>
        <w:rPr>
          <w:rFonts w:ascii="Amiri" w:hAnsi="Amiri" w:eastAsia="Amiri" w:cs="Amiri"/>
          <w:color w:val="111111"/>
          <w:sz w:val="28"/>
          <w:sz w:val="28"/>
          <w:szCs w:val="28"/>
          <w:rtl w:val="true"/>
          <w:lang w:bidi="ar-SA"/>
        </w:rPr>
        <w:t>، لها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مكروهات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اثنين في قبر واحد ، لمرسلة الشيخ في المبسوط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يدفن في قبر واحد اثنان </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وخلوّه عن النهي ، وضعفه ، وعدم القول بالحرمة أوجب الاستدلال به 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وتنتفي مع الضرورة ، لقول النبي صلی اللّه عليه وآله للأنصار يوم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اجعلوا الاثنين والثلاثة في القبر الواحد ، وقدّموا أكثرهم قرآنا </w:t>
      </w:r>
      <w:r>
        <w:rPr>
          <w:rFonts w:eastAsia="IRNazanin" w:cs="IRNazanin"/>
          <w:color w:val="111111"/>
          <w:sz w:val="28"/>
          <w:szCs w:val="28"/>
          <w:rtl w:val="true"/>
          <w:lang w:bidi="fa-IR"/>
        </w:rPr>
        <w:t xml:space="preserve">» </w:t>
      </w:r>
      <w:r>
        <w:rPr>
          <w:rStyle w:val="FootnoteAnchor"/>
          <w:rtl w:val="true"/>
        </w:rPr>
        <w:footnoteReference w:id="2009"/>
      </w:r>
      <w:r>
        <w:rPr>
          <w:rFonts w:ascii="Amiri" w:hAnsi="Amiri" w:eastAsia="Amiri" w:cs="Amiri"/>
          <w:color w:val="111111"/>
          <w:sz w:val="28"/>
          <w:sz w:val="28"/>
          <w:szCs w:val="28"/>
          <w:rtl w:val="true"/>
          <w:lang w:bidi="ar-SA"/>
        </w:rPr>
        <w:t>أي اجعلوه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الابتداء ، وأمّا مع سبق أحدهما في الدفن فظاهر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بل عن الشهيد إجماع المسلمين عليه </w:t>
      </w:r>
      <w:r>
        <w:rPr>
          <w:rStyle w:val="FootnoteAnchor"/>
          <w:rtl w:val="true"/>
        </w:rPr>
        <w:footnoteReference w:id="2010"/>
      </w:r>
      <w:r>
        <w:rPr>
          <w:rFonts w:ascii="Amiri" w:hAnsi="Amiri" w:eastAsia="Amiri" w:cs="Amiri"/>
          <w:color w:val="111111"/>
          <w:sz w:val="28"/>
          <w:sz w:val="28"/>
          <w:szCs w:val="28"/>
          <w:rtl w:val="true"/>
          <w:lang w:bidi="ar-SA"/>
        </w:rPr>
        <w:t>، لحرمة النبش ، وسبق حقّ الأول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وفيهما نظر ، لأنّ حرمته لا تنافي جواز الدفن بعد النبش ، وسبق الحق فرع وجوب اختصاصه بالدفن ، إلاّ أن يراد حق أولياء الميت حيث تصرّفوا فيه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لأجل ذلك أفتى الشيخ في النهاية بالكراهة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فليس السرب المعدّ لوضع الأموات من هذا القبيل ، لعدم صدق النبش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بعد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أمور كلّها 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إهالة الحاضرين وصبّهم التراب في قبره بعد خروجه منه ، للمستفيضة ، كحسنة داود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 الميت لحده قام فحثا عليه التراب ثلاث مرات بيده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فحثا عليه ممّا يلي رأسه ثلاثا بكفه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بظهر الكفين معا ، لخبر ابن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فحثا التراب على القبر بظهر كفيه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احث التراب عليه ثلاث مرّات بظهر كفيك </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احث التراب عليه بظهر كفيك ثلاث مرّات </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يقيد إطلاق الأوليين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حسنة ابن اذنية أو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الصادق عليه السلام يطرح التراب على الميت ، فيمسكه ساعة في يده ثمَّ يطرحه ، ولا يزيد على ثلاث أكف ، فسألته عن ذلك ، أي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بك </w:t>
      </w:r>
      <w:r>
        <w:rPr>
          <w:rFonts w:eastAsia="Amiri" w:cs="Amiri" w:ascii="Amiri" w:hAnsi="Amiri"/>
          <w:color w:val="111111"/>
          <w:sz w:val="28"/>
          <w:szCs w:val="28"/>
          <w:rtl w:val="true"/>
          <w:lang w:bidi="ar-SA"/>
        </w:rPr>
        <w:t xml:space="preserve">» </w:t>
      </w:r>
      <w:r>
        <w:rPr>
          <w:rStyle w:val="FootnoteAnchor"/>
          <w:rtl w:val="true"/>
        </w:rPr>
        <w:footnoteReference w:id="2017"/>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آخره ، فلا ينافي ما مرّ صريحا ، لجواز كون الإمساك في ظهر اليد وإن كان الباطن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ثلاثا ، للتصريح به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يستحب الزائد ، للأصل ، فما عن الذكرى أنّ الثلاثة هي الأقل </w:t>
      </w:r>
      <w:r>
        <w:rPr>
          <w:rStyle w:val="FootnoteAnchor"/>
          <w:rtl w:val="true"/>
        </w:rPr>
        <w:footnoteReference w:id="2018"/>
      </w:r>
      <w:r>
        <w:rPr>
          <w:rFonts w:ascii="IRNazanin" w:hAnsi="IRNazanin" w:eastAsia="IRNazanin"/>
          <w:color w:val="111111"/>
          <w:sz w:val="28"/>
          <w:sz w:val="28"/>
          <w:szCs w:val="28"/>
          <w:rtl w:val="true"/>
          <w:lang w:bidi="fa-IR"/>
        </w:rPr>
        <w:t>،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يتّصف الأقلّ منها بالاستحباب وإن كان الثلاثة أفضل؟ فيه نظر ، وصرّح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أن لا يهيل عليه ذو رحم ، لموثّقة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كان منه ذا رحم فلا يطرح عليه التراب ، فإنّ رسول اللّه صلی اللّه عليه وآله نهى أن يطرح الوالد أو ذو رحم على ميته التراب </w:t>
      </w:r>
      <w:r>
        <w:rPr>
          <w:rFonts w:eastAsia="IRNazanin" w:cs="IRNazanin"/>
          <w:color w:val="111111"/>
          <w:sz w:val="28"/>
          <w:szCs w:val="28"/>
          <w:rtl w:val="true"/>
          <w:lang w:bidi="fa-IR"/>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القبر بالماء ، إجماعا محقّقا ومنقولا مستفيضا </w:t>
      </w:r>
      <w:r>
        <w:rPr>
          <w:rStyle w:val="FootnoteAnchor"/>
          <w:rtl w:val="true"/>
        </w:rPr>
        <w:footnoteReference w:id="2020"/>
      </w:r>
      <w:r>
        <w:rPr>
          <w:rFonts w:ascii="Amiri" w:hAnsi="Amiri" w:eastAsia="Amiri" w:cs="Amiri"/>
          <w:color w:val="111111"/>
          <w:sz w:val="28"/>
          <w:sz w:val="28"/>
          <w:szCs w:val="28"/>
          <w:rtl w:val="true"/>
          <w:lang w:bidi="ar-SA"/>
        </w:rPr>
        <w:t>، وتكاثرت عليه الروايات جدّا ، بل تواترت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يتجافى عنه العذاب ما دام الندى في التراب </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الصدوق في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الرشّ بالماء على القبر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وقت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 يظهر عدم اختصاص استحبابه بحال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اختيار الرجال للكشي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مولانا أبو الحسن الرضا عليه السلام برشّ الماء على قبر زميله محمد بن الحباب أربعين شهرا أو أربعين يوما ، في كل يوم مرة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والأفضل في كيفية الرشّ أن يجعل الراشّ القبر أمامه في جانب القبلة ، فيبدأ من جانب الرأس ، ويرشّ الماء دورا ، بأن يديره على الجوانب الأربع متّصلا حتى يصل إلى موضع الشروع ، ثمَّ يصبّ على الوسط ، كما في خبر النميري والرضوي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رشّ الماء على القبر أن يستقبل القبلة ويبدأ من عند الرأس إلى عند الرجل ، ثمَّ يدور على القبر من الجانب الآخر ، ثمَّ يرش على وسط القبر ، فذلك السنة </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استوى قبره فصب عليه ماء ، وتجعل القبر أمامك وأنت مستقبل القبلة ، وتبدأ يصب الماء من عند رأسه ، وتدور على القبر من أربع جوانب القبر حتى ترجع من غير أن تقطع الماء ، فإن فضل من الماء شي‌ء فصبّه على وسط القبر </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الحاضرين أيديهم عليه بعد رشّه ،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والمستفيضة من النصوص </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مفرّجة الأصابع ، مؤثّرة في التراب ، كما ورد في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حثي عليه التراب فضع كفّك على قبره عند رأسه ، وفرّج أصابعك ، واغمز كفك عليه بعد ما ينضح بالماء </w:t>
      </w:r>
      <w:r>
        <w:rPr>
          <w:rFonts w:eastAsia="Amiri" w:cs="Amiri" w:ascii="Amiri" w:hAnsi="Amiri"/>
          <w:color w:val="111111"/>
          <w:sz w:val="28"/>
          <w:szCs w:val="28"/>
          <w:rtl w:val="true"/>
          <w:lang w:bidi="ar-SA"/>
        </w:rPr>
        <w:t xml:space="preserve">» </w:t>
      </w:r>
      <w:r>
        <w:rPr>
          <w:rStyle w:val="FootnoteAnchor"/>
          <w:rtl w:val="true"/>
        </w:rPr>
        <w:footnoteReference w:id="2028"/>
      </w:r>
      <w:r>
        <w:rPr>
          <w:rFonts w:ascii="IRNazanin" w:hAnsi="IRNazanin" w:eastAsia="IRNazanin"/>
          <w:color w:val="111111"/>
          <w:sz w:val="28"/>
          <w:sz w:val="28"/>
          <w:szCs w:val="28"/>
          <w:rtl w:val="true"/>
          <w:lang w:bidi="fa-IR"/>
        </w:rPr>
        <w:t xml:space="preserve">ونحوها حسنتها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مستقبل القبلة ، للرضوي ، وفيه بعد الأمر بالرشّ وآدابه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ضع يدك على القبر وأنت مستقبل القبلة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 وصل وحدته ، وآنس وحشته ، وآمن روعته ، وأفض عليه من رحمتك ، وأسكن إليه من برد عفوك وسعة غفرانك ورحمتك رحمة يستغني بها عن رحمة من سواك ، واحشره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 زرت قبره فادع له بهذا الدعاء وأنت مستقبل القبلة ويداك على القبر </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وتؤيده مضمرة البصري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داعيا بما في الرضوي ، أو بما في حسنة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كفه على القبر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جاف الأرض عن جنبيه ، وأصعد إليك روحه ، ولقّه منك رضوانا ، وأسكن قبره من رحمتك ما تغنيه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رحمه من سواك </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استحباب ذلك الوضع لمن لم يحضر الصلاة ، كما صرّح به والدي رحمه اللّه أيضا ، لخبر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يصنعون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حضروا الجنازة ودفن الميت لم يرجعوا حتى يمسحوا أيديهم على القبر ، أفسنّة ذلك أم بدعة؟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واجب على من لم يحضر الصلاة عليه </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بالوجوب تأكّد الاستحباب ، فلا ينافي ثبوت مرتبة منه لمن حضرها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نفي مرتبة التأكد أيضا يحمل خبر محمد بن إسحاق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ذلك لمن لم يدرك الصلاة عليه ، وأما من أدرك الصلاة فلا </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تنافيه أيضا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يصنع بمن مات من بني هاشم خاصة شيئا لا يصنعه بأحد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صلّى على الهاشمي ونضح قبره بالماء وضع رسول اللّه صلی اللّه عليه وآله كفه على القبر حتى ترى أصابعه في الطين ، فكان الغريب يقدم أو المسافر من أهل المدينة ، فيرى القبر الجديد عليه أثر كف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 آل محمد؟ </w:t>
      </w:r>
      <w:r>
        <w:rPr>
          <w:rFonts w:eastAsia="IRNazanin" w:cs="IRNazanin"/>
          <w:color w:val="111111"/>
          <w:sz w:val="28"/>
          <w:szCs w:val="28"/>
          <w:rtl w:val="true"/>
          <w:lang w:bidi="fa-IR"/>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لعلّه صلی اللّه عليه وآله كان يترك ذلك الوضع في قبر غير الهاشمي لتعرف قبور الهاشميين ، أو المراد أنّ الوضع عليه بحيث يرى أثر أصابعه المقدسة كان مختصا ببني هاشم ، مع أنّ عدم الاستحباب في بعض أزمنة الرسول لا ينافي تحقّقه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فالقول باختصاص ذلك ببني هاشم وعدم جوازه في غيرهم ، وعدّه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محمد بن علي بن إبراهيم بن هاشم في كتاب علله </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ثالثا بعد انصراف الناس ، بإجماعنا المحقّق والمحكي مستفيضا عن الغنية والمعتبر والمنتهى ونهاية الإحكام والتذكرة </w:t>
      </w:r>
      <w:r>
        <w:rPr>
          <w:rStyle w:val="FootnoteAnchor"/>
          <w:rtl w:val="true"/>
        </w:rPr>
        <w:footnoteReference w:id="2037"/>
      </w:r>
      <w:r>
        <w:rPr>
          <w:rFonts w:ascii="Amiri" w:hAnsi="Amiri" w:eastAsia="Amiri" w:cs="Amiri"/>
          <w:color w:val="111111"/>
          <w:sz w:val="28"/>
          <w:sz w:val="28"/>
          <w:szCs w:val="28"/>
          <w:rtl w:val="true"/>
          <w:lang w:bidi="ar-SA"/>
        </w:rPr>
        <w:t xml:space="preserve">، للمستفيضة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يحيى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الميت </w:t>
      </w:r>
      <w:r>
        <w:rPr>
          <w:rFonts w:eastAsia="Amiri" w:cs="Amiri" w:ascii="Amiri" w:hAnsi="Amiri"/>
          <w:color w:val="111111"/>
          <w:sz w:val="28"/>
          <w:szCs w:val="28"/>
          <w:rtl w:val="true"/>
          <w:lang w:bidi="ar-SA"/>
        </w:rPr>
        <w:t xml:space="preserve">] </w:t>
      </w:r>
      <w:r>
        <w:rPr>
          <w:rStyle w:val="FootnoteAnchor"/>
          <w:rtl w:val="true"/>
        </w:rPr>
        <w:footnoteReference w:id="2038"/>
      </w:r>
      <w:r>
        <w:rPr>
          <w:rFonts w:ascii="IRNazanin" w:hAnsi="IRNazanin" w:eastAsia="IRNazanin"/>
          <w:color w:val="111111"/>
          <w:sz w:val="28"/>
          <w:sz w:val="28"/>
          <w:szCs w:val="28"/>
          <w:rtl w:val="true"/>
          <w:lang w:bidi="fa-IR"/>
        </w:rPr>
        <w:t xml:space="preserve">منكم أن يدرءوا عن ميتهم لقاء منكر ونكير؟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أفرد الميت فليتخلّف عنده أولى الناس به ، فيضع فمه عند رأسه ، ثمَّ ينادي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 ، أو يا فلانة بنت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على العهد الذي فارقتنا عليه من شهادة أن لا إله إلا اللّه وحده لا شريك له ، وأنّ محمدا عبده ورسوله سيد النبيين ، وأنّ عليا أمير المؤمنين عليه السلام وسيد الوصيين ، وأنّ ما جاء به محمد صلی اللّه عليه وآله حقّ ، وأنّ الموت حقّ ، وأنّ البعث حقّ ، وأنّ اللّه يبعث من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فيقول منكر لنكير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بنا عن هذا فقد لقّن حجته </w:t>
      </w:r>
      <w:r>
        <w:rPr>
          <w:rFonts w:eastAsia="IRNazanin" w:cs="IRNazanin"/>
          <w:color w:val="111111"/>
          <w:sz w:val="28"/>
          <w:szCs w:val="28"/>
          <w:rtl w:val="true"/>
          <w:lang w:bidi="fa-IR"/>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على أحدكم إذا دفن ميته وسوّى عليه وانصرف عن قبره أن يتخلّف عند قبره؟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على العهد الذي عهدناك به من شهادة أن لا إله إلاّ اللّه ، وأنّ محمدا صلی اللّه عليه وآله رسول اللّه ، وأنّ عليا أمير المؤمنين عليه السلام إمامك ، وفلان ،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 إلى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إذا فعل ذلك قال أحد الملكين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الوصول إليه ومسألتنا إيّاه ، فإنه قد لقّن ، فينصرفان عنه ولا يدخلان إليه </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يتخلّف عند رأسه أولى الناس به بعد انصراف الناس عنه ، ويقبض على التراب بكفيه ويلقنه برفع صوته </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 xml:space="preserve">إلى آخره ، ومثله في العلل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ومقتضى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التلقين بالصوت العالي ، كما عن الوسيلة والجامع والإشارة والتحرير </w:t>
      </w:r>
      <w:r>
        <w:rPr>
          <w:rStyle w:val="FootnoteAnchor"/>
          <w:rtl w:val="true"/>
        </w:rPr>
        <w:footnoteReference w:id="2043"/>
      </w:r>
      <w:r>
        <w:rPr>
          <w:rFonts w:ascii="Amiri" w:hAnsi="Amiri" w:eastAsia="Amiri" w:cs="Amiri"/>
          <w:color w:val="111111"/>
          <w:sz w:val="28"/>
          <w:sz w:val="28"/>
          <w:szCs w:val="28"/>
          <w:rtl w:val="true"/>
          <w:lang w:bidi="ar-SA"/>
        </w:rPr>
        <w:t xml:space="preserve">، بل بأعلى صوته ، كما في الاولى ، وعن الشيخين </w:t>
      </w:r>
      <w:r>
        <w:rPr>
          <w:rStyle w:val="FootnoteAnchor"/>
          <w:rtl w:val="true"/>
        </w:rPr>
        <w:footnoteReference w:id="2044"/>
      </w:r>
      <w:r>
        <w:rPr>
          <w:rFonts w:ascii="Amiri" w:hAnsi="Amiri" w:eastAsia="Amiri" w:cs="Amiri"/>
          <w:color w:val="111111"/>
          <w:sz w:val="28"/>
          <w:sz w:val="28"/>
          <w:szCs w:val="28"/>
          <w:rtl w:val="true"/>
          <w:lang w:bidi="ar-SA"/>
        </w:rPr>
        <w:t xml:space="preserve">، وجماعة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الملقّن هو الولي ، كما خصّ به في النافع والشرائع والقواعد والإرشاد والمنتهى </w:t>
      </w:r>
      <w:r>
        <w:rPr>
          <w:rStyle w:val="FootnoteAnchor"/>
          <w:rtl w:val="true"/>
        </w:rPr>
        <w:footnoteReference w:id="2046"/>
      </w:r>
      <w:r>
        <w:rPr>
          <w:rFonts w:ascii="Amiri" w:hAnsi="Amiri" w:eastAsia="Amiri" w:cs="Amiri"/>
          <w:color w:val="111111"/>
          <w:sz w:val="28"/>
          <w:sz w:val="28"/>
          <w:szCs w:val="28"/>
          <w:rtl w:val="true"/>
          <w:lang w:bidi="ar-SA"/>
        </w:rPr>
        <w:t xml:space="preserve">، مجوّزا في الأخير أحدا من المؤمنين إن لم يوجد الولي ، وزاد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يأمره </w:t>
      </w:r>
      <w:r>
        <w:rPr>
          <w:rStyle w:val="FootnoteAnchor"/>
          <w:rtl w:val="true"/>
        </w:rPr>
        <w:footnoteReference w:id="2047"/>
      </w:r>
      <w:r>
        <w:rPr>
          <w:rFonts w:ascii="Amiri" w:hAnsi="Amiri" w:eastAsia="Amiri" w:cs="Amiri"/>
          <w:color w:val="111111"/>
          <w:sz w:val="28"/>
          <w:sz w:val="28"/>
          <w:szCs w:val="28"/>
          <w:rtl w:val="true"/>
          <w:lang w:bidi="ar-SA"/>
        </w:rPr>
        <w:t xml:space="preserve">، بل عن الذكرى الوفاق عليه </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بعضهم غيره مطلقا </w:t>
      </w:r>
      <w:r>
        <w:rPr>
          <w:rStyle w:val="FootnoteAnchor"/>
          <w:rtl w:val="true"/>
        </w:rPr>
        <w:footnoteReference w:id="2049"/>
      </w:r>
      <w:r>
        <w:rPr>
          <w:rFonts w:ascii="Amiri" w:hAnsi="Amiri" w:eastAsia="Amiri" w:cs="Amiri"/>
          <w:color w:val="111111"/>
          <w:sz w:val="28"/>
          <w:sz w:val="28"/>
          <w:szCs w:val="28"/>
          <w:rtl w:val="true"/>
          <w:lang w:bidi="ar-SA"/>
        </w:rPr>
        <w:t>، لوجود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مباشرة الولي إن أمكن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استقبال القبلة حين التلقين كما في القواعد وعن السرائر </w:t>
      </w:r>
      <w:r>
        <w:rPr>
          <w:rStyle w:val="FootnoteAnchor"/>
          <w:rtl w:val="true"/>
        </w:rPr>
        <w:footnoteReference w:id="2050"/>
      </w:r>
      <w:r>
        <w:rPr>
          <w:rFonts w:ascii="Amiri" w:hAnsi="Amiri" w:eastAsia="Amiri" w:cs="Amiri"/>
          <w:color w:val="111111"/>
          <w:sz w:val="28"/>
          <w:sz w:val="28"/>
          <w:szCs w:val="28"/>
          <w:rtl w:val="true"/>
          <w:lang w:bidi="ar-SA"/>
        </w:rPr>
        <w:t xml:space="preserve">، واستدبارها كما عن الحلبي والقاضي وابن سعيد </w:t>
      </w:r>
      <w:r>
        <w:rPr>
          <w:rStyle w:val="FootnoteAnchor"/>
          <w:rtl w:val="true"/>
        </w:rPr>
        <w:footnoteReference w:id="2051"/>
      </w:r>
      <w:r>
        <w:rPr>
          <w:rFonts w:ascii="Amiri" w:hAnsi="Amiri" w:eastAsia="Amiri" w:cs="Amiri"/>
          <w:color w:val="111111"/>
          <w:sz w:val="28"/>
          <w:sz w:val="28"/>
          <w:szCs w:val="28"/>
          <w:rtl w:val="true"/>
          <w:lang w:bidi="ar-SA"/>
        </w:rPr>
        <w:t>، قولان ، ودليل كلّ منهما غير مثبت له ، فالتخيير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الثمرة المذكورة في بعض الأخبار </w:t>
      </w:r>
      <w:r>
        <w:rPr>
          <w:rStyle w:val="FootnoteAnchor"/>
          <w:rtl w:val="true"/>
        </w:rPr>
        <w:footnoteReference w:id="2052"/>
      </w:r>
      <w:r>
        <w:rPr>
          <w:rFonts w:ascii="Amiri" w:hAnsi="Amiri" w:eastAsia="Amiri" w:cs="Amiri"/>
          <w:color w:val="111111"/>
          <w:sz w:val="28"/>
          <w:sz w:val="28"/>
          <w:szCs w:val="28"/>
          <w:rtl w:val="true"/>
          <w:lang w:bidi="ar-SA"/>
        </w:rPr>
        <w:t>من كفاية المسألة وإن كان ظاهرا في المكلف ، ولكنه لا يوجب تخصيص ظاهر الإطلاق ، فالتعميم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التعزية ، وهي مستحبة إجماعا محقّقا ومحكيا </w:t>
      </w:r>
      <w:r>
        <w:rPr>
          <w:rStyle w:val="FootnoteAnchor"/>
          <w:rtl w:val="true"/>
        </w:rPr>
        <w:footnoteReference w:id="2053"/>
      </w:r>
      <w:r>
        <w:rPr>
          <w:rFonts w:ascii="Amiri" w:hAnsi="Amiri" w:eastAsia="Amiri" w:cs="Amiri"/>
          <w:color w:val="111111"/>
          <w:sz w:val="28"/>
          <w:sz w:val="28"/>
          <w:szCs w:val="28"/>
          <w:rtl w:val="true"/>
          <w:lang w:bidi="ar-SA"/>
        </w:rPr>
        <w:t xml:space="preserve">، واعتبارا ، ونصا مستفيضا </w:t>
      </w:r>
      <w:r>
        <w:rPr>
          <w:rStyle w:val="FootnoteAnchor"/>
          <w:rtl w:val="true"/>
        </w:rPr>
        <w:footnoteReference w:id="2054"/>
      </w:r>
      <w:r>
        <w:rPr>
          <w:rFonts w:ascii="IRNazanin" w:hAnsi="IRNazanin" w:eastAsia="IRNazanin"/>
          <w:color w:val="111111"/>
          <w:sz w:val="28"/>
          <w:sz w:val="28"/>
          <w:szCs w:val="28"/>
          <w:rtl w:val="true"/>
          <w:lang w:bidi="fa-IR"/>
        </w:rPr>
        <w:t>، بل متواترا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بها حمل المصاب على الصبر ، وطلب التسلّي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يتحقّق بكلّ لفظ يفيده لكل مصاب ولو كان صغيرا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في الأخير افتتانا ، أو لم يوجب اتّهاما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التعزية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 كما في القواعد وعن المبسوط والسرائر والمعتبر </w:t>
      </w:r>
      <w:r>
        <w:rPr>
          <w:rStyle w:val="FootnoteAnchor"/>
          <w:rtl w:val="true"/>
        </w:rPr>
        <w:footnoteReference w:id="2055"/>
      </w:r>
      <w:r>
        <w:rPr>
          <w:rFonts w:ascii="Amiri" w:hAnsi="Amiri" w:eastAsia="Amiri" w:cs="Amiri"/>
          <w:color w:val="111111"/>
          <w:sz w:val="28"/>
          <w:sz w:val="28"/>
          <w:szCs w:val="28"/>
          <w:rtl w:val="true"/>
          <w:lang w:bidi="ar-SA"/>
        </w:rPr>
        <w:t xml:space="preserve">، لمرسلة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 من التعزية أن يراك صاحب المصيبة </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تكون قبل الدفن وبعده ، بلا خلاف بين العلماء كما في المنتهى </w:t>
      </w:r>
      <w:r>
        <w:rPr>
          <w:rStyle w:val="FootnoteAnchor"/>
          <w:rtl w:val="true"/>
        </w:rPr>
        <w:footnoteReference w:id="2057"/>
      </w:r>
      <w:r>
        <w:rPr>
          <w:rFonts w:ascii="Amiri" w:hAnsi="Amiri" w:eastAsia="Amiri" w:cs="Amiri"/>
          <w:color w:val="111111"/>
          <w:sz w:val="28"/>
          <w:sz w:val="28"/>
          <w:szCs w:val="28"/>
          <w:rtl w:val="true"/>
          <w:lang w:bidi="ar-SA"/>
        </w:rPr>
        <w:t xml:space="preserve">، لصحيحة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الكاظم عليه السلام يعزّى قبل الدفن وبعده </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 أفضل ، كما عن الخلاف والاستبصار والمعتبر والتذكرة </w:t>
      </w:r>
      <w:r>
        <w:rPr>
          <w:rStyle w:val="FootnoteAnchor"/>
          <w:rtl w:val="true"/>
        </w:rPr>
        <w:footnoteReference w:id="2059"/>
      </w:r>
      <w:r>
        <w:rPr>
          <w:rFonts w:ascii="Amiri" w:hAnsi="Amiri" w:eastAsia="Amiri" w:cs="Amiri"/>
          <w:color w:val="111111"/>
          <w:sz w:val="28"/>
          <w:sz w:val="28"/>
          <w:szCs w:val="28"/>
          <w:rtl w:val="true"/>
          <w:lang w:bidi="ar-SA"/>
        </w:rPr>
        <w:t xml:space="preserve">، لمراسيل ابن أبي عمير </w:t>
      </w:r>
      <w:r>
        <w:rPr>
          <w:rStyle w:val="FootnoteAnchor"/>
          <w:rtl w:val="true"/>
        </w:rPr>
        <w:footnoteReference w:id="2060"/>
      </w:r>
      <w:r>
        <w:rPr>
          <w:rFonts w:ascii="Amiri" w:hAnsi="Amiri" w:eastAsia="Amiri" w:cs="Amiri"/>
          <w:color w:val="111111"/>
          <w:sz w:val="28"/>
          <w:sz w:val="28"/>
          <w:szCs w:val="28"/>
          <w:rtl w:val="true"/>
          <w:lang w:bidi="ar-SA"/>
        </w:rPr>
        <w:t xml:space="preserve">والبرقي </w:t>
      </w:r>
      <w:r>
        <w:rPr>
          <w:rStyle w:val="FootnoteAnchor"/>
          <w:rtl w:val="true"/>
        </w:rPr>
        <w:footnoteReference w:id="2061"/>
      </w:r>
      <w:r>
        <w:rPr>
          <w:rFonts w:ascii="Amiri" w:hAnsi="Amiri" w:eastAsia="Amiri" w:cs="Amiri"/>
          <w:color w:val="111111"/>
          <w:sz w:val="28"/>
          <w:sz w:val="28"/>
          <w:szCs w:val="28"/>
          <w:rtl w:val="true"/>
          <w:lang w:bidi="ar-SA"/>
        </w:rPr>
        <w:t xml:space="preserve">والفقيه </w:t>
      </w:r>
      <w:r>
        <w:rPr>
          <w:rStyle w:val="FootnoteAnchor"/>
          <w:rtl w:val="true"/>
        </w:rPr>
        <w:footnoteReference w:id="2062"/>
      </w:r>
      <w:r>
        <w:rPr>
          <w:rFonts w:ascii="Amiri" w:hAnsi="Amiri" w:eastAsia="Amiri" w:cs="Amiri"/>
          <w:color w:val="111111"/>
          <w:sz w:val="28"/>
          <w:sz w:val="28"/>
          <w:szCs w:val="28"/>
          <w:rtl w:val="true"/>
          <w:lang w:bidi="ar-SA"/>
        </w:rPr>
        <w:t>، ويؤكّده بعض الاعتبارات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حدّ لزمانها عند الحلّي والكركي </w:t>
      </w:r>
      <w:r>
        <w:rPr>
          <w:rStyle w:val="FootnoteAnchor"/>
          <w:rtl w:val="true"/>
        </w:rPr>
        <w:footnoteReference w:id="2063"/>
      </w:r>
      <w:r>
        <w:rPr>
          <w:rFonts w:ascii="Amiri" w:hAnsi="Amiri" w:eastAsia="Amiri" w:cs="Amiri"/>
          <w:color w:val="111111"/>
          <w:sz w:val="28"/>
          <w:sz w:val="28"/>
          <w:szCs w:val="28"/>
          <w:rtl w:val="true"/>
          <w:lang w:bidi="ar-SA"/>
        </w:rPr>
        <w:t>وجماعة ،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كلّ وقت إلاّ إذا أدّت إلى تجديد حزن منسي ، فتركها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الكافي </w:t>
      </w:r>
      <w:r>
        <w:rPr>
          <w:rStyle w:val="FootnoteAnchor"/>
          <w:rtl w:val="true"/>
        </w:rPr>
        <w:footnoteReference w:id="2064"/>
      </w:r>
      <w:r>
        <w:rPr>
          <w:rFonts w:ascii="Amiri" w:hAnsi="Amiri" w:eastAsia="Amiri" w:cs="Amiri"/>
          <w:color w:val="111111"/>
          <w:sz w:val="28"/>
          <w:sz w:val="28"/>
          <w:szCs w:val="28"/>
          <w:rtl w:val="true"/>
          <w:lang w:bidi="ar-SA"/>
        </w:rPr>
        <w:t xml:space="preserve">والحلبي </w:t>
      </w:r>
      <w:r>
        <w:rPr>
          <w:rStyle w:val="FootnoteAnchor"/>
          <w:rtl w:val="true"/>
        </w:rPr>
        <w:footnoteReference w:id="2065"/>
      </w:r>
      <w:r>
        <w:rPr>
          <w:rFonts w:ascii="Amiri" w:hAnsi="Amiri" w:eastAsia="Amiri" w:cs="Amiri"/>
          <w:color w:val="111111"/>
          <w:sz w:val="28"/>
          <w:sz w:val="28"/>
          <w:szCs w:val="28"/>
          <w:rtl w:val="true"/>
          <w:lang w:bidi="ar-SA"/>
        </w:rPr>
        <w:t xml:space="preserve">والشهيد </w:t>
      </w:r>
      <w:r>
        <w:rPr>
          <w:rStyle w:val="FootnoteAnchor"/>
          <w:rtl w:val="true"/>
        </w:rPr>
        <w:footnoteReference w:id="2066"/>
      </w:r>
      <w:r>
        <w:rPr>
          <w:rFonts w:ascii="Amiri" w:hAnsi="Amiri" w:eastAsia="Amiri" w:cs="Amiri"/>
          <w:color w:val="111111"/>
          <w:sz w:val="28"/>
          <w:sz w:val="28"/>
          <w:szCs w:val="28"/>
          <w:rtl w:val="true"/>
          <w:lang w:bidi="ar-SA"/>
        </w:rPr>
        <w:t xml:space="preserve">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بثلاثة أيام ، لما دلّ من أنّ المأتم أو الحداد أو صنع الطعام لأهل الميت ثلاثة أيام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فيها وإن كان المأتم بمعنى الاجتماع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جواز الاجتماع والجلوس لهم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وكره في المبسوط الجلوس للتعزية يومين أو ثلاثة ، وادّعى عليه الإجماع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دليل له ، وإجماعه معارض بقول الحلّي من أنه لم يذهب إليه أحد من أصحابنا ، وأنه من فروع المخالفين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ينبغي تعزية غير المؤمن ، بل صرّح في المنتهى بحرمته </w:t>
      </w:r>
      <w:r>
        <w:rPr>
          <w:rStyle w:val="FootnoteAnchor"/>
          <w:rtl w:val="true"/>
        </w:rPr>
        <w:footnoteReference w:id="2070"/>
      </w:r>
      <w:r>
        <w:rPr>
          <w:rFonts w:ascii="IRNazanin" w:hAnsi="IRNazanin" w:eastAsia="IRNazanin"/>
          <w:color w:val="111111"/>
          <w:sz w:val="28"/>
          <w:sz w:val="28"/>
          <w:szCs w:val="28"/>
          <w:rtl w:val="true"/>
          <w:lang w:bidi="fa-IR"/>
        </w:rPr>
        <w:t>، وهو الأظهر ، للأمر باجتنابهم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يصنع لأهل المصيبة طعام ويبعث إليهم ، بالإجماع كما في شرح القواعد </w:t>
      </w:r>
      <w:r>
        <w:rPr>
          <w:rStyle w:val="FootnoteAnchor"/>
          <w:rtl w:val="true"/>
        </w:rPr>
        <w:footnoteReference w:id="2071"/>
      </w:r>
      <w:r>
        <w:rPr>
          <w:rFonts w:ascii="Amiri" w:hAnsi="Amiri" w:eastAsia="Amiri" w:cs="Amiri"/>
          <w:color w:val="111111"/>
          <w:sz w:val="28"/>
          <w:sz w:val="28"/>
          <w:szCs w:val="28"/>
          <w:rtl w:val="true"/>
          <w:lang w:bidi="ar-SA"/>
        </w:rPr>
        <w:t xml:space="preserve">واللوامع ، وباتّفاق العلماء كما في المنتهى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أيام ، بالإجماع ، كما في الثاني ، له ، وللمستفيضة المصرّحة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والسنّة في أهل المصيبة أن يتّخذ لهم ثلاثة أيام طعام ، لشغلهم بالمصيبة </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لجيران صاحب المصيبة أن يطعموا الطعام عنه ثلاثة أيام </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أفضليته للجيران ، وزاد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الأقرباء </w:t>
      </w:r>
      <w:r>
        <w:rPr>
          <w:rStyle w:val="FootnoteAnchor"/>
          <w:rtl w:val="true"/>
        </w:rPr>
        <w:footnoteReference w:id="2075"/>
      </w:r>
      <w:r>
        <w:rPr>
          <w:rFonts w:ascii="IRNazanin" w:hAnsi="IRNazanin" w:eastAsia="IRNazanin"/>
          <w:color w:val="111111"/>
          <w:sz w:val="28"/>
          <w:sz w:val="28"/>
          <w:szCs w:val="28"/>
          <w:rtl w:val="true"/>
          <w:lang w:bidi="fa-IR"/>
        </w:rPr>
        <w:t xml:space="preserve">، ويثبته أمر النبي صلی اللّه عليه وآله البتول باتّخاذ الطعام في مأتم جعفر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للميت الوصية بمال لإطعام أهل المأتم ، لوصية مولانا الباقر عليه السلام ، كما في حسنة حريز </w:t>
      </w:r>
      <w:r>
        <w:rPr>
          <w:rStyle w:val="FootnoteAnchor"/>
          <w:rtl w:val="true"/>
        </w:rPr>
        <w:footnoteReference w:id="2077"/>
      </w:r>
      <w:r>
        <w:rPr>
          <w:rFonts w:ascii="Amiri" w:hAnsi="Amiri" w:eastAsia="Amiri" w:cs="Amiri"/>
          <w:color w:val="111111"/>
          <w:sz w:val="28"/>
          <w:sz w:val="28"/>
          <w:szCs w:val="28"/>
          <w:rtl w:val="true"/>
          <w:lang w:bidi="ar-SA"/>
        </w:rPr>
        <w:t>، بل فيها إشعار باستحبابها ، فهي كسائر الوصايا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الأكل عند أهل المأتم ، كما صرّح به جماعة </w:t>
      </w:r>
      <w:r>
        <w:rPr>
          <w:rStyle w:val="FootnoteAnchor"/>
          <w:rtl w:val="true"/>
        </w:rPr>
        <w:footnoteReference w:id="2078"/>
      </w:r>
      <w:r>
        <w:rPr>
          <w:rFonts w:ascii="Amiri" w:hAnsi="Amiri" w:eastAsia="Amiri" w:cs="Amiri"/>
          <w:color w:val="111111"/>
          <w:sz w:val="28"/>
          <w:sz w:val="28"/>
          <w:szCs w:val="28"/>
          <w:rtl w:val="true"/>
          <w:lang w:bidi="ar-SA"/>
        </w:rPr>
        <w:t xml:space="preserve">، لمرسلة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الأكل عند أهل المصيبة من عمل أهل الجاهلية ، والسنّة البعث إليهم بالطعام </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الإطلاق الكراهة ولو ممّا اهدي إليهم ولا يختص بطعامهم ، كما في اللوامع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 المنتهى بعدم استحباب اتّخاذ أهل المصيبة طعاما ويجمعوا الناس </w:t>
      </w:r>
    </w:p>
    <w:p>
      <w:pPr>
        <w:pStyle w:val="BookText"/>
        <w:rPr/>
      </w:pPr>
      <w:r>
        <w:rPr>
          <w:rFonts w:ascii="Amiri" w:hAnsi="Amiri" w:eastAsia="Amiri" w:cs="Amiri"/>
          <w:color w:val="111111"/>
          <w:sz w:val="28"/>
          <w:sz w:val="28"/>
          <w:szCs w:val="28"/>
          <w:rtl w:val="true"/>
          <w:lang w:bidi="ar-SA"/>
        </w:rPr>
        <w:t xml:space="preserve">عليه ، إلاّ ان دعت الحاجة إليه ، كما لو حضر أهل الأماكن البعيدة وباتوا عندهم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ولنختم هذا الفصل بمسائل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ولد الحامل في بطنها فإن أمكن التوصّل إلى إسقاطه صحيحا بعلاج فعل ، وإلاّ أخرج صحيحا إن أمكن ، وإلاّ قطع واخرج بالأرفق فالأرفق ، إجماعا ، كما عن الخلاف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وتتولّى ذلك النساء ، فإن تعذّر فالرجال المحارم ، فإن تعذّر جاز أن يتولاّه غيرهم ،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ماتت المرأة وفي بطنها ولد يتحرّك شقّ بطنها ويخرج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المرأة يموت في بطنها الولد فيتخوف عليها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يدخل الرجل يده فيقطعه ويخرجه </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خبره الآخر ، إلاّ أن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ترفق به النساء </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مات الولد في جوفها ولم يخرج ، أدخل إنسان يده في فرجها وقطع الولد بيده وأخرجه </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علم موت الولد ، وإلاّ يصبر حتى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ماتت هي والولد حي في بطنها ، فإن أمكن إخراجه بدون الشقّ فعل ، وإلاّ شقّ بطنها واخرج ، إجماعا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معرفة خلاف فيه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والنصوص به مستفيضة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المتقدم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تموت وولدها في بطنها يتحرّك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يشقّ بطنها ويخرج منه ولدها </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صحيحته </w:t>
      </w:r>
      <w:r>
        <w:rPr>
          <w:rStyle w:val="FootnoteAnchor"/>
          <w:rtl w:val="true"/>
        </w:rPr>
        <w:footnoteReference w:id="2088"/>
      </w:r>
      <w:r>
        <w:rPr>
          <w:rFonts w:ascii="Amiri" w:hAnsi="Amiri" w:eastAsia="Amiri" w:cs="Amiri"/>
          <w:color w:val="111111"/>
          <w:sz w:val="28"/>
          <w:sz w:val="28"/>
          <w:szCs w:val="28"/>
          <w:rtl w:val="true"/>
          <w:lang w:bidi="ar-SA"/>
        </w:rPr>
        <w:t xml:space="preserve">وخبر ابن أبي حمزة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وليكن الشقّ عن الأيسر ، كما عن الفقيه والمقنعة والنهاية والمبسوط والسرائر والجامع والشرائع والنافع والتحرير والمنتهى والتلخيص ونهاية الإحكام </w:t>
      </w:r>
      <w:r>
        <w:rPr>
          <w:rStyle w:val="FootnoteAnchor"/>
          <w:rtl w:val="true"/>
        </w:rPr>
        <w:footnoteReference w:id="2090"/>
      </w:r>
      <w:r>
        <w:rPr>
          <w:rFonts w:ascii="Amiri" w:hAnsi="Amiri" w:eastAsia="Amiri" w:cs="Amiri"/>
          <w:color w:val="111111"/>
          <w:sz w:val="28"/>
          <w:sz w:val="28"/>
          <w:szCs w:val="28"/>
          <w:rtl w:val="true"/>
          <w:lang w:bidi="ar-SA"/>
        </w:rPr>
        <w:t xml:space="preserve">، وغيرها ، للرضوي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بعمل هؤلاء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ماتت المرأة وهي حاملة وولدها يتحرّك في بطنها شقّ من الجانب الأيسر واخرج الولد </w:t>
      </w:r>
      <w:r>
        <w:rPr>
          <w:rFonts w:eastAsia="Amiri" w:cs="Amiri" w:ascii="Amiri" w:hAnsi="Amiri"/>
          <w:color w:val="111111"/>
          <w:sz w:val="28"/>
          <w:szCs w:val="28"/>
          <w:rtl w:val="true"/>
          <w:lang w:bidi="ar-SA"/>
        </w:rPr>
        <w:t xml:space="preserve">» </w:t>
      </w:r>
      <w:r>
        <w:rPr>
          <w:rStyle w:val="FootnoteAnchor"/>
          <w:rtl w:val="true"/>
        </w:rPr>
        <w:footnoteReference w:id="209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ويخاط الشقّ بعدها كما عن الكتب الستة الاولى </w:t>
      </w:r>
      <w:r>
        <w:rPr>
          <w:rStyle w:val="FootnoteAnchor"/>
          <w:rtl w:val="true"/>
        </w:rPr>
        <w:footnoteReference w:id="2092"/>
      </w:r>
      <w:r>
        <w:rPr>
          <w:rFonts w:ascii="IRNazanin" w:hAnsi="IRNazanin" w:eastAsia="IRNazanin"/>
          <w:color w:val="111111"/>
          <w:sz w:val="28"/>
          <w:sz w:val="28"/>
          <w:szCs w:val="28"/>
          <w:rtl w:val="true"/>
          <w:lang w:bidi="fa-IR"/>
        </w:rPr>
        <w:t xml:space="preserve">، والمهذب </w:t>
      </w:r>
      <w:r>
        <w:rPr>
          <w:rStyle w:val="FootnoteAnchor"/>
          <w:rtl w:val="true"/>
        </w:rPr>
        <w:footnoteReference w:id="2093"/>
      </w:r>
      <w:r>
        <w:rPr>
          <w:rFonts w:ascii="Amiri" w:hAnsi="Amiri" w:eastAsia="Amiri" w:cs="Amiri"/>
          <w:color w:val="111111"/>
          <w:sz w:val="28"/>
          <w:sz w:val="28"/>
          <w:szCs w:val="28"/>
          <w:rtl w:val="true"/>
          <w:lang w:bidi="ar-SA"/>
        </w:rPr>
        <w:t xml:space="preserve">، لمرسلة ابن أبي عمير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ويخاط بطنها </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دلالتها على الوجوب نظر ،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 وإن كان الأول ظاهر فتاوى من مرّ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يختص الشقّ والإخراج بصورة تحرك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سئل عنه في أكثر ما </w:t>
      </w:r>
    </w:p>
    <w:p>
      <w:pPr>
        <w:pStyle w:val="BookText"/>
        <w:rPr/>
      </w:pP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فيها فالظاهر العمل باستصحاب الحياة وإطلاق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البكاء على الميت مجمع عليه ، والنصوص به مستفيضة </w:t>
      </w:r>
      <w:r>
        <w:rPr>
          <w:rStyle w:val="FootnoteAnchor"/>
          <w:rtl w:val="true"/>
        </w:rPr>
        <w:footnoteReference w:id="2096"/>
      </w:r>
      <w:r>
        <w:rPr>
          <w:rFonts w:ascii="Amiri" w:hAnsi="Amiri" w:eastAsia="Amiri" w:cs="Amiri"/>
          <w:color w:val="111111"/>
          <w:sz w:val="28"/>
          <w:sz w:val="28"/>
          <w:szCs w:val="28"/>
          <w:rtl w:val="true"/>
          <w:lang w:bidi="ar-SA"/>
        </w:rPr>
        <w:t xml:space="preserve">، وفي بعضها الأمر به عند شدة الوجد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بعض أخبارنا من أن كل بكاء مكروه سوى البكاء على الحسين عليه السلام </w:t>
      </w:r>
      <w:r>
        <w:rPr>
          <w:rStyle w:val="FootnoteAnchor"/>
          <w:rtl w:val="true"/>
        </w:rPr>
        <w:footnoteReference w:id="2098"/>
      </w:r>
      <w:r>
        <w:rPr>
          <w:rFonts w:ascii="Amiri" w:hAnsi="Amiri" w:eastAsia="Amiri" w:cs="Amiri"/>
          <w:color w:val="111111"/>
          <w:sz w:val="28"/>
          <w:sz w:val="28"/>
          <w:szCs w:val="28"/>
          <w:rtl w:val="true"/>
          <w:lang w:bidi="ar-SA"/>
        </w:rPr>
        <w:t>مبالغة في عظم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 يعذّب ببكاء أهله </w:t>
      </w:r>
      <w:r>
        <w:rPr>
          <w:rStyle w:val="FootnoteAnchor"/>
          <w:rtl w:val="true"/>
        </w:rPr>
        <w:footnoteReference w:id="2099"/>
      </w:r>
      <w:r>
        <w:rPr>
          <w:rFonts w:ascii="Amiri" w:hAnsi="Amiri" w:eastAsia="Amiri" w:cs="Amiri"/>
          <w:color w:val="111111"/>
          <w:sz w:val="28"/>
          <w:sz w:val="28"/>
          <w:szCs w:val="28"/>
          <w:rtl w:val="true"/>
          <w:lang w:bidi="ar-SA"/>
        </w:rPr>
        <w:t xml:space="preserve">، عامي لا عبرة به ، مع أنه مخالف لنصّ الكتاب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والأشهر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النياحة أيضا ما لم تتضمّن محرّما من كذب وغيره ، وعليه الإجماع عن الفاضل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لنوح أمّ سلمة على ابن عمتها بإذن النبي صلی اللّه عليه وآله ، كما في خبر الثمالي </w:t>
      </w:r>
      <w:r>
        <w:rPr>
          <w:rStyle w:val="FootnoteAnchor"/>
          <w:rtl w:val="true"/>
        </w:rPr>
        <w:footnoteReference w:id="2102"/>
      </w:r>
      <w:r>
        <w:rPr>
          <w:rFonts w:ascii="IRNazanin" w:hAnsi="IRNazanin" w:eastAsia="IRNazanin"/>
          <w:color w:val="111111"/>
          <w:sz w:val="28"/>
          <w:sz w:val="28"/>
          <w:szCs w:val="28"/>
          <w:rtl w:val="true"/>
          <w:lang w:bidi="fa-IR"/>
        </w:rPr>
        <w:t xml:space="preserve">، ونسوة المدينة على حمزة بعد 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بواكي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مرسلة الفقيه </w:t>
      </w:r>
      <w:r>
        <w:rPr>
          <w:rStyle w:val="FootnoteAnchor"/>
          <w:rtl w:val="true"/>
        </w:rPr>
        <w:footnoteReference w:id="2103"/>
      </w:r>
      <w:r>
        <w:rPr>
          <w:rFonts w:ascii="Amiri" w:hAnsi="Amiri" w:eastAsia="Amiri" w:cs="Amiri"/>
          <w:color w:val="111111"/>
          <w:sz w:val="28"/>
          <w:sz w:val="28"/>
          <w:szCs w:val="28"/>
          <w:rtl w:val="true"/>
          <w:lang w:bidi="ar-SA"/>
        </w:rPr>
        <w:t xml:space="preserve">، وفاطمة على أبيها ، كما في طرق الفريقين </w:t>
      </w:r>
      <w:r>
        <w:rPr>
          <w:rStyle w:val="FootnoteAnchor"/>
          <w:rtl w:val="true"/>
        </w:rPr>
        <w:footnoteReference w:id="2104"/>
      </w:r>
      <w:r>
        <w:rPr>
          <w:rFonts w:ascii="Amiri" w:hAnsi="Amiri" w:eastAsia="Amiri" w:cs="Amiri"/>
          <w:color w:val="111111"/>
          <w:sz w:val="28"/>
          <w:sz w:val="28"/>
          <w:szCs w:val="28"/>
          <w:rtl w:val="true"/>
          <w:lang w:bidi="ar-SA"/>
        </w:rPr>
        <w:t xml:space="preserve">، والهاشميات على الحسين عليه السلام ، كما في أخبار كثيرة </w:t>
      </w:r>
      <w:r>
        <w:rPr>
          <w:rStyle w:val="FootnoteAnchor"/>
          <w:rtl w:val="true"/>
        </w:rPr>
        <w:footnoteReference w:id="2105"/>
      </w:r>
      <w:r>
        <w:rPr>
          <w:rFonts w:ascii="Amiri" w:hAnsi="Amiri" w:eastAsia="Amiri" w:cs="Amiri"/>
          <w:color w:val="111111"/>
          <w:sz w:val="28"/>
          <w:sz w:val="28"/>
          <w:szCs w:val="28"/>
          <w:rtl w:val="true"/>
          <w:lang w:bidi="ar-SA"/>
        </w:rPr>
        <w:t xml:space="preserve">، ونوح الصادق عليه السلام على </w:t>
      </w:r>
    </w:p>
    <w:p>
      <w:pPr>
        <w:pStyle w:val="BookText"/>
        <w:rPr/>
      </w:pPr>
      <w:r>
        <w:rPr>
          <w:rFonts w:ascii="Amiri" w:hAnsi="Amiri" w:eastAsia="Amiri" w:cs="Amiri"/>
          <w:color w:val="111111"/>
          <w:sz w:val="28"/>
          <w:sz w:val="28"/>
          <w:szCs w:val="28"/>
          <w:rtl w:val="true"/>
          <w:lang w:bidi="ar-SA"/>
        </w:rPr>
        <w:t xml:space="preserve">ابنة له سنة ، وعلى ابن له سنة ، كما في إكمال الدين </w:t>
      </w:r>
      <w:r>
        <w:rPr>
          <w:rStyle w:val="FootnoteAnchor"/>
          <w:rtl w:val="true"/>
        </w:rPr>
        <w:footnoteReference w:id="2106"/>
      </w:r>
      <w:r>
        <w:rPr>
          <w:rFonts w:ascii="Amiri" w:hAnsi="Amiri" w:eastAsia="Amiri" w:cs="Amiri"/>
          <w:color w:val="111111"/>
          <w:sz w:val="28"/>
          <w:sz w:val="28"/>
          <w:szCs w:val="28"/>
          <w:rtl w:val="true"/>
          <w:lang w:bidi="ar-SA"/>
        </w:rPr>
        <w:t xml:space="preserve">، وأمر مولانا الباقر الصادق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بوقف بعض ماله على النوادب ليندبن له ، كما في صحيحة يونس </w:t>
      </w:r>
      <w:r>
        <w:rPr>
          <w:rStyle w:val="FootnoteAnchor"/>
          <w:rtl w:val="true"/>
        </w:rPr>
        <w:footnoteReference w:id="2107"/>
      </w:r>
      <w:r>
        <w:rPr>
          <w:rFonts w:ascii="Amiri" w:hAnsi="Amiri" w:eastAsia="Amiri" w:cs="Amiri"/>
          <w:color w:val="111111"/>
          <w:sz w:val="28"/>
          <w:sz w:val="28"/>
          <w:szCs w:val="28"/>
          <w:rtl w:val="true"/>
          <w:lang w:bidi="ar-SA"/>
        </w:rPr>
        <w:t xml:space="preserve">، ونفي البأس عن أجر النائحة مطلقا ، أو بدون الشرط ، أو بشرط صدقها في قولها ، كما وردت بكلّ الرواية </w:t>
      </w:r>
      <w:r>
        <w:rPr>
          <w:rStyle w:val="FootnoteAnchor"/>
          <w:rtl w:val="true"/>
        </w:rPr>
        <w:footnoteReference w:id="210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تحتاج المرأة في المأتم إلى النوح لتسيل دمعتها ، ولا ينبغي لها أن تقول هجرا </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الشيخ وابن حمزة </w:t>
      </w:r>
      <w:r>
        <w:rPr>
          <w:rStyle w:val="FootnoteAnchor"/>
          <w:rtl w:val="true"/>
        </w:rPr>
        <w:footnoteReference w:id="2110"/>
      </w:r>
      <w:r>
        <w:rPr>
          <w:rFonts w:ascii="IRNazanin" w:hAnsi="IRNazanin" w:eastAsia="IRNazanin"/>
          <w:color w:val="111111"/>
          <w:sz w:val="28"/>
          <w:sz w:val="28"/>
          <w:szCs w:val="28"/>
          <w:rtl w:val="true"/>
          <w:lang w:bidi="fa-IR"/>
        </w:rPr>
        <w:t xml:space="preserve">، فحرّماها ، لأخبار </w:t>
      </w:r>
      <w:r>
        <w:rPr>
          <w:rStyle w:val="FootnoteAnchor"/>
          <w:rtl w:val="true"/>
        </w:rPr>
        <w:footnoteReference w:id="2111"/>
      </w:r>
      <w:r>
        <w:rPr>
          <w:rFonts w:ascii="Amiri" w:hAnsi="Amiri" w:eastAsia="Amiri" w:cs="Amiri"/>
          <w:color w:val="111111"/>
          <w:sz w:val="28"/>
          <w:sz w:val="28"/>
          <w:szCs w:val="28"/>
          <w:rtl w:val="true"/>
          <w:lang w:bidi="ar-SA"/>
        </w:rPr>
        <w:t>بين غير دالّة ، وضعيفة ، وعامة بالنسبة إلى بعض ما مرّ من المخصوصات بالصدق أو غير الباطل ، فتخصّص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التعارض تتساقط أخبار الطرفين ، ويبقى الأصل بلا معارض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الجواز بين النثر والنظم ، للأصل ، وورود الأخير في نياح البتول وأم سلمة ، واستماع الأئمة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الصراخ ولطم الخدود وشقّ الجيوب والخدش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بيانها في مواقعها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القبور مستحبة بالإجماع ، واستفاضة النصوص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يقدر أن يزورنا فليزر صالحي موالينا ، يكتب له ثواب </w:t>
      </w:r>
    </w:p>
    <w:p>
      <w:pPr>
        <w:pStyle w:val="BookText"/>
        <w:rPr/>
      </w:pPr>
      <w:r>
        <w:rPr>
          <w:rFonts w:ascii="Amiri" w:hAnsi="Amiri" w:eastAsia="Amiri" w:cs="Amiri"/>
          <w:color w:val="111111"/>
          <w:sz w:val="28"/>
          <w:sz w:val="28"/>
          <w:szCs w:val="28"/>
          <w:rtl w:val="true"/>
          <w:lang w:bidi="ar-SA"/>
        </w:rPr>
        <w:t xml:space="preserve">زيارتنا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للنساء إذا لم تتضمّن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وكرهها لهن الفاضلان </w:t>
      </w:r>
      <w:r>
        <w:rPr>
          <w:rStyle w:val="FootnoteAnchor"/>
          <w:rtl w:val="true"/>
        </w:rPr>
        <w:footnoteReference w:id="2115"/>
      </w:r>
      <w:r>
        <w:rPr>
          <w:rFonts w:ascii="IRNazanin" w:hAnsi="IRNazanin" w:eastAsia="IRNazanin"/>
          <w:color w:val="111111"/>
          <w:sz w:val="28"/>
          <w:sz w:val="28"/>
          <w:szCs w:val="28"/>
          <w:rtl w:val="true"/>
          <w:lang w:bidi="fa-IR"/>
        </w:rPr>
        <w:t xml:space="preserve">، لقول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زوارات القبور </w:t>
      </w:r>
      <w:r>
        <w:rPr>
          <w:rFonts w:eastAsia="IRNazanin" w:cs="IRNazanin"/>
          <w:color w:val="111111"/>
          <w:sz w:val="28"/>
          <w:szCs w:val="28"/>
          <w:rtl w:val="true"/>
          <w:lang w:bidi="fa-IR"/>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مانع عن صلاحية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وإطلاقاتها تفيد الاستحباب في كلّ وقت ، ويتأكّد في عشية الخميس ، للمروي في كامل الزيارة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يخرج في ملأ من الناس من أصحابه كل عشية خميس إلى بقيع المدنيّين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مصباح الزائر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زيارة المؤمنين فينبغي أن يكون يوم الخميس </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خروج البتول في غداة السبت أو الاثنين </w:t>
      </w:r>
      <w:r>
        <w:rPr>
          <w:rStyle w:val="FootnoteAnchor"/>
          <w:rtl w:val="true"/>
        </w:rPr>
        <w:footnoteReference w:id="2119"/>
      </w:r>
      <w:r>
        <w:rPr>
          <w:rFonts w:ascii="Amiri" w:hAnsi="Amiri" w:eastAsia="Amiri" w:cs="Amiri"/>
          <w:color w:val="111111"/>
          <w:sz w:val="28"/>
          <w:sz w:val="28"/>
          <w:szCs w:val="28"/>
          <w:rtl w:val="true"/>
          <w:lang w:bidi="ar-SA"/>
        </w:rPr>
        <w:t>، لا يفيد الاستحباب ، خصوصا للرجال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للزائر أن يقرأ القدر سبعا ، لرواية محمد بن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قبر </w:t>
      </w:r>
    </w:p>
    <w:p>
      <w:pPr>
        <w:pStyle w:val="BookText"/>
        <w:rPr/>
      </w:pPr>
      <w:r>
        <w:rPr>
          <w:rFonts w:ascii="Amiri" w:hAnsi="Amiri" w:eastAsia="Amiri" w:cs="Amiri"/>
          <w:color w:val="111111"/>
          <w:sz w:val="28"/>
          <w:sz w:val="28"/>
          <w:szCs w:val="28"/>
          <w:rtl w:val="true"/>
          <w:lang w:bidi="ar-SA"/>
        </w:rPr>
        <w:t xml:space="preserve">أخيه ، ثمَّ وضع يديه على القبر ، وقرأ إنا أنزلناه في ليلة القدر سبع مرات أمن يوم الفزع الأكبر ، أو يوم الفزع </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زار قبر مؤمن فقرأ عليه إنا أنزلناه سبع مرّات إلاّ غفر اللّه له ولصاحب القبر </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الكامل والمصباح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إنا أنزلناه عند قبر مؤمن سبع مرّات بعث اللّه إليه ملكا يعبد اللّه عند قبره ، ويكتب للميت ثواب ما يعمل ذلك الملك </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وتستحب زيادة الحمد والمعوّذتين والتوحيد ثلاث مرات ، وآية الكرسي ، رواه في الكتابين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ويقرأ مع إنا أنزلناه سورة الحمد والمعوّذتين وقل هو اللّه أحد وآية الكرسي ، ثلاث مرات كلّ سورة </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يدعو بما تقدّم في الرضوي المذكور في استحباب وضع اليد على القبر </w:t>
      </w:r>
      <w:r>
        <w:rPr>
          <w:rStyle w:val="FootnoteAnchor"/>
          <w:rtl w:val="true"/>
        </w:rPr>
        <w:footnoteReference w:id="2124"/>
      </w:r>
      <w:r>
        <w:rPr>
          <w:rFonts w:ascii="Amiri" w:hAnsi="Amiri" w:eastAsia="Amiri" w:cs="Amiri"/>
          <w:color w:val="111111"/>
          <w:sz w:val="28"/>
          <w:sz w:val="28"/>
          <w:szCs w:val="28"/>
          <w:rtl w:val="true"/>
          <w:lang w:bidi="ar-SA"/>
        </w:rPr>
        <w:t xml:space="preserve">، أو يجمع بينه وبين إنّا أنزلناه كما فعل مولانا الباقر عليه السلام ، على ما في رواية أبي المقدام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المصباح بعد ما نقل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وصفتها أن تستقبل القبلة ، وتضع يدك على القبر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اقرأ إنا أنزلناه سبع مرات </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وتجوز القراءة واقفا ، كما صرّح به في رواية أبي المقدام ، وفي رواية ابن 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أبو جعفر عليه السلام على قبر رجل من الشيعة فقال </w:t>
      </w:r>
      <w:r>
        <w:rPr>
          <w:rFonts w:eastAsia="Amiri" w:cs="Amiri" w:ascii="Amiri" w:hAnsi="Amiri"/>
          <w:color w:val="111111"/>
          <w:sz w:val="28"/>
          <w:szCs w:val="28"/>
          <w:rtl w:val="true"/>
          <w:lang w:bidi="ar-SA"/>
        </w:rPr>
        <w:t xml:space="preserve">» </w:t>
      </w:r>
      <w:r>
        <w:rPr>
          <w:rStyle w:val="FootnoteAnchor"/>
          <w:rtl w:val="true"/>
        </w:rPr>
        <w:footnoteReference w:id="212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والأفضل الجلوس ووضع اليد على القبر على ما في رواية محمد بن أحمد ، بل اليدين كما في الرضوي ، مستقبل القبلة كما فيه وفي رواية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أضع يدي على قبور المسلمين؟ فأشار بيده إلى الأرض فوضعها عليه وهو مقابل القبلة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قبر أخيه المؤمن واستقبل القبلة ، ثمَّ وضع يده على القبر وقرأ </w:t>
      </w:r>
      <w:r>
        <w:rPr>
          <w:rFonts w:eastAsia="Amiri" w:cs="Amiri" w:ascii="Amiri" w:hAnsi="Amiri"/>
          <w:color w:val="111111"/>
          <w:sz w:val="28"/>
          <w:szCs w:val="28"/>
          <w:rtl w:val="true"/>
          <w:lang w:bidi="ar-SA"/>
        </w:rPr>
        <w:t xml:space="preserve">» </w:t>
      </w:r>
      <w:r>
        <w:rPr>
          <w:rStyle w:val="FootnoteAnchor"/>
          <w:rtl w:val="true"/>
        </w:rPr>
        <w:footnoteReference w:id="212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لزيارة قبر مخصوص ، وأما لو أراد زيارة أهل القبور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أهل الديار من المسلمين والمؤمنين ، رحم اللّه المتقدّمين منّا والمستأخرين ، وإنّا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المدائني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يقول بعد والمؤمنين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لنا فرط ، ونحن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حسنة ابن سنان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من ديار قوم مؤمنين ، وإنا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حسنة منصور ، ومرسلة الفقيه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 يقوله النبي صلی اللّه عليه وآله كما مرّ في رواية الكامل </w:t>
      </w:r>
      <w:r>
        <w:rPr>
          <w:rStyle w:val="FootnoteAnchor"/>
          <w:rtl w:val="true"/>
        </w:rPr>
        <w:footnoteReference w:id="213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مرسلة الفقيه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جاف الأرض عن جنوبهم ، وصاعد إليك أرواحهم ، ولقّهم منكم رضوانا ، وأسكن إليهم من رحمتك ما تصل به وحدتهم ، وتؤنس به وحشتهم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مسلم المروية في المصباح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يقرأ قل هو اللّه أحد إحدى عشرة مرة ويهديه لهم ، كما فيها أيضا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كنت بين القبور فاقرأ قل هو اللّه أحد إحدى عشرة مرة وأهد ذلك لهم </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يقرأ آية الكرسي ويجعل ثوابها لأهل القبور ، كما في رواية مرسلة في البحار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هذه الأرواح الفانية والأجساد البالية والعظام النخرة التي خرجت من الدنيا وهي بك مؤمنة ، أدخل عليهم روحا منك وسلاما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فيها أيضا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يقرأ بدعاء علي ،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السلام على أهل لا إله إلاّ اللّه ، من أهل لا إله إلاّ اللّه ، يا أهل لا إله إلاّ اللّه ، بحق لا إله إلاّ اللّه ، كيف وجدتم قول لا إله إلاّ اللّه ، من لا إله إلاّ اللّه ، يا لا إله إلاّ اللّه ، بحق لا إله إلاّ اللّه ، اغفر لمن لا إله إلاّ اللّه ، واحشرنا في زمرة من قال لا إله إلاّ اللّه ، محمد صلی اللّه عليه وآله رسول اللّه ، علي عليه السلام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فيها أيضا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يقرأ سورة يس ، كما روي في العدّة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الجمع بين الجميع أو بعض منها</w:t>
      </w:r>
      <w:r>
        <w:rPr>
          <w:rFonts w:eastAsia="Amiri" w:cs="Amiri" w:ascii="Amiri" w:hAnsi="Amiri"/>
          <w:color w:val="111111"/>
          <w:sz w:val="28"/>
          <w:szCs w:val="28"/>
          <w:rtl w:val="true"/>
          <w:lang w:bidi="ar-SA"/>
        </w:rPr>
        <w:t xml:space="preserve">. </w:t>
      </w:r>
      <w:bookmarkStart w:id="122" w:name="pg11616_94778"/>
    </w:p>
    <w:p>
      <w:pPr>
        <w:pStyle w:val="Heading2"/>
        <w:numPr>
          <w:ilvl w:val="1"/>
          <w:numId w:val="1"/>
        </w:numPr>
        <w:rPr/>
      </w:pPr>
      <w:bookmarkStart w:id="123" w:name="__RefHeading___Toc5588141_73709187"/>
      <w:bookmarkStart w:id="124" w:name="_Toc48"/>
      <w:bookmarkEnd w:id="122"/>
      <w:bookmarkEnd w:id="123"/>
      <w:r>
        <w:rPr>
          <w:rtl w:val="true"/>
        </w:rPr>
        <w:t xml:space="preserve">المطلب الثاني </w:t>
      </w:r>
      <w:r>
        <w:rPr>
          <w:rtl w:val="true"/>
        </w:rPr>
        <w:t xml:space="preserve">: </w:t>
      </w:r>
      <w:r>
        <w:rPr>
          <w:rtl w:val="true"/>
        </w:rPr>
        <w:t>في الأغسال المسنونة</w:t>
      </w:r>
      <w:bookmarkEnd w:id="124"/>
    </w:p>
    <w:p>
      <w:pPr>
        <w:pStyle w:val="Heading3"/>
        <w:numPr>
          <w:ilvl w:val="2"/>
          <w:numId w:val="1"/>
        </w:numPr>
        <w:rPr/>
      </w:pPr>
      <w:bookmarkStart w:id="125" w:name="__RefHeading___Toc5588143_73709187"/>
      <w:bookmarkStart w:id="126" w:name="_Toc49"/>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وهي كثيرة جدا ، وعن النفلية أنها خمسون </w:t>
      </w:r>
      <w:r>
        <w:rPr>
          <w:rStyle w:val="FootnoteAnchor"/>
          <w:rtl w:val="true"/>
        </w:rPr>
        <w:footnoteReference w:id="2141"/>
      </w:r>
      <w:r>
        <w:rPr>
          <w:rFonts w:ascii="Amiri" w:hAnsi="Amiri" w:eastAsia="Amiri" w:cs="Amiri"/>
          <w:color w:val="111111"/>
          <w:sz w:val="28"/>
          <w:sz w:val="28"/>
          <w:szCs w:val="28"/>
          <w:rtl w:val="true"/>
          <w:lang w:bidi="ar-SA"/>
        </w:rPr>
        <w:t xml:space="preserve">، وذكر بعض الأجلة منها نيفا وستين </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ها هنا طائفة مهمة منها ، ونذكر بعضها أيضا في ما يناسبه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 ورجحانه مجمع عليه ، بل يمكن عدّه من الضروريات ، والنصوص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إذا أراد أن يوبّخ الرجل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أنت أعجز من تارك الغسل يوم الجمعة </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الفردوس </w:t>
      </w:r>
      <w:r>
        <w:rPr>
          <w:rStyle w:val="FootnoteAnchor"/>
          <w:rtl w:val="true"/>
        </w:rPr>
        <w:footnoteReference w:id="2144"/>
      </w:r>
      <w:r>
        <w:rPr>
          <w:rFonts w:ascii="Amiri" w:hAnsi="Amiri" w:eastAsia="Amiri" w:cs="Amiri"/>
          <w:color w:val="111111"/>
          <w:sz w:val="28"/>
          <w:sz w:val="28"/>
          <w:szCs w:val="28"/>
          <w:rtl w:val="true"/>
          <w:lang w:bidi="ar-SA"/>
        </w:rPr>
        <w:t xml:space="preserve">، عن مولانا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غسل الجمعة إلاّ فاسق ، ومن فاته غسل يوم الجمعة فليقضه يوم السبت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مستحب كما هو المشهور ، بل عن الخلاف والأمالي الإجماع عليه </w:t>
      </w:r>
      <w:r>
        <w:rPr>
          <w:rStyle w:val="FootnoteAnchor"/>
          <w:rtl w:val="true"/>
        </w:rPr>
        <w:footnoteReference w:id="2145"/>
      </w:r>
      <w:r>
        <w:rPr>
          <w:rFonts w:ascii="Amiri" w:hAnsi="Amiri" w:eastAsia="Amiri" w:cs="Amiri"/>
          <w:color w:val="111111"/>
          <w:sz w:val="28"/>
          <w:sz w:val="28"/>
          <w:szCs w:val="28"/>
          <w:rtl w:val="true"/>
          <w:lang w:bidi="ar-SA"/>
        </w:rPr>
        <w:t xml:space="preserve">، أو واجب كما عن الصدوقين والكليني </w:t>
      </w:r>
      <w:r>
        <w:rPr>
          <w:rStyle w:val="FootnoteAnchor"/>
          <w:rtl w:val="true"/>
        </w:rPr>
        <w:footnoteReference w:id="2146"/>
      </w:r>
      <w:r>
        <w:rPr>
          <w:rFonts w:ascii="Amiri" w:hAnsi="Amiri" w:eastAsia="Amiri" w:cs="Amiri"/>
          <w:color w:val="111111"/>
          <w:sz w:val="28"/>
          <w:sz w:val="28"/>
          <w:szCs w:val="28"/>
          <w:rtl w:val="true"/>
          <w:lang w:bidi="ar-SA"/>
        </w:rPr>
        <w:t xml:space="preserve">، مع إمكان حمل الوجوب في </w:t>
      </w:r>
    </w:p>
    <w:p>
      <w:pPr>
        <w:pStyle w:val="BookText"/>
        <w:rPr/>
      </w:pPr>
      <w:r>
        <w:rPr>
          <w:rFonts w:ascii="Amiri" w:hAnsi="Amiri" w:eastAsia="Amiri" w:cs="Amiri"/>
          <w:color w:val="111111"/>
          <w:sz w:val="28"/>
          <w:sz w:val="28"/>
          <w:szCs w:val="28"/>
          <w:rtl w:val="true"/>
          <w:lang w:bidi="ar-SA"/>
        </w:rPr>
        <w:t xml:space="preserve">كلامهم على تأكّد الاستحباب ، كما ذكره غير واحد من الأصحاب </w:t>
      </w:r>
      <w:r>
        <w:rPr>
          <w:rStyle w:val="FootnoteAnchor"/>
          <w:rtl w:val="true"/>
        </w:rPr>
        <w:footnoteReference w:id="2147"/>
      </w:r>
      <w:r>
        <w:rPr>
          <w:rFonts w:ascii="Amiri" w:hAnsi="Amiri" w:eastAsia="Amiri" w:cs="Amiri"/>
          <w:color w:val="111111"/>
          <w:sz w:val="28"/>
          <w:sz w:val="28"/>
          <w:szCs w:val="28"/>
          <w:rtl w:val="true"/>
          <w:lang w:bidi="ar-SA"/>
        </w:rPr>
        <w:t xml:space="preserve">، ونقل عن شيخنا البهائي </w:t>
      </w:r>
      <w:r>
        <w:rPr>
          <w:rStyle w:val="FootnoteAnchor"/>
          <w:rtl w:val="true"/>
        </w:rPr>
        <w:footnoteReference w:id="2148"/>
      </w:r>
      <w:r>
        <w:rPr>
          <w:rFonts w:ascii="Amiri" w:hAnsi="Amiri" w:eastAsia="Amiri" w:cs="Amiri"/>
          <w:color w:val="111111"/>
          <w:sz w:val="28"/>
          <w:sz w:val="28"/>
          <w:szCs w:val="28"/>
          <w:rtl w:val="true"/>
          <w:lang w:bidi="ar-SA"/>
        </w:rPr>
        <w:t xml:space="preserve">وبعض من تأخّر عنه أيضا ، ويميل إليه المحقّق الأردبيلي والكفاية بعض الميل </w:t>
      </w:r>
      <w:r>
        <w:rPr>
          <w:rStyle w:val="FootnoteAnchor"/>
          <w:rtl w:val="true"/>
        </w:rPr>
        <w:footnoteReference w:id="21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هو الأول ، لا لاستفاضة النصوص بأنه سنّة ، كصحيحة ابن يقطين ، وزرارة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يوم الجمعة والأضحى والفطر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وليس بفريضة </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في السفر والحضر </w:t>
      </w:r>
      <w:r>
        <w:rPr>
          <w:rFonts w:eastAsia="Amiri" w:cs="Amiri" w:ascii="Amiri" w:hAnsi="Amiri"/>
          <w:color w:val="111111"/>
          <w:sz w:val="28"/>
          <w:szCs w:val="28"/>
          <w:rtl w:val="true"/>
          <w:lang w:bidi="ar-SA"/>
        </w:rPr>
        <w:t xml:space="preserve">» </w:t>
      </w:r>
      <w:r>
        <w:rPr>
          <w:rStyle w:val="FootnoteAnchor"/>
          <w:rtl w:val="true"/>
        </w:rPr>
        <w:footnoteReference w:id="21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الجمعة والفطر سنّة في السفر والحضر </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والتصريح بكونه تطوّعا في المروي في جمال الأسبوع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في كل جمعة ولو أنك تشتري الماء بقوت يومك ، فإنه ليس شي‌ء من التطوع أعظم منه </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من المستحبات في جملة من الأخبار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متمّما للوضوء كجعل النافلة من الصلاة والصيام لفريضتهما في خبر </w:t>
      </w:r>
    </w:p>
    <w:p>
      <w:pPr>
        <w:pStyle w:val="BookText"/>
        <w:rPr/>
      </w:pPr>
      <w:r>
        <w:rPr>
          <w:rFonts w:ascii="Amiri" w:hAnsi="Amiri" w:eastAsia="Amiri" w:cs="Amiri"/>
          <w:color w:val="111111"/>
          <w:sz w:val="28"/>
          <w:sz w:val="28"/>
          <w:szCs w:val="28"/>
          <w:rtl w:val="true"/>
          <w:lang w:bidi="ar-SA"/>
        </w:rPr>
        <w:t xml:space="preserve">الصيرفي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دلالة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السنّة في الأخبار أعم من الواجب ، فإنّها بمعنى الطريقة ، وتستعمل فيها كثيرا في الواجب أيضا ، كما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غسل الجنابة فريضة من فرائض اللّه جلّ وعزّ ، وإنّه ليس من الغسل فرض غيره ، وباقي الأغسال سنّة واجبة ، ومنها سنّة مسنونة ، إلاّ أنّ بعضها ألزم من بعض وأوجب من بعض </w:t>
      </w:r>
      <w:r>
        <w:rPr>
          <w:rFonts w:eastAsia="Amiri" w:cs="Amiri" w:ascii="Amiri" w:hAnsi="Amiri"/>
          <w:color w:val="111111"/>
          <w:sz w:val="28"/>
          <w:szCs w:val="28"/>
          <w:rtl w:val="true"/>
          <w:lang w:bidi="ar-SA"/>
        </w:rPr>
        <w:t xml:space="preserve">» </w:t>
      </w:r>
      <w:r>
        <w:rPr>
          <w:rStyle w:val="FootnoteAnchor"/>
          <w:rtl w:val="true"/>
        </w:rPr>
        <w:footnoteReference w:id="2156"/>
      </w:r>
      <w:r>
        <w:rPr>
          <w:rFonts w:ascii="Amiri" w:hAnsi="Amiri" w:eastAsia="Amiri" w:cs="Amiri"/>
          <w:color w:val="111111"/>
          <w:sz w:val="28"/>
          <w:sz w:val="28"/>
          <w:szCs w:val="28"/>
          <w:rtl w:val="true"/>
          <w:lang w:bidi="ar-SA"/>
        </w:rPr>
        <w:t xml:space="preserve">وفي الروايات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غسل الميت سنّة ، وفي رواية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أربعة عشر موطنا ، واحد فريضة والباقي سنّة </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قوله 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الاستحباب ، لأنّ المراد بالفريضة ما ثبت وجوبه بالكتاب ، ولذا حصر في المستفيضة غسل الفريضة بغسل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السؤال فيها حيث إنّه وقع عن الحكم دون المأخذ ، لعدم صراحة ولا ظهور في كون السؤال عن الحكم ، مع أنّ الفريضة وعدمها أيضا حكمان يترتّب عليهما بعض الآثار ، كتقديم الفرض على الواجب عند 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جمعه فيها وفي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Style w:val="FootnoteAnchor"/>
          <w:rtl w:val="true"/>
        </w:rPr>
        <w:footnoteReference w:id="2158"/>
      </w:r>
      <w:r>
        <w:rPr>
          <w:rFonts w:ascii="Amiri" w:hAnsi="Amiri" w:eastAsia="Amiri" w:cs="Amiri"/>
          <w:color w:val="111111"/>
          <w:sz w:val="28"/>
          <w:sz w:val="28"/>
          <w:szCs w:val="28"/>
          <w:rtl w:val="true"/>
          <w:lang w:bidi="ar-SA"/>
        </w:rPr>
        <w:t>غسل العيدين المستحب قطعا ، وإلاّ لزم استعمال اللفظ في معنييه ، لجواز عموم المجاز</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فلأعمية التطوّع لغة من المستحب ، فإنّه مأخوذ من الطاعة ، ولو سلّم الاختصاص في العرف المتأخر فالأصل تأخّره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الأخيران فظاهران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للتصريح بجواز تركه للنساء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لجوازه للرجال بعدم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المرأة غسل الجمعة في السفر ، ويجوز لها تركه في الحضر </w:t>
      </w:r>
      <w:r>
        <w:rPr>
          <w:rFonts w:eastAsia="Amiri" w:cs="Amiri" w:ascii="Amiri" w:hAnsi="Amiri"/>
          <w:color w:val="111111"/>
          <w:sz w:val="28"/>
          <w:szCs w:val="28"/>
          <w:rtl w:val="true"/>
          <w:lang w:bidi="ar-SA"/>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النبوي المنجبر 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يوم الجمعة فبها ونعمت ، ومن اغتسل فالغسل أفضل </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العلل والعيون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وعلّة غسل العيد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فيه الغسل تعظيما لذلك اليوم ، وتفضيلا له على سائر الأيام ، وزيادة له في النوافل والعبادة </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وهو صريح في كونه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ثلاثة وعشرين غسلا من غير عدّ أغسال النساء وغسل المسّ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الفرض من ذلك غسل الجنابة ، والواجب غسل الميت وغسل الإحرام ، والباقي سنّة </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الباقي غسل الجمعة ، وهو صريح في أنّ المراد من السنّة فيه 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الصراحة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أربعة عشر وجها ، ثلاث منها غسل واجب 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وأحد عشر غسلا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العيدين والجمعة </w:t>
      </w:r>
      <w:r>
        <w:rPr>
          <w:rFonts w:eastAsia="Amiri" w:cs="Amiri" w:ascii="Amiri" w:hAnsi="Amiri"/>
          <w:color w:val="111111"/>
          <w:sz w:val="28"/>
          <w:szCs w:val="28"/>
          <w:rtl w:val="true"/>
          <w:lang w:bidi="ar-SA"/>
        </w:rPr>
        <w:t xml:space="preserve">» </w:t>
      </w:r>
      <w:r>
        <w:rPr>
          <w:rStyle w:val="FootnoteAnchor"/>
          <w:rtl w:val="true"/>
        </w:rPr>
        <w:footnoteReference w:id="216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العيدين ، أواجب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سنّة </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 xml:space="preserve">وهو أيضا صريح فيما ذكرنا ، وإلاّ لم يحصل </w:t>
      </w:r>
    </w:p>
    <w:p>
      <w:pPr>
        <w:pStyle w:val="BookText"/>
        <w:rPr/>
      </w:pPr>
      <w:r>
        <w:rPr>
          <w:rFonts w:ascii="IRNazanin" w:hAnsi="IRNazanin" w:eastAsia="IRNazanin"/>
          <w:color w:val="111111"/>
          <w:sz w:val="28"/>
          <w:sz w:val="28"/>
          <w:szCs w:val="28"/>
          <w:rtl w:val="true"/>
          <w:lang w:bidi="fa-IR"/>
        </w:rPr>
        <w:t>للجواب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 بعض ما مرّ ، بالشهرة العظيمة والإجماع المنقول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الآمرة به ، كصحيحة </w:t>
      </w:r>
      <w:r>
        <w:rPr>
          <w:rStyle w:val="FootnoteAnchor"/>
          <w:rtl w:val="true"/>
        </w:rPr>
        <w:footnoteReference w:id="2165"/>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يوم الجمعة إلاّ أن تكون مريضا أو تخاف على نفسك </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وبتقديمه مع قلّة الماء ، كرواية الحسين بن موسى عن امّه وأمّ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الحسن بالبادية ونحن نريد بغداد ، فقال لنا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اغتسلا اليوم لغد </w:t>
      </w:r>
      <w:r>
        <w:rPr>
          <w:rFonts w:eastAsia="Amiri" w:cs="Amiri" w:ascii="Amiri" w:hAnsi="Amiri"/>
          <w:color w:val="111111"/>
          <w:sz w:val="28"/>
          <w:szCs w:val="28"/>
          <w:rtl w:val="true"/>
          <w:lang w:bidi="ar-SA"/>
        </w:rPr>
        <w:t xml:space="preserve">» </w:t>
      </w:r>
      <w:r>
        <w:rPr>
          <w:rStyle w:val="FootnoteAnchor"/>
          <w:rtl w:val="true"/>
        </w:rPr>
        <w:footnoteReference w:id="2167"/>
      </w:r>
      <w:r>
        <w:rPr>
          <w:rFonts w:ascii="Amiri" w:hAnsi="Amiri" w:eastAsia="Amiri" w:cs="Amiri"/>
          <w:color w:val="111111"/>
          <w:sz w:val="28"/>
          <w:sz w:val="28"/>
          <w:szCs w:val="28"/>
          <w:rtl w:val="true"/>
          <w:lang w:bidi="ar-SA"/>
        </w:rPr>
        <w:t xml:space="preserve">الحديث ، وبمضمونها في الأمر بالتقديم مرسلة محمد بن الحسين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وبقضائه ، كرواية سماعة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يجد فليقضه يوم السبت </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المصرّحة بأنه واجب ، كحسنتي ابني المغيرة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يوم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على كلّ ذكر أو أنثى ، عبد أو حرّ </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غسل الجمعة واجبا؟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أتمّ صلاة الفريضة بصلاة النافلة ، وأتمّ صيام الفريضة بصيام النافلة ، وأتمّ وضوء الفريضة بغسل الجمعة </w:t>
      </w:r>
      <w:r>
        <w:rPr>
          <w:rFonts w:eastAsia="Amiri" w:cs="Amiri" w:ascii="Amiri" w:hAnsi="Amiri"/>
          <w:color w:val="111111"/>
          <w:sz w:val="28"/>
          <w:szCs w:val="28"/>
          <w:rtl w:val="true"/>
          <w:lang w:bidi="ar-SA"/>
        </w:rPr>
        <w:t xml:space="preserve">» </w:t>
      </w:r>
      <w:r>
        <w:rPr>
          <w:rStyle w:val="FootnoteAnchor"/>
          <w:rtl w:val="true"/>
        </w:rPr>
        <w:footnoteReference w:id="217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في السفر والحضر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المحرم واجب ، وغسل يوم عرفة واجب ، وغسل الزيارة واجب إلاّ من علّة ، وغسل دخول البيت واجب ، وغسل دخول الحرم واجب ، ويستحب أن لا يدخله إلاّ بغسل </w:t>
      </w:r>
      <w:r>
        <w:rPr>
          <w:rFonts w:eastAsia="Amiri" w:cs="Amiri" w:ascii="Amiri" w:hAnsi="Amiri"/>
          <w:color w:val="111111"/>
          <w:sz w:val="28"/>
          <w:szCs w:val="28"/>
          <w:rtl w:val="true"/>
          <w:lang w:bidi="ar-SA"/>
        </w:rPr>
        <w:t xml:space="preserve">» </w:t>
      </w:r>
      <w:r>
        <w:rPr>
          <w:rStyle w:val="FootnoteAnchor"/>
          <w:rtl w:val="true"/>
        </w:rPr>
        <w:footnoteReference w:id="217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والروايات المتضمّنة لأنه على النساء ، الذي هو أيضا في معنى الإيجاب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يصرّح بأنه لا بدّ منه ، كما في مرسلة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غسل يوم الجمعة في السفر والحضر ، فمن نسي فليعد من الغد </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يأمر بالاستغفار عن تركه متعمّدا ، كرواية سهل </w:t>
      </w:r>
      <w:r>
        <w:rPr>
          <w:rStyle w:val="FootnoteAnchor"/>
          <w:rtl w:val="true"/>
        </w:rPr>
        <w:footnoteReference w:id="2175"/>
      </w:r>
      <w:r>
        <w:rPr>
          <w:rFonts w:ascii="Amiri" w:hAnsi="Amiri" w:eastAsia="Amiri" w:cs="Amiri"/>
          <w:color w:val="111111"/>
          <w:sz w:val="28"/>
          <w:sz w:val="28"/>
          <w:szCs w:val="28"/>
          <w:rtl w:val="true"/>
          <w:lang w:bidi="ar-SA"/>
        </w:rPr>
        <w:t xml:space="preserve">، ومرسلة </w:t>
      </w:r>
      <w:r>
        <w:rPr>
          <w:rStyle w:val="FootnoteAnchor"/>
          <w:rtl w:val="true"/>
        </w:rPr>
        <w:footnoteReference w:id="2176"/>
      </w:r>
      <w:r>
        <w:rPr>
          <w:rFonts w:ascii="Amiri" w:hAnsi="Amiri" w:eastAsia="Amiri" w:cs="Amiri"/>
          <w:color w:val="111111"/>
          <w:sz w:val="28"/>
          <w:sz w:val="28"/>
          <w:szCs w:val="28"/>
          <w:rtl w:val="true"/>
          <w:lang w:bidi="ar-SA"/>
        </w:rPr>
        <w:t>الفقيه ، ولا يكون الاستغفار إلاّ عن ترك واجب أو فعل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استعمال كلّ ما ذكر في الاستحباب مجاز شائع ، فالحمل عليه مع القرينة لازم ، وما ذكرناه قرينة واضحة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وجود قرائن أخرى مع أكثر الموجبات ، كما في الأمر بالتقديم والقضاء ، فإنّ الظاهر عدم القول بوجوبهما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الصيرفي ، فإن العلّة المذكورة فيها غير صالحة لإثبات غير الرجحان قطعا ، وإلاّ لوجبت صلاة النافلة وصيام النافلة أيضا ، فالمراد من الوجوب فيها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قد يستدلّ بهذه الرواية على الاستحباب وإن كان محل نظر ، إذ إثبات الرجحان في حديث بعلّة لا ينافي ضمّ اللزوم بدليل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الموثّقة ، فإنّ الحكم فيها بوجوب أغسال كثيرة غير واجبة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بوجوب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بالوجوب فيها معناه المجازي ، سيما مع ضمّ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أن لا يدخله إلاّ بغسل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صلاحية ذلك لاتّكال المتكلّم عليه في إرادة المجاز ، ومعه لا تجري أصالة الحقيقة ، كما بيّنّاه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يحصل الوهن في إرادة الحقيقة في غيرها مما يتضمّن لفظ الوجوب أيضا ، سيما مع حمل الإمام وجوبه في الرواية السابقة بلا قرينة على مطلق الرجحان ، ومع ما في الرضوي المتقدّم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سنّة مسنونة إلاّ أنّ بعضها 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من بعض </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ملاحظة خبر ابن الوليد ، ومرسلة الفقيه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غسل الأضحى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w:t>
      </w:r>
      <w:r>
        <w:rPr>
          <w:rFonts w:eastAsia="IRNazanin" w:cs="IRNazanin"/>
          <w:color w:val="111111"/>
          <w:sz w:val="28"/>
          <w:szCs w:val="28"/>
          <w:rtl w:val="true"/>
          <w:lang w:bidi="fa-IR"/>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قصد إلى مصلوب فنظر إليه وجب عليه الغسل </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بملاحظة تلك الأخبار المؤيّدة بأصالة تأخّر الحادث يتقوّى ما ذكره جماعة من عدم ثبوت الحقيقة الشرعية للوجوب وإن أراهم لا يلتفتون إليه في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بعض الروايات المتضمّنة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بعد السؤال عن المرأة أعليها غسل يوم الجمعة والفطر والأضحى ويوم عرفة؟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عليها الغسل كلّه </w:t>
      </w:r>
      <w:r>
        <w:rPr>
          <w:rFonts w:eastAsia="Amiri" w:cs="Amiri" w:ascii="Amiri" w:hAnsi="Amiri"/>
          <w:color w:val="111111"/>
          <w:sz w:val="28"/>
          <w:szCs w:val="28"/>
          <w:rtl w:val="true"/>
          <w:lang w:bidi="ar-SA"/>
        </w:rPr>
        <w:t xml:space="preserve">» </w:t>
      </w:r>
      <w:r>
        <w:rPr>
          <w:rStyle w:val="FootnoteAnchor"/>
          <w:rtl w:val="true"/>
        </w:rPr>
        <w:footnoteReference w:id="2180"/>
      </w:r>
      <w:r>
        <w:rPr>
          <w:rFonts w:ascii="Amiri" w:hAnsi="Amiri" w:eastAsia="Amiri" w:cs="Amiri"/>
          <w:color w:val="111111"/>
          <w:sz w:val="28"/>
          <w:sz w:val="28"/>
          <w:szCs w:val="28"/>
          <w:rtl w:val="true"/>
          <w:lang w:bidi="ar-SA"/>
        </w:rPr>
        <w:t>ولا بدّ من حمله على مطلق الرجحان ، لئلاّ يلزم استعمال اللفظ في معنييه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روايات الاستغفار ، كموثّقة ابن اليسع ، وإنّ فيها بعد السؤال </w:t>
      </w:r>
      <w:bookmarkStart w:id="127" w:name="pg11616_94785"/>
    </w:p>
    <w:p>
      <w:pPr>
        <w:pStyle w:val="BookText"/>
        <w:rPr/>
      </w:pPr>
      <w:bookmarkEnd w:id="127"/>
      <w:r>
        <w:rPr>
          <w:rFonts w:ascii="Amiri" w:hAnsi="Amiri" w:eastAsia="Amiri" w:cs="Amiri"/>
          <w:color w:val="111111"/>
          <w:sz w:val="28"/>
          <w:sz w:val="28"/>
          <w:szCs w:val="28"/>
          <w:rtl w:val="true"/>
          <w:lang w:bidi="ar-SA"/>
        </w:rPr>
        <w:t xml:space="preserve">عن الرجل يدع الغسل يوم الجمعة ناسيا أو متعمّدا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متعمّدا فالغسل أحبّ إلي ، إن هو فعل </w:t>
      </w:r>
      <w:r>
        <w:rPr>
          <w:rFonts w:eastAsia="Amiri" w:cs="Amiri" w:ascii="Amiri" w:hAnsi="Amiri"/>
          <w:color w:val="111111"/>
          <w:sz w:val="28"/>
          <w:szCs w:val="28"/>
          <w:rtl w:val="true"/>
          <w:lang w:bidi="ar-SA"/>
        </w:rPr>
        <w:t xml:space="preserve">.. » </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قرينة على عدم ترتّب ذنب على تركه ، بل هذا دليل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في هذه الروايات تصريح في كون الاستغفار لذنب مترتّب على ترك غسل الجمعة ، فلعلّ المراد أنّه إن تركه فليستغفر اللّه لذنوبه عوضا عن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قطع النظر عن ذلك كلّه لحصل التعارض بين هذه الروايات وبين ما ذكرنا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بعد تمامية دلالتها وعدم المناص عنها تصير مخالفة للشهرة العظيمة من الجديدة والقديمة ، وبها تخرج عن الحجية وصلاحية المعارضة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5588145_73709187"/>
      <w:bookmarkStart w:id="129" w:name="_Toc50"/>
      <w:bookmarkEnd w:id="128"/>
      <w:r>
        <w:rPr>
          <w:rtl w:val="true"/>
        </w:rPr>
        <w:t xml:space="preserve">فروع </w:t>
      </w:r>
      <w:r>
        <w:rPr>
          <w:rtl w:val="true"/>
        </w:rPr>
        <w:t>:</w:t>
      </w:r>
      <w:bookmarkEnd w:id="12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وقته طلوع الفجر ، فلا يجزي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صرّح به جماعة ، لأنّه مقتضى إضافته إلى اليوم ، وأصالة عدم مشروعيته في غير ما علمت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بعده كذلك ، لصدق اليوم لغة وشرعا ، واستفاضة النصوص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ويجزيك إذا اغتسلت بعد طلوع الفجر ، وكلّما قرب من الزوال فهو أفضل </w:t>
      </w:r>
      <w:r>
        <w:rPr>
          <w:rFonts w:eastAsia="Amiri" w:cs="Amiri" w:ascii="Amiri" w:hAnsi="Amiri"/>
          <w:color w:val="111111"/>
          <w:sz w:val="28"/>
          <w:szCs w:val="28"/>
          <w:rtl w:val="true"/>
          <w:lang w:bidi="ar-SA"/>
        </w:rPr>
        <w:t xml:space="preserve">» </w:t>
      </w:r>
      <w:r>
        <w:rPr>
          <w:rStyle w:val="FootnoteAnchor"/>
          <w:rtl w:val="true"/>
        </w:rPr>
        <w:footnoteReference w:id="218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مستند ما نصّ عليه الأكثر من أنه كلّما قرب من الزوال كان أفضل ، بل ظاهر بعضهم اتّفاق الأصحاب عليه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وآخر وقته الزوال من يوم الجمعة ، بالإجماع ، كما في اللوامع ، وعن المعتبر والخلاف والذكرى </w:t>
      </w:r>
      <w:r>
        <w:rPr>
          <w:rStyle w:val="FootnoteAnchor"/>
          <w:rtl w:val="true"/>
        </w:rPr>
        <w:footnoteReference w:id="2184"/>
      </w:r>
      <w:r>
        <w:rPr>
          <w:rFonts w:ascii="Amiri" w:hAnsi="Amiri" w:eastAsia="Amiri" w:cs="Amiri"/>
          <w:color w:val="111111"/>
          <w:sz w:val="28"/>
          <w:sz w:val="28"/>
          <w:szCs w:val="28"/>
          <w:rtl w:val="true"/>
          <w:lang w:bidi="ar-SA"/>
        </w:rPr>
        <w:t xml:space="preserve">، لحسنة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فراغك من الغسل قبل الزوال </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الوارد في سبب جريان السنّة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يقيّد إطلاق المطلقات ، ويضعّف ما حكي عن الخلاف من امتداد وقته إلى صلاة الجمعة </w:t>
      </w:r>
      <w:r>
        <w:rPr>
          <w:rStyle w:val="FootnoteAnchor"/>
          <w:rtl w:val="true"/>
        </w:rPr>
        <w:footnoteReference w:id="2187"/>
      </w:r>
      <w:r>
        <w:rPr>
          <w:rFonts w:ascii="Amiri" w:hAnsi="Amiri" w:eastAsia="Amiri" w:cs="Amiri"/>
          <w:color w:val="111111"/>
          <w:sz w:val="28"/>
          <w:sz w:val="28"/>
          <w:szCs w:val="28"/>
          <w:rtl w:val="true"/>
          <w:lang w:bidi="ar-SA"/>
        </w:rPr>
        <w:t xml:space="preserve">، مع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المشهور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المروي في قرب الإسناد عن مولانا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كان يغتسل للجمعة عند الرواح </w:t>
      </w:r>
      <w:r>
        <w:rPr>
          <w:rFonts w:eastAsia="Amiri" w:cs="Amiri" w:ascii="Amiri" w:hAnsi="Amiri"/>
          <w:color w:val="111111"/>
          <w:sz w:val="28"/>
          <w:szCs w:val="28"/>
          <w:rtl w:val="true"/>
          <w:lang w:bidi="ar-SA"/>
        </w:rPr>
        <w:t xml:space="preserve">» </w:t>
      </w:r>
      <w:r>
        <w:rPr>
          <w:rStyle w:val="FootnoteAnchor"/>
          <w:rtl w:val="true"/>
        </w:rPr>
        <w:footnoteReference w:id="2189"/>
      </w:r>
      <w:r>
        <w:rPr>
          <w:rFonts w:ascii="Amiri" w:hAnsi="Amiri" w:eastAsia="Amiri" w:cs="Amiri"/>
          <w:color w:val="111111"/>
          <w:sz w:val="28"/>
          <w:sz w:val="28"/>
          <w:szCs w:val="28"/>
          <w:rtl w:val="true"/>
          <w:lang w:bidi="ar-SA"/>
        </w:rPr>
        <w:t xml:space="preserve">وهو آخر النهار ، أو من الزوال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Style w:val="FootnoteAnchor"/>
          <w:rtl w:val="true"/>
        </w:rPr>
        <w:footnoteReference w:id="2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لمعارضة ما ذكر ، مع أنّ إرادة الرواح إلى صلاة الجمعة محتملة ، وكون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قضاء أيضا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تقديمه يوم الخميس ، اتّفاقا كما في اللوامع والحدائق </w:t>
      </w:r>
      <w:r>
        <w:rPr>
          <w:rStyle w:val="FootnoteAnchor"/>
          <w:rtl w:val="true"/>
        </w:rPr>
        <w:footnoteReference w:id="2191"/>
      </w:r>
      <w:r>
        <w:rPr>
          <w:rFonts w:ascii="Amiri" w:hAnsi="Amiri" w:eastAsia="Amiri" w:cs="Amiri"/>
          <w:color w:val="111111"/>
          <w:sz w:val="28"/>
          <w:sz w:val="28"/>
          <w:szCs w:val="28"/>
          <w:rtl w:val="true"/>
          <w:lang w:bidi="ar-SA"/>
        </w:rPr>
        <w:t xml:space="preserve">، لرواية الحسين بن موسى ومرسلة محمد بن الحسين ، المتقدّمة إليهما الإشارة </w:t>
      </w:r>
      <w:r>
        <w:rPr>
          <w:rStyle w:val="FootnoteAnchor"/>
          <w:rtl w:val="true"/>
        </w:rPr>
        <w:footnoteReference w:id="2192"/>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مسافرا وتخوفت عدم الماء يوم الجمعة اغتسل يوم الخميس </w:t>
      </w:r>
      <w:r>
        <w:rPr>
          <w:rFonts w:eastAsia="Amiri" w:cs="Amiri" w:ascii="Amiri" w:hAnsi="Amiri"/>
          <w:color w:val="111111"/>
          <w:sz w:val="28"/>
          <w:szCs w:val="28"/>
          <w:rtl w:val="true"/>
          <w:lang w:bidi="ar-SA"/>
        </w:rPr>
        <w:t xml:space="preserve">» </w:t>
      </w:r>
      <w:r>
        <w:rPr>
          <w:rStyle w:val="FootnoteAnchor"/>
          <w:rtl w:val="true"/>
        </w:rPr>
        <w:footnoteReference w:id="219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اختصاصه بخائف عوز الماء ، لأنّه مورد النصوص ، وغيره يبقى </w:t>
      </w:r>
    </w:p>
    <w:p>
      <w:pPr>
        <w:pStyle w:val="BookText"/>
        <w:rPr/>
      </w:pPr>
      <w:r>
        <w:rPr>
          <w:rFonts w:ascii="IRNazanin" w:hAnsi="IRNazanin" w:eastAsia="IRNazanin"/>
          <w:color w:val="111111"/>
          <w:sz w:val="28"/>
          <w:sz w:val="28"/>
          <w:szCs w:val="28"/>
          <w:rtl w:val="true"/>
          <w:lang w:bidi="fa-IR"/>
        </w:rPr>
        <w:t>تحت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التعدّي إلى ليلة الجمعة مع الشرط ، لفحوى الأخبار ، أو عدمه ، لظاهرها ، وجهان بل قولان ، ولعل الأول أظهر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الوفاق عليه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التقديم لا يغسل ثانيا يوم الجمعة لو تمكّن ، للأصل ، وعدم انصراف المطلقات إليه ، خلافا لبعضهم ، فجوّزه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فات قبل الزوال يستحب قضاؤه بعده إلى آخر نهار السبت إجماعا ، للمستفيضة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المتقدّمة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فاته الغسل يوم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ما بينه وبين الليل فإن فاته اغتسل يوم السبت </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فاتك الغسل يوم الجمعة قضيت يوم السبت ، أو بعده من أيام الجمعة </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الموثّقة أفضلية القضاء بعد الزوال عن يوم السبت ، بل قيل بأفضلية كلّ من القضاء والتقديم في كلّما كان أقرب إلى الوقت </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التعدّي إلى الليلة كما تقدم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في القضاء إلى غير يوم السبت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للتسامح وإن لم أعرف به الآن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ومقتضى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القضاء لكلّ من فاته ولو كان عمدا ، وعليه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بالمعذور والناسي </w:t>
      </w:r>
      <w:r>
        <w:rPr>
          <w:rStyle w:val="FootnoteAnchor"/>
          <w:rtl w:val="true"/>
        </w:rPr>
        <w:footnoteReference w:id="2200"/>
      </w:r>
      <w:r>
        <w:rPr>
          <w:rFonts w:ascii="Amiri" w:hAnsi="Amiri" w:eastAsia="Amiri" w:cs="Amiri"/>
          <w:color w:val="111111"/>
          <w:sz w:val="28"/>
          <w:sz w:val="28"/>
          <w:szCs w:val="28"/>
          <w:rtl w:val="true"/>
          <w:lang w:bidi="ar-SA"/>
        </w:rPr>
        <w:t xml:space="preserve">، لمفهوم مرسلة حريز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عام فيخصّص بالمغتسل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تأدّت السنّة وإن أحدث أو نام بعده ، للإجماع والمعتبرة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يقول بعد الغسل ما رواه الشيخ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وأنّ محمدا عبده ورسوله ،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المتطهّرين </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وعشرون غسلا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للّيالي المفردة ، وخمسة لسائر الليالي من العشر الأخير ، وواحد آخر للثلاث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تفصيل المستند في الجميع في كتاب الصيام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عيد الفطر وغسل للأضحى ، بالإجماعين ، والمستفيضة من النصوص التي تقدم بعضها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ووقتهما بعد طلوع الفجر ، بالإجماع ، وعدم الصدق ، وخبر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اغتسل يوم الفطر والأضحى قبل الفجر لم يجزئه ، وإن اغتسل بعده أجزأه </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إطلاقه كسائر الإطلاقات امتداد وقته بامتداد اليوم ، كما عن </w:t>
      </w:r>
    </w:p>
    <w:p>
      <w:pPr>
        <w:pStyle w:val="BookText"/>
        <w:rPr/>
      </w:pPr>
      <w:r>
        <w:rPr>
          <w:rFonts w:ascii="Amiri" w:hAnsi="Amiri" w:eastAsia="Amiri" w:cs="Amiri"/>
          <w:color w:val="111111"/>
          <w:sz w:val="28"/>
          <w:sz w:val="28"/>
          <w:szCs w:val="28"/>
          <w:rtl w:val="true"/>
          <w:lang w:bidi="ar-SA"/>
        </w:rPr>
        <w:t xml:space="preserve">الذكرى </w:t>
      </w:r>
      <w:r>
        <w:rPr>
          <w:rStyle w:val="FootnoteAnchor"/>
          <w:rtl w:val="true"/>
        </w:rPr>
        <w:footnoteReference w:id="2205"/>
      </w:r>
      <w:r>
        <w:rPr>
          <w:rFonts w:ascii="Amiri" w:hAnsi="Amiri" w:eastAsia="Amiri" w:cs="Amiri"/>
          <w:color w:val="111111"/>
          <w:sz w:val="28"/>
          <w:sz w:val="28"/>
          <w:szCs w:val="28"/>
          <w:rtl w:val="true"/>
          <w:lang w:bidi="ar-SA"/>
        </w:rPr>
        <w:t xml:space="preserve">، إلاّ أنّ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الفجر من يوم العيد فاغتسل ، وهو أول أوقات الغسل ، ثمَّ إلى وقت الزوال </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منه أنّ آخر وقته الزوال ، ونسبه في البحار إلى ظاهر الأصحاب </w:t>
      </w:r>
      <w:r>
        <w:rPr>
          <w:rStyle w:val="FootnoteAnchor"/>
          <w:rtl w:val="true"/>
        </w:rPr>
        <w:footnoteReference w:id="2207"/>
      </w:r>
      <w:r>
        <w:rPr>
          <w:rFonts w:ascii="Amiri" w:hAnsi="Amiri" w:eastAsia="Amiri" w:cs="Amiri"/>
          <w:color w:val="111111"/>
          <w:sz w:val="28"/>
          <w:sz w:val="28"/>
          <w:szCs w:val="28"/>
          <w:rtl w:val="true"/>
          <w:lang w:bidi="ar-SA"/>
        </w:rPr>
        <w:t>، ولعلّه بعد انجباره بذلك كان كافيا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وليوم دحو الأرض ، وهو الخامس والعشرون من ذي القعدة ، ذكره الشهيد ناسبا له إلى الأصحاب </w:t>
      </w:r>
      <w:r>
        <w:rPr>
          <w:rStyle w:val="FootnoteAnchor"/>
          <w:rtl w:val="true"/>
        </w:rPr>
        <w:footnoteReference w:id="2208"/>
      </w:r>
      <w:r>
        <w:rPr>
          <w:rFonts w:ascii="IRNazanin" w:hAnsi="IRNazanin" w:eastAsia="IRNazanin"/>
          <w:color w:val="111111"/>
          <w:sz w:val="28"/>
          <w:sz w:val="28"/>
          <w:szCs w:val="28"/>
          <w:rtl w:val="true"/>
          <w:lang w:bidi="fa-IR"/>
        </w:rPr>
        <w:t>، وبعض آخر ، ولا أعرف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وليوم عرفة ، بالإجماعين ،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فعله عند الزوال ، لصحيحة ابن سنان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المراد من قبل الزوال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يوم عرفة قبل الزوال </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وليوم التروية ، ذكره في الهداية والنزهة والمنتهى ونهاية الإحكام </w:t>
      </w:r>
      <w:r>
        <w:rPr>
          <w:rStyle w:val="FootnoteAnchor"/>
          <w:rtl w:val="true"/>
        </w:rPr>
        <w:footnoteReference w:id="2211"/>
      </w:r>
      <w:r>
        <w:rPr>
          <w:rFonts w:ascii="Amiri" w:hAnsi="Amiri" w:eastAsia="Amiri" w:cs="Amiri"/>
          <w:color w:val="111111"/>
          <w:sz w:val="28"/>
          <w:sz w:val="28"/>
          <w:szCs w:val="28"/>
          <w:rtl w:val="true"/>
          <w:lang w:bidi="ar-SA"/>
        </w:rPr>
        <w:t xml:space="preserve">، وغيرها </w:t>
      </w:r>
      <w:r>
        <w:rPr>
          <w:rStyle w:val="FootnoteAnchor"/>
          <w:rtl w:val="true"/>
        </w:rPr>
        <w:footnoteReference w:id="2212"/>
      </w:r>
      <w:r>
        <w:rPr>
          <w:rFonts w:ascii="Amiri" w:hAnsi="Amiri" w:eastAsia="Amiri" w:cs="Amiri"/>
          <w:color w:val="111111"/>
          <w:sz w:val="28"/>
          <w:sz w:val="28"/>
          <w:szCs w:val="28"/>
          <w:rtl w:val="true"/>
          <w:lang w:bidi="ar-SA"/>
        </w:rPr>
        <w:t xml:space="preserve">، لصحيحة ابن مسلم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والغدير ، بالإجماع ، والمستفيضة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الإقبال عن كتاب محمد بن علي الطرازي بالإسناد المتصل إلى مولانا أبي عبد اللّه عليه السلام في حديث طويل ذكر فيه فضل يوم الغدير ، إلى أن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صبيحة ذلك اليوم وجب الغسل في صدر نهاره </w:t>
      </w:r>
      <w:r>
        <w:rPr>
          <w:rFonts w:eastAsia="Amiri" w:cs="Amiri" w:ascii="Amiri" w:hAnsi="Amiri"/>
          <w:color w:val="111111"/>
          <w:sz w:val="28"/>
          <w:szCs w:val="28"/>
          <w:rtl w:val="true"/>
          <w:lang w:bidi="ar-SA"/>
        </w:rPr>
        <w:t xml:space="preserve">» </w:t>
      </w:r>
      <w:r>
        <w:rPr>
          <w:rStyle w:val="FootnoteAnchor"/>
          <w:rtl w:val="true"/>
        </w:rPr>
        <w:footnoteReference w:id="221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من ذي الحجة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وعشرون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كما عن الغنية </w:t>
      </w:r>
      <w:r>
        <w:rPr>
          <w:rStyle w:val="FootnoteAnchor"/>
          <w:rtl w:val="true"/>
        </w:rPr>
        <w:footnoteReference w:id="2215"/>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مرفوعة علي بن محمد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بعد ذكر يوم المباهلة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فابدأ بصوم ذلك اليوم شكرا لله واغتسل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أنظف ثيابك </w:t>
      </w:r>
      <w:r>
        <w:rPr>
          <w:rFonts w:eastAsia="Amiri" w:cs="Amiri" w:ascii="Amiri" w:hAnsi="Amiri"/>
          <w:color w:val="111111"/>
          <w:sz w:val="28"/>
          <w:szCs w:val="28"/>
          <w:rtl w:val="true"/>
          <w:lang w:bidi="ar-SA"/>
        </w:rPr>
        <w:t xml:space="preserve">»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المباهلة واجب </w:t>
      </w:r>
      <w:r>
        <w:rPr>
          <w:rFonts w:eastAsia="Amiri" w:cs="Amiri" w:ascii="Amiri" w:hAnsi="Amiri"/>
          <w:color w:val="111111"/>
          <w:sz w:val="28"/>
          <w:szCs w:val="28"/>
          <w:rtl w:val="true"/>
          <w:lang w:bidi="ar-SA"/>
        </w:rPr>
        <w:t xml:space="preserve">» </w:t>
      </w:r>
      <w:r>
        <w:rPr>
          <w:rStyle w:val="FootnoteAnchor"/>
          <w:rtl w:val="true"/>
        </w:rPr>
        <w:footnoteReference w:id="2217"/>
      </w:r>
      <w:r>
        <w:rPr>
          <w:rFonts w:ascii="Amiri" w:hAnsi="Amiri" w:eastAsia="Amiri" w:cs="Amiri"/>
          <w:color w:val="111111"/>
          <w:sz w:val="28"/>
          <w:sz w:val="28"/>
          <w:szCs w:val="28"/>
          <w:rtl w:val="true"/>
          <w:lang w:bidi="ar-SA"/>
        </w:rPr>
        <w:t xml:space="preserve">فلعلّه لإيقاع أصل المباهلة ، كما قيل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عاشوراء ، ذكره في الإقبال </w:t>
      </w:r>
      <w:r>
        <w:rPr>
          <w:rStyle w:val="FootnoteAnchor"/>
          <w:rtl w:val="true"/>
        </w:rPr>
        <w:footnoteReference w:id="2219"/>
      </w:r>
      <w:r>
        <w:rPr>
          <w:rFonts w:ascii="Amiri" w:hAnsi="Amiri" w:eastAsia="Amiri" w:cs="Amiri"/>
          <w:color w:val="111111"/>
          <w:sz w:val="28"/>
          <w:sz w:val="28"/>
          <w:szCs w:val="28"/>
          <w:rtl w:val="true"/>
          <w:lang w:bidi="ar-SA"/>
        </w:rPr>
        <w:t>، والظاهر أنه للزيارة لا لخصوص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المولود ، وهو السابع عشر من ربيع الأول ، ذكره في الإقبال وفلاح السائل والشهيد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ويوم أول رجب ووسطه وآخره ، رواها في الإقبال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أدرك شهر رجب فاغتسل في أوله وأوسطه وآخره خرج من ذنوبه كيوم ولدته امه </w:t>
      </w:r>
      <w:r>
        <w:rPr>
          <w:rFonts w:eastAsia="IRNazanin" w:cs="IRNazanin"/>
          <w:color w:val="111111"/>
          <w:sz w:val="28"/>
          <w:szCs w:val="28"/>
          <w:rtl w:val="true"/>
          <w:lang w:bidi="fa-IR"/>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المبعث ، وهو السابع والعشرون من رجب ، ذكره الشيخ في الجمل </w:t>
      </w:r>
    </w:p>
    <w:p>
      <w:pPr>
        <w:pStyle w:val="BookText"/>
        <w:rPr/>
      </w:pPr>
      <w:r>
        <w:rPr>
          <w:rFonts w:ascii="Amiri" w:hAnsi="Amiri" w:eastAsia="Amiri" w:cs="Amiri"/>
          <w:color w:val="111111"/>
          <w:sz w:val="28"/>
          <w:sz w:val="28"/>
          <w:szCs w:val="28"/>
          <w:rtl w:val="true"/>
          <w:lang w:bidi="ar-SA"/>
        </w:rPr>
        <w:t xml:space="preserve">والمصباح والاقتصاد ، والسيد في الإقبال ، والفاضل في القواعد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النيروز ، كما عن المصباح والجامع وفي المنتهى والقواعد </w:t>
      </w:r>
      <w:r>
        <w:rPr>
          <w:rStyle w:val="FootnoteAnchor"/>
          <w:rtl w:val="true"/>
        </w:rPr>
        <w:footnoteReference w:id="2223"/>
      </w:r>
      <w:r>
        <w:rPr>
          <w:rFonts w:ascii="IRNazanin" w:hAnsi="IRNazanin" w:eastAsia="IRNazanin"/>
          <w:color w:val="111111"/>
          <w:sz w:val="28"/>
          <w:sz w:val="28"/>
          <w:szCs w:val="28"/>
          <w:rtl w:val="true"/>
          <w:lang w:bidi="fa-IR"/>
        </w:rPr>
        <w:t xml:space="preserve">، لخبر المعلّى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وغسل ليلة الجمعة ، ذكره في الإشارة </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ولعلّة كاف ، للمسامحة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وليلة الفطر ، ذكره جماعة </w:t>
      </w:r>
      <w:r>
        <w:rPr>
          <w:rStyle w:val="FootnoteAnchor"/>
          <w:rtl w:val="true"/>
        </w:rPr>
        <w:footnoteReference w:id="2226"/>
      </w:r>
      <w:r>
        <w:rPr>
          <w:rFonts w:ascii="IRNazanin" w:hAnsi="IRNazanin" w:eastAsia="IRNazanin"/>
          <w:color w:val="111111"/>
          <w:sz w:val="28"/>
          <w:sz w:val="28"/>
          <w:szCs w:val="28"/>
          <w:rtl w:val="true"/>
          <w:lang w:bidi="fa-IR"/>
        </w:rPr>
        <w:t xml:space="preserve">، لخبر ابن راشد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وليلة النصف من رجب ، كما في الجمل والمصباح والاقتصاد والنزهة والجامع والإصباح والمعتبر </w:t>
      </w:r>
      <w:r>
        <w:rPr>
          <w:rStyle w:val="FootnoteAnchor"/>
          <w:rtl w:val="true"/>
        </w:rPr>
        <w:footnoteReference w:id="2228"/>
      </w:r>
      <w:r>
        <w:rPr>
          <w:rFonts w:ascii="Amiri" w:hAnsi="Amiri" w:eastAsia="Amiri" w:cs="Amiri"/>
          <w:color w:val="111111"/>
          <w:sz w:val="28"/>
          <w:sz w:val="28"/>
          <w:szCs w:val="28"/>
          <w:rtl w:val="true"/>
          <w:lang w:bidi="ar-SA"/>
        </w:rPr>
        <w:t xml:space="preserve">وغيرها </w:t>
      </w:r>
      <w:r>
        <w:rPr>
          <w:rStyle w:val="FootnoteAnchor"/>
          <w:rtl w:val="true"/>
        </w:rPr>
        <w:footnoteReference w:id="2229"/>
      </w:r>
      <w:r>
        <w:rPr>
          <w:rFonts w:ascii="IRNazanin" w:hAnsi="IRNazanin" w:eastAsia="IRNazanin"/>
          <w:color w:val="111111"/>
          <w:sz w:val="28"/>
          <w:sz w:val="28"/>
          <w:szCs w:val="28"/>
          <w:rtl w:val="true"/>
          <w:lang w:bidi="fa-IR"/>
        </w:rPr>
        <w:t>، لفتوى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وليلة النصف من شعبان ، لخبر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شعبان ، واغتسلوا ليلة النصف منه </w:t>
      </w:r>
      <w:r>
        <w:rPr>
          <w:rFonts w:eastAsia="Amiri" w:cs="Amiri" w:ascii="Amiri" w:hAnsi="Amiri"/>
          <w:color w:val="111111"/>
          <w:sz w:val="28"/>
          <w:szCs w:val="28"/>
          <w:rtl w:val="true"/>
          <w:lang w:bidi="ar-SA"/>
        </w:rPr>
        <w:t xml:space="preserve">» </w:t>
      </w:r>
      <w:r>
        <w:rPr>
          <w:rStyle w:val="FootnoteAnchor"/>
          <w:rtl w:val="true"/>
        </w:rPr>
        <w:footnoteReference w:id="2230"/>
      </w:r>
      <w:r>
        <w:rPr>
          <w:rFonts w:ascii="Amiri" w:hAnsi="Amiri" w:eastAsia="Amiri" w:cs="Amiri"/>
          <w:color w:val="111111"/>
          <w:sz w:val="28"/>
          <w:sz w:val="28"/>
          <w:szCs w:val="28"/>
          <w:rtl w:val="true"/>
          <w:lang w:bidi="ar-SA"/>
        </w:rPr>
        <w:t xml:space="preserve">والرضوي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والغسل ثلاثة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وليلة النصف من شعبان </w:t>
      </w:r>
      <w:r>
        <w:rPr>
          <w:rFonts w:eastAsia="Amiri" w:cs="Amiri" w:ascii="Amiri" w:hAnsi="Amiri"/>
          <w:color w:val="111111"/>
          <w:sz w:val="28"/>
          <w:szCs w:val="28"/>
          <w:rtl w:val="true"/>
          <w:lang w:bidi="ar-SA"/>
        </w:rPr>
        <w:t xml:space="preserve">»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وغسل كلّ يوم شريف أو ليلة شريفة ، ذكره الإسكافي </w:t>
      </w:r>
      <w:r>
        <w:rPr>
          <w:rStyle w:val="FootnoteAnchor"/>
          <w:rtl w:val="true"/>
        </w:rPr>
        <w:footnoteReference w:id="2232"/>
      </w:r>
      <w:r>
        <w:rPr>
          <w:rFonts w:ascii="Amiri" w:hAnsi="Amiri" w:eastAsia="Amiri" w:cs="Amiri"/>
          <w:color w:val="111111"/>
          <w:sz w:val="28"/>
          <w:sz w:val="28"/>
          <w:szCs w:val="28"/>
          <w:rtl w:val="true"/>
          <w:lang w:bidi="ar-SA"/>
        </w:rPr>
        <w:t xml:space="preserve">، ويومئ إليه تعليلهم لثبوت بعض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بشرافة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زمان ظهور آية في السماء ، ذكره أيضا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اثنان وأربعون غسلا كلّها متعلّقة بالأزمنة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الأغسال المتعلّقة بالأمكنة ، وهي سبعة أغسال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 الحرم ، ومكة ، والمسجد الحرام ، والكعبة ، والمدينة ، ومسجد النبي صلی اللّه عليه وآله ، وحرمه ، كما يأتي في كتاب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والغسل لدخول كلّ مشهد من مشاهد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يأتي في باب المزار ، ولكلّ مكان شريف ، ذكره الإسكافي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المتعلّقة بالأفعال ، وهي الغسل للإحرام ، وللعمرة ، وللحج ، والغسل للطواف ، ولزيارة البيت ، ولرمي الجمار ، ولكلّ من الوقوفين ، وللحلق ، والنحر ، والذبح ، كما يأتي في كتاب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ولزيارة النبي صلی اللّه عليه وآله والأئمة ، كما يأتي في 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وللاستسقاء ، للإجماع عليه عن الغنية </w:t>
      </w:r>
      <w:r>
        <w:rPr>
          <w:rStyle w:val="FootnoteAnchor"/>
          <w:rtl w:val="true"/>
        </w:rPr>
        <w:footnoteReference w:id="2235"/>
      </w:r>
      <w:r>
        <w:rPr>
          <w:rFonts w:ascii="Amiri" w:hAnsi="Amiri" w:eastAsia="Amiri" w:cs="Amiri"/>
          <w:color w:val="111111"/>
          <w:sz w:val="28"/>
          <w:sz w:val="28"/>
          <w:szCs w:val="28"/>
          <w:rtl w:val="true"/>
          <w:lang w:bidi="ar-SA"/>
        </w:rPr>
        <w:t xml:space="preserve">، ولموثّقة سماعة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ولصلاة الكسوف والخسوف المستوعبين ، ذكره في المختلف </w:t>
      </w:r>
      <w:r>
        <w:rPr>
          <w:rStyle w:val="FootnoteAnchor"/>
          <w:rtl w:val="true"/>
        </w:rPr>
        <w:footnoteReference w:id="2237"/>
      </w:r>
      <w:r>
        <w:rPr>
          <w:rFonts w:ascii="Amiri" w:hAnsi="Amiri" w:eastAsia="Amiri" w:cs="Amiri"/>
          <w:color w:val="111111"/>
          <w:sz w:val="28"/>
          <w:sz w:val="28"/>
          <w:szCs w:val="28"/>
          <w:rtl w:val="true"/>
          <w:lang w:bidi="ar-SA"/>
        </w:rPr>
        <w:t xml:space="preserve">، واللوامع ، 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الكسوف ، إذا احترق القرص كله فاغتسل </w:t>
      </w:r>
      <w:r>
        <w:rPr>
          <w:rFonts w:eastAsia="Amiri" w:cs="Amiri" w:ascii="Amiri" w:hAnsi="Amiri"/>
          <w:color w:val="111111"/>
          <w:sz w:val="28"/>
          <w:szCs w:val="28"/>
          <w:rtl w:val="true"/>
          <w:lang w:bidi="ar-SA"/>
        </w:rPr>
        <w:t xml:space="preserve">» </w:t>
      </w:r>
      <w:r>
        <w:rPr>
          <w:rStyle w:val="FootnoteAnchor"/>
          <w:rtl w:val="true"/>
        </w:rPr>
        <w:footnoteReference w:id="2238"/>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فيهما دلالة على أنه للصلاة ، بل الظاهر أنه لنفس الآية السماوية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ولقضائها مع الاستيعاب وتعمد الترك ، كما في المنتهى والقواعد والشرائع واللوامع وعن الهداية والمصباح والاقتصاد والجمل والخلاف والنهاية والمبسوط </w:t>
      </w:r>
    </w:p>
    <w:p>
      <w:pPr>
        <w:pStyle w:val="BookText"/>
        <w:rPr/>
      </w:pPr>
      <w:r>
        <w:rPr>
          <w:rFonts w:ascii="Amiri" w:hAnsi="Amiri" w:eastAsia="Amiri" w:cs="Amiri"/>
          <w:color w:val="111111"/>
          <w:sz w:val="28"/>
          <w:sz w:val="28"/>
          <w:szCs w:val="28"/>
          <w:rtl w:val="true"/>
          <w:lang w:bidi="ar-SA"/>
        </w:rPr>
        <w:t xml:space="preserve">والكافي والمهذب والمراسم والرسالة والنزهة والجامع والمعتبر والغنية والإصباح والإشارة والسرائر </w:t>
      </w:r>
      <w:r>
        <w:rPr>
          <w:rStyle w:val="FootnoteAnchor"/>
          <w:rtl w:val="true"/>
        </w:rPr>
        <w:footnoteReference w:id="2239"/>
      </w:r>
      <w:r>
        <w:rPr>
          <w:rFonts w:ascii="Amiri" w:hAnsi="Amiri" w:eastAsia="Amiri" w:cs="Amiri"/>
          <w:color w:val="111111"/>
          <w:sz w:val="28"/>
          <w:sz w:val="28"/>
          <w:szCs w:val="28"/>
          <w:rtl w:val="true"/>
          <w:lang w:bidi="ar-SA"/>
        </w:rPr>
        <w:t>، وعزاه في الأول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للرضوي المنجبر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انكسفت الشمس أو القمر ولم تعلم به فعليك أن تصليها إذا علمت ، فإن تركتها متعمّدا حتى تصبح فاغتسل وصلّ ، وإن لم يحترق القرص فاقضها ولا تغتسل </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الشرطين ، وعدم الرجحان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 في السرائر الخلاف عن عدم مشروعيته إذا انتفيا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اشتراط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w:t>
      </w:r>
      <w:r>
        <w:rPr>
          <w:rStyle w:val="FootnoteAnchor"/>
          <w:rtl w:val="true"/>
        </w:rPr>
        <w:footnoteReference w:id="2242"/>
      </w:r>
      <w:r>
        <w:rPr>
          <w:rFonts w:ascii="Amiri" w:hAnsi="Amiri" w:eastAsia="Amiri" w:cs="Amiri"/>
          <w:color w:val="111111"/>
          <w:sz w:val="28"/>
          <w:sz w:val="28"/>
          <w:szCs w:val="28"/>
          <w:rtl w:val="true"/>
          <w:lang w:bidi="ar-SA"/>
        </w:rPr>
        <w:t xml:space="preserve">، وصحيحة محمد </w:t>
      </w:r>
      <w:r>
        <w:rPr>
          <w:rStyle w:val="FootnoteAnchor"/>
          <w:rtl w:val="true"/>
        </w:rPr>
        <w:footnoteReference w:id="2243"/>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الأغسال المسنونة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2244"/>
      </w:r>
      <w:r>
        <w:rPr>
          <w:rFonts w:ascii="Amiri" w:hAnsi="Amiri" w:eastAsia="Amiri" w:cs="Amiri"/>
          <w:color w:val="111111"/>
          <w:sz w:val="28"/>
          <w:sz w:val="28"/>
          <w:szCs w:val="28"/>
          <w:rtl w:val="true"/>
          <w:lang w:bidi="ar-SA"/>
        </w:rPr>
        <w:t xml:space="preserve">، والمروي في الخصال صحيحا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الكسوف ، إذا احترق القرص كله فاستيقظت ولم تصلّ فعليك أن تغتسل وتقضي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اشتراط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انكسف القمر فاستيقظ الرجل ولم يصلّ فليغتسل من غد وليقض الصلاة ، وإن لم يستيقظ ولم يعلم بانكساف القمر فليس عليه إلاّ القضاء بغير غسل </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للمحكي عن المقنعة ومصباح السيد </w:t>
      </w:r>
      <w:r>
        <w:rPr>
          <w:rStyle w:val="FootnoteAnchor"/>
          <w:rtl w:val="true"/>
        </w:rPr>
        <w:footnoteReference w:id="2246"/>
      </w:r>
      <w:r>
        <w:rPr>
          <w:rFonts w:ascii="Amiri" w:hAnsi="Amiri" w:eastAsia="Amiri" w:cs="Amiri"/>
          <w:color w:val="111111"/>
          <w:sz w:val="28"/>
          <w:sz w:val="28"/>
          <w:szCs w:val="28"/>
          <w:rtl w:val="true"/>
          <w:lang w:bidi="ar-SA"/>
        </w:rPr>
        <w:t>، فلم يشترطا الأول ، لإطلاق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 والذكرى </w:t>
      </w:r>
      <w:r>
        <w:rPr>
          <w:rStyle w:val="FootnoteAnchor"/>
          <w:rtl w:val="true"/>
        </w:rPr>
        <w:footnoteReference w:id="2247"/>
      </w:r>
      <w:r>
        <w:rPr>
          <w:rFonts w:ascii="Amiri" w:hAnsi="Amiri" w:eastAsia="Amiri" w:cs="Amiri"/>
          <w:color w:val="111111"/>
          <w:sz w:val="28"/>
          <w:sz w:val="28"/>
          <w:szCs w:val="28"/>
          <w:rtl w:val="true"/>
          <w:lang w:bidi="ar-SA"/>
        </w:rPr>
        <w:t xml:space="preserve">، فلم يشترطا الثاني ، لإطلاق الثاني ويجاب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تقييد الإطلاقين بما مرّ ، مع أنّ الإطلاق 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الأوامر وإن كان وجوب ذلك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في مسائله المصرية وجمله وشرح القاضي له مدّعيا عليه الإجماع </w:t>
      </w:r>
      <w:r>
        <w:rPr>
          <w:rStyle w:val="FootnoteAnchor"/>
          <w:rtl w:val="true"/>
        </w:rPr>
        <w:footnoteReference w:id="2248"/>
      </w:r>
      <w:r>
        <w:rPr>
          <w:rFonts w:ascii="Amiri" w:hAnsi="Amiri" w:eastAsia="Amiri" w:cs="Amiri"/>
          <w:color w:val="111111"/>
          <w:sz w:val="28"/>
          <w:sz w:val="28"/>
          <w:szCs w:val="28"/>
          <w:rtl w:val="true"/>
          <w:lang w:bidi="ar-SA"/>
        </w:rPr>
        <w:t xml:space="preserve">، وصلاة المقنعة والمراسم وظاهر الهداية والخلاف والكافي وصلاة الاقتصاد والجمل والغنية </w:t>
      </w:r>
      <w:r>
        <w:rPr>
          <w:rStyle w:val="FootnoteAnchor"/>
          <w:rtl w:val="true"/>
        </w:rPr>
        <w:footnoteReference w:id="2249"/>
      </w:r>
      <w:r>
        <w:rPr>
          <w:rFonts w:ascii="Amiri" w:hAnsi="Amiri" w:eastAsia="Amiri" w:cs="Amiri"/>
          <w:color w:val="111111"/>
          <w:sz w:val="28"/>
          <w:sz w:val="28"/>
          <w:szCs w:val="28"/>
          <w:rtl w:val="true"/>
          <w:lang w:bidi="ar-SA"/>
        </w:rPr>
        <w:t xml:space="preserve">، واستقواه في المنتهى </w:t>
      </w:r>
      <w:r>
        <w:rPr>
          <w:rStyle w:val="FootnoteAnchor"/>
          <w:rtl w:val="true"/>
        </w:rPr>
        <w:footnoteReference w:id="2250"/>
      </w:r>
      <w:r>
        <w:rPr>
          <w:rFonts w:ascii="Amiri" w:hAnsi="Amiri" w:eastAsia="Amiri" w:cs="Amiri"/>
          <w:color w:val="111111"/>
          <w:sz w:val="28"/>
          <w:sz w:val="28"/>
          <w:szCs w:val="28"/>
          <w:rtl w:val="true"/>
          <w:lang w:bidi="ar-SA"/>
        </w:rPr>
        <w:t xml:space="preserve">، وتردّد في الوسيلة </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المشهور بين المتأخّرين استحبابه ، للأصل ، وحصر الواجب من الأغسال في غيره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الأغسال أربعة عشر ، واحد فريضة والباقي سنّة </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وتعداده في الأغسال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الصحيحين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والشهرة المتأخرة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صلاة فليصلّها كما فاتته </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 xml:space="preserve">ولا يجب الغسل للأداء </w:t>
      </w:r>
    </w:p>
    <w:p>
      <w:pPr>
        <w:pStyle w:val="BookText"/>
        <w:rPr/>
      </w:pPr>
      <w:r>
        <w:rPr>
          <w:rFonts w:ascii="Amiri" w:hAnsi="Amiri" w:eastAsia="Amiri" w:cs="Amiri"/>
          <w:color w:val="111111"/>
          <w:sz w:val="28"/>
          <w:sz w:val="28"/>
          <w:szCs w:val="28"/>
          <w:rtl w:val="true"/>
          <w:lang w:bidi="ar-SA"/>
        </w:rPr>
        <w:t>فكذلك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لا يبقى أصل بعد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بعمل أعيان القدماء ، بل شهرتهم ، والمؤيدة بالإجماع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لم يرد إلاّ في مقام تعداد أغسال ليس ذلك منها ، غايته العموم اللازم تخصيصه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عن خبر سعد ، مع أنّ المراد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من أربعة عشر ، ولم يذكرها حتى يعلم أنّ ذلك منها أيضا أم لا ، وأيضا الظاهر من السنّة فيها ما لم يثبت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التعداد مع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دليلا ، مع أنه عدّ في أحدهما غسل مسّ الميت بعد البرد وغسل الجنابة ، وعدّ هذا بعدهما لا في طي المستحبات ، وفي الآخر غسل الميت وغسل المسّ ، وعدّ فيهما أيضا ما اختلف في وجوبه ، كغسل الجمعة والعيدين والإحرام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كونها من المتأخّرين </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سيما مع معارضتها مع شهرة القدماء ونقل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فاتته ، فظاهر في نفس الصلاة ، ولا دخل له بالغسل الذي هو خارج عنها وعن شرائطها ، بل هو تكليف على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فالقول بالوجوب أقوى وأصح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وللسعي إلى رؤية المصلوب بعد ثلاثة أيام ، لمرسلة الفقيه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ولقتل الوزغة ، كما عن الاشراف والنزهة والجامع والبيان والدروس </w:t>
      </w:r>
    </w:p>
    <w:p>
      <w:pPr>
        <w:pStyle w:val="BookText"/>
        <w:rPr/>
      </w:pPr>
      <w:r>
        <w:rPr>
          <w:rFonts w:ascii="Amiri" w:hAnsi="Amiri" w:eastAsia="Amiri" w:cs="Amiri"/>
          <w:color w:val="111111"/>
          <w:sz w:val="28"/>
          <w:sz w:val="28"/>
          <w:szCs w:val="28"/>
          <w:rtl w:val="true"/>
          <w:lang w:bidi="ar-SA"/>
        </w:rPr>
        <w:t xml:space="preserve">والنفلية </w:t>
      </w:r>
      <w:r>
        <w:rPr>
          <w:rStyle w:val="FootnoteAnchor"/>
          <w:rtl w:val="true"/>
        </w:rPr>
        <w:footnoteReference w:id="2257"/>
      </w:r>
      <w:r>
        <w:rPr>
          <w:rFonts w:ascii="Amiri" w:hAnsi="Amiri" w:eastAsia="Amiri" w:cs="Amiri"/>
          <w:color w:val="111111"/>
          <w:sz w:val="28"/>
          <w:sz w:val="28"/>
          <w:szCs w:val="28"/>
          <w:rtl w:val="true"/>
          <w:lang w:bidi="ar-SA"/>
        </w:rPr>
        <w:t xml:space="preserve">، لمرسلته أيضا </w:t>
      </w:r>
      <w:r>
        <w:rPr>
          <w:rStyle w:val="FootnoteAnchor"/>
          <w:rtl w:val="true"/>
        </w:rPr>
        <w:footnoteReference w:id="2258"/>
      </w:r>
      <w:r>
        <w:rPr>
          <w:rFonts w:ascii="Amiri" w:hAnsi="Amiri" w:eastAsia="Amiri" w:cs="Amiri"/>
          <w:color w:val="111111"/>
          <w:sz w:val="28"/>
          <w:sz w:val="28"/>
          <w:szCs w:val="28"/>
          <w:rtl w:val="true"/>
          <w:lang w:bidi="ar-SA"/>
        </w:rPr>
        <w:t xml:space="preserve">، والمرويين في البصائر والخرائج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وللتوبة عن معصية ، كما عن النهايتين </w:t>
      </w:r>
      <w:r>
        <w:rPr>
          <w:rStyle w:val="FootnoteAnchor"/>
          <w:rtl w:val="true"/>
        </w:rPr>
        <w:footnoteReference w:id="2260"/>
      </w:r>
      <w:r>
        <w:rPr>
          <w:rFonts w:ascii="Amiri" w:hAnsi="Amiri" w:eastAsia="Amiri" w:cs="Amiri"/>
          <w:color w:val="111111"/>
          <w:sz w:val="28"/>
          <w:sz w:val="28"/>
          <w:szCs w:val="28"/>
          <w:rtl w:val="true"/>
          <w:lang w:bidi="ar-SA"/>
        </w:rPr>
        <w:t xml:space="preserve">، والنفلية والمبسوط والسرائر والمهذب والجامع والشرائع والمعتبر والنافع والكافي والقواعد ، والمنتهى مدّعيا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الغنية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علمائنا عليه </w:t>
      </w:r>
      <w:r>
        <w:rPr>
          <w:rStyle w:val="FootnoteAnchor"/>
          <w:rtl w:val="true"/>
        </w:rPr>
        <w:footnoteReference w:id="2261"/>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صحيحة مسعدة على 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جيرانا يتغنّين ويضربن بالعود ، فربما دخلت المخرج فأطيل الجلوس استماعا مني لهن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إني تركتها وأنا أستغفر اللّه تعالى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فاغتسل وصلّ </w:t>
      </w:r>
      <w:r>
        <w:rPr>
          <w:rStyle w:val="FootnoteAnchor"/>
          <w:rtl w:val="true"/>
        </w:rPr>
        <w:footnoteReference w:id="2262"/>
      </w:r>
      <w:r>
        <w:rPr>
          <w:rFonts w:ascii="Amiri" w:hAnsi="Amiri" w:eastAsia="Amiri" w:cs="Amiri"/>
          <w:color w:val="111111"/>
          <w:sz w:val="28"/>
          <w:sz w:val="28"/>
          <w:szCs w:val="28"/>
          <w:rtl w:val="true"/>
          <w:lang w:bidi="ar-SA"/>
        </w:rPr>
        <w:t xml:space="preserve">ما بدا لك ، فلقد كنت مقيما على أمر عظيم ، ما كان أسوأ حالك لو متّ على ذلك ، استغفر اللّه تعالى واسأله التوبة من كلّ ما يكره </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أدعية السرّ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قل لمن عمل كبيرة من أمتك فأراد محوها والتطهّر منها فليطهّر لي بدنه وثيابه ، فليخرج إلى برية أرضي </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دلالة الأخيرة على الغسل نظر ، بل في دلالة الأولى عليه للتوبة أيضا ،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حاجة المغفرة وسؤال التوبة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فالمناط فتاوى الأجلّة والإجماعات المحكية 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صريح إجماع </w:t>
      </w:r>
    </w:p>
    <w:p>
      <w:pPr>
        <w:pStyle w:val="BookText"/>
        <w:rPr/>
      </w:pP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الحكم للصغيرة والكبيرة ، وتساعده الرواية على فرض الدلالة ، إذ ما فيها ليس إلاّ الصغيرة ، ولا يعلم منها الإصرار المدخل إيّاه في الكبيرة ، فالتخصيص بالأخيرة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المقنعة والاشراف والفقيه والكافي والإشارة </w:t>
      </w:r>
      <w:r>
        <w:rPr>
          <w:rStyle w:val="FootnoteAnchor"/>
          <w:rtl w:val="true"/>
        </w:rPr>
        <w:footnoteReference w:id="2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وللخروج عن الكفر ، كما ذكره أكثر من ذكر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علمائنا عليه </w:t>
      </w:r>
      <w:r>
        <w:rPr>
          <w:rStyle w:val="FootnoteAnchor"/>
          <w:rtl w:val="true"/>
        </w:rPr>
        <w:footnoteReference w:id="2266"/>
      </w:r>
      <w:r>
        <w:rPr>
          <w:rFonts w:ascii="Amiri" w:hAnsi="Amiri" w:eastAsia="Amiri" w:cs="Amiri"/>
          <w:color w:val="111111"/>
          <w:sz w:val="28"/>
          <w:sz w:val="28"/>
          <w:szCs w:val="28"/>
          <w:rtl w:val="true"/>
          <w:lang w:bidi="ar-SA"/>
        </w:rPr>
        <w:t>، وهو كاف مستندا له ، ولا حاجة إلى اتباع بعض الاعتبارات الموهونة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ولطلب الحاجة مطلقا ، للرضوي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الاستخارة ، وغسل طلب الحوائج من اللّه تعالى </w:t>
      </w:r>
      <w:r>
        <w:rPr>
          <w:rFonts w:eastAsia="Amiri" w:cs="Amiri" w:ascii="Amiri" w:hAnsi="Amiri"/>
          <w:color w:val="111111"/>
          <w:sz w:val="28"/>
          <w:szCs w:val="28"/>
          <w:rtl w:val="true"/>
          <w:lang w:bidi="ar-SA"/>
        </w:rPr>
        <w:t xml:space="preserve">»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دعاء ورد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وللاستخارة ، لما مرّ ، ولخبر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الاستخارة مستحب </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ولصلاة طلب الحاجة ، وصلاة الاستخارة ، بالإجماع ، كما عن ظاهر الغنية والمعتبر والتذكرة </w:t>
      </w:r>
      <w:r>
        <w:rPr>
          <w:rStyle w:val="FootnoteAnchor"/>
          <w:rtl w:val="true"/>
        </w:rPr>
        <w:footnoteReference w:id="2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له منهما الغسل لا مطلقا ، لعدم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إلى الرضوي غير مفيد ، لأنه يكون للحاجة لا للصلاة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وللمباهلة ، كما في كتاب الاشراف والجامع </w:t>
      </w:r>
      <w:r>
        <w:rPr>
          <w:rStyle w:val="FootnoteAnchor"/>
          <w:rtl w:val="true"/>
        </w:rPr>
        <w:footnoteReference w:id="2270"/>
      </w:r>
      <w:r>
        <w:rPr>
          <w:rFonts w:ascii="Amiri" w:hAnsi="Amiri" w:eastAsia="Amiri" w:cs="Amiri"/>
          <w:color w:val="111111"/>
          <w:sz w:val="28"/>
          <w:sz w:val="28"/>
          <w:szCs w:val="28"/>
          <w:rtl w:val="true"/>
          <w:lang w:bidi="ar-SA"/>
        </w:rPr>
        <w:t xml:space="preserve">، وغيرهما </w:t>
      </w:r>
      <w:r>
        <w:rPr>
          <w:rStyle w:val="FootnoteAnchor"/>
          <w:rtl w:val="true"/>
        </w:rPr>
        <w:footnoteReference w:id="2271"/>
      </w:r>
      <w:r>
        <w:rPr>
          <w:rFonts w:ascii="Amiri" w:hAnsi="Amiri" w:eastAsia="Amiri" w:cs="Amiri"/>
          <w:color w:val="111111"/>
          <w:sz w:val="28"/>
          <w:sz w:val="28"/>
          <w:szCs w:val="28"/>
          <w:rtl w:val="true"/>
          <w:lang w:bidi="ar-SA"/>
        </w:rPr>
        <w:t xml:space="preserve">، لخبر ابن مسروق المروي في باب المباهلة من أبواب دعاء الكافي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ولصلاة الشكر ، كما عن الكافي والغنية والإشارة والمهذب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ولأخذ التربة المباركة ، لخبر الجعفي ، كما في المزار الكبير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ولمسّ الميت بعد تغسيله ، ذكره الشيخ في التهذيب ، لخبر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مسّ ميتا فعليه الغسل وإن كان الميت قد غسّل </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ولمن أراد تغسيل الميت وتكفينه ، ذكره بعضهم </w:t>
      </w:r>
      <w:r>
        <w:rPr>
          <w:rStyle w:val="FootnoteAnchor"/>
          <w:rtl w:val="true"/>
        </w:rPr>
        <w:footnoteReference w:id="2276"/>
      </w:r>
      <w:r>
        <w:rPr>
          <w:rFonts w:ascii="Amiri" w:hAnsi="Amiri" w:eastAsia="Amiri" w:cs="Amiri"/>
          <w:color w:val="111111"/>
          <w:sz w:val="28"/>
          <w:sz w:val="28"/>
          <w:szCs w:val="28"/>
          <w:rtl w:val="true"/>
          <w:lang w:bidi="ar-SA"/>
        </w:rPr>
        <w:t xml:space="preserve">، 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غسلت ميتا أو كفنته </w:t>
      </w:r>
      <w:r>
        <w:rPr>
          <w:rFonts w:eastAsia="Amiri" w:cs="Amiri" w:ascii="Amiri" w:hAnsi="Amiri"/>
          <w:color w:val="111111"/>
          <w:sz w:val="28"/>
          <w:szCs w:val="28"/>
          <w:rtl w:val="true"/>
          <w:lang w:bidi="ar-SA"/>
        </w:rPr>
        <w:t xml:space="preserve">» </w:t>
      </w:r>
      <w:r>
        <w:rPr>
          <w:rStyle w:val="FootnoteAnchor"/>
          <w:rtl w:val="true"/>
        </w:rPr>
        <w:footnoteReference w:id="2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أريق عليه ماء غالب النجاسة ، عن كتاب الاشراف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وللإفاقة من الجنون ، عن نهاية الإحكام لدليل عليل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وللشك في الحدث ، ولمن اغتسل ناقصا لعذر وزال عذره ، ذكرهما في البيان والنفلية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وغسل الحجامة ، كما في حسنة زرارة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ولتطيّب المرأة لغير زواجها ، ذكره بعض المتأخّرين </w:t>
      </w:r>
      <w:r>
        <w:rPr>
          <w:rStyle w:val="FootnoteAnchor"/>
          <w:rtl w:val="true"/>
        </w:rPr>
        <w:footnoteReference w:id="2282"/>
      </w:r>
      <w:r>
        <w:rPr>
          <w:rFonts w:ascii="Amiri" w:hAnsi="Amiri" w:eastAsia="Amiri" w:cs="Amiri"/>
          <w:color w:val="111111"/>
          <w:sz w:val="28"/>
          <w:sz w:val="28"/>
          <w:szCs w:val="28"/>
          <w:rtl w:val="true"/>
          <w:lang w:bidi="ar-SA"/>
        </w:rPr>
        <w:t xml:space="preserve">، لخبر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تطيّبت لغير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تقبل منها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تغتسل من طيبها كغسلها من </w:t>
      </w:r>
    </w:p>
    <w:p>
      <w:pPr>
        <w:pStyle w:val="BookText"/>
        <w:rPr/>
      </w:pPr>
      <w:r>
        <w:rPr>
          <w:rFonts w:ascii="IRNazanin" w:hAnsi="IRNazanin" w:eastAsia="IRNazanin"/>
          <w:color w:val="111111"/>
          <w:sz w:val="28"/>
          <w:sz w:val="28"/>
          <w:szCs w:val="28"/>
          <w:rtl w:val="true"/>
          <w:lang w:bidi="fa-IR"/>
        </w:rPr>
        <w:t xml:space="preserve">جنابتها </w:t>
      </w:r>
      <w:r>
        <w:rPr>
          <w:rFonts w:eastAsia="IRNazanin" w:cs="IRNazanin"/>
          <w:color w:val="111111"/>
          <w:sz w:val="28"/>
          <w:szCs w:val="28"/>
          <w:rtl w:val="true"/>
          <w:lang w:bidi="fa-IR"/>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وإرادة غسل الطيب من الاغتسال ، والمبالغة في الإزالة من التشبيه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فعل يتقرب به إلى اللّه تعالى ، عن الإسكافي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المولود حين ولادته ، لموثّقة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المولود واجب </w:t>
      </w:r>
      <w:r>
        <w:rPr>
          <w:rFonts w:eastAsia="Amiri" w:cs="Amiri" w:ascii="Amiri" w:hAnsi="Amiri"/>
          <w:color w:val="111111"/>
          <w:sz w:val="28"/>
          <w:szCs w:val="28"/>
          <w:rtl w:val="true"/>
          <w:lang w:bidi="ar-SA"/>
        </w:rPr>
        <w:t xml:space="preserve">»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بظاهره ابن حمزة </w:t>
      </w:r>
      <w:r>
        <w:rPr>
          <w:rStyle w:val="FootnoteAnchor"/>
          <w:rtl w:val="true"/>
        </w:rPr>
        <w:footnoteReference w:id="2286"/>
      </w:r>
      <w:r>
        <w:rPr>
          <w:rFonts w:ascii="Amiri" w:hAnsi="Amiri" w:eastAsia="Amiri" w:cs="Amiri"/>
          <w:color w:val="111111"/>
          <w:sz w:val="28"/>
          <w:sz w:val="28"/>
          <w:szCs w:val="28"/>
          <w:rtl w:val="true"/>
          <w:lang w:bidi="ar-SA"/>
        </w:rPr>
        <w:t xml:space="preserve">، ولكن لا يوافقه غيره ، فعلى خلافه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كلام المنتهى </w:t>
      </w:r>
      <w:r>
        <w:rPr>
          <w:rStyle w:val="FootnoteAnchor"/>
          <w:rtl w:val="true"/>
        </w:rPr>
        <w:footnoteReference w:id="2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أوجب صرف الموثّق عن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فيه من نية القربة كما ذكره في اللوامع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سبعة وثمانون غسلا ، ولعل المتتبع في الأخبار وكلمات علمائنا الأخبار يجد غير ذلك أيضا ، والضابط في ثبوته وروده في خبر ولو ضعيف ، أو ذكره في كتاب فقيه ما لم يعارضه دليل ينفيه ، للتسامح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تداخل بعض هذه الأغسال بعضا قد مرّ في بحث غسل الجنابة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بدلية التيمّم عنها يأتي في 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 xml:space="preserve">. </w:t>
      </w:r>
      <w:bookmarkStart w:id="130" w:name="pg11616_94800"/>
    </w:p>
    <w:p>
      <w:pPr>
        <w:pStyle w:val="Heading2"/>
        <w:numPr>
          <w:ilvl w:val="1"/>
          <w:numId w:val="1"/>
        </w:numPr>
        <w:rPr/>
      </w:pPr>
      <w:bookmarkStart w:id="131" w:name="__RefHeading___Toc5588147_73709187"/>
      <w:bookmarkStart w:id="132" w:name="_Toc51"/>
      <w:bookmarkEnd w:id="130"/>
      <w:bookmarkEnd w:id="131"/>
      <w:r>
        <w:rPr>
          <w:rtl w:val="true"/>
        </w:rPr>
        <w:t xml:space="preserve">الباب الثالث </w:t>
      </w:r>
      <w:r>
        <w:rPr>
          <w:rtl w:val="true"/>
        </w:rPr>
        <w:t xml:space="preserve">: </w:t>
      </w:r>
      <w:r>
        <w:rPr>
          <w:rtl w:val="true"/>
        </w:rPr>
        <w:t>في التيمّم</w:t>
      </w:r>
      <w:bookmarkEnd w:id="132"/>
    </w:p>
    <w:p>
      <w:pPr>
        <w:pStyle w:val="Heading3"/>
        <w:numPr>
          <w:ilvl w:val="2"/>
          <w:numId w:val="1"/>
        </w:numPr>
        <w:rPr/>
      </w:pPr>
      <w:bookmarkStart w:id="133" w:name="__RefHeading___Toc5588149_73709187"/>
      <w:bookmarkStart w:id="134" w:name="_Toc52"/>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وشرعيته ثابتة بالكتاب ، والسنة ، وإجماع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إمّا في ما يجوز معه التيمّم ، أي الأعذار المسوّغة له ، أو ما يجوز به ، أو ما يجوز له ، أو كيفيته ، أو أحكامه ، فهاهنا خمسة فصول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5588151_73709187"/>
      <w:bookmarkStart w:id="136" w:name="_Toc53"/>
      <w:bookmarkEnd w:id="135"/>
      <w:r>
        <w:rPr>
          <w:rtl w:val="true"/>
        </w:rPr>
        <w:t xml:space="preserve">الفصل الأول </w:t>
      </w:r>
      <w:r>
        <w:rPr>
          <w:rtl w:val="true"/>
        </w:rPr>
        <w:t xml:space="preserve">: </w:t>
      </w:r>
      <w:r>
        <w:rPr>
          <w:rtl w:val="true"/>
        </w:rPr>
        <w:t>في الأعذار المسوّغة له</w:t>
      </w:r>
      <w:bookmarkEnd w:id="136"/>
    </w:p>
    <w:p>
      <w:pPr>
        <w:pStyle w:val="Heading4"/>
        <w:numPr>
          <w:ilvl w:val="3"/>
          <w:numId w:val="1"/>
        </w:numPr>
        <w:rPr/>
      </w:pPr>
      <w:bookmarkStart w:id="137" w:name="__RefHeading___Toc5588153_73709187"/>
      <w:bookmarkStart w:id="138" w:name="_Toc54"/>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الماء ، وهو مسوّغ له موجب إيّاه ، بالآية </w:t>
      </w:r>
      <w:r>
        <w:rPr>
          <w:rStyle w:val="FootnoteAnchor"/>
          <w:rtl w:val="true"/>
        </w:rPr>
        <w:footnoteReference w:id="2288"/>
      </w:r>
      <w:r>
        <w:rPr>
          <w:rFonts w:ascii="Amiri" w:hAnsi="Amiri" w:eastAsia="Amiri" w:cs="Amiri"/>
          <w:color w:val="111111"/>
          <w:sz w:val="28"/>
          <w:sz w:val="28"/>
          <w:szCs w:val="28"/>
          <w:rtl w:val="true"/>
          <w:lang w:bidi="ar-SA"/>
        </w:rPr>
        <w:t>، والإجماع ، والنصوص المتواترة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تسويغه له كونه بعد الطلب ، إجماعا محقّقا ومحكيا في الناصريات </w:t>
      </w:r>
      <w:r>
        <w:rPr>
          <w:rStyle w:val="FootnoteAnchor"/>
          <w:rtl w:val="true"/>
        </w:rPr>
        <w:footnoteReference w:id="2289"/>
      </w:r>
      <w:r>
        <w:rPr>
          <w:rFonts w:ascii="Amiri" w:hAnsi="Amiri" w:eastAsia="Amiri" w:cs="Amiri"/>
          <w:color w:val="111111"/>
          <w:sz w:val="28"/>
          <w:sz w:val="28"/>
          <w:szCs w:val="28"/>
          <w:rtl w:val="true"/>
          <w:lang w:bidi="ar-SA"/>
        </w:rPr>
        <w:t xml:space="preserve">وغيرها </w:t>
      </w:r>
      <w:r>
        <w:rPr>
          <w:rStyle w:val="FootnoteAnchor"/>
          <w:rtl w:val="true"/>
        </w:rPr>
        <w:footnoteReference w:id="2290"/>
      </w:r>
      <w:r>
        <w:rPr>
          <w:rFonts w:ascii="Amiri" w:hAnsi="Amiri" w:eastAsia="Amiri" w:cs="Amiri"/>
          <w:color w:val="111111"/>
          <w:sz w:val="28"/>
          <w:sz w:val="28"/>
          <w:szCs w:val="28"/>
          <w:rtl w:val="true"/>
          <w:lang w:bidi="ar-SA"/>
        </w:rPr>
        <w:t xml:space="preserve">، وعن الغنية والمعتبر والتذكرة والمنتهى </w:t>
      </w:r>
      <w:r>
        <w:rPr>
          <w:rStyle w:val="FootnoteAnchor"/>
          <w:rtl w:val="true"/>
        </w:rPr>
        <w:footnoteReference w:id="2291"/>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أصالة وجوب الطلب الثابت بوجوب ما لا يتمّ الواجب المطلق إلاّ به ، وأصالة عدم مشروعية التيمم ، لعدم صدق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عليه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الطلب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يصدق عدم وجدان الضالّة إلاّ بعد طلبها ما تيسّر ، فإنّ عدم وجدان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كونه حاصلا عنده ، ولا معلوم الحصول من غير عسر ، ولا مرجوّه كذلك ولو احتمالا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جوّز حصوله بسعي غير موجب للمشقّة لا يصدق عليه غير الواجد ، </w:t>
      </w:r>
    </w:p>
    <w:p>
      <w:pPr>
        <w:pStyle w:val="BookText"/>
        <w:rPr/>
      </w:pPr>
      <w:r>
        <w:rPr>
          <w:rFonts w:ascii="Amiri" w:hAnsi="Amiri" w:eastAsia="Amiri" w:cs="Amiri"/>
          <w:color w:val="111111"/>
          <w:sz w:val="28"/>
          <w:sz w:val="28"/>
          <w:szCs w:val="28"/>
          <w:rtl w:val="true"/>
          <w:lang w:bidi="ar-SA"/>
        </w:rPr>
        <w:t>ألا ترى أنه لو أمر المولى عبده بشراء فرس ، ولو لم يجده فحمار ، لا يجوز له شراء الحمار مع رجاء تحصيل الفرس بأدنى سعي؟</w:t>
      </w:r>
    </w:p>
    <w:p>
      <w:pPr>
        <w:pStyle w:val="BookText"/>
        <w:rPr/>
      </w:pPr>
      <w:r>
        <w:rPr>
          <w:rFonts w:ascii="Amiri" w:hAnsi="Amiri" w:eastAsia="Amiri" w:cs="Amiri"/>
          <w:color w:val="111111"/>
          <w:sz w:val="28"/>
          <w:sz w:val="28"/>
          <w:szCs w:val="28"/>
          <w:rtl w:val="true"/>
          <w:lang w:bidi="ar-SA"/>
        </w:rPr>
        <w:t xml:space="preserve">ومن هذا يظهر ضعف التمسّك في إيجاب الطلب بحسنة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المسافر الماء فليطلب ما دام في الوقت ، فإذا خاف أن يفوته الوقت فليتيمّم وليصلّ في آخر الوقت ، فإذا وجد الماء فلا قضاء عليه وليتوضّأ لما يستقبل </w:t>
      </w:r>
      <w:r>
        <w:rPr>
          <w:rFonts w:eastAsia="Amiri" w:cs="Amiri" w:ascii="Amiri" w:hAnsi="Amiri"/>
          <w:color w:val="111111"/>
          <w:sz w:val="28"/>
          <w:szCs w:val="28"/>
          <w:rtl w:val="true"/>
          <w:lang w:bidi="ar-SA"/>
        </w:rPr>
        <w:t xml:space="preserve">» </w:t>
      </w:r>
      <w:r>
        <w:rPr>
          <w:rStyle w:val="FootnoteAnchor"/>
          <w:rtl w:val="true"/>
        </w:rPr>
        <w:footnoteReference w:id="2292"/>
      </w:r>
      <w:r>
        <w:rPr>
          <w:rFonts w:ascii="Amiri" w:hAnsi="Amiri" w:eastAsia="Amiri" w:cs="Amiri"/>
          <w:color w:val="111111"/>
          <w:sz w:val="28"/>
          <w:sz w:val="28"/>
          <w:szCs w:val="28"/>
          <w:rtl w:val="true"/>
          <w:lang w:bidi="ar-SA"/>
        </w:rPr>
        <w:t>لتعليق الأمر بالطلب فيها على عدم الوجدان الغير المتحقّق إلاّ مع عدم الرجاء أو ضرب من الطلب ، فيكون المأمور به فيها الطلب المقيد الغير الواجب قطعا كما يأتي ، واحتمال التجوّز في عدم الوجدان غير كاف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يضعف التمسّك برواية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يطلب الماء في السفر ، إن كانت حزونة فغلوة ، وإن كانت سهلة فغلوتين لا يطلب أكثر من ذلك </w:t>
      </w:r>
      <w:r>
        <w:rPr>
          <w:rFonts w:eastAsia="Amiri" w:cs="Amiri" w:ascii="Amiri" w:hAnsi="Amiri"/>
          <w:color w:val="111111"/>
          <w:sz w:val="28"/>
          <w:szCs w:val="28"/>
          <w:rtl w:val="true"/>
          <w:lang w:bidi="ar-SA"/>
        </w:rPr>
        <w:t xml:space="preserve">» </w:t>
      </w:r>
      <w:r>
        <w:rPr>
          <w:rStyle w:val="FootnoteAnchor"/>
          <w:rtl w:val="true"/>
        </w:rPr>
        <w:footnoteReference w:id="2293"/>
      </w:r>
      <w:r>
        <w:rPr>
          <w:rFonts w:ascii="IRNazanin" w:hAnsi="IRNazanin" w:eastAsia="IRNazanin"/>
          <w:color w:val="111111"/>
          <w:sz w:val="28"/>
          <w:sz w:val="28"/>
          <w:szCs w:val="28"/>
          <w:rtl w:val="true"/>
          <w:lang w:bidi="fa-IR"/>
        </w:rPr>
        <w:t>بخلوّها عن الدالّ على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فالمعتمد ما مرّ من الإجماع والأصلين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تعارضهما </w:t>
      </w:r>
      <w:r>
        <w:rPr>
          <w:rStyle w:val="FootnoteAnchor"/>
          <w:rtl w:val="true"/>
        </w:rPr>
        <w:footnoteReference w:id="2294"/>
      </w:r>
      <w:r>
        <w:rPr>
          <w:rFonts w:ascii="Amiri" w:hAnsi="Amiri" w:eastAsia="Amiri" w:cs="Amiri"/>
          <w:color w:val="111111"/>
          <w:sz w:val="28"/>
          <w:sz w:val="28"/>
          <w:szCs w:val="28"/>
          <w:rtl w:val="true"/>
          <w:lang w:bidi="ar-SA"/>
        </w:rPr>
        <w:t xml:space="preserve">رواية علي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أفأطلب الماء يمينا وشمالا؟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 الماء يمينا ولا شمالا ولا في بئر ، وإن وجدته على الطريق فتوضّأ وإلاّ فامض </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لشذوذها جدّا ، مع أنّ حملها على صورة الخوف ممكن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مقتضى ما ذكرنا من الأصل وإن كان وجوب الطلب بقدر ترجى الإصابة ما لم يبلغ حدّ الحرج والمشقة ، كما اختاره في المدارك </w:t>
      </w:r>
      <w:r>
        <w:rPr>
          <w:rStyle w:val="FootnoteAnchor"/>
          <w:rtl w:val="true"/>
        </w:rPr>
        <w:footnoteReference w:id="2296"/>
      </w:r>
      <w:r>
        <w:rPr>
          <w:rFonts w:ascii="Amiri" w:hAnsi="Amiri" w:eastAsia="Amiri" w:cs="Amiri"/>
          <w:color w:val="111111"/>
          <w:sz w:val="28"/>
          <w:sz w:val="28"/>
          <w:szCs w:val="28"/>
          <w:rtl w:val="true"/>
          <w:lang w:bidi="ar-SA"/>
        </w:rPr>
        <w:t xml:space="preserve">، وهو ظاهر المحكي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الجملين والاقتصاد والخلاف والجامع </w:t>
      </w:r>
      <w:r>
        <w:rPr>
          <w:rStyle w:val="FootnoteAnchor"/>
          <w:rtl w:val="true"/>
        </w:rPr>
        <w:footnoteReference w:id="2297"/>
      </w:r>
      <w:r>
        <w:rPr>
          <w:rFonts w:ascii="Amiri" w:hAnsi="Amiri" w:eastAsia="Amiri" w:cs="Amiri"/>
          <w:color w:val="111111"/>
          <w:sz w:val="28"/>
          <w:sz w:val="28"/>
          <w:szCs w:val="28"/>
          <w:rtl w:val="true"/>
          <w:lang w:bidi="ar-SA"/>
        </w:rPr>
        <w:t xml:space="preserve">، حيث لم يقدّروه بقدر ، بل استوجهه في المعتبر صريحا </w:t>
      </w:r>
      <w:r>
        <w:rPr>
          <w:rStyle w:val="FootnoteAnchor"/>
          <w:rtl w:val="true"/>
        </w:rPr>
        <w:footnoteReference w:id="2298"/>
      </w:r>
      <w:r>
        <w:rPr>
          <w:rFonts w:ascii="Amiri" w:hAnsi="Amiri" w:eastAsia="Amiri" w:cs="Amiri"/>
          <w:color w:val="111111"/>
          <w:sz w:val="28"/>
          <w:sz w:val="28"/>
          <w:szCs w:val="28"/>
          <w:rtl w:val="true"/>
          <w:lang w:bidi="ar-SA"/>
        </w:rPr>
        <w:t xml:space="preserve">، إلاّ أنّ مدلول رواية السكوني ، السابقة كفاية الطلب غلوة في الأرض الحزنة وغلوتين في السهلة ، كما عن الإسكافي والمقنعة والاستبصار والمراسم والوسيلة والسرائر والكافي والغنية والإصباح والإشارة وشرح الجمل للقاضي ومهذّبه والشرائع والنافع والقواعد </w:t>
      </w:r>
      <w:r>
        <w:rPr>
          <w:rStyle w:val="FootnoteAnchor"/>
          <w:rtl w:val="true"/>
        </w:rPr>
        <w:footnoteReference w:id="229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سندها غير ضائر ، مع أنّ عمل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المعتبر </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تواتر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الحلّي </w:t>
      </w:r>
      <w:r>
        <w:rPr>
          <w:rStyle w:val="FootnoteAnchor"/>
          <w:rtl w:val="true"/>
        </w:rPr>
        <w:footnoteReference w:id="2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صريح الغنية وظاهر التذكرة </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المحقّقة والمحكية في كلام جملة من الأجلة </w:t>
      </w:r>
      <w:r>
        <w:rPr>
          <w:rStyle w:val="FootnoteAnchor"/>
          <w:rtl w:val="true"/>
        </w:rPr>
        <w:footnoteReference w:id="2303"/>
      </w:r>
      <w:r>
        <w:rPr>
          <w:rFonts w:ascii="IRNazanin" w:hAnsi="IRNazanin" w:eastAsia="IRNazanin"/>
          <w:color w:val="111111"/>
          <w:sz w:val="28"/>
          <w:sz w:val="28"/>
          <w:szCs w:val="28"/>
          <w:rtl w:val="true"/>
          <w:lang w:bidi="fa-IR"/>
        </w:rPr>
        <w:t>له جابر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إيجاب الطلب ما دام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الدروس عن قائل </w:t>
      </w:r>
      <w:r>
        <w:rPr>
          <w:rStyle w:val="FootnoteAnchor"/>
          <w:rtl w:val="true"/>
        </w:rPr>
        <w:footnoteReference w:id="2304"/>
      </w:r>
      <w:r>
        <w:rPr>
          <w:rFonts w:ascii="Amiri" w:hAnsi="Amiri" w:eastAsia="Amiri" w:cs="Amiri"/>
          <w:color w:val="111111"/>
          <w:sz w:val="28"/>
          <w:sz w:val="28"/>
          <w:szCs w:val="28"/>
          <w:rtl w:val="true"/>
          <w:lang w:bidi="ar-SA"/>
        </w:rPr>
        <w:t xml:space="preserve">، وفي شرح القواعد عن المعتبر </w:t>
      </w: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له ، وحسنة زرارة السابقة </w:t>
      </w:r>
      <w:r>
        <w:rPr>
          <w:rStyle w:val="FootnoteAnchor"/>
          <w:rtl w:val="true"/>
        </w:rPr>
        <w:footnoteReference w:id="2306"/>
      </w:r>
      <w:r>
        <w:rPr>
          <w:rFonts w:ascii="Amiri" w:hAnsi="Amiri" w:eastAsia="Amiri" w:cs="Amiri"/>
          <w:color w:val="111111"/>
          <w:sz w:val="28"/>
          <w:sz w:val="28"/>
          <w:szCs w:val="28"/>
          <w:rtl w:val="true"/>
          <w:lang w:bidi="ar-SA"/>
        </w:rPr>
        <w:t xml:space="preserve">لإثباته غير </w:t>
      </w:r>
    </w:p>
    <w:p>
      <w:pPr>
        <w:pStyle w:val="BookText"/>
        <w:rPr/>
      </w:pPr>
      <w:r>
        <w:rPr>
          <w:rFonts w:ascii="Amiri" w:hAnsi="Amiri" w:eastAsia="Amiri" w:cs="Amiri"/>
          <w:color w:val="111111"/>
          <w:sz w:val="28"/>
          <w:sz w:val="28"/>
          <w:szCs w:val="28"/>
          <w:rtl w:val="true"/>
          <w:lang w:bidi="ar-SA"/>
        </w:rPr>
        <w:t>ناهضة ، لإمكان كون القيد للحكم دون المحكوم به ، فيكون المراد تحديد زمان الطلب لا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تقدير المنافاة شاذ ، لمعارضة الرواية المنجبرة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أيضا لا يقتضيه ، لأنّ مقتضاه كفاية عدم الوجدان عرفا ، وعدم رجاء الحصول وقت إرادة الصلاة ، لا جميع أوقاتها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الشخص غير واجد لشي‌ء دائما ، وقد يكون واجدا له في حال أو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علق حكم على عدم وجدان شي‌ء فالتحقيق فيه إما يكون ذلك الحكم موقتا بوقت ، أو معلقا بحال ، أولا ولا ، بل 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مقيدا بوقت أو معلقا بحال فالمتبادر المفهوم منه عدم الوجدان في ذلك الوقت أو تلك الحال ، سواء كان الوقت مضيقا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الساعة الفلانية مع الوضوء وإن لم تجد الماء فمع التيمم ، فإن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تجده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موسعا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غدا مع الوضوء ، فإن لم تجد الماء فمع التيمم ، فالمفهوم عدم وجدان الماء في الغد مطلقا ، فلو لم يجد في أول النهار وجوّز وجوده في وسطه لا يجوز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المتبادر عدم وجدان الماء في الغد ، إلا أن تعلق الوضوء في أثناء العبادة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غدا ركعتين ، ومتى أردت فعلها توضأ وإن لم تجد ماء فتيمم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ماء حين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التعليق في الحال كما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الصلاة فتوضأ وإن لم تجد الماء فتيمم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فوت الصلاة فاقضها كما فاتتك أي مع الوضوء أيضا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تجد الماء فتيمم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مطلقا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مع الوضوء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تجد ماء فتيمم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إن لم تجده في جميع الوقت الذي يجوز فعلهما فيه إلى آخر زمان لا يسع الوقت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لم يكن هناك دليل على عموم البدلية في جميع الأحوال ، وإن كان فيصح المعلق عليه في كل وقت من أوقات عدم الوجدان ، كما إذا قال بعد الأمر بالصلاة مع الوضوء مطلقا أو موقتا مضيقا أو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تجد الماء أو كلما لم تجده فتيمم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التيمم للصلاة جائز في كل وقت أريد الصلاة وصدق عدم وجدان الماء ، للآيتين ومثل 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الرجل طهورا وكان جنبا فليس من الأرض وليصلّ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حال لا تقدر إلا على الطين فتيمم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الأرض مبتلة ليس فيها تراب ولا ماء فانظر أجف موضع تجده فتيمم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 حال لا يجد إلا الطين فلا بأس أن يتيمم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التيمم في كل حال يصدق عدم الوجدان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الصلاة غيرها مما يجوز التيمم لعدم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في الجملة ما يأتي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التيمم نصف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ضرورة ، إذا لم تجد الماء ، بل في كل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أبي بصير ورفاعة وابن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الأعذار فإنها أيضا مثل عدم الماء لعدم الفصل ، ولرواية أبي بصير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للجميع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مرضى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دليل آخر ، وإلا فأدلة وجوب تأخير التيمم للصلوات الموقتة إلى آخر وقتها فهو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تعالى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1616_94804"/>
    </w:p>
    <w:p>
      <w:pPr>
        <w:pStyle w:val="BookText"/>
        <w:rPr/>
      </w:pPr>
      <w:bookmarkEnd w:id="139"/>
      <w:r>
        <w:rPr>
          <w:rFonts w:ascii="Amiri" w:hAnsi="Amiri" w:eastAsia="Amiri" w:cs="Amiri"/>
          <w:color w:val="111111"/>
          <w:sz w:val="28"/>
          <w:sz w:val="28"/>
          <w:szCs w:val="28"/>
          <w:rtl w:val="true"/>
          <w:lang w:bidi="ar-SA"/>
        </w:rPr>
        <w:t>ثمَّ إنّه اختلفت كلمات اللغويين في معنى الغلوة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العين والأساس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الفرسخ التام خمس وعشرون غلوة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ثلاثمائة ذراع إلى أربعمائة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مائة باع </w:t>
      </w:r>
      <w:r>
        <w:rPr>
          <w:rStyle w:val="FootnoteAnchor"/>
          <w:rtl w:val="true"/>
        </w:rPr>
        <w:footnoteReference w:id="2310"/>
      </w:r>
      <w:r>
        <w:rPr>
          <w:rFonts w:ascii="Amiri" w:hAnsi="Amiri" w:eastAsia="Amiri" w:cs="Amiri"/>
          <w:color w:val="111111"/>
          <w:sz w:val="28"/>
          <w:sz w:val="28"/>
          <w:szCs w:val="28"/>
          <w:rtl w:val="true"/>
          <w:lang w:bidi="ar-SA"/>
        </w:rPr>
        <w:t>والميل عشر 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أكثر الفقهاء أنّ المحدود غلوة سهم أو سهمين ، أي قدر ذهابهما مع عدم مانع أو معاون ، والروايات خالية عن ذكر السهم ، ولكن يمكن أن يكون مراد أهل اللغة أنّ هذا القدر هو مرمى السهم ، والواجب الأخذ بالأكثر ، ووجهه ظاهر ممّا مرّ</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588155_73709187"/>
      <w:bookmarkStart w:id="141" w:name="_Toc55"/>
      <w:bookmarkEnd w:id="140"/>
      <w:r>
        <w:rPr>
          <w:rtl w:val="true"/>
        </w:rPr>
        <w:t xml:space="preserve">فروع </w:t>
      </w:r>
      <w:r>
        <w:rPr>
          <w:rtl w:val="true"/>
        </w:rPr>
        <w:t>:</w:t>
      </w:r>
      <w:bookmarkEnd w:id="14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يتوزّع مع اختلاف الأرض حزونة وسهولة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والأصل يقتضي الأخذ بالأكثر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الطلب بالمقدّر من كلّ جانب ، كما صرّح به في المبسوط </w:t>
      </w:r>
      <w:r>
        <w:rPr>
          <w:rStyle w:val="FootnoteAnchor"/>
          <w:rtl w:val="true"/>
        </w:rPr>
        <w:footnoteReference w:id="2312"/>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لعدم المرجّح لبعضها كما قيل </w:t>
      </w:r>
      <w:r>
        <w:rPr>
          <w:rStyle w:val="FootnoteAnchor"/>
          <w:rtl w:val="true"/>
        </w:rPr>
        <w:footnoteReference w:id="2313"/>
      </w:r>
      <w:r>
        <w:rPr>
          <w:rFonts w:ascii="Amiri" w:hAnsi="Amiri" w:eastAsia="Amiri" w:cs="Amiri"/>
          <w:color w:val="111111"/>
          <w:sz w:val="28"/>
          <w:sz w:val="28"/>
          <w:szCs w:val="28"/>
          <w:rtl w:val="true"/>
          <w:lang w:bidi="ar-SA"/>
        </w:rPr>
        <w:t>، إذ غاية ما يثبت منه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لم يعلم من الرواية خروج ما عدا ذلك من تحت الأصلين المتقدمين ، لأنّ المشار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هو الغلوة والغلوتان ، لا الطلب كذلك الموجب لكفاية تحقّق مطلقه ، لحزازة المعنى ، مع أنّ إمكان إرادة ما ذكرنا يكفي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يكفي الطلب عن اليمين والشمال ، كما عن نهاية الإحكام والوسيلة والاقتصاد </w:t>
      </w:r>
      <w:r>
        <w:rPr>
          <w:rStyle w:val="FootnoteAnchor"/>
          <w:rtl w:val="true"/>
        </w:rPr>
        <w:footnoteReference w:id="2314"/>
      </w:r>
      <w:r>
        <w:rPr>
          <w:rFonts w:ascii="Amiri" w:hAnsi="Amiri" w:eastAsia="Amiri" w:cs="Amiri"/>
          <w:color w:val="111111"/>
          <w:sz w:val="28"/>
          <w:sz w:val="28"/>
          <w:szCs w:val="28"/>
          <w:rtl w:val="true"/>
          <w:lang w:bidi="ar-SA"/>
        </w:rPr>
        <w:t xml:space="preserve">، ولا مع الإمام في المسافر ، كما عن المفيد والحلبي </w:t>
      </w:r>
      <w:r>
        <w:rPr>
          <w:rStyle w:val="FootnoteAnchor"/>
          <w:rtl w:val="true"/>
        </w:rPr>
        <w:footnoteReference w:id="2315"/>
      </w:r>
      <w:r>
        <w:rPr>
          <w:rFonts w:ascii="Amiri" w:hAnsi="Amiri" w:eastAsia="Amiri" w:cs="Amiri"/>
          <w:color w:val="111111"/>
          <w:sz w:val="28"/>
          <w:sz w:val="28"/>
          <w:szCs w:val="28"/>
          <w:rtl w:val="true"/>
          <w:lang w:bidi="ar-SA"/>
        </w:rPr>
        <w:t xml:space="preserve">، ولا الجهات الأربع ، كما عن المهذب وشرح الجمل للقاضي والإصباح والإشارة والشرائع والغنية </w:t>
      </w:r>
      <w:r>
        <w:rPr>
          <w:rStyle w:val="FootnoteAnchor"/>
          <w:rtl w:val="true"/>
        </w:rPr>
        <w:footnoteReference w:id="2316"/>
      </w:r>
      <w:r>
        <w:rPr>
          <w:rFonts w:ascii="Amiri" w:hAnsi="Amiri" w:eastAsia="Amiri" w:cs="Amiri"/>
          <w:color w:val="111111"/>
          <w:sz w:val="28"/>
          <w:sz w:val="28"/>
          <w:szCs w:val="28"/>
          <w:rtl w:val="true"/>
          <w:lang w:bidi="ar-SA"/>
        </w:rPr>
        <w:t>، بل عن الأخير الإجماع عليه ، ولا مطلق الطلب كما هو ظاهر من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حمل الأخيرين على ما ذكرناه أيضا ممكن ، بل وكذا الثاني ، لكون الخلف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الطلب إنّما هو مع الأمن واحتمال وجود الماء في النصاب وما دونه ، فيسقط مع الخوف إجماعا ، له ، ولفحوى ما دلّ على سقوطه مع العلم بوجود الماء مع الخوف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السفر وتحضر الصلاة وليس معي ماء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قريب منا ، فطلب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ولا شمالا؟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 الماء ولكن تيمّم ، فإني أخاف عليك التخلّف عن أصحابك فتضلّ ويأكلك السبع </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 العلم بعدم الماء مطلقا فيسقط كذلك ، أو في بعض الجهات </w:t>
      </w:r>
    </w:p>
    <w:p>
      <w:pPr>
        <w:pStyle w:val="BookText"/>
        <w:rPr/>
      </w:pPr>
      <w:r>
        <w:rPr>
          <w:rFonts w:ascii="Amiri" w:hAnsi="Amiri" w:eastAsia="Amiri" w:cs="Amiri"/>
          <w:color w:val="111111"/>
          <w:sz w:val="28"/>
          <w:sz w:val="28"/>
          <w:szCs w:val="28"/>
          <w:rtl w:val="true"/>
          <w:lang w:bidi="ar-SA"/>
        </w:rPr>
        <w:t xml:space="preserve">فيسقط فيه خاصة ، بلا خلاف فيه بين أصحابنا كما في الحدائق </w:t>
      </w:r>
      <w:r>
        <w:rPr>
          <w:rStyle w:val="FootnoteAnchor"/>
          <w:rtl w:val="true"/>
        </w:rPr>
        <w:footnoteReference w:id="2318"/>
      </w:r>
      <w:r>
        <w:rPr>
          <w:rFonts w:ascii="Amiri" w:hAnsi="Amiri" w:eastAsia="Amiri" w:cs="Amiri"/>
          <w:color w:val="111111"/>
          <w:sz w:val="28"/>
          <w:sz w:val="28"/>
          <w:szCs w:val="28"/>
          <w:rtl w:val="true"/>
          <w:lang w:bidi="ar-SA"/>
        </w:rPr>
        <w:t>، بل عليه وفاقهم في المعتمد ، لصدق عدم الوجدان المعلّق عليه التيمّم ، وعدم تحقّق الطلب إلاّ مع احتمال الوجود ، فلا يجري دليل وجوبه مع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القول بالطلب مع العلم بالعدم أيضا ، حيث إنّه عدّ من جملة ما وقع التعبّد المحض فيها ولا يكاد يهتدي فيه إلى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طلب المتيمّم وإن علم 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الاحتمال الموجب للطلب بين مرجوحة وغيره ، كما به صرّح جماعة منهم المنتهى </w:t>
      </w:r>
      <w:r>
        <w:rPr>
          <w:rStyle w:val="FootnoteAnchor"/>
          <w:rtl w:val="true"/>
        </w:rPr>
        <w:footnoteReference w:id="2319"/>
      </w:r>
      <w:r>
        <w:rPr>
          <w:rFonts w:ascii="Amiri" w:hAnsi="Amiri" w:eastAsia="Amiri" w:cs="Amiri"/>
          <w:color w:val="111111"/>
          <w:sz w:val="28"/>
          <w:sz w:val="28"/>
          <w:szCs w:val="28"/>
          <w:rtl w:val="true"/>
          <w:lang w:bidi="ar-SA"/>
        </w:rPr>
        <w:t>، للأصلين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2320"/>
      </w:r>
      <w:r>
        <w:rPr>
          <w:rFonts w:ascii="Amiri" w:hAnsi="Amiri" w:eastAsia="Amiri" w:cs="Amiri"/>
          <w:color w:val="111111"/>
          <w:sz w:val="28"/>
          <w:sz w:val="28"/>
          <w:szCs w:val="28"/>
          <w:rtl w:val="true"/>
          <w:lang w:bidi="ar-SA"/>
        </w:rPr>
        <w:t>، والفاضل الجواد ، فأسقطاه مع ظنّ العدم أيضا ، لقيامه مقام العلم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بإطلاقه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عدم احتماله في النصاب وما دونه المسقط للطلب بين ما علم العدم فوق النصاب أيضا ، أو احتمل وجوده فيه ولو راجحا ، لرواية السكوني السابقة </w:t>
      </w:r>
      <w:r>
        <w:rPr>
          <w:rStyle w:val="FootnoteAnchor"/>
          <w:rtl w:val="true"/>
        </w:rPr>
        <w:footnoteReference w:id="2321"/>
      </w:r>
      <w:r>
        <w:rPr>
          <w:rFonts w:ascii="Amiri" w:hAnsi="Amiri" w:eastAsia="Amiri" w:cs="Amiri"/>
          <w:color w:val="111111"/>
          <w:sz w:val="28"/>
          <w:sz w:val="28"/>
          <w:szCs w:val="28"/>
          <w:rtl w:val="true"/>
          <w:lang w:bidi="ar-SA"/>
        </w:rPr>
        <w:t>، حيث إنّها تدلّ على عدم وجوب الطلب في الأكثر ، فإمّا يجب الوضوء أو تسقط الصلاة أو يتيمّم ، والأولان باطلان ، فتعيّن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بوجوب الطلب مع رجحان الاحتمال ، لفقد شرط التيمّم وهو العلم بعدم التمكن ، ولعدم تبادر هذه الصورة من الرواية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انحصار الشرط فيه ، بل عدم العلم بالتمكّن مع عدم الماء في النصاب أيضا يسوّغه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لزوم تبادر هذه الصورة ، بل يكفي عدم تبادر غيرها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علم وجوده فوق النصاب ، يجب تحصيله مع التمكن إجماعا ، له ، ولصدق الوجدان الموجب لعدم جواز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تنافيه الرواية ، لأنّ المتبادر من طلب الماء إنما هو ما إذا لم يتيقّن وجوده وحصوله ، وأمّا معه فلا يستعمل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وجوب السعي حينئذ بين ما إذا كان الماء قريبا أو بعيدا ما لم يبلغ الحرج والمشقة ، ولا بين ما إذا كان السعي مفوّتا لشغله ومطلوبه الذي يشرع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يتضرر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الحطّاب والخشّاب إن لم يمكنه العود إلى المصر لتحصيل الماء إلاّ بفوات مطلوبه يتيمّم </w:t>
      </w:r>
      <w:r>
        <w:rPr>
          <w:rStyle w:val="FootnoteAnchor"/>
          <w:rtl w:val="true"/>
        </w:rPr>
        <w:footnoteReference w:id="2323"/>
      </w:r>
      <w:r>
        <w:rPr>
          <w:rFonts w:ascii="Amiri" w:hAnsi="Amiri" w:eastAsia="Amiri" w:cs="Amiri"/>
          <w:color w:val="111111"/>
          <w:sz w:val="28"/>
          <w:sz w:val="28"/>
          <w:szCs w:val="28"/>
          <w:rtl w:val="true"/>
          <w:lang w:bidi="ar-SA"/>
        </w:rPr>
        <w:t xml:space="preserve">، ونفى عنه البعد في شرح القواعد </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قبل الوقت ولم يجد ، لم يجب بعده إلاّ مع احتمال التجدّد ، فيجب حينئذ ، للأصلين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عدم الوجوب لتحقّق مطلق الطلب الذي هو المسوّغ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ما يدلّ على كفاية مطلق الطلب في التسويغ ، فيجب الأخذ بالمجمع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جواز الاستنابة في الطلب مع عدم إمكان المباشرة ، بل تجب ولو بأجرة ، لأنها الطلب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إفادتها للعلم بالحال ، لأنه المقصود من الطلب ولا أقلّ من عدم العلم بكفاية غيره وهو كاف في المقام ، إلاّ مع عدم إمكانه فيكفي الظن ، لما مرّ من كونها الطلب في حقه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إمكان المباشرة ، فإن كانت الاستنابة مفيدة للعلم كفت ، لسقوط الطلب حينئذ ، وإلاّ لم تكف ، لا لتوجّه الخطاب إليه نفسه والأصل عدم قيام غيره مقامه ، لأن الاستنابة في الفحص أيضا نوع طلب منه ، بل لما مرّ من عدم العلم </w:t>
      </w:r>
    </w:p>
    <w:p>
      <w:pPr>
        <w:pStyle w:val="BookText"/>
        <w:rPr/>
      </w:pPr>
      <w:r>
        <w:rPr>
          <w:rFonts w:ascii="Amiri" w:hAnsi="Amiri" w:eastAsia="Amiri" w:cs="Amiri"/>
          <w:color w:val="111111"/>
          <w:sz w:val="28"/>
          <w:sz w:val="28"/>
          <w:szCs w:val="28"/>
          <w:rtl w:val="true"/>
          <w:lang w:bidi="ar-SA"/>
        </w:rPr>
        <w:t>بكفاية مطلق الطلب ، فيجب الأخذ بالمجمع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للروض ، فجوّزها مطلقا مع عدالة النائب </w:t>
      </w:r>
      <w:r>
        <w:rPr>
          <w:rStyle w:val="FootnoteAnchor"/>
          <w:rtl w:val="true"/>
        </w:rPr>
        <w:footnoteReference w:id="2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 في الطلب وتيمّم وصلّى في سعة الوقت ، بطل تيمّمه إجماعا ، كما في المنتهى </w:t>
      </w:r>
      <w:r>
        <w:rPr>
          <w:rStyle w:val="FootnoteAnchor"/>
          <w:rtl w:val="true"/>
        </w:rPr>
        <w:footnoteReference w:id="2326"/>
      </w:r>
      <w:r>
        <w:rPr>
          <w:rFonts w:ascii="Amiri" w:hAnsi="Amiri" w:eastAsia="Amiri" w:cs="Amiri"/>
          <w:color w:val="111111"/>
          <w:sz w:val="28"/>
          <w:sz w:val="28"/>
          <w:szCs w:val="28"/>
          <w:rtl w:val="true"/>
          <w:lang w:bidi="ar-SA"/>
        </w:rPr>
        <w:t xml:space="preserve">وغيره </w:t>
      </w:r>
      <w:r>
        <w:rPr>
          <w:rStyle w:val="FootnoteAnchor"/>
          <w:rtl w:val="true"/>
        </w:rPr>
        <w:footnoteReference w:id="2327"/>
      </w:r>
      <w:r>
        <w:rPr>
          <w:rFonts w:ascii="Amiri" w:hAnsi="Amiri" w:eastAsia="Amiri" w:cs="Amiri"/>
          <w:color w:val="111111"/>
          <w:sz w:val="28"/>
          <w:sz w:val="28"/>
          <w:szCs w:val="28"/>
          <w:rtl w:val="true"/>
          <w:lang w:bidi="ar-SA"/>
        </w:rPr>
        <w:t>، لعدم ثبوت مشروعيته إلاّ مع الطلب ، ولأن الأمر بالطلب يقتضي النهي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 </w:t>
      </w:r>
      <w:r>
        <w:rPr>
          <w:rStyle w:val="FootnoteAnchor"/>
          <w:rtl w:val="true"/>
        </w:rPr>
        <w:footnoteReference w:id="2328"/>
      </w:r>
      <w:r>
        <w:rPr>
          <w:rFonts w:ascii="Amiri" w:hAnsi="Amiri" w:eastAsia="Amiri" w:cs="Amiri"/>
          <w:color w:val="111111"/>
          <w:sz w:val="28"/>
          <w:sz w:val="28"/>
          <w:szCs w:val="28"/>
          <w:rtl w:val="true"/>
          <w:lang w:bidi="ar-SA"/>
        </w:rPr>
        <w:t>، لذلك ، ولخلوّها عن الطهور ، سواء وجد الماء بعد الصلاة أو 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 فيه حتى ضاق الوقت عنه وإدراك ركعة ، يتيمّم ويصلّي ، وفاقا للمشهور ، على 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المدارك </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للأصل ، ولا لكونه غير واجد للماء ، ولا لأنّ فرضه أمّا تأخير الصلاة عن الوقت ، أو الصلاة فيه مع الوضوء ، أو مع التيمّم ، والأولان باطلان والثالث المطلوب ، ولا 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الحسنة المتقدمة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بل الأصل عدم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عدم الوجدان ، فإنه أمر عرفي لا مدخلية لضيق الوقت عن الصلاة وسعته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أن يكون فرضه الطلب وقضاء الصلاة مع الوضوء إن وجد ومع التيمّم إن لم تجد ، كما هو مختار طائفة </w:t>
      </w:r>
      <w:r>
        <w:rPr>
          <w:rStyle w:val="FootnoteAnchor"/>
          <w:rtl w:val="true"/>
        </w:rPr>
        <w:footnoteReference w:id="2331"/>
      </w:r>
      <w:r>
        <w:rPr>
          <w:rFonts w:ascii="Amiri" w:hAnsi="Amiri" w:eastAsia="Amiri" w:cs="Amiri"/>
          <w:color w:val="111111"/>
          <w:sz w:val="28"/>
          <w:sz w:val="28"/>
          <w:szCs w:val="28"/>
          <w:rtl w:val="true"/>
          <w:lang w:bidi="ar-SA"/>
        </w:rPr>
        <w:t>، فهو كمن أخّر التيمّم أيضا حتى ضاق الوقت عنه ، فهو معاقب بالتأخير مأمور بالقضاء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 الدلالة ، لرجوع المستتر إلى غير الواجد ، وتحقّقه غير معلوم </w:t>
      </w:r>
    </w:p>
    <w:p>
      <w:pPr>
        <w:pStyle w:val="BookText"/>
        <w:rPr/>
      </w:pPr>
      <w:r>
        <w:rPr>
          <w:rFonts w:ascii="Amiri" w:hAnsi="Amiri" w:eastAsia="Amiri" w:cs="Amiri"/>
          <w:color w:val="111111"/>
          <w:sz w:val="28"/>
          <w:sz w:val="28"/>
          <w:szCs w:val="28"/>
          <w:rtl w:val="true"/>
          <w:lang w:bidi="ar-SA"/>
        </w:rPr>
        <w:t>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لمرسلة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ولم يقدر على الماء وحضرت الصلاة فيتيمّم بالصعيد ، ثمَّ يمرّ بالماء ولم يغتسل وانتظر ماء آخر وراء ذلك ، فدخل وقت الصلاة الأخرى ولم ينته إلى الماء وخاف فوت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 فإن تيمّمه الأول قد انتقض حين مرّ بالماء ولم يغتسل </w:t>
      </w:r>
      <w:r>
        <w:rPr>
          <w:rFonts w:eastAsia="Amiri" w:cs="Amiri" w:ascii="Amiri" w:hAnsi="Amiri"/>
          <w:color w:val="111111"/>
          <w:sz w:val="28"/>
          <w:szCs w:val="28"/>
          <w:rtl w:val="true"/>
          <w:lang w:bidi="ar-SA"/>
        </w:rPr>
        <w:t xml:space="preserve">» </w:t>
      </w:r>
      <w:r>
        <w:rPr>
          <w:rStyle w:val="FootnoteAnchor"/>
          <w:rtl w:val="true"/>
        </w:rPr>
        <w:footnoteReference w:id="2332"/>
      </w:r>
      <w:r>
        <w:rPr>
          <w:rFonts w:ascii="Amiri" w:hAnsi="Amiri" w:eastAsia="Amiri" w:cs="Amiri"/>
          <w:color w:val="111111"/>
          <w:sz w:val="28"/>
          <w:sz w:val="28"/>
          <w:szCs w:val="28"/>
          <w:rtl w:val="true"/>
          <w:lang w:bidi="ar-SA"/>
        </w:rPr>
        <w:t>أمر بالتيمّم والصلاة مطلقا مع كونها أعم من تجويز الماء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قرب الإسناد المنجبر ضعفه بالشهرة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فلم يصب الماء أيتيمّم ويصلّي؟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آخر الوقت ، إنه إن فاته الماء لم تفته الأرض </w:t>
      </w:r>
      <w:r>
        <w:rPr>
          <w:rFonts w:eastAsia="Amiri" w:cs="Amiri" w:ascii="Amiri" w:hAnsi="Amiri"/>
          <w:color w:val="111111"/>
          <w:sz w:val="28"/>
          <w:szCs w:val="28"/>
          <w:rtl w:val="true"/>
          <w:lang w:bidi="ar-SA"/>
        </w:rPr>
        <w:t xml:space="preserve">»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w:t>
      </w:r>
      <w:r>
        <w:rPr>
          <w:rFonts w:eastAsia="Amiri" w:cs="Amiri" w:ascii="Amiri" w:hAnsi="Amiri"/>
          <w:color w:val="111111"/>
          <w:sz w:val="28"/>
          <w:szCs w:val="28"/>
          <w:rtl w:val="true"/>
          <w:lang w:bidi="ar-SA"/>
        </w:rPr>
        <w:t xml:space="preserve">) </w:t>
      </w:r>
      <w:r>
        <w:rPr>
          <w:rStyle w:val="FootnoteAnchor"/>
          <w:rtl w:val="true"/>
        </w:rPr>
        <w:footnoteReference w:id="2334"/>
      </w:r>
      <w:r>
        <w:rPr>
          <w:rFonts w:ascii="Amiri" w:hAnsi="Amiri" w:eastAsia="Amiri" w:cs="Amiri"/>
          <w:color w:val="111111"/>
          <w:sz w:val="28"/>
          <w:sz w:val="28"/>
          <w:szCs w:val="28"/>
          <w:rtl w:val="true"/>
          <w:lang w:bidi="ar-SA"/>
        </w:rPr>
        <w:t xml:space="preserve">وفي النهاية والنافع </w:t>
      </w:r>
      <w:r>
        <w:rPr>
          <w:rStyle w:val="FootnoteAnchor"/>
          <w:rtl w:val="true"/>
        </w:rPr>
        <w:footnoteReference w:id="2335"/>
      </w:r>
      <w:r>
        <w:rPr>
          <w:rFonts w:ascii="Amiri" w:hAnsi="Amiri" w:eastAsia="Amiri" w:cs="Amiri"/>
          <w:color w:val="111111"/>
          <w:sz w:val="28"/>
          <w:sz w:val="28"/>
          <w:szCs w:val="28"/>
          <w:rtl w:val="true"/>
          <w:lang w:bidi="ar-SA"/>
        </w:rPr>
        <w:t>، فحكموا ببطلان التيمم ، لفقد شرطه الذي هو عدم الوجدان أو الطلب بقدر النصاب ، ويلزمه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الاشتراط هنا ، لما تقدم ، بل الشرط أحد الأمرين أو ضيق الوقت عن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 خلاف المذكورين وتنزيل عباراتهم على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2336"/>
      </w:r>
      <w:r>
        <w:rPr>
          <w:rFonts w:ascii="Amiri" w:hAnsi="Amiri" w:eastAsia="Amiri" w:cs="Amiri"/>
          <w:color w:val="111111"/>
          <w:sz w:val="28"/>
          <w:sz w:val="28"/>
          <w:szCs w:val="28"/>
          <w:rtl w:val="true"/>
          <w:lang w:bidi="ar-SA"/>
        </w:rPr>
        <w:t xml:space="preserve">، وغيره </w:t>
      </w:r>
      <w:r>
        <w:rPr>
          <w:rStyle w:val="FootnoteAnchor"/>
          <w:rtl w:val="true"/>
        </w:rPr>
        <w:footnoteReference w:id="2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لأنّ هؤلاء لا يجوّزون التيمّم في السعة سواء أخلّ بالطلب أم لا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التيمّم والصلاة يجزي عن فرضه ، سواء ظهر وجود الماء ولو في ما </w:t>
      </w:r>
    </w:p>
    <w:p>
      <w:pPr>
        <w:pStyle w:val="BookText"/>
        <w:rPr/>
      </w:pPr>
      <w:r>
        <w:rPr>
          <w:rFonts w:ascii="Amiri" w:hAnsi="Amiri" w:eastAsia="Amiri" w:cs="Amiri"/>
          <w:color w:val="111111"/>
          <w:sz w:val="28"/>
          <w:sz w:val="28"/>
          <w:szCs w:val="28"/>
          <w:rtl w:val="true"/>
          <w:lang w:bidi="ar-SA"/>
        </w:rPr>
        <w:t xml:space="preserve">دون النصاب أو لم يظهر ، وفاقا في الصورتين لجماعة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والمدارك والأردبيلي </w:t>
      </w:r>
      <w:r>
        <w:rPr>
          <w:rStyle w:val="FootnoteAnchor"/>
          <w:rtl w:val="true"/>
        </w:rPr>
        <w:footnoteReference w:id="2338"/>
      </w:r>
      <w:r>
        <w:rPr>
          <w:rFonts w:ascii="Amiri" w:hAnsi="Amiri" w:eastAsia="Amiri" w:cs="Amiri"/>
          <w:color w:val="111111"/>
          <w:sz w:val="28"/>
          <w:sz w:val="28"/>
          <w:szCs w:val="28"/>
          <w:rtl w:val="true"/>
          <w:lang w:bidi="ar-SA"/>
        </w:rPr>
        <w:t>، ووالدي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لأصالة عدم وجوب القضاء ، بل الإعادة إذا انكشف الخطأ في ظن الضيق ، ولاقتضاء الأمر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بدل المائية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للإجزاء ، مع عدم تعقّل وجوب البدل والمبدل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وللمستفيضة الشاملة للمورد ، كصحيحة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الماء وهو جنب وقد صلى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ولا يعيد الصلاة </w:t>
      </w:r>
      <w:r>
        <w:rPr>
          <w:rFonts w:eastAsia="Amiri" w:cs="Amiri" w:ascii="Amiri" w:hAnsi="Amiri"/>
          <w:color w:val="111111"/>
          <w:sz w:val="28"/>
          <w:szCs w:val="28"/>
          <w:rtl w:val="true"/>
          <w:lang w:bidi="ar-SA"/>
        </w:rPr>
        <w:t xml:space="preserve">»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فتيمّم بالصعيد وصلّى ثمَّ وجد الماء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 ربّ الماء ربّ الصعيد </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الماء وقد صلّى بتيمم وهو في وقت؟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ولا إعادة عليه </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 xml:space="preserve">وبمضمونها صحيحة الأحمر </w:t>
      </w:r>
      <w:r>
        <w:rPr>
          <w:rStyle w:val="FootnoteAnchor"/>
          <w:rtl w:val="true"/>
        </w:rPr>
        <w:footnoteReference w:id="2342"/>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فيما دون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للقواعد وشرحه </w:t>
      </w:r>
      <w:r>
        <w:rPr>
          <w:rStyle w:val="FootnoteAnchor"/>
          <w:rtl w:val="true"/>
        </w:rPr>
        <w:footnoteReference w:id="2343"/>
      </w:r>
      <w:r>
        <w:rPr>
          <w:rFonts w:ascii="Amiri" w:hAnsi="Amiri" w:eastAsia="Amiri" w:cs="Amiri"/>
          <w:color w:val="111111"/>
          <w:sz w:val="28"/>
          <w:sz w:val="28"/>
          <w:szCs w:val="28"/>
          <w:rtl w:val="true"/>
          <w:lang w:bidi="ar-SA"/>
        </w:rPr>
        <w:t xml:space="preserve">، بل في الأخير نسبه إلى الأكثر ، كما في الحدائق إلى المشهور </w:t>
      </w:r>
      <w:r>
        <w:rPr>
          <w:rStyle w:val="FootnoteAnchor"/>
          <w:rtl w:val="true"/>
        </w:rPr>
        <w:footnoteReference w:id="2344"/>
      </w:r>
      <w:r>
        <w:rPr>
          <w:rFonts w:ascii="Amiri" w:hAnsi="Amiri" w:eastAsia="Amiri" w:cs="Amiri"/>
          <w:color w:val="111111"/>
          <w:sz w:val="28"/>
          <w:sz w:val="28"/>
          <w:szCs w:val="28"/>
          <w:rtl w:val="true"/>
          <w:lang w:bidi="ar-SA"/>
        </w:rPr>
        <w:t xml:space="preserve">، وعن ظاهر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 ظهور الماء في موضع الطلب كاشف عن اشتغال ذمته بالصلاة مع المائية وقد تركها ، ومن يترك صلاة فعليه فعلها ثانيا كما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سفر وكان معه ماء فنسيه وتيمّم وصلّى ، ثمَّ ذكر أن معه ماء قبل أن يخرج الوقت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يتوضّأ ويعيد الصلاة </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وردّها بورودها في النسيان وهو أخصّ من المدّعى ، وفيما وقع التيمّم في السعة وهو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النسيان لا ينفي وجوب الطلب ، والرواية شاملة لمن لم يطلب أيضا ، وبقاء وقت الصلاة بعد التيمّم والصلاة لا ينافي والرواية شاملة لمن لم يطلب أيضا ، وبقاء وقت الصلاة بعد التيمّم والصلاة لا ينافي خروج وقت الطلب والصلاة معا ، مع أنّ ظنّ الخروج وظهور خلافه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تكون الرواية حينئذ أخصّ من مدّعاهم الذي هو الإعادة والقضاء ، ولا يبعد أن يخصّص المدّعى أيضا بذلك ، حيث إنّ الوارد في كلامهم هو الإعادة الظاهرة فيما يفعل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فيمكن أن يستدلّ 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تيمّم فأصاب بعد صلاته ماء أيتوضّأ ويعيد الصلاة أم تجوز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الماء قبل أن يمضي الوقت توضّأ أعاد ، فإن مضى الوقت فلا إعادة عليه </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التذكرة مرسلا المنجبر بما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أخلّ بالطلب ثمَّ وجد الماء في رحله أو مع أصحابه أعاد الصلاة </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تركه الصلاة ، وإنما ترك بعض مقدماتها التي ظهر وجوبها بعد قيام غيره مقامه ، مع أنّ في ظهور الاشتغال بما ذكر أيضا كلاما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دلالة الأوليين على خارج الوقت لو كان النزاع فيه أيضا ، وعدم إفادة الأخيرتين للوجوب ، فيحتملان الاستحباب كما تؤيّده موثّقة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تيمّم وصلّى ثمَّ أصاب الماء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فإن كنت فاعلا كنت أتوضّأ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w:t>
      </w:r>
      <w:r>
        <w:rPr>
          <w:rFonts w:eastAsia="Amiri" w:cs="Amiri" w:ascii="Amiri" w:hAnsi="Amiri"/>
          <w:color w:val="111111"/>
          <w:sz w:val="28"/>
          <w:szCs w:val="28"/>
          <w:rtl w:val="true"/>
          <w:lang w:bidi="ar-SA"/>
        </w:rPr>
        <w:t xml:space="preserve">] »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لاختصاصهما بمن كان الماء معه فكان فيما دون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معارضين لأخبارنا المختصة بغير من تيمّم وصلّى في السعة بدون الطلب بالعموم من وجه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الصورتين للدروس </w:t>
      </w:r>
      <w:r>
        <w:rPr>
          <w:rStyle w:val="FootnoteAnchor"/>
          <w:rtl w:val="true"/>
        </w:rPr>
        <w:footnoteReference w:id="2350"/>
      </w:r>
      <w:r>
        <w:rPr>
          <w:rFonts w:ascii="Amiri" w:hAnsi="Amiri" w:eastAsia="Amiri" w:cs="Amiri"/>
          <w:color w:val="111111"/>
          <w:sz w:val="28"/>
          <w:sz w:val="28"/>
          <w:szCs w:val="28"/>
          <w:rtl w:val="true"/>
          <w:lang w:bidi="ar-SA"/>
        </w:rPr>
        <w:t>، ولعلّه لمثل ما مرّ من اشتغال ذمته بالصلاة المسبوقة بالطلب ولم يفعلها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ضاق الوقت عن الطلب في بعض الجهات دون بعض لم يجز له التيمّم ، لأصالة عدم مشروعيته ، وعدم شمول الخبرين </w:t>
      </w:r>
      <w:r>
        <w:rPr>
          <w:rStyle w:val="FootnoteAnchor"/>
          <w:rtl w:val="true"/>
        </w:rPr>
        <w:footnoteReference w:id="2351"/>
      </w: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 ماء فأتلفه ، أو مرّ به ولم يتطهّر ، أو كان متطهّرا فأحدث اختيارا وحضرت الصلاة ، يتيمّم ويصلّي ، سواء كان الإتلاف وأخواه قبل الوقت أو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للجميع في الأول ، وللأكثر في الثاني ، وظاهر شرح القواعد عدم الخلاف في الثاني أيضا مع ظنّ وجود الماء </w:t>
      </w:r>
      <w:r>
        <w:rPr>
          <w:rStyle w:val="FootnoteAnchor"/>
          <w:rtl w:val="true"/>
        </w:rPr>
        <w:footnoteReference w:id="2352"/>
      </w:r>
      <w:r>
        <w:rPr>
          <w:rFonts w:ascii="Amiri" w:hAnsi="Amiri" w:eastAsia="Amiri" w:cs="Amiri"/>
          <w:color w:val="111111"/>
          <w:sz w:val="28"/>
          <w:sz w:val="28"/>
          <w:szCs w:val="28"/>
          <w:rtl w:val="true"/>
          <w:lang w:bidi="ar-SA"/>
        </w:rPr>
        <w:t xml:space="preserve">، بل ظاهر المعتبر مطلقا حيث نسب الخلاف إلى العامة </w:t>
      </w:r>
      <w:r>
        <w:rPr>
          <w:rStyle w:val="FootnoteAnchor"/>
          <w:rtl w:val="true"/>
        </w:rPr>
        <w:footnoteReference w:id="2353"/>
      </w:r>
      <w:r>
        <w:rPr>
          <w:rFonts w:ascii="IRNazanin" w:hAnsi="IRNazanin" w:eastAsia="IRNazanin"/>
          <w:color w:val="111111"/>
          <w:sz w:val="28"/>
          <w:sz w:val="28"/>
          <w:szCs w:val="28"/>
          <w:rtl w:val="true"/>
          <w:lang w:bidi="fa-IR"/>
        </w:rPr>
        <w:t>، لصدق عدم الوجدان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إعادة ، للأصل ، وإجزاء الأمر بالتيمّم الذي هو بدل المائية قطعا ، </w:t>
      </w:r>
    </w:p>
    <w:p>
      <w:pPr>
        <w:pStyle w:val="BookText"/>
        <w:rPr/>
      </w:pPr>
      <w:r>
        <w:rPr>
          <w:rFonts w:ascii="Amiri" w:hAnsi="Amiri" w:eastAsia="Amiri" w:cs="Amiri"/>
          <w:color w:val="111111"/>
          <w:sz w:val="28"/>
          <w:sz w:val="28"/>
          <w:szCs w:val="28"/>
          <w:rtl w:val="true"/>
          <w:lang w:bidi="ar-SA"/>
        </w:rPr>
        <w:t xml:space="preserve">وعدم تعقّل وجوب البدل والمبدل منه ، وللأخبار المتقدّمة النافية للإعادة على من صلّى بالتيمّم ولو وجد الماء في الوقت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للدروس في الوقت مطلقا </w:t>
      </w:r>
      <w:r>
        <w:rPr>
          <w:rStyle w:val="FootnoteAnchor"/>
          <w:rtl w:val="true"/>
        </w:rPr>
        <w:footnoteReference w:id="2355"/>
      </w:r>
      <w:r>
        <w:rPr>
          <w:rFonts w:ascii="Amiri" w:hAnsi="Amiri" w:eastAsia="Amiri" w:cs="Amiri"/>
          <w:color w:val="111111"/>
          <w:sz w:val="28"/>
          <w:sz w:val="28"/>
          <w:szCs w:val="28"/>
          <w:rtl w:val="true"/>
          <w:lang w:bidi="ar-SA"/>
        </w:rPr>
        <w:t>، لتعلّق الصلاة مع المائية بذمته بدخول الوقت ووجود الماء ، ولم يأت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وللبيان فيه مع العلم باستمرار الفقدان </w:t>
      </w:r>
      <w:r>
        <w:rPr>
          <w:rStyle w:val="FootnoteAnchor"/>
          <w:rtl w:val="true"/>
        </w:rPr>
        <w:footnoteReference w:id="2356"/>
      </w:r>
      <w:r>
        <w:rPr>
          <w:rFonts w:ascii="Amiri" w:hAnsi="Amiri" w:eastAsia="Amiri" w:cs="Amiri"/>
          <w:color w:val="111111"/>
          <w:sz w:val="28"/>
          <w:sz w:val="28"/>
          <w:szCs w:val="28"/>
          <w:rtl w:val="true"/>
          <w:lang w:bidi="ar-SA"/>
        </w:rPr>
        <w:t>، لما مرّ ، ولعصيانه ، والتيمّم رخصة لا يناط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الأول يظهر مما مرّ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العصيان كما قيل </w:t>
      </w:r>
      <w:r>
        <w:rPr>
          <w:rStyle w:val="FootnoteAnchor"/>
          <w:rtl w:val="true"/>
        </w:rPr>
        <w:footnoteReference w:id="2357"/>
      </w:r>
      <w:r>
        <w:rPr>
          <w:rFonts w:ascii="Amiri" w:hAnsi="Amiri" w:eastAsia="Amiri" w:cs="Amiri"/>
          <w:color w:val="111111"/>
          <w:sz w:val="28"/>
          <w:sz w:val="28"/>
          <w:szCs w:val="28"/>
          <w:rtl w:val="true"/>
          <w:lang w:bidi="ar-SA"/>
        </w:rPr>
        <w:t>، ثمَّ منع عدم إناطة الرخصة بالمعصية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مشايخنا </w:t>
      </w:r>
      <w:r>
        <w:rPr>
          <w:rStyle w:val="FootnoteAnchor"/>
          <w:rtl w:val="true"/>
        </w:rPr>
        <w:footnoteReference w:id="2358"/>
      </w:r>
      <w:r>
        <w:rPr>
          <w:rFonts w:ascii="Amiri" w:hAnsi="Amiri" w:eastAsia="Amiri" w:cs="Amiri"/>
          <w:color w:val="111111"/>
          <w:sz w:val="28"/>
          <w:sz w:val="28"/>
          <w:szCs w:val="28"/>
          <w:rtl w:val="true"/>
          <w:lang w:bidi="ar-SA"/>
        </w:rPr>
        <w:t xml:space="preserve">، فأوجب الإعادة فيه دون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مراد الدروس والبيان لتصريحهما بلفظ الإعادة </w:t>
      </w:r>
      <w:r>
        <w:rPr>
          <w:rStyle w:val="FootnoteAnchor"/>
          <w:rtl w:val="true"/>
        </w:rPr>
        <w:footnoteReference w:id="2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أبي بصير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قد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ولتوقّف العلم بالبراءة اليقينية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شغل الذمة بالصلاة فقد فعلها ، وإن أريد بالصلاة مع المائية فكذلك ، للإتيان بما هو بدل قطعا ، وللأخبار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مرّ تصريح البيان بترتب العصيان على الإتلاف في الوقت ونحوه ، ولازمه بطلان بيعه وصلحه وهبته ، وقد أفتى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w:t>
      </w:r>
    </w:p>
    <w:p>
      <w:pPr>
        <w:pStyle w:val="BookText"/>
        <w:rPr/>
      </w:pPr>
      <w:r>
        <w:rPr>
          <w:rFonts w:ascii="Amiri" w:hAnsi="Amiri" w:eastAsia="Amiri" w:cs="Amiri"/>
          <w:color w:val="111111"/>
          <w:sz w:val="28"/>
          <w:sz w:val="28"/>
          <w:szCs w:val="28"/>
          <w:rtl w:val="true"/>
          <w:lang w:bidi="ar-SA"/>
        </w:rPr>
        <w:t xml:space="preserve">التذكرة والمنتهى أيضا </w:t>
      </w:r>
      <w:r>
        <w:rPr>
          <w:rStyle w:val="FootnoteAnchor"/>
          <w:rtl w:val="true"/>
        </w:rPr>
        <w:footnoteReference w:id="2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كما صرح به في المعتبر </w:t>
      </w:r>
      <w:r>
        <w:rPr>
          <w:rStyle w:val="FootnoteAnchor"/>
          <w:rtl w:val="true"/>
        </w:rPr>
        <w:footnoteReference w:id="2362"/>
      </w:r>
      <w:r>
        <w:rPr>
          <w:rFonts w:ascii="IRNazanin" w:hAnsi="IRNazanin" w:eastAsia="IRNazanin"/>
          <w:color w:val="111111"/>
          <w:sz w:val="28"/>
          <w:sz w:val="28"/>
          <w:szCs w:val="28"/>
          <w:rtl w:val="true"/>
          <w:lang w:bidi="fa-IR"/>
        </w:rPr>
        <w:t>؟ الحقّ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لما قيل من أنه مقتضى وجوب الطلب </w:t>
      </w:r>
      <w:r>
        <w:rPr>
          <w:rStyle w:val="FootnoteAnchor"/>
          <w:rtl w:val="true"/>
        </w:rPr>
        <w:footnoteReference w:id="2363"/>
      </w:r>
      <w:r>
        <w:rPr>
          <w:rFonts w:ascii="Amiri" w:hAnsi="Amiri" w:eastAsia="Amiri" w:cs="Amiri"/>
          <w:color w:val="111111"/>
          <w:sz w:val="28"/>
          <w:sz w:val="28"/>
          <w:szCs w:val="28"/>
          <w:rtl w:val="true"/>
          <w:lang w:bidi="ar-SA"/>
        </w:rPr>
        <w:t>، إذ ليس إلاّ للاقتدار على الماء ، والعلّة بعينها هنا موجودة ، ولأنه إذا طلب ووجد فإن جازت الإراقة كان الأمر بالطلب لغوا وإلاّ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أنه متمكّن من الماء فيجب عليه الوضوء ، فيحرم تركه ، فيحرم ملزوم الترك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الوضوء مع القدرة واجب وهو في الفرض مقدور ، فتكون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حفظ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لإمكان 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الاقتضاء ، والثانيين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التمكّن حال وجود الماء فمسلّم ويمتنع التلف فيه ، وإن أريد في الحال التي بعده فالتمكن غير معلوم بل مشروط بعدم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وجوب الوضوء حال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للتكليف فيه ، وإن أريد بعده فالتمكن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يتمكن مع أنه لو لم يتلفه لتمكن ، والإتلاف باختياره ، فهو في الآن اللاحق أيضا متمكن ، فيجب الوضوء ، فيحرم ملزوم تركه ، وتجب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آن وجود الماء متمكن من الوضوء في الآن اللاحق بأن يبقي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ظرف التمكن من الوضوء في الآن اللاحق الآن السابق فهو واه ، وإن كان الآن اللاحق فالتمكن فيه ممنوع ، بل هو مشروط بعدم الإتلاف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يتمكن في الآن السابق من جعله متمكنا في اللاحق ومن إبقاء تمكنه فيه ، ووجوبه عين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إن أريد كون ظرف التمكن الآن اللاحق ، لزم عدم جواز التيمّم فيه ، والظاهر أنه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تجدوا ، أي في الوقت ، ومقتضاه عدم التيمّم المستلزم لوجوب الوضوء على من صدق عليه الواجد في الوقت ، ومع وجود الماء في جزء منه يصدق عليه أنه واجد الماء في الوقت ، فيجب عليه الوضوء وتترتّب عليه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إيجابه بطلان التيمّم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على ذلك يكون لواجد الماء في الوقت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المتمكن حين إرادة الوضوء ، والغير المتمكن منه ، ولا شك أنّ الثاني مخرج حيث لا يجوز التكليف بما لا يطاق ، فيختصّ بالأول ، فلا يفيد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2364"/>
      </w:r>
      <w:r>
        <w:rPr>
          <w:rFonts w:ascii="Amiri" w:hAnsi="Amiri" w:eastAsia="Amiri" w:cs="Amiri"/>
          <w:color w:val="111111"/>
          <w:sz w:val="28"/>
          <w:sz w:val="28"/>
          <w:szCs w:val="28"/>
          <w:rtl w:val="true"/>
          <w:lang w:bidi="ar-SA"/>
        </w:rPr>
        <w:t xml:space="preserve">لفهم العرف وحكم العقل بذلك من الخطاب ، كفهمه وحكمه بوجوب المقدمة وسائر لوازم الخطابات ومفاهيهما ، فإنّ مما لا شك فيه أنه لو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السطح ، وكان له سلّم ، فكسره بعد الأمر اختيارا يذمّه العقلاء غاية الذم ، ويستحقّ العقاب واللوم عند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السطح إن قدرت على السلّم ، وإلاّ فكن في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فرسا فإن لم تجده فحمارا ، فوجد في السوق فرسا موافقا لمطلوب مولاه يبيعونه ، فلم يشتره حتى يباع بالغير ثمَّ اشترى حمارا ، يذمّ غاية الذم ويلام حقّ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ذلك مقتضى وجوب مقدمة الواجب ، وما يدلّ عليه يثبته ، وحكم الإبقاء بعينه حكم التحصيل ، فيكون الحكم كذا في كلّ مقدمة يكون الواجب بالنسبة إليها مطلقا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ممّا ذكرنا عدم الاختصاص بالوقت ، بل حرمة الإتلاف ونحوه فيما </w:t>
      </w:r>
    </w:p>
    <w:p>
      <w:pPr>
        <w:pStyle w:val="BookText"/>
        <w:rPr/>
      </w:pPr>
      <w:r>
        <w:rPr>
          <w:rFonts w:ascii="Amiri" w:hAnsi="Amiri" w:eastAsia="Amiri" w:cs="Amiri"/>
          <w:color w:val="111111"/>
          <w:sz w:val="28"/>
          <w:sz w:val="28"/>
          <w:szCs w:val="28"/>
          <w:rtl w:val="true"/>
          <w:lang w:bidi="ar-SA"/>
        </w:rPr>
        <w:t xml:space="preserve">قبله أيضا مع عدم ظنّ الوجدان ، لجريان الدليل فيه أيضا ، كما صرّح به بعض مشايخنا المحقّقين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ويؤكده ما في بعض الروايات من الأمر باغتسال المجدور لو أجنب اختيارا وتيمّمه لو احتلم </w:t>
      </w:r>
      <w:r>
        <w:rPr>
          <w:rStyle w:val="FootnoteAnchor"/>
          <w:rtl w:val="true"/>
        </w:rPr>
        <w:footnoteReference w:id="2366"/>
      </w:r>
      <w:r>
        <w:rPr>
          <w:rFonts w:ascii="Amiri" w:hAnsi="Amiri" w:eastAsia="Amiri" w:cs="Amiri"/>
          <w:color w:val="111111"/>
          <w:sz w:val="28"/>
          <w:sz w:val="28"/>
          <w:szCs w:val="28"/>
          <w:rtl w:val="true"/>
          <w:lang w:bidi="ar-SA"/>
        </w:rPr>
        <w:t xml:space="preserve">، وما دلّ على عدم رضاه عليه السلام بالمسافرة إلى الأرض التي لا ماء فيها وأنه إهلاك للدين </w:t>
      </w:r>
      <w:r>
        <w:rPr>
          <w:rStyle w:val="FootnoteAnchor"/>
          <w:rtl w:val="true"/>
        </w:rPr>
        <w:footnoteReference w:id="2367"/>
      </w:r>
      <w:r>
        <w:rPr>
          <w:rFonts w:ascii="IRNazanin" w:hAnsi="IRNazanin" w:eastAsia="IRNazanin"/>
          <w:color w:val="111111"/>
          <w:sz w:val="28"/>
          <w:sz w:val="28"/>
          <w:szCs w:val="28"/>
          <w:rtl w:val="true"/>
          <w:lang w:bidi="fa-IR"/>
        </w:rPr>
        <w:t>، بل هذا ظاهر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عدم الأمر بالمأمور به بعد نفي القدرة فكعدم الأمر بالواجب الذي صار ممتنعا بالاختيار ، فإنه وإن لم يكلّف به بعد الامتناع ولكنه يعاقب على الترك ، لأنه متروك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من الماء ما لا يكفيه لطهارته فهو في حكم العدم فيتيمّم ، ولا يجب صرفه إلى بعض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بل في الغسل أيضا ، وعليه الإجماع في الناصريات والتذكرة والمنتهى </w:t>
      </w:r>
      <w:r>
        <w:rPr>
          <w:rStyle w:val="FootnoteAnchor"/>
          <w:rtl w:val="true"/>
        </w:rPr>
        <w:footnoteReference w:id="2368"/>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توقيف لهذا النوع من التطهير شرعا ، وظهور أن المراد من عدم الوجدان عدم وجدان ما يفي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حكي عن الشيخ في بعض أقواله التبعيض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مراده أن يطهر ما يفي به الماء به وبالتراب غيره ، فمعه ظاهر الآية في بادئ النظر ، إلاّ أنّ الإجماع على الارتباط ، وعدم كون غسل كل عضو واجبا مستقلا ، وظهور ذلك من الأخبار أيضا يدفعه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مراده صرف الماء في بعض الأعضاء مع التيمّم التام ، كما احتمله </w:t>
      </w:r>
    </w:p>
    <w:p>
      <w:pPr>
        <w:pStyle w:val="BookText"/>
        <w:rPr/>
      </w:pPr>
      <w:r>
        <w:rPr>
          <w:rFonts w:ascii="Amiri" w:hAnsi="Amiri" w:eastAsia="Amiri" w:cs="Amiri"/>
          <w:color w:val="111111"/>
          <w:sz w:val="28"/>
          <w:sz w:val="28"/>
          <w:szCs w:val="28"/>
          <w:rtl w:val="true"/>
          <w:lang w:bidi="ar-SA"/>
        </w:rPr>
        <w:t xml:space="preserve">في نهاية الفاضل والحبل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w:t>
      </w:r>
      <w:r>
        <w:rPr>
          <w:rStyle w:val="FootnoteAnchor"/>
          <w:rtl w:val="true"/>
        </w:rPr>
        <w:footnoteReference w:id="2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 مع عدم المانع منه في الغسل من بطلانه بفوات الموالاة يقرّبه ، إلاّ أنّ عدم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ظواهر الصحاح الثلاث لابن مسلم </w:t>
      </w:r>
      <w:r>
        <w:rPr>
          <w:rStyle w:val="FootnoteAnchor"/>
          <w:rtl w:val="true"/>
        </w:rPr>
        <w:footnoteReference w:id="2371"/>
      </w:r>
      <w:r>
        <w:rPr>
          <w:rFonts w:ascii="Amiri" w:hAnsi="Amiri" w:eastAsia="Amiri" w:cs="Amiri"/>
          <w:color w:val="111111"/>
          <w:sz w:val="28"/>
          <w:sz w:val="28"/>
          <w:szCs w:val="28"/>
          <w:rtl w:val="true"/>
          <w:lang w:bidi="ar-SA"/>
        </w:rPr>
        <w:t xml:space="preserve">والحلبي </w:t>
      </w:r>
      <w:r>
        <w:rPr>
          <w:rStyle w:val="FootnoteAnchor"/>
          <w:rtl w:val="true"/>
        </w:rPr>
        <w:footnoteReference w:id="2372"/>
      </w:r>
      <w:r>
        <w:rPr>
          <w:rFonts w:ascii="Amiri" w:hAnsi="Amiri" w:eastAsia="Amiri" w:cs="Amiri"/>
          <w:color w:val="111111"/>
          <w:sz w:val="28"/>
          <w:sz w:val="28"/>
          <w:szCs w:val="28"/>
          <w:rtl w:val="true"/>
          <w:lang w:bidi="ar-SA"/>
        </w:rPr>
        <w:t xml:space="preserve">وجميل </w:t>
      </w:r>
      <w:r>
        <w:rPr>
          <w:rStyle w:val="FootnoteAnchor"/>
          <w:rtl w:val="true"/>
        </w:rPr>
        <w:footnoteReference w:id="2373"/>
      </w:r>
      <w:r>
        <w:rPr>
          <w:rFonts w:ascii="Amiri" w:hAnsi="Amiri" w:eastAsia="Amiri" w:cs="Amiri"/>
          <w:color w:val="111111"/>
          <w:sz w:val="28"/>
          <w:sz w:val="28"/>
          <w:szCs w:val="28"/>
          <w:rtl w:val="true"/>
          <w:lang w:bidi="ar-SA"/>
        </w:rPr>
        <w:t xml:space="preserve">، ورواية الحسين بن أبي العلاء </w:t>
      </w:r>
      <w:r>
        <w:rPr>
          <w:rStyle w:val="FootnoteAnchor"/>
          <w:rtl w:val="true"/>
        </w:rPr>
        <w:footnoteReference w:id="2374"/>
      </w:r>
      <w:r>
        <w:rPr>
          <w:rFonts w:ascii="Amiri" w:hAnsi="Amiri" w:eastAsia="Amiri" w:cs="Amiri"/>
          <w:color w:val="111111"/>
          <w:sz w:val="28"/>
          <w:sz w:val="28"/>
          <w:szCs w:val="28"/>
          <w:rtl w:val="true"/>
          <w:lang w:bidi="ar-SA"/>
        </w:rPr>
        <w:t>يطرده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مكلّفا بطهارة واحدة ، ولو كان مكلّفا بطهارتين وكفى الماء لإحداهما فإن كفى للوضوء خاصة تعيّن ، وإن كفى للغسل تخيّر على الأظهر ، لأنّهما فرضان مستقلاّن ولا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القواعد التخيير بين الطهارة من الخبث والحدث لو وجبتا ولا يكفي الماء إلاّ لإحداهما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الاتّفاق على تقديم رفع الخبث والتيمّم ، كما صرّح به في المعتبر والمنتهى والتذكرة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ترى الطهر وهي في السفر وليس معها من الماء ما يكفيها لغسلها وقد حضرت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معها بقدر ما تغسل فرجها فتغسله ثمَّ تتيمّم وتصلّي </w:t>
      </w:r>
      <w:r>
        <w:rPr>
          <w:rFonts w:eastAsia="Amiri" w:cs="Amiri" w:ascii="Amiri" w:hAnsi="Amiri"/>
          <w:color w:val="111111"/>
          <w:sz w:val="28"/>
          <w:szCs w:val="28"/>
          <w:rtl w:val="true"/>
          <w:lang w:bidi="ar-SA"/>
        </w:rPr>
        <w:t xml:space="preserve">»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بترك الاستفصال على تقديم غسل الفرج على وضوء الحائض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يعلّل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رفع الحدث له بدل بخلاف رفع الخبث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البدلية إنما هي مع عدم الماء ، مع أنّ البدلية معارضة بتجويز الشارع الصلاة في النجاسة مع تعذّر إزالتها ، أو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بتعيين التقديم لو عكس لم يجزئ ، لعدم كون ما أتى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المسوغات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الطهارة وإدراك ركعة مع وجود الماء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سوّغ معه التيمم في المنتهى والحدائق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ورد في الأخبار من أنّ التراب بمنزلة الماء ، وإنما يكون كذلك لو ساواه في أحكامه ، وأنّ ربّ الماء ربّ الصعيد الذي هو كناية عن اتّحادهما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جعل التراب طهورا كما جعل الماء طهورا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ولوجوب الصلاة في الوقت ، فإما تجب بدون الطهور ، أو مع المائية ، أو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 والثاني تكليف بما لا يطاق ، فلم يبق إلاّ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علّة مشروعية التيمّم محافظة وقت الصلاة ، وإلاّ لوجب تأخيرها إلى حين التمكن ، وهذه العلّة موجودة في المورد فيشرع فيه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المقصود الأصلي الصلاة في الوقت ، والطهارة مقصودة بالعرض ، ولا يترك ما بالذات لتحصيل ما به العرض الذي له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اللّه سبحانه اختار وقوع الصلاة في الوقت على طهارة الثوب والبدن ، والقيام ، والاستقرار ، والقراءة ، والاستقبال ، وغير ذلك من الأجزاء والشرائط ، والطهارة المائية أيضا مثلها ضرورة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 الدليل إلى الاستقراء أو القياس على سائر الشرائط والأجزاء ، كما كان الدليل الثالث قياسا على سائر المسوغات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ولكون التمكن من الاستعمال شرطا في وجوب المائية ، وهو هنا مفقود ، لعدم رضا الشارع بفوت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عموم التنزيل 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كون ما ذكر كناية عن التساوي في جميع الأحكام سيما مع الاختلاف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التشبيه في كيفية الطهورية ، لكونه خلاف الواقع ، بل إنما هو في مجرد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الصلاة في الوقت ، والعمومات الدالّة عليه مخرجة منها ما إذا لم يتمكّن من إيقاعها مع ما ثبت طهوريته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كذلك ، لعدم التمكّن من إيقاعها مع المائية ، وعدم ثبوت طهورية التراب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عدم كونه معاقبا لو أخلّ عمدا ، بل هو كبعيد ترك الذهاب إلى الحج حتى دخل وقت لا يمكنه الوصول إلى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المذكور ممنوع ، وإلاّ لزم جواز التيمّم بالدقيق والزجاجة مع فقد الأرض ، بل جواز الصلاة بدون الطهور مع عدم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محض استبعاد لا يصلح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استقراء ظني لا حجية فيه ، بل يمكن منع إفادته ظنا أيضا حيث إنه تسقط الصلاة بتعذّر الطهور وهو من الشرائط ، أو قياس يعلم ضعفه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المصادرة ، لمنع عدم رضاه بفوتها حينئذ وإن لم يكن راضيا قبل انتفاء التمكن ، كما في مثال الحج</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ذكر من ضعف هذه الأدلّة ، وأصالة عدم مشروعية التيمّم ، وصدق وجدان الماء ، والتمكن من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عدم اتّساع وقت الصلاة له ، ولم يثبت كون ذلك مسوّغا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المعتبر إلى وجوب الطهارة </w:t>
      </w:r>
    </w:p>
    <w:p>
      <w:pPr>
        <w:pStyle w:val="BookText"/>
        <w:rPr/>
      </w:pPr>
      <w:r>
        <w:rPr>
          <w:rFonts w:ascii="Amiri" w:hAnsi="Amiri" w:eastAsia="Amiri" w:cs="Amiri"/>
          <w:color w:val="111111"/>
          <w:sz w:val="28"/>
          <w:sz w:val="28"/>
          <w:szCs w:val="28"/>
          <w:rtl w:val="true"/>
          <w:lang w:bidi="ar-SA"/>
        </w:rPr>
        <w:t xml:space="preserve">المائية والقضاء ، وحكم بعدم جواز التيمّم </w:t>
      </w:r>
      <w:r>
        <w:rPr>
          <w:rStyle w:val="FootnoteAnchor"/>
          <w:rtl w:val="true"/>
        </w:rPr>
        <w:footnoteReference w:id="2380"/>
      </w:r>
      <w:r>
        <w:rPr>
          <w:rFonts w:ascii="Amiri" w:hAnsi="Amiri" w:eastAsia="Amiri" w:cs="Amiri"/>
          <w:color w:val="111111"/>
          <w:sz w:val="28"/>
          <w:sz w:val="28"/>
          <w:szCs w:val="28"/>
          <w:rtl w:val="true"/>
          <w:lang w:bidi="ar-SA"/>
        </w:rPr>
        <w:t xml:space="preserve">، واستظهره في المدارك </w:t>
      </w:r>
      <w:r>
        <w:rPr>
          <w:rStyle w:val="FootnoteAnchor"/>
          <w:rtl w:val="true"/>
        </w:rPr>
        <w:footnoteReference w:id="2381"/>
      </w:r>
      <w:r>
        <w:rPr>
          <w:rFonts w:ascii="Amiri" w:hAnsi="Amiri" w:eastAsia="Amiri" w:cs="Amiri"/>
          <w:color w:val="111111"/>
          <w:sz w:val="28"/>
          <w:sz w:val="28"/>
          <w:szCs w:val="28"/>
          <w:rtl w:val="true"/>
          <w:lang w:bidi="ar-SA"/>
        </w:rPr>
        <w:t xml:space="preserve">، وهو الظاهر من البيان حيث أوجب الإعادة على مثل ذلك لو تيمّم وصلّى </w:t>
      </w:r>
      <w:r>
        <w:rPr>
          <w:rStyle w:val="FootnoteAnchor"/>
          <w:rtl w:val="true"/>
        </w:rPr>
        <w:footnoteReference w:id="2382"/>
      </w:r>
      <w:r>
        <w:rPr>
          <w:rFonts w:ascii="Amiri" w:hAnsi="Amiri" w:eastAsia="Amiri" w:cs="Amiri"/>
          <w:color w:val="111111"/>
          <w:sz w:val="28"/>
          <w:sz w:val="28"/>
          <w:szCs w:val="28"/>
          <w:rtl w:val="true"/>
          <w:lang w:bidi="ar-SA"/>
        </w:rPr>
        <w:t xml:space="preserve">، وجعله في شرح القواعد مقتضى مذهب الشيخ في مسألة المخلّ بالطلب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المحقّق الشيخ علي في شرح القواعد بين من كان الماء موجودا عنده بحيث يخرج الوقت باستعماله ، وبين من كان بعيدا عنه بحيث خرج بالسعي إليه ، فلم يجوّز التيمّم وأوجب المائية في الأول دون الثاني ، استنادا إلى انتفاء صدق عدم الوجدان في الأول وصدقه في الثاني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ذكره ، لما أورده عليه في روض الجنان من أنّ المراد بوجدان الماء في باب التيمّم فعلا أو قوة ، فلا يتمّ الفرق ، لصدق الوجدان في الصورتين </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لقوله عليه السلام في مرسل العامري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ينته إلى الماء </w:t>
      </w:r>
      <w:r>
        <w:rPr>
          <w:rFonts w:eastAsia="Amiri" w:cs="Amiri" w:ascii="Amiri" w:hAnsi="Amiri"/>
          <w:color w:val="111111"/>
          <w:sz w:val="28"/>
          <w:szCs w:val="28"/>
          <w:rtl w:val="true"/>
          <w:lang w:bidi="ar-SA"/>
        </w:rPr>
        <w:t xml:space="preserve">» </w:t>
      </w:r>
      <w:r>
        <w:rPr>
          <w:rStyle w:val="FootnoteAnchor"/>
          <w:rtl w:val="true"/>
        </w:rPr>
        <w:footnoteReference w:id="2386"/>
      </w:r>
      <w:r>
        <w:rPr>
          <w:rFonts w:ascii="Amiri" w:hAnsi="Amiri" w:eastAsia="Amiri" w:cs="Amiri"/>
          <w:color w:val="111111"/>
          <w:sz w:val="28"/>
          <w:sz w:val="28"/>
          <w:szCs w:val="28"/>
          <w:rtl w:val="true"/>
          <w:lang w:bidi="ar-SA"/>
        </w:rPr>
        <w:t>إلى آخره ، فإنه يشمل من علم وجود الماء ولم يمكنه الوصول إليه إلاّ بفوات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جميع ما ذكر بين ما إذا كان تأخير الطهارة بالماء إلى الضيق عمدا أو نسيانا أو اضطرارا ، كأن يكون نائما أو محبوسا أو نحو ذلك ، لجريان الدليل وإن احتاج في تعدّي المرسلة إلى جميع الصور إلى ضمّ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البيان بالتيمّم في الأخير مطلقا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احتاط فيه بالتيمّم والصلاة ثمَّ القضاء بالمائية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الوصلة إلى الماء مع وجوده ، إمّا بالعجز عن الحركة المحتاج إليها في تحصيله لكبر أو مرض أو ضعف ، ولم يجد معاونا ولو بأجرة مقدورة ، أو بفقد الآلة التي يتوصّل بها إليه ، كأن يكون في بئر ، أو بكونه ملكا للغير ولم يبذله إلاّ بثمن لا يقدر عليه ، بالإجماع في الجميع ، وصدق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له شدّ الثياب بعضها ببعض في الثاني وجعلها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ببلّها وعصرها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 إلاّ أن تكون ثياب بدنه وخاف ببلّها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 على شقّ الثوب الموجب لنقص القيمة ، قالوا بوجوبه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إشكال لو وصل حدّ الضرر عرفا ، وقياسه على ثمن الماء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الثمن الغير المقدور الثمن الذي يخاف ببذله تلف نفسه إجماعا ، له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2389"/>
      </w: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يجد الماء بثمن غال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واجدا لثمنه ولا يتيمّم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واجدا لثمنه فقد وجده ، إلاّ أن يكون في دفعه الثمن ما يخاف على نفسه التلف إن عدمه والعطب فلا يشتريه ويتيمّم بالصعيد ويصلّي </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الثمن الذي يوجب بذله عليه الحرج ، أو المشقة باعتبار وقوعه في الفقر والمسكنة وذلّ السؤال ، أو الضيق في المعيشة ، أو مكادحة الديّان ونحو ذلك ، لأدلّة نفي العسر والحرج ، المعارضة مع ما يأتي ممّا يدلّ على وجوب الشراء ولو بأضعاف الثمن بالعموم من وجه ، الموجب للرجوع إلى أصالة عدم وجوب الشراء ، المستلزم لجواز التيمّم بالإجماع المركّب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لا يوجب بذله ما ذكر فيجب بذله وشراء الماء ولا يجوز التيمّم ولو </w:t>
      </w:r>
    </w:p>
    <w:p>
      <w:pPr>
        <w:pStyle w:val="BookText"/>
        <w:rPr/>
      </w:pPr>
      <w:r>
        <w:rPr>
          <w:rFonts w:ascii="Amiri" w:hAnsi="Amiri" w:eastAsia="Amiri" w:cs="Amiri"/>
          <w:color w:val="111111"/>
          <w:sz w:val="28"/>
          <w:sz w:val="28"/>
          <w:szCs w:val="28"/>
          <w:rtl w:val="true"/>
          <w:lang w:bidi="ar-SA"/>
        </w:rPr>
        <w:t xml:space="preserve">كان أضعاف ثمنه ، إجماعا كما عن الخلاف </w:t>
      </w:r>
      <w:r>
        <w:rPr>
          <w:rStyle w:val="FootnoteAnchor"/>
          <w:rtl w:val="true"/>
        </w:rPr>
        <w:footnoteReference w:id="2391"/>
      </w:r>
      <w:r>
        <w:rPr>
          <w:rFonts w:ascii="Amiri" w:hAnsi="Amiri" w:eastAsia="Amiri" w:cs="Amiri"/>
          <w:color w:val="111111"/>
          <w:sz w:val="28"/>
          <w:sz w:val="28"/>
          <w:szCs w:val="28"/>
          <w:rtl w:val="true"/>
          <w:lang w:bidi="ar-SA"/>
        </w:rPr>
        <w:t xml:space="preserve">، بل ولو كان إجحافا كثيرا ، وفاقا للسيد وابن سعيد والإرشاد وروض الجنان والحدائق </w:t>
      </w:r>
      <w:r>
        <w:rPr>
          <w:rStyle w:val="FootnoteAnchor"/>
          <w:rtl w:val="true"/>
        </w:rPr>
        <w:footnoteReference w:id="2392"/>
      </w:r>
      <w:r>
        <w:rPr>
          <w:rFonts w:ascii="Amiri" w:hAnsi="Amiri" w:eastAsia="Amiri" w:cs="Amiri"/>
          <w:color w:val="111111"/>
          <w:sz w:val="28"/>
          <w:sz w:val="28"/>
          <w:szCs w:val="28"/>
          <w:rtl w:val="true"/>
          <w:lang w:bidi="ar-SA"/>
        </w:rPr>
        <w:t xml:space="preserve">، واللوامع ، بل الأكثر على ما هو المحتمل من كلامهم من كون المراد من الضرر الحالي المشترط انتفاؤه عندهم ما ذكرنا ، كما يومئ إليه إيجابهم الشراء بأضعاف الثمن ، واستدلال بعضهم على اشتراطه بالنهي عن التهلكة وقتل الأنفس </w:t>
      </w:r>
      <w:r>
        <w:rPr>
          <w:rStyle w:val="FootnoteAnchor"/>
          <w:rtl w:val="true"/>
        </w:rPr>
        <w:footnoteReference w:id="2393"/>
      </w:r>
      <w:r>
        <w:rPr>
          <w:rFonts w:ascii="Amiri" w:hAnsi="Amiri" w:eastAsia="Amiri" w:cs="Amiri"/>
          <w:color w:val="111111"/>
          <w:sz w:val="28"/>
          <w:sz w:val="28"/>
          <w:szCs w:val="28"/>
          <w:rtl w:val="true"/>
          <w:lang w:bidi="ar-SA"/>
        </w:rPr>
        <w:t>، وصرّح بذلك والدي  قدس سره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لتوقّف الوضوء الواجب عليه ، ولصدق الوجدان فلا يجوز التيمّم فلم يبق إلاّ وجوب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وللمروي في الدعائم المتقدم </w:t>
      </w:r>
      <w:r>
        <w:rPr>
          <w:rStyle w:val="FootnoteAnchor"/>
          <w:rtl w:val="true"/>
        </w:rPr>
        <w:footnoteReference w:id="2394"/>
      </w:r>
      <w:r>
        <w:rPr>
          <w:rFonts w:ascii="Amiri" w:hAnsi="Amiri" w:eastAsia="Amiri" w:cs="Amiri"/>
          <w:color w:val="111111"/>
          <w:sz w:val="28"/>
          <w:sz w:val="28"/>
          <w:szCs w:val="28"/>
          <w:rtl w:val="true"/>
          <w:lang w:bidi="ar-SA"/>
        </w:rPr>
        <w:t xml:space="preserve">، وصحيحة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احتاج إلى الوضوء للصلاة وهو لا يقدر على الماء ، فوجد قدر ما يتوضأ به بمائة درهم أو بألف درهم وهو واجد لها ، يشتري ويتوضّأ أو يتيمّم؟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يشتري ، قد أصابني مثل هذا فاشتريت وتوضّأت ، وما يشتري </w:t>
      </w:r>
      <w:r>
        <w:rPr>
          <w:rStyle w:val="FootnoteAnchor"/>
          <w:rtl w:val="true"/>
        </w:rPr>
        <w:footnoteReference w:id="2395"/>
      </w:r>
      <w:r>
        <w:rPr>
          <w:rFonts w:ascii="Amiri" w:hAnsi="Amiri" w:eastAsia="Amiri" w:cs="Amiri"/>
          <w:color w:val="111111"/>
          <w:sz w:val="28"/>
          <w:sz w:val="28"/>
          <w:szCs w:val="28"/>
          <w:rtl w:val="true"/>
          <w:lang w:bidi="ar-SA"/>
        </w:rPr>
        <w:t xml:space="preserve">بذلك مال كثير </w:t>
      </w:r>
      <w:r>
        <w:rPr>
          <w:rFonts w:eastAsia="Amiri" w:cs="Amiri" w:ascii="Amiri" w:hAnsi="Amiri"/>
          <w:color w:val="111111"/>
          <w:sz w:val="28"/>
          <w:szCs w:val="28"/>
          <w:rtl w:val="true"/>
          <w:lang w:bidi="ar-SA"/>
        </w:rPr>
        <w:t xml:space="preserve">»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مسندا إلى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 ما حدّ ذلك؟ فإن لم تجدوا بشراء أو بغير شراء ، إن وجد قدر وضوئه بمائة ألف أو ألف وكم بلغ؟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على قدر جدته </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حاشية الإرشاد لفخر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الصادق عليه السلام اشترى وضوءه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 فنفى الوجوب مع غلاء الثمن مطلقا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ويعيد إذا وجد الماء </w:t>
      </w:r>
      <w:r>
        <w:rPr>
          <w:rStyle w:val="FootnoteAnchor"/>
          <w:rtl w:val="true"/>
        </w:rPr>
        <w:footnoteReference w:id="2398"/>
      </w:r>
      <w:r>
        <w:rPr>
          <w:rFonts w:ascii="Amiri" w:hAnsi="Amiri" w:eastAsia="Amiri" w:cs="Amiri"/>
          <w:color w:val="111111"/>
          <w:sz w:val="28"/>
          <w:sz w:val="28"/>
          <w:szCs w:val="28"/>
          <w:rtl w:val="true"/>
          <w:lang w:bidi="ar-SA"/>
        </w:rPr>
        <w:t xml:space="preserve">، وهو محتمل نهاية الفاضل </w:t>
      </w:r>
      <w:r>
        <w:rPr>
          <w:rStyle w:val="FootnoteAnchor"/>
          <w:rtl w:val="true"/>
        </w:rPr>
        <w:footnoteReference w:id="2399"/>
      </w:r>
      <w:r>
        <w:rPr>
          <w:rFonts w:ascii="Amiri" w:hAnsi="Amiri" w:eastAsia="Amiri" w:cs="Amiri"/>
          <w:color w:val="111111"/>
          <w:sz w:val="28"/>
          <w:sz w:val="28"/>
          <w:szCs w:val="28"/>
          <w:rtl w:val="true"/>
          <w:lang w:bidi="ar-SA"/>
        </w:rPr>
        <w:t xml:space="preserve">، لأنّ بذل الزائد ضرر وعسر وحرج ، وهي في الشريعة منفية ، ولسقوط السعي في طلبه للخوف على شي‌ء من ماله ، كما في الأخبار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الضرر وأخويه قد يثبت بالدليل ، كما في جميع موارد بذل المال ، والأخبار المتقدمة أدلّة خاصة بالنسبة إلى أدلّتها ، لأنّ بذل القدر المذكور فيها ضرر وعسر لا محالة ، فيجب تخصيصها بها ، مع أنّ 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يشتري بذلك مال كثير </w:t>
      </w:r>
      <w:r>
        <w:rPr>
          <w:rFonts w:eastAsia="Amiri" w:cs="Amiri" w:ascii="Amiri" w:hAnsi="Amiri"/>
          <w:color w:val="111111"/>
          <w:sz w:val="28"/>
          <w:szCs w:val="28"/>
          <w:rtl w:val="true"/>
          <w:lang w:bidi="ar-SA"/>
        </w:rPr>
        <w:t xml:space="preserve">» </w:t>
      </w:r>
      <w:r>
        <w:rPr>
          <w:rStyle w:val="FootnoteAnchor"/>
          <w:rtl w:val="true"/>
        </w:rPr>
        <w:footnoteReference w:id="2401"/>
      </w:r>
      <w:r>
        <w:rPr>
          <w:rFonts w:ascii="Amiri" w:hAnsi="Amiri" w:eastAsia="Amiri" w:cs="Amiri"/>
          <w:color w:val="111111"/>
          <w:sz w:val="28"/>
          <w:sz w:val="28"/>
          <w:szCs w:val="28"/>
          <w:rtl w:val="true"/>
          <w:lang w:bidi="ar-SA"/>
        </w:rPr>
        <w:t>إشارة إلى منع الضرر والعسر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ولمحتمل المحكي عن الأكثر </w:t>
      </w:r>
      <w:r>
        <w:rPr>
          <w:rStyle w:val="FootnoteAnchor"/>
          <w:rtl w:val="true"/>
        </w:rPr>
        <w:footnoteReference w:id="2402"/>
      </w:r>
      <w:r>
        <w:rPr>
          <w:rFonts w:ascii="Amiri" w:hAnsi="Amiri" w:eastAsia="Amiri" w:cs="Amiri"/>
          <w:color w:val="111111"/>
          <w:sz w:val="28"/>
          <w:sz w:val="28"/>
          <w:szCs w:val="28"/>
          <w:rtl w:val="true"/>
          <w:lang w:bidi="ar-SA"/>
        </w:rPr>
        <w:t>، فنفوا الوجوب مع التضرّر ببذل الثمن بحسب حال المكلّف ، كما هو أحد احتمالي كلامهم ، أو في حال الشراء المقابل لزمان الاستقبال ، كما هو الاحتمال الآخر ، لأدلّة نفي العسر والضرر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بالضرر إن كان ما ذكرناه فهو كذلك ، وإن كان ما دون ذلك فلا ، لأخصية أخبار الشراء عن أدلّة نفيهما كما ذكر ، بل ينافي تصريحهم بوجوب الشراء ولو كان بأضعاف ثمنه ، واستدلالهم بحديث مائة درهم وألف ومائة ألف ومائة دينار ، حيث إنّ كلّ ذلك ضرر ولو كان المكلّف ذا سعة وثروة </w:t>
      </w:r>
    </w:p>
    <w:p>
      <w:pPr>
        <w:pStyle w:val="BookText"/>
        <w:rPr/>
      </w:pPr>
      <w:r>
        <w:rPr>
          <w:rFonts w:ascii="Amiri" w:hAnsi="Amiri" w:eastAsia="Amiri" w:cs="Amiri"/>
          <w:color w:val="111111"/>
          <w:sz w:val="28"/>
          <w:sz w:val="28"/>
          <w:szCs w:val="28"/>
          <w:rtl w:val="true"/>
          <w:lang w:bidi="ar-SA"/>
        </w:rPr>
        <w:t>كثيرة ، ولذا يستدلّون على ثبوت خيار الغبن بتفاوت ما هو أقلّ من ذلك بأخبار نفي الضرر ، وكذا في موارد كثيرة أخرى ، والإجحاف الذي وقع في كلام بعضهم لا قدر معيّن له ولا دليل على نفيه في المقام ، إلاّ أن يراد به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تبادر صورة الإجحاف من الأخبار ، وبجواز التيمّم مع الخوف على قليل من المال في السعي إلى الماء ، والنهي عن تضييع المال ، وجواز المدافعة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التبادر جدّا ، بل ما صرّح به فيها هو عين الإجحاف إن أريد به ما هو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قياسا مع الفارق وهو النص ، والإجماع في بعض الموارد ، ومفهوم الآية في المقام ، وعموم نفي الضرر الخالي عمّا يصلح للتخصيص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 قيل من أنّ الحاصل بالبواقي عوض المال على غاصبه وهو منقطع ، وبالمقام الثواب وهو دائم </w:t>
      </w:r>
      <w:r>
        <w:rPr>
          <w:rStyle w:val="FootnoteAnchor"/>
          <w:rtl w:val="true"/>
        </w:rPr>
        <w:footnoteReference w:id="2403"/>
      </w:r>
      <w:r>
        <w:rPr>
          <w:rFonts w:ascii="Amiri" w:hAnsi="Amiri" w:eastAsia="Amiri" w:cs="Amiri"/>
          <w:color w:val="111111"/>
          <w:sz w:val="28"/>
          <w:sz w:val="28"/>
          <w:szCs w:val="28"/>
          <w:rtl w:val="true"/>
          <w:lang w:bidi="ar-SA"/>
        </w:rPr>
        <w:t>، لتحقّق الثواب فيها أيضا مع البذل اختيارا طلبا للعبادة ، بل قد يجتمع فيها العوض والثواب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الماء أو أعيرت الآلة وجب القبول ، على ما هو ظاهر الأصحاب ، لصدق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وهب ثمنهما أو وهبت الآلة ، وفاقا للشيخ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والمنتهى </w:t>
      </w:r>
      <w:r>
        <w:rPr>
          <w:rStyle w:val="FootnoteAnchor"/>
          <w:rtl w:val="true"/>
        </w:rPr>
        <w:footnoteReference w:id="2404"/>
      </w:r>
      <w:r>
        <w:rPr>
          <w:rFonts w:ascii="Amiri" w:hAnsi="Amiri" w:eastAsia="Amiri" w:cs="Amiri"/>
          <w:color w:val="111111"/>
          <w:sz w:val="28"/>
          <w:sz w:val="28"/>
          <w:szCs w:val="28"/>
          <w:rtl w:val="true"/>
          <w:lang w:bidi="ar-SA"/>
        </w:rPr>
        <w:t>، واللوامع ، لما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وخلافا للمعتبر </w:t>
      </w:r>
      <w:r>
        <w:rPr>
          <w:rStyle w:val="FootnoteAnchor"/>
          <w:rtl w:val="true"/>
        </w:rPr>
        <w:footnoteReference w:id="2405"/>
      </w:r>
      <w:r>
        <w:rPr>
          <w:rFonts w:ascii="Amiri" w:hAnsi="Amiri" w:eastAsia="Amiri" w:cs="Amiri"/>
          <w:color w:val="111111"/>
          <w:sz w:val="28"/>
          <w:sz w:val="28"/>
          <w:szCs w:val="28"/>
          <w:rtl w:val="true"/>
          <w:lang w:bidi="ar-SA"/>
        </w:rPr>
        <w:t>، بل للمحكي عن الأكثر ، لاستلزامه المنّة ولا يجب تحمّلها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يخلو عن المنّة ، وعلى فرضها ليس في تحمّلها الحرمة ، بل ولا الضرر والمشقّة ، فيجب من باب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علم مع قوم ماء فإن علم إباءهم من البذل ، لم يجب طلبه منهم ، لعدم الفائدة ، وإلاّ وجب ، لأنّه نوع تحصيل لشرط الواجب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تحصيل الماء إلى مشقّة شديدة يصدق معها العسر أو الحرج لمرض أو بعد مسافة أو نحو ذلك ، لأدلّة انتفائها المعارضة لدليل وجوب التحصيل بالعموم من وجه ، الموجب للرجوع إلى أصالة عدم وجوب تحمّلهما ، المستلزم لعدم وجوب الوضوء ، المستلزم لتسويغ التيمّم ،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تحصيل الماء على النفس ، بالإجماع المحقّق والمصرّح به في كلام جماعة </w:t>
      </w:r>
      <w:r>
        <w:rPr>
          <w:rStyle w:val="FootnoteAnchor"/>
          <w:rtl w:val="true"/>
        </w:rPr>
        <w:footnoteReference w:id="2406"/>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عمومات نفي العسر ، فإنه لا شك في أنّه في التحصيل مع ذلك الخوف عسرا شديدا ، ورواية الرقي ، المتقدّمة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يعقوب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يكون معه ماء ، والماء عن يمين الطريق ويساره غلوتين أو نحوهما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آمره أن يغرّر بنفسه فيعرض له لصّ أو سبع </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صلوات اللّه عليهم في المسافر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الماء إلاّ بموضع يخاف فيه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مضى في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لصوص أو سباع ، أو ما يخاف منه التلف والهلاك يتيمم ويصلّي </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له بأخبار الركية والبئر </w:t>
      </w:r>
      <w:r>
        <w:rPr>
          <w:rStyle w:val="FootnoteAnchor"/>
          <w:rtl w:val="true"/>
        </w:rPr>
        <w:footnoteReference w:id="2410"/>
      </w:r>
      <w:r>
        <w:rPr>
          <w:rFonts w:ascii="Amiri" w:hAnsi="Amiri" w:eastAsia="Amiri" w:cs="Amiri"/>
          <w:color w:val="111111"/>
          <w:sz w:val="28"/>
          <w:sz w:val="28"/>
          <w:szCs w:val="28"/>
          <w:rtl w:val="true"/>
          <w:lang w:bidi="ar-SA"/>
        </w:rPr>
        <w:t>غير جيّد ، لأنّ عدم إيجاب دخول البئر يمكن أن يكون للخوف وللمشقة ، فلا يمكن الاستدلال به لشي‌ء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وكذا لو خاف غيره على نفسه بذهاب من معه إلى تحصيل الماء ، لظاهر الإجماع ، ولزوم العسر على ذلك الغير لولاه ، بل الظاهر الإجماع على سقوط الوجوب لو خاف الذاهب على الغير وإن لم يخف ذلك الغير لصغر أو جنون أو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الخوف على الهلاكة أو الجراحة أو الضرب الشديد الذي يشق تحمّله عادة ، لإطلاق تعرّض اللصّ والخوف منه ، وصدق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الخوف على المال الكثير أو القليل الصادق على تلفه الضرر عرفا إذا كان خوفه لأجل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بالتلف ، لأدلّة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خوفه لمجرّد احتمال التلف أو مظنته ففيه إشكال ، لعدم جريان أدلّة نفي الضرر ، إلاّ أن يكون المال كثيرا بحيث يكون في تعريضه في مظنة التلف عسر حتى تجري فيه أدلّة نفيه ، فيسقط وجوب التحصيل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مع الخوف مطلقا على المال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بروايتي الرقّي وابن سالم </w:t>
      </w:r>
      <w:r>
        <w:rPr>
          <w:rStyle w:val="FootnoteAnchor"/>
          <w:rtl w:val="true"/>
        </w:rPr>
        <w:footnoteReference w:id="2411"/>
      </w:r>
      <w:r>
        <w:rPr>
          <w:rFonts w:ascii="Amiri" w:hAnsi="Amiri" w:eastAsia="Amiri" w:cs="Amiri"/>
          <w:color w:val="111111"/>
          <w:sz w:val="28"/>
          <w:sz w:val="28"/>
          <w:szCs w:val="28"/>
          <w:rtl w:val="true"/>
          <w:lang w:bidi="ar-SA"/>
        </w:rPr>
        <w:t xml:space="preserve">ضعيف ، لصراحتهما في الخوف على النفس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تقديم أدلّة وجوب الطهارة على ما يعارضها من أدلّة نفي الضرر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مشايخنا الأخباريين إلى عدم السقوط بالخوف على المال مطلقا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وجوب التقديم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الخوف على النفس الخوف على البضع والعرض ، لكون تعريضهما في مظنة الضياع حرجا وأيّ حرج</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الخوف الحاصل بسبب مجرد الجبن إذا كان شديدا يعدّ تحمّله عسرا ، وفاقا للمعتبر ونهاية الإحكام والتذكرة </w:t>
      </w:r>
      <w:r>
        <w:rPr>
          <w:rStyle w:val="FootnoteAnchor"/>
          <w:rtl w:val="true"/>
        </w:rPr>
        <w:footnoteReference w:id="2413"/>
      </w:r>
      <w:r>
        <w:rPr>
          <w:rFonts w:ascii="Amiri" w:hAnsi="Amiri" w:eastAsia="Amiri" w:cs="Amiri"/>
          <w:color w:val="111111"/>
          <w:sz w:val="28"/>
          <w:sz w:val="28"/>
          <w:szCs w:val="28"/>
          <w:rtl w:val="true"/>
          <w:lang w:bidi="ar-SA"/>
        </w:rPr>
        <w:t xml:space="preserve">، بل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ظاهر الوفاق ، </w:t>
      </w:r>
    </w:p>
    <w:p>
      <w:pPr>
        <w:pStyle w:val="BookText"/>
        <w:rPr/>
      </w:pPr>
      <w:r>
        <w:rPr>
          <w:rFonts w:ascii="Amiri" w:hAnsi="Amiri" w:eastAsia="Amiri" w:cs="Amiri"/>
          <w:color w:val="111111"/>
          <w:sz w:val="28"/>
          <w:sz w:val="28"/>
          <w:szCs w:val="28"/>
          <w:rtl w:val="true"/>
          <w:lang w:bidi="ar-SA"/>
        </w:rPr>
        <w:t xml:space="preserve">وخلافا للتحرير والبيان </w:t>
      </w:r>
      <w:r>
        <w:rPr>
          <w:rStyle w:val="FootnoteAnchor"/>
          <w:rtl w:val="true"/>
        </w:rPr>
        <w:footnoteReference w:id="2414"/>
      </w:r>
      <w:r>
        <w:rPr>
          <w:rFonts w:ascii="Amiri" w:hAnsi="Amiri" w:eastAsia="Amiri" w:cs="Amiri"/>
          <w:color w:val="111111"/>
          <w:sz w:val="28"/>
          <w:sz w:val="28"/>
          <w:szCs w:val="28"/>
          <w:rtl w:val="true"/>
          <w:lang w:bidi="ar-SA"/>
        </w:rPr>
        <w:t xml:space="preserve">، وتوقّف في المنتهى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وكذا مع جبن الغير ، فيسقط ذهاب رفيقه إلى تحصيل الماء ، لما مرّ ، بل ممّا ذكر يظهر السقوط مع الخوف على مال الغير إذا كان قاطعا بالتلف ، وأمّا بدونه فلا دليل على السقوط إلاّ إذا كان تعريضه في مظنّة التلف موجبا 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استعمال الماء على النفس أو البدن ، لوجود مرض يخاف شدّته ، أو ازدياده ، أو بطء برئه ، أو عسر علاجه ، أو قرح أو جرح كذلك ، أو لخوف حدوث مرض ، فإنّ كلّ ذلك مسوّغ للتيمّم ،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المريض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 الآية الدالّة على مشروعية التيمّم لكلّ مريض ، خرج من لا يخاف شيئا ممّا ذكرنا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المجدور والكسير بالتراب إذا أصابته الجنابة </w:t>
      </w:r>
      <w:r>
        <w:rPr>
          <w:rFonts w:eastAsia="Amiri" w:cs="Amiri" w:ascii="Amiri" w:hAnsi="Amiri"/>
          <w:color w:val="111111"/>
          <w:sz w:val="28"/>
          <w:szCs w:val="28"/>
          <w:rtl w:val="true"/>
          <w:lang w:bidi="ar-SA"/>
        </w:rPr>
        <w:t xml:space="preserve">» </w:t>
      </w:r>
      <w:r>
        <w:rPr>
          <w:rStyle w:val="FootnoteAnchor"/>
          <w:rtl w:val="true"/>
        </w:rPr>
        <w:footnoteReference w:id="2416"/>
      </w:r>
      <w:r>
        <w:rPr>
          <w:rFonts w:ascii="Amiri" w:hAnsi="Amiri" w:eastAsia="Amiri" w:cs="Amiri"/>
          <w:color w:val="111111"/>
          <w:sz w:val="28"/>
          <w:sz w:val="28"/>
          <w:szCs w:val="28"/>
          <w:rtl w:val="true"/>
          <w:lang w:bidi="ar-SA"/>
        </w:rPr>
        <w:t xml:space="preserve">وقريبة منها مرسلته الأخرى </w:t>
      </w:r>
      <w:r>
        <w:rPr>
          <w:rStyle w:val="FootnoteAnchor"/>
          <w:rtl w:val="true"/>
        </w:rPr>
        <w:footnoteReference w:id="2417"/>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وفي المقروح والمجروح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كانت به قروح أو علّة يخاف منها على نفسه يتيمّم </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وفي خائف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استلزام التكليف باستعمال الماء الضرر فيما علم تحقّق هذه الأمور عادة ، والعسر والحرج إذا ظنّ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به القرح والجراحة يجنب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لا يغتسل ، يتيمّم </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به القروح في جسده فتصيبه الجنابة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ابن سرحان والبزنطي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تصيبه الجنابة وبه قروح أو جروح أو يخاف على نفسه البرد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يغتسل ويتيمّم </w:t>
      </w:r>
      <w:r>
        <w:rPr>
          <w:rFonts w:eastAsia="Amiri" w:cs="Amiri" w:ascii="Amiri" w:hAnsi="Amiri"/>
          <w:color w:val="111111"/>
          <w:sz w:val="28"/>
          <w:szCs w:val="28"/>
          <w:rtl w:val="true"/>
          <w:lang w:bidi="ar-SA"/>
        </w:rPr>
        <w:t xml:space="preserve">»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الأخير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فحوى السقوط مع خوف الشدّة ، 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في الليلة الباردة ويخاف على نفسه التلف إن اغتسل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 فإذا أمن البرد اغتسل وأعاد الصلاة </w:t>
      </w:r>
      <w:r>
        <w:rPr>
          <w:rFonts w:eastAsia="Amiri" w:cs="Amiri" w:ascii="Amiri" w:hAnsi="Amiri"/>
          <w:color w:val="111111"/>
          <w:sz w:val="28"/>
          <w:szCs w:val="28"/>
          <w:rtl w:val="true"/>
          <w:lang w:bidi="ar-SA"/>
        </w:rPr>
        <w:t xml:space="preserve">» </w:t>
      </w:r>
      <w:r>
        <w:rPr>
          <w:rStyle w:val="FootnoteAnchor"/>
          <w:rtl w:val="true"/>
        </w:rPr>
        <w:footnoteReference w:id="2423"/>
      </w:r>
      <w:r>
        <w:rPr>
          <w:rFonts w:ascii="Amiri" w:hAnsi="Amiri" w:eastAsia="Amiri" w:cs="Amiri"/>
          <w:color w:val="111111"/>
          <w:sz w:val="28"/>
          <w:sz w:val="28"/>
          <w:szCs w:val="28"/>
          <w:rtl w:val="true"/>
          <w:lang w:bidi="ar-SA"/>
        </w:rPr>
        <w:t xml:space="preserve">وقريبة منها مرسلة جعفر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إذا لم يجنب متعمّدا ، وأمّا معه فيجب عليه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أصابه ما أصابه ، ما لم يخف التلف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للإسكافي </w:t>
      </w:r>
      <w:r>
        <w:rPr>
          <w:rStyle w:val="FootnoteAnchor"/>
          <w:rtl w:val="true"/>
        </w:rPr>
        <w:footnoteReference w:id="2425"/>
      </w:r>
      <w:r>
        <w:rPr>
          <w:rFonts w:ascii="Amiri" w:hAnsi="Amiri" w:eastAsia="Amiri" w:cs="Amiri"/>
          <w:color w:val="111111"/>
          <w:sz w:val="28"/>
          <w:sz w:val="28"/>
          <w:szCs w:val="28"/>
          <w:rtl w:val="true"/>
          <w:lang w:bidi="ar-SA"/>
        </w:rPr>
        <w:t xml:space="preserve">، وظاهر الفقيه وصريح الهداية </w:t>
      </w:r>
      <w:r>
        <w:rPr>
          <w:rStyle w:val="FootnoteAnchor"/>
          <w:rtl w:val="true"/>
        </w:rPr>
        <w:footnoteReference w:id="2426"/>
      </w:r>
      <w:r>
        <w:rPr>
          <w:rFonts w:ascii="Amiri" w:hAnsi="Amiri" w:eastAsia="Amiri" w:cs="Amiri"/>
          <w:color w:val="111111"/>
          <w:sz w:val="28"/>
          <w:sz w:val="28"/>
          <w:szCs w:val="28"/>
          <w:rtl w:val="true"/>
          <w:lang w:bidi="ar-SA"/>
        </w:rPr>
        <w:t xml:space="preserve">، والمفيد </w:t>
      </w:r>
      <w:r>
        <w:rPr>
          <w:rStyle w:val="FootnoteAnchor"/>
          <w:rtl w:val="true"/>
        </w:rPr>
        <w:footnoteReference w:id="2427"/>
      </w:r>
      <w:r>
        <w:rPr>
          <w:rFonts w:ascii="Amiri" w:hAnsi="Amiri" w:eastAsia="Amiri" w:cs="Amiri"/>
          <w:color w:val="111111"/>
          <w:sz w:val="28"/>
          <w:sz w:val="28"/>
          <w:szCs w:val="28"/>
          <w:rtl w:val="true"/>
          <w:lang w:bidi="ar-SA"/>
        </w:rPr>
        <w:t xml:space="preserve">، والشيخ في بعض كتبه </w:t>
      </w:r>
      <w:r>
        <w:rPr>
          <w:rStyle w:val="FootnoteAnchor"/>
          <w:rtl w:val="true"/>
        </w:rPr>
        <w:footnoteReference w:id="2428"/>
      </w:r>
      <w:r>
        <w:rPr>
          <w:rFonts w:ascii="Amiri" w:hAnsi="Amiri" w:eastAsia="Amiri" w:cs="Amiri"/>
          <w:color w:val="111111"/>
          <w:sz w:val="28"/>
          <w:sz w:val="28"/>
          <w:szCs w:val="28"/>
          <w:rtl w:val="true"/>
          <w:lang w:bidi="ar-SA"/>
        </w:rPr>
        <w:t xml:space="preserve">، والمحقّق في النافع </w:t>
      </w:r>
      <w:r>
        <w:rPr>
          <w:rStyle w:val="FootnoteAnchor"/>
          <w:rtl w:val="true"/>
        </w:rPr>
        <w:footnoteReference w:id="2429"/>
      </w:r>
      <w:r>
        <w:rPr>
          <w:rFonts w:ascii="Amiri" w:hAnsi="Amiri" w:eastAsia="Amiri" w:cs="Amiri"/>
          <w:color w:val="111111"/>
          <w:sz w:val="28"/>
          <w:sz w:val="28"/>
          <w:szCs w:val="28"/>
          <w:rtl w:val="true"/>
          <w:lang w:bidi="ar-SA"/>
        </w:rPr>
        <w:t xml:space="preserve">، والحرّ العاملي من المتأخّرين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تصيبه الجنابة في أرض باردة ولا يجد الماء وعسى </w:t>
      </w:r>
    </w:p>
    <w:p>
      <w:pPr>
        <w:pStyle w:val="BookText"/>
        <w:rPr/>
      </w:pPr>
      <w:r>
        <w:rPr>
          <w:rFonts w:ascii="Amiri" w:hAnsi="Amiri" w:eastAsia="Amiri" w:cs="Amiri"/>
          <w:color w:val="111111"/>
          <w:sz w:val="28"/>
          <w:sz w:val="28"/>
          <w:szCs w:val="28"/>
          <w:rtl w:val="true"/>
          <w:lang w:bidi="ar-SA"/>
        </w:rPr>
        <w:t xml:space="preserve">أن يكون الماء جامدا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رجل أنّه فعل ذلك فمرض شهرا من البرد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على ما كان فإنه لا بدّ من الغسل </w:t>
      </w:r>
      <w:r>
        <w:rPr>
          <w:rFonts w:eastAsia="Amiri" w:cs="Amiri" w:ascii="Amiri" w:hAnsi="Amiri"/>
          <w:color w:val="111111"/>
          <w:sz w:val="28"/>
          <w:szCs w:val="28"/>
          <w:rtl w:val="true"/>
          <w:lang w:bidi="ar-SA"/>
        </w:rPr>
        <w:t xml:space="preserve">»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أرض باردة فتخوّف إن هو اغتسل أن يصيبه عنت من الغسل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وإن أصابه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أنه كان وجعا شديد الوجع فأصابته جنابة وهو في مكان بارد وكانت ليلة شديدة الريح ، فدعوت الغلمة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فاغسلوني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 ، فحملوني ووضعوني على خشبات ثمَّ صبّوا عليّ الماء فغسلوني </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تعارضتا مع الأخبار المتقدّمة حيث إنّها أوجبت التيمّم على من ذكر مطلقا ، وهما أوجبتا الغسل عليه ، فخصّت المتقدّمة بغير المتعمّد ، وهما بالمتعمّد ، بشهادة المرفوعتين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مجدور أصابته جنابة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أجنب نفسه فليغتسل ، وإن كان احتلم فليتيمّم </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أجنب نفسه فعليه أن يغتسل على ما كان منه ، وإن كان احتلم فليتيمّم </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بملاحظة الإجماع المحقّق على سقوط الغسل عن غير المتعمّد ، واختصاص الصحيحين بالمتعمّد قطعا ، يصيران أخصّ مطلقا من أخبار التيمّم ، </w:t>
      </w:r>
    </w:p>
    <w:p>
      <w:pPr>
        <w:pStyle w:val="BookText"/>
        <w:rPr/>
      </w:pPr>
      <w:r>
        <w:rPr>
          <w:rFonts w:ascii="Amiri" w:hAnsi="Amiri" w:eastAsia="Amiri" w:cs="Amiri"/>
          <w:color w:val="111111"/>
          <w:sz w:val="28"/>
          <w:sz w:val="28"/>
          <w:szCs w:val="28"/>
          <w:rtl w:val="true"/>
          <w:lang w:bidi="ar-SA"/>
        </w:rPr>
        <w:t xml:space="preserve">فيجب تخصيصها بهما ، كما يجب تخصيصهما وتخصيص المرفوعتين بغير من خاف تلف نفسه بصحيحة ابن سنان ومرسلة جعفر ، المتقدّمتين </w:t>
      </w:r>
      <w:r>
        <w:rPr>
          <w:rStyle w:val="FootnoteAnchor"/>
          <w:rtl w:val="true"/>
        </w:rPr>
        <w:footnoteReference w:id="2435"/>
      </w:r>
      <w:r>
        <w:rPr>
          <w:rFonts w:ascii="Amiri" w:hAnsi="Amiri" w:eastAsia="Amiri" w:cs="Amiri"/>
          <w:color w:val="111111"/>
          <w:sz w:val="28"/>
          <w:sz w:val="28"/>
          <w:szCs w:val="28"/>
          <w:rtl w:val="true"/>
          <w:lang w:bidi="ar-SA"/>
        </w:rPr>
        <w:t xml:space="preserve">، حيث تتعارضان معها بالعموم من وجه وترجّحان عليها بموافقة الكتاب الموجب للتيمّم على المريض والنافي للعسر والحرج والناهي عن التعرّض للتهلكة ، كما هو ظاهر الشيخ وصريح النافع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للهداية والمفيد </w:t>
      </w:r>
      <w:r>
        <w:rPr>
          <w:rStyle w:val="FootnoteAnchor"/>
          <w:rtl w:val="true"/>
        </w:rPr>
        <w:footnoteReference w:id="2437"/>
      </w:r>
      <w:r>
        <w:rPr>
          <w:rFonts w:ascii="Amiri" w:hAnsi="Amiri" w:eastAsia="Amiri" w:cs="Amiri"/>
          <w:color w:val="111111"/>
          <w:sz w:val="28"/>
          <w:sz w:val="28"/>
          <w:szCs w:val="28"/>
          <w:rtl w:val="true"/>
          <w:lang w:bidi="ar-SA"/>
        </w:rPr>
        <w:t>، فلم يخصّصاها ، وأوجبا الغسل وإن كان فيه تلف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يخصّص الأكثر متعمّد الجنابة عن أخبار التيمّم مطلقا ، وأوجبوا عليه التيمّم أيضا ، اتّكالا على عدم صلاحية الصحيحتين والمرفوعتين لمعارضتها ، لمخالفتها لما دلّ على عدم تحريم تعمّد الجنابة حينئذ من الإجماع والنصوص وخصوص فعل المعصوم كما في الصحيحين ، فلا يترتّب على فاعلها عقوبة وانتقام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ومناقضتها للأصول القطعية الكتابية والسنية المثبتة لليسر والسهولة ، النافية للحرج والضرر ، الكاشفة عن تقديم اعتناء الشارع بالأبدان على اعتنائه بالأديان ، الموجبة لطرح الصحيحين وأخويهما ، لتواتر الأخبار بأنّ كلّ خبر مخالف للكتاب والسنّة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ومضادّتها لحكم العقل بوجوب دفع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الصحيحين من عدم التفرقة فيهما بين المتعمّد وغيره بل ظهورهما في غير المتعمّد ، وفي ثانيتهما من أعمّية العنت عن المشقّة اليسيرة أيضا ، وفي المرفوعتين من عدم ظهورهما في حصول الضرر بالغسل وضعف سنديهما ، وفي الأربعة من مخالفة الشهرة الموجبة للشذوذ المخرج عن الحجية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معارضتها بالتساوي مع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أجنب في </w:t>
      </w:r>
    </w:p>
    <w:p>
      <w:pPr>
        <w:pStyle w:val="BookText"/>
        <w:rPr/>
      </w:pPr>
      <w:r>
        <w:rPr>
          <w:rFonts w:ascii="Amiri" w:hAnsi="Amiri" w:eastAsia="Amiri" w:cs="Amiri"/>
          <w:color w:val="111111"/>
          <w:sz w:val="28"/>
          <w:sz w:val="28"/>
          <w:szCs w:val="28"/>
          <w:rtl w:val="true"/>
          <w:lang w:bidi="ar-SA"/>
        </w:rPr>
        <w:t xml:space="preserve">السفر ولم يجد إلاّ الثلج أو ماء جامدا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الضرر ، يتيمّم </w:t>
      </w:r>
      <w:r>
        <w:rPr>
          <w:rFonts w:eastAsia="Amiri" w:cs="Amiri" w:ascii="Amiri" w:hAnsi="Amiri"/>
          <w:color w:val="111111"/>
          <w:sz w:val="28"/>
          <w:szCs w:val="28"/>
          <w:rtl w:val="true"/>
          <w:lang w:bidi="ar-SA"/>
        </w:rPr>
        <w:t xml:space="preserve">» </w:t>
      </w:r>
      <w:r>
        <w:rPr>
          <w:rStyle w:val="FootnoteAnchor"/>
          <w:rtl w:val="true"/>
        </w:rPr>
        <w:footnoteReference w:id="2438"/>
      </w:r>
      <w:r>
        <w:rPr>
          <w:rFonts w:ascii="Amiri" w:hAnsi="Amiri" w:eastAsia="Amiri" w:cs="Amiri"/>
          <w:color w:val="111111"/>
          <w:sz w:val="28"/>
          <w:sz w:val="28"/>
          <w:szCs w:val="28"/>
          <w:rtl w:val="true"/>
          <w:lang w:bidi="ar-SA"/>
        </w:rPr>
        <w:t>الحديث ، حديث إنّها ظاهرة في المتعمّد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رواية السكوني في حكاية أبي ذر أنه أتى النبي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هلكت ، جامعت على غير 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النبي صلی اللّه عليه وآله بمحمل فاستترت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فاغتسلت أنا وهي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ذر يكفيك الصعيد عشر سنين </w:t>
      </w:r>
      <w:r>
        <w:rPr>
          <w:rFonts w:eastAsia="IRNazanin" w:cs="IRNazanin"/>
          <w:color w:val="111111"/>
          <w:sz w:val="28"/>
          <w:szCs w:val="28"/>
          <w:rtl w:val="true"/>
          <w:lang w:bidi="fa-IR"/>
        </w:rPr>
        <w:t xml:space="preserve">» </w:t>
      </w:r>
      <w:r>
        <w:rPr>
          <w:rStyle w:val="FootnoteAnchor"/>
          <w:rtl w:val="true"/>
        </w:rPr>
        <w:footnoteReference w:id="2439"/>
      </w:r>
      <w:r>
        <w:rPr>
          <w:rFonts w:ascii="Amiri" w:hAnsi="Amiri" w:eastAsia="Amiri" w:cs="Amiri"/>
          <w:color w:val="111111"/>
          <w:sz w:val="28"/>
          <w:sz w:val="28"/>
          <w:szCs w:val="28"/>
          <w:rtl w:val="true"/>
          <w:lang w:bidi="ar-SA"/>
        </w:rPr>
        <w:t>فإنها صريحة في المتعمد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تحريم تعمّد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يخالفها ، إذ لا ملازمة بين وجوب الغسل وإن خيف الضرر وبين تحريم التعمد ، ولا يلزم أن يكون ذلك عقوبة ، بل يجوز أن يكون من جهة إقدام المكلّف نفسه على ذلك الضرر ، وقد ثبت في الشريعة من الضرر بواسطة إقدام المكلّف ما لا يثبت إذا لم يتعمّد عليه ، ولذا لا يحكم بخيار الغبن مع علم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المذكورة فلا شك أنها بعنوان العموم والأصل ، فتخصّص مع الدليل الخاص ، ولذا يثبتون التكاليف الشاقّة والمضارّ الكثيرة من الضمانات والجنايات وغيرها بالأدلّة المخصوصة ، ويقدّمون الأديان على الأبدان في مجاهدة الكفّار ومقارعة السيف والسنان ومبارزة الشجعان ، وما نحن فيه من ذلك القبيل ، إذ ما ذكر أدلّة خاصة بالنسبة إلى الأصول المذكورة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الجواب عن ردّ الخبر المخالف للكتاب والسنّة ، فإنه إنما هو إذا لم يكن بالعموم والخصوص المطلقين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أجمعوا على تخصيص عام الكتاب بخاص الأخبار ، وكذا تقديم الموافق للكتاب والسنّة عند التعارض إنما هو إذا لم </w:t>
      </w:r>
    </w:p>
    <w:p>
      <w:pPr>
        <w:pStyle w:val="BookText"/>
        <w:rPr/>
      </w:pPr>
      <w:r>
        <w:rPr>
          <w:rFonts w:ascii="Amiri" w:hAnsi="Amiri" w:eastAsia="Amiri" w:cs="Amiri"/>
          <w:color w:val="111111"/>
          <w:sz w:val="28"/>
          <w:sz w:val="28"/>
          <w:szCs w:val="28"/>
          <w:rtl w:val="true"/>
          <w:lang w:bidi="ar-SA"/>
        </w:rPr>
        <w:t xml:space="preserve">يكن بالعموم والخصوص المطلقين </w:t>
      </w:r>
      <w:r>
        <w:rPr>
          <w:rFonts w:eastAsia="Amiri" w:cs="Amiri" w:ascii="Amiri" w:hAnsi="Amiri"/>
          <w:color w:val="111111"/>
          <w:sz w:val="28"/>
          <w:szCs w:val="28"/>
          <w:rtl w:val="true"/>
          <w:lang w:bidi="ar-SA"/>
        </w:rPr>
        <w:t xml:space="preserve">) </w:t>
      </w:r>
      <w:r>
        <w:rPr>
          <w:rStyle w:val="FootnoteAnchor"/>
          <w:rtl w:val="true"/>
        </w:rPr>
        <w:footnoteReference w:id="2440"/>
      </w:r>
      <w:r>
        <w:rPr>
          <w:rFonts w:ascii="Amiri" w:hAnsi="Amiri" w:eastAsia="Amiri" w:cs="Amiri"/>
          <w:color w:val="111111"/>
          <w:sz w:val="28"/>
          <w:sz w:val="28"/>
          <w:szCs w:val="28"/>
          <w:rtl w:val="true"/>
          <w:lang w:bidi="ar-SA"/>
        </w:rPr>
        <w:t>وإلاّ فالخاص مقدّم كما فيما نحن فيه ، مع أنّ تلك الأخبار الأربعة أيضا لها موافقة مع آية الغسل في غير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العقل بوجوب دفع الضرر المظنون على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كونه في حيّز المنع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لم يكن على عدم الوجوب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أمر عقلي لا يقبل التخصيص ، واه جدّا ، لأنّه مخالف لما ثبت من الشرع قطعا من الأمور المضرّة ، كالجهاد والحجّ والزكاة والخمس ، فإذا لم يجب دفع الضرر المقطوع بل وجب تحمّله فكيف بالمظنون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بعد أمر الشارع والقطع بأنّ بإزائها أجرا عظيما لا يكون ضررا ، يجري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التفرقة في الصحيحين بين المتعمّد وغيره ظاهرا فغير ضائر ، لأنّ الإجماع والمرفوعتين قرائن على التخصيص ، وخروج بعض أفراد المطلق لا يوجب عدم حجيته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أعمية العنت ، لأنّ بعد شموله للمشقة الشديدة يكون حجة فيها أيضا ، سيما مع التأكّد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أصابه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وسيما مع ذكر غسله عليه السلام مع شدة الوجع بحيث حملوه وغسلوه ، وسيما مع ما في الصحيح الأول من حكاية حدوث المرض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ظهورهما في غير المتعمّد فلا أعرف له وجها سيما الصحيح الثاني ، بل استشهاده بفعله على السلام قرينة على التعمّد ، لما قد ثبت من عدم احتلامهم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عدم صراحة المرفوعتين في التضرر بالغسل فهو من الغرائب ، إذ أمره عليه السلام بالتيمّم مع الاحتلام قرينة على التضرّر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الردّ بضعف السند فهو عندي غير معتمد ، وبمخالفة الشهرة فهو غير </w:t>
      </w:r>
      <w:bookmarkStart w:id="142" w:name="pg11616_94833"/>
    </w:p>
    <w:p>
      <w:pPr>
        <w:pStyle w:val="BookText"/>
        <w:rPr/>
      </w:pPr>
      <w:bookmarkEnd w:id="142"/>
      <w:r>
        <w:rPr>
          <w:rFonts w:ascii="Amiri" w:hAnsi="Amiri" w:eastAsia="Amiri" w:cs="Amiri"/>
          <w:color w:val="111111"/>
          <w:sz w:val="28"/>
          <w:sz w:val="28"/>
          <w:szCs w:val="28"/>
          <w:rtl w:val="true"/>
          <w:lang w:bidi="ar-SA"/>
        </w:rPr>
        <w:t xml:space="preserve">سديد ، لأنّ الشهرة الموجبة لشذوذ مخالفها هي الشهرة القوية من القدماء ، ومع موافقة مثل الصدوق والشيخين والإسكافي </w:t>
      </w:r>
      <w:r>
        <w:rPr>
          <w:rStyle w:val="FootnoteAnchor"/>
          <w:rtl w:val="true"/>
        </w:rPr>
        <w:footnoteReference w:id="2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من أعيان القدماء وأركانهم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ينسب الخبر إلى الشذوذ ويخرج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موافقة مثل المحقّق وبعض آخر من المتأخّرين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الروايتان الأخيرتان فصراحة أولاهما بل ظهورها في المتعمد ممنوعة ، والثانية صريحة في أنّ سبب التيمّم عدم الماء ، فلا تعارض معها ، مع أنه لو سلّم اختصاص الاولى بالمتعمّد فهي عامة من جهة شمولها للخوف من الضرر ولعدم إمكان الغسل بسبب عدم القدرة على إذابة الثلج والجمد ، وما مرّ مخصوص بالخوف ، لوجود الماء ، بقرينة الأمر بالاغتسال للمتعمّد ،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اختصاص وجوب المائية مع التعمّد بغسل الجنابة ، كما هو مورد الأخبار ، فلا يتعدّى إلى غيره ، كغسل المسّ ، والوضوء لمن أحدث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التعمّد الموجب للاغتسال مع خوف الضرر هو ما كان حال المرض أو الخوف؟ أو يشمل ما إذا تعمّد الجنابة صحيحا غير خائف ثمَّ حدث قبل الغسل ما يوجب الخوف؟ فيه وجهان</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5588157_73709187"/>
      <w:bookmarkStart w:id="144" w:name="_Toc56"/>
      <w:bookmarkEnd w:id="143"/>
      <w:r>
        <w:rPr>
          <w:rtl w:val="true"/>
        </w:rPr>
        <w:t xml:space="preserve">فروع </w:t>
      </w:r>
      <w:r>
        <w:rPr>
          <w:rtl w:val="true"/>
        </w:rPr>
        <w:t>:</w:t>
      </w:r>
      <w:bookmarkEnd w:id="14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المرض المسوّغ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أو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يعدّ ضررا وكان تحمّله عسرا عادة ، لأنّ انتفاءهما شرعا هو سبب التسويغ ، فيقتصر على مورد خوفهما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 الآية والأخبار في المريض وإن اقتضى الاكتفاء بغير ما أخرجه الإجماع وإن كان يسيرا ، إلاّ أنّ المروي عن الصادقين في المجمع أنه المرض الذي يضرّ معه استعمال الماء ، والذي يوجب العجز عن السعي إليه </w:t>
      </w:r>
      <w:r>
        <w:rPr>
          <w:rStyle w:val="FootnoteAnchor"/>
          <w:rtl w:val="true"/>
        </w:rPr>
        <w:footnoteReference w:id="2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 ضعفه </w:t>
      </w:r>
    </w:p>
    <w:p>
      <w:pPr>
        <w:pStyle w:val="BookText"/>
        <w:rPr/>
      </w:pPr>
      <w:r>
        <w:rPr>
          <w:rFonts w:ascii="Amiri" w:hAnsi="Amiri" w:eastAsia="Amiri" w:cs="Amiri"/>
          <w:color w:val="111111"/>
          <w:sz w:val="28"/>
          <w:sz w:val="28"/>
          <w:szCs w:val="28"/>
          <w:rtl w:val="true"/>
          <w:lang w:bidi="ar-SA"/>
        </w:rPr>
        <w:t xml:space="preserve">بالشهرة بل بعمل كلّ الأصحاب كما في البحار </w:t>
      </w:r>
      <w:r>
        <w:rPr>
          <w:rStyle w:val="FootnoteAnchor"/>
          <w:rtl w:val="true"/>
        </w:rPr>
        <w:footnoteReference w:id="2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التقييد بالمضر ، فلا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مراتب الضرر متفاوتة ، فهل المسوّغ هو الضرر مطلقا وإن كان يسيرا ، كالصداع ووجع الضرس ، كما عن الشهيد والكركي </w:t>
      </w:r>
      <w:r>
        <w:rPr>
          <w:rStyle w:val="FootnoteAnchor"/>
          <w:rtl w:val="true"/>
        </w:rPr>
        <w:footnoteReference w:id="2445"/>
      </w:r>
      <w:r>
        <w:rPr>
          <w:rFonts w:ascii="Amiri" w:hAnsi="Amiri" w:eastAsia="Amiri" w:cs="Amiri"/>
          <w:color w:val="111111"/>
          <w:sz w:val="28"/>
          <w:sz w:val="28"/>
          <w:szCs w:val="28"/>
          <w:rtl w:val="true"/>
          <w:lang w:bidi="ar-SA"/>
        </w:rPr>
        <w:t xml:space="preserve">، بل الإرشاد ونهاية الفاضل حيث علّقا الجواز على مطلق المرض </w:t>
      </w:r>
      <w:r>
        <w:rPr>
          <w:rStyle w:val="FootnoteAnchor"/>
          <w:rtl w:val="true"/>
        </w:rPr>
        <w:footnoteReference w:id="2446"/>
      </w:r>
      <w:r>
        <w:rPr>
          <w:rFonts w:ascii="Amiri" w:hAnsi="Amiri" w:eastAsia="Amiri" w:cs="Amiri"/>
          <w:color w:val="111111"/>
          <w:sz w:val="28"/>
          <w:sz w:val="28"/>
          <w:szCs w:val="28"/>
          <w:rtl w:val="true"/>
          <w:lang w:bidi="ar-SA"/>
        </w:rPr>
        <w:t xml:space="preserve">، واستصوبه بعض مشايخنا المحقّقين </w:t>
      </w:r>
      <w:r>
        <w:rPr>
          <w:rStyle w:val="FootnoteAnchor"/>
          <w:rtl w:val="true"/>
        </w:rPr>
        <w:footnoteReference w:id="2447"/>
      </w:r>
      <w:r>
        <w:rPr>
          <w:rFonts w:ascii="Amiri" w:hAnsi="Amiri" w:eastAsia="Amiri" w:cs="Amiri"/>
          <w:color w:val="111111"/>
          <w:sz w:val="28"/>
          <w:sz w:val="28"/>
          <w:szCs w:val="28"/>
          <w:rtl w:val="true"/>
          <w:lang w:bidi="ar-SA"/>
        </w:rPr>
        <w:t xml:space="preserve">؟ أو الشديد ، كما اختاره الفاضلان </w:t>
      </w:r>
      <w:r>
        <w:rPr>
          <w:rStyle w:val="FootnoteAnchor"/>
          <w:rtl w:val="true"/>
        </w:rPr>
        <w:footnoteReference w:id="24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ما يشقّ تحمّله عادة ولم يعدّ سهلا يسيرا عرفا ، لأنّ الحكم في الأدلّة لا يخلو عن كونه معلّقا على الضرر أو المرض أو العسر أو الحرج ، والظاهر اتّحاد موارد الأربعة في المقام وورود الجميع على ما يعدّ تحمّله شاقّا في العادة ، فإنّ ما لم يكن كذلك لا يصدق عليه شي‌ء من العنوانات ، وما كان كذلك يصدق عليه أحدها أو جميعها ، ومن هذا يتّجه 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أن يكون الأمر الحادث ما يسمّى مرضا عرفا والمتّصف به مريضا ، بل يكفي كونه أذى يعسر تحمّل مثله عادة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المرض المسوّغ للتيمّم أعم من أن يكون بعنوان اليقين ، أو الظن الحاصل من التجربة ، أو إخبار ذي تجربة عادل أو غير عادل ، مسلم أو كافر ، امرأة أو صبي ، واحد أو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الآية وأخبار القروح والجروح </w:t>
      </w:r>
      <w:r>
        <w:rPr>
          <w:rStyle w:val="FootnoteAnchor"/>
          <w:rtl w:val="true"/>
        </w:rPr>
        <w:footnoteReference w:id="2449"/>
      </w:r>
      <w:r>
        <w:rPr>
          <w:rFonts w:ascii="Amiri" w:hAnsi="Amiri" w:eastAsia="Amiri" w:cs="Amiri"/>
          <w:color w:val="111111"/>
          <w:sz w:val="28"/>
          <w:sz w:val="28"/>
          <w:szCs w:val="28"/>
          <w:rtl w:val="true"/>
          <w:lang w:bidi="ar-SA"/>
        </w:rPr>
        <w:t>، ولم يعلم سوى خروج صورة عدم حصول ظن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واختصاصها بالمريض بالفعل غير ضائر ، لعدم الفاصل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ارتكاب أمر يظنّ معه حدوث ما لا </w:t>
      </w:r>
    </w:p>
    <w:p>
      <w:pPr>
        <w:pStyle w:val="BookText"/>
        <w:rPr/>
      </w:pPr>
      <w:r>
        <w:rPr>
          <w:rFonts w:ascii="Amiri" w:hAnsi="Amiri" w:eastAsia="Amiri" w:cs="Amiri"/>
          <w:color w:val="111111"/>
          <w:sz w:val="28"/>
          <w:sz w:val="28"/>
          <w:szCs w:val="28"/>
          <w:rtl w:val="true"/>
          <w:lang w:bidi="ar-SA"/>
        </w:rPr>
        <w:t>يتحمّل عسر وحرج ، فلا 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التعارض بين أخبار ذوي التجارب فالمرجع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الشين </w:t>
      </w:r>
      <w:r>
        <w:rPr>
          <w:rStyle w:val="FootnoteAnchor"/>
          <w:rtl w:val="true"/>
        </w:rPr>
        <w:footnoteReference w:id="2450"/>
      </w:r>
      <w:r>
        <w:rPr>
          <w:rFonts w:ascii="Amiri" w:hAnsi="Amiri" w:eastAsia="Amiri" w:cs="Amiri"/>
          <w:color w:val="111111"/>
          <w:sz w:val="28"/>
          <w:sz w:val="28"/>
          <w:szCs w:val="28"/>
          <w:rtl w:val="true"/>
          <w:lang w:bidi="ar-SA"/>
        </w:rPr>
        <w:t xml:space="preserve">حدوثا وزيادة مسوّغ للتيمّم إن بلغ حدّا يتأذّى به ويشقّ تحمّله عادة ، بالإجماع المحقّق والمحكي من الفاضلين </w:t>
      </w:r>
      <w:r>
        <w:rPr>
          <w:rStyle w:val="FootnoteAnchor"/>
          <w:rtl w:val="true"/>
        </w:rPr>
        <w:footnoteReference w:id="2451"/>
      </w:r>
      <w:r>
        <w:rPr>
          <w:rFonts w:ascii="Amiri" w:hAnsi="Amiri" w:eastAsia="Amiri" w:cs="Amiri"/>
          <w:color w:val="111111"/>
          <w:sz w:val="28"/>
          <w:sz w:val="28"/>
          <w:szCs w:val="28"/>
          <w:rtl w:val="true"/>
          <w:lang w:bidi="ar-SA"/>
        </w:rPr>
        <w:t xml:space="preserve">وغيرهما </w:t>
      </w:r>
      <w:r>
        <w:rPr>
          <w:rStyle w:val="FootnoteAnchor"/>
          <w:rtl w:val="true"/>
        </w:rPr>
        <w:footnoteReference w:id="2452"/>
      </w:r>
      <w:r>
        <w:rPr>
          <w:rFonts w:ascii="Amiri" w:hAnsi="Amiri" w:eastAsia="Amiri" w:cs="Amiri"/>
          <w:color w:val="111111"/>
          <w:sz w:val="28"/>
          <w:sz w:val="28"/>
          <w:szCs w:val="28"/>
          <w:rtl w:val="true"/>
          <w:lang w:bidi="ar-SA"/>
        </w:rPr>
        <w:t xml:space="preserve">، لنفي الضرر والعسر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أخبار القروح والجروح المنضم مع عدم الفصل بين خوف الحدوث والزيادة ، إلاّ أن يجنب عمدا ، فيغتسل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التعدّي إلى مطلق الشين وإن لم يتفاحش بحيث يتأذّى به ويعسر تحمّله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صريح نهاية الإحكام والروض </w:t>
      </w:r>
      <w:r>
        <w:rPr>
          <w:rStyle w:val="FootnoteAnchor"/>
          <w:rtl w:val="true"/>
        </w:rPr>
        <w:footnoteReference w:id="2453"/>
      </w:r>
      <w:r>
        <w:rPr>
          <w:rFonts w:ascii="Amiri" w:hAnsi="Amiri" w:eastAsia="Amiri" w:cs="Amiri"/>
          <w:color w:val="111111"/>
          <w:sz w:val="28"/>
          <w:sz w:val="28"/>
          <w:szCs w:val="28"/>
          <w:rtl w:val="true"/>
          <w:lang w:bidi="ar-SA"/>
        </w:rPr>
        <w:t>، بل هو ظاهر إطلاق الأكثر ، ولا دليل عليه يعتمد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للمنتهى </w:t>
      </w:r>
      <w:r>
        <w:rPr>
          <w:rStyle w:val="FootnoteAnchor"/>
          <w:rtl w:val="true"/>
        </w:rPr>
        <w:footnoteReference w:id="2454"/>
      </w:r>
      <w:r>
        <w:rPr>
          <w:rFonts w:ascii="Amiri" w:hAnsi="Amiri" w:eastAsia="Amiri" w:cs="Amiri"/>
          <w:color w:val="111111"/>
          <w:sz w:val="28"/>
          <w:sz w:val="28"/>
          <w:szCs w:val="28"/>
          <w:rtl w:val="true"/>
          <w:lang w:bidi="ar-SA"/>
        </w:rPr>
        <w:t xml:space="preserve">، واللوامع ، وغيرهما </w:t>
      </w:r>
      <w:r>
        <w:rPr>
          <w:rStyle w:val="FootnoteAnchor"/>
          <w:rtl w:val="true"/>
        </w:rPr>
        <w:footnoteReference w:id="2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المعتمد ، لأنّ المناط حصول الضرر أو العسر ، وهما غير متحقّقين في مطلقه ، والظاهر تحقّقهما فيما إذا بلغ حدّ تشقّق الجلد أو خروج الدم ، بل في الأدون منهما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اندفع الضرر بتسخين الماء ، أو بتحصيل ماء الحمام ، أو بالغسل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بأجرة 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 وكذا شراء النار والحطب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الثمن والأجرة كما مرّ في الماء وآلته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الشديدة الحاصلة من التألّم الذي لا يسهل تحمّله عادة في استعمال الماء وإن لم يخش الضرر وسوء العاقبة ، كالتألّم بالبرد الشديد ، أو الوجع ، </w:t>
      </w:r>
    </w:p>
    <w:p>
      <w:pPr>
        <w:pStyle w:val="BookText"/>
        <w:rPr/>
      </w:pPr>
      <w:r>
        <w:rPr>
          <w:rFonts w:ascii="Amiri" w:hAnsi="Amiri" w:eastAsia="Amiri" w:cs="Amiri"/>
          <w:color w:val="111111"/>
          <w:sz w:val="28"/>
          <w:sz w:val="28"/>
          <w:szCs w:val="28"/>
          <w:rtl w:val="true"/>
          <w:lang w:bidi="ar-SA"/>
        </w:rPr>
        <w:t xml:space="preserve">أو الحرقة في خراجه </w:t>
      </w:r>
      <w:r>
        <w:rPr>
          <w:rStyle w:val="FootnoteAnchor"/>
          <w:rtl w:val="true"/>
        </w:rPr>
        <w:footnoteReference w:id="2457"/>
      </w:r>
      <w:r>
        <w:rPr>
          <w:rFonts w:ascii="Amiri" w:hAnsi="Amiri" w:eastAsia="Amiri" w:cs="Amiri"/>
          <w:color w:val="111111"/>
          <w:sz w:val="28"/>
          <w:sz w:val="28"/>
          <w:szCs w:val="28"/>
          <w:rtl w:val="true"/>
          <w:lang w:bidi="ar-SA"/>
        </w:rPr>
        <w:t>وإن لم يزد المرض ، أو الحرّ الشديد ، كما يتّفق في بعض الحمامات إذا لم يمكن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مسوّغة للتيمّم ، وفاقا لنهاية الشيخ والمبسوط والإصباح وظاهر الكافي والغنية والمراسم والجامع والنافع والمنتهى ونهاية الإحكام والبيان </w:t>
      </w:r>
      <w:r>
        <w:rPr>
          <w:rStyle w:val="FootnoteAnchor"/>
          <w:rtl w:val="true"/>
        </w:rPr>
        <w:footnoteReference w:id="2458"/>
      </w:r>
      <w:r>
        <w:rPr>
          <w:rFonts w:ascii="Amiri" w:hAnsi="Amiri" w:eastAsia="Amiri" w:cs="Amiri"/>
          <w:color w:val="111111"/>
          <w:sz w:val="28"/>
          <w:sz w:val="28"/>
          <w:szCs w:val="28"/>
          <w:rtl w:val="true"/>
          <w:lang w:bidi="ar-SA"/>
        </w:rPr>
        <w:t xml:space="preserve">، واختاره بعض مشايخنا المحقّقين </w:t>
      </w:r>
      <w:r>
        <w:rPr>
          <w:rStyle w:val="FootnoteAnchor"/>
          <w:rtl w:val="true"/>
        </w:rPr>
        <w:footnoteReference w:id="2459"/>
      </w:r>
      <w:r>
        <w:rPr>
          <w:rFonts w:ascii="Amiri" w:hAnsi="Amiri" w:eastAsia="Amiri" w:cs="Amiri"/>
          <w:color w:val="111111"/>
          <w:sz w:val="28"/>
          <w:sz w:val="28"/>
          <w:szCs w:val="28"/>
          <w:rtl w:val="true"/>
          <w:lang w:bidi="ar-SA"/>
        </w:rPr>
        <w:t xml:space="preserve">، لعموم أدلّة نفي العسر والحرج ، بل صحيحتي ابن سرحان والبزنطي </w:t>
      </w:r>
      <w:r>
        <w:rPr>
          <w:rStyle w:val="FootnoteAnchor"/>
          <w:rtl w:val="true"/>
        </w:rPr>
        <w:footnoteReference w:id="2460"/>
      </w:r>
      <w:r>
        <w:rPr>
          <w:rFonts w:ascii="Amiri" w:hAnsi="Amiri" w:eastAsia="Amiri" w:cs="Amiri"/>
          <w:color w:val="111111"/>
          <w:sz w:val="28"/>
          <w:sz w:val="28"/>
          <w:szCs w:val="28"/>
          <w:rtl w:val="true"/>
          <w:lang w:bidi="ar-SA"/>
        </w:rPr>
        <w:t xml:space="preserve">، فإنّ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يخاف على نفسه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يخاف من التأثّر بالبرد ، لا أن يتلف ، 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يتعمّد الجنابة فيغتسل لما مرّ ، كما صرّح به في الأول من الكتب المذكورة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للقواعد والأردبيلي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مطلقا </w:t>
      </w:r>
      <w:r>
        <w:rPr>
          <w:rStyle w:val="FootnoteAnchor"/>
          <w:rtl w:val="true"/>
        </w:rPr>
        <w:footnoteReference w:id="2462"/>
      </w:r>
      <w:r>
        <w:rPr>
          <w:rFonts w:ascii="Amiri" w:hAnsi="Amiri" w:eastAsia="Amiri" w:cs="Amiri"/>
          <w:color w:val="111111"/>
          <w:sz w:val="28"/>
          <w:sz w:val="28"/>
          <w:szCs w:val="28"/>
          <w:rtl w:val="true"/>
          <w:lang w:bidi="ar-SA"/>
        </w:rPr>
        <w:t xml:space="preserve">، للصحيحيتين المتقدّمتين لمحمد وسليمان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بمعارضتهما مع الصحيحتين المذكورتين ، وبقاء نافيات العسر بلا معارض ، مع أنّ بعد تخصيص صحيحتي التيمّم بغير المتعمّد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تصيران أخصّين مطلقا من صحيحتي الغسل ، فتخصّص الأخيرتان بالأوليين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المرفوعة الثانية </w:t>
      </w:r>
      <w:r>
        <w:rPr>
          <w:rStyle w:val="FootnoteAnchor"/>
          <w:rtl w:val="true"/>
        </w:rPr>
        <w:footnoteReference w:id="2464"/>
      </w:r>
      <w:r>
        <w:rPr>
          <w:rFonts w:ascii="Amiri" w:hAnsi="Amiri" w:eastAsia="Amiri" w:cs="Amiri"/>
          <w:color w:val="111111"/>
          <w:sz w:val="28"/>
          <w:sz w:val="28"/>
          <w:szCs w:val="28"/>
          <w:rtl w:val="true"/>
          <w:lang w:bidi="ar-SA"/>
        </w:rPr>
        <w:t xml:space="preserve">، لأجل اختصاص موضوعها بذي عذر غير فقد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p>
    <w:p>
      <w:pPr>
        <w:pStyle w:val="BookText"/>
        <w:rPr/>
      </w:pPr>
      <w:r>
        <w:rPr>
          <w:rFonts w:ascii="Amiri" w:hAnsi="Amiri" w:eastAsia="Amiri" w:cs="Amiri"/>
          <w:color w:val="111111"/>
          <w:sz w:val="28"/>
          <w:sz w:val="28"/>
          <w:szCs w:val="28"/>
          <w:rtl w:val="true"/>
          <w:lang w:bidi="ar-SA"/>
        </w:rPr>
        <w:t xml:space="preserve">بالغسل للمتعمّد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الخائف أو المتألّم ، تكون أخصّ مطلقا منهما أيضا ، تخصيصهما بها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 بالإجماع المحقّق والمحكي مستفيضا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المعتبرة ، 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يكون معه الماء القليل ، فإن هو اغتسل خاف العطش ، أيغتسل به أو يتيمّم؟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يتيمّم ، وكذلك إذا أراد الوضوء </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أصابته جنابة في السفر ، وليس معه إلاّ ماء قليل ، ويخاف إن هو اغتسل أن يعطش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خاف عطشا فلا يهرق منه قطرة وليتمّم بالصعيد </w:t>
      </w:r>
      <w:r>
        <w:rPr>
          <w:rFonts w:eastAsia="Amiri" w:cs="Amiri" w:ascii="Amiri" w:hAnsi="Amiri"/>
          <w:color w:val="111111"/>
          <w:sz w:val="28"/>
          <w:szCs w:val="28"/>
          <w:rtl w:val="true"/>
          <w:lang w:bidi="ar-SA"/>
        </w:rPr>
        <w:t xml:space="preserve">»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الماء في السفر فيخاف قلته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بالصعيد ويستبقي الماء </w:t>
      </w:r>
      <w:r>
        <w:rPr>
          <w:rFonts w:eastAsia="Amiri" w:cs="Amiri" w:ascii="Amiri" w:hAnsi="Amiri"/>
          <w:color w:val="111111"/>
          <w:sz w:val="28"/>
          <w:szCs w:val="28"/>
          <w:rtl w:val="true"/>
          <w:lang w:bidi="ar-SA"/>
        </w:rPr>
        <w:t xml:space="preserve">» </w:t>
      </w:r>
      <w:r>
        <w:rPr>
          <w:rStyle w:val="FootnoteAnchor"/>
          <w:rtl w:val="true"/>
        </w:rPr>
        <w:footnoteReference w:id="2468"/>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العطش بين الحال والمتوقّع في زمان يخاف عدم حصول الماء ، لإطلاقها ، وعموم نافيات العسر ، وإلقاء النفس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بين العطش المؤدّي إلى الهلاكة أو المشقة أو الضعف أو المرض حدوثا أو زيادة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الإطلاقات كون العطش اليسير أيضا كذلك ، ولكن الظاهر الإجماع على خروجه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بين خوف عطش نفسه أو من يعسر عليه هلاكه أو مرضه أو مشقته من الأقارب والأصدقاء والمماليك ، لما مرّ ، سيما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فيخاف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العطش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عطشا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منه يظهر التعدّي إلى خوف عطش كلّ مسلم ، مضافا إلى الإجماع وبعض مؤيّدات أخر ، مع فحوى تسويغ خوف العطش على نفسه ، بل التعدّي إلى خوف العطش على دابته وحمولته مما يتضرّر بتلفه ، أو يحتاج إليه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ما لا يحتاج إليه في سفره وإن تضرّر به جريان على الشراء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خاف عطش دابة لم يحتج إليه ولم يتضرّر بعطشه ، بأن أمكن انتفاعه بذبحه من غير تضرّر ، ففيه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اندفاع الضرر والعسر به ، ومن صدق خوف العطش ، إلاّ أن يمنع تحقّق الخوف في مثله ، فيرجّح الأول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التعدّي إلى الحربي والمرتدّ عن فطرة ، والحيوانات الغير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الذمّي ففيه نظر ، والتعدّي أظهر ، سيما إذا احتاج إلى رفاقته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الخوف على العطش إنّما يكون مع تيقّن عدم حصول ماء آخر أو ظنّه ، بل الظاهر تحقّقه مع تساوي احتمال الحصول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ظنّ الحصول فالظاهر عدم تحقّق الخوف ولا الحجر المسوّغين للتيمّم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والتسويغ لأصالة عدم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 ، لأن ذلك الأصل لا يدفع الظنّ المناقض للخوف الموجب للتسويغ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احتمال حدوث العطش زمانا آخر</w:t>
      </w:r>
      <w:r>
        <w:rPr>
          <w:rFonts w:eastAsia="Amiri" w:cs="Amiri" w:ascii="Amiri" w:hAnsi="Amiri"/>
          <w:color w:val="111111"/>
          <w:sz w:val="28"/>
          <w:szCs w:val="28"/>
          <w:rtl w:val="true"/>
          <w:lang w:bidi="ar-SA"/>
        </w:rPr>
        <w:t xml:space="preserve">. </w:t>
      </w:r>
      <w:bookmarkStart w:id="145" w:name="pg11616_94839"/>
    </w:p>
    <w:p>
      <w:pPr>
        <w:pStyle w:val="Heading3"/>
        <w:numPr>
          <w:ilvl w:val="2"/>
          <w:numId w:val="1"/>
        </w:numPr>
        <w:rPr/>
      </w:pPr>
      <w:bookmarkStart w:id="146" w:name="__RefHeading___Toc5588159_73709187"/>
      <w:bookmarkStart w:id="147" w:name="_Toc57"/>
      <w:bookmarkEnd w:id="145"/>
      <w:bookmarkEnd w:id="146"/>
      <w:r>
        <w:rPr>
          <w:rtl w:val="true"/>
        </w:rPr>
        <w:t xml:space="preserve">الفصل الثاني </w:t>
      </w:r>
      <w:r>
        <w:rPr>
          <w:rtl w:val="true"/>
        </w:rPr>
        <w:t xml:space="preserve">: </w:t>
      </w:r>
      <w:r>
        <w:rPr>
          <w:rtl w:val="true"/>
        </w:rPr>
        <w:t>فيما يجوز به التيمّم ، أي ما يتمّم به</w:t>
      </w:r>
      <w:bookmarkEnd w:id="14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بالتراب ، إجماعا ، بل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الآية ، لأنّ الصعيد إمّا التراب أو الأرض الصادقة عليه ، والأخبار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فيه بين ألوانه من الأسود والأصفر والأبيض والأحمر ، كالأرمني ، بإجماع العلماء ، كما في التذكرة </w:t>
      </w:r>
      <w:r>
        <w:rPr>
          <w:rStyle w:val="FootnoteAnchor"/>
          <w:rtl w:val="true"/>
        </w:rPr>
        <w:footnoteReference w:id="2470"/>
      </w:r>
      <w:r>
        <w:rPr>
          <w:rFonts w:ascii="IRNazanin" w:hAnsi="IRNazanin" w:eastAsia="IRNazanin"/>
          <w:color w:val="111111"/>
          <w:sz w:val="28"/>
          <w:sz w:val="28"/>
          <w:szCs w:val="28"/>
          <w:rtl w:val="true"/>
          <w:lang w:bidi="fa-IR"/>
        </w:rPr>
        <w:t>، لصدق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فيه أن يكون متفرق الأجزاء غير مستمسك بعضها ببعض ، بل يصح بما كان مستمسكا أيضا ، كالأرض الترابية الصلبة ، لصدق التراب وعدم صحة سلبه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المدر واللبنة فلا يصدق عليهما التراب وإن جاز التيمّم بهما من جهة أخرى ، كما يأتي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التيمّم بكلّ ما يصدق عليه اسم الأرض وإن لم يكن ترابا ، ونسبه في التذكرة إلى أكثر علمائنا </w:t>
      </w:r>
      <w:r>
        <w:rPr>
          <w:rStyle w:val="FootnoteAnchor"/>
          <w:rtl w:val="true"/>
        </w:rPr>
        <w:footnoteReference w:id="2471"/>
      </w:r>
      <w:r>
        <w:rPr>
          <w:rFonts w:ascii="Amiri" w:hAnsi="Amiri" w:eastAsia="Amiri" w:cs="Amiri"/>
          <w:color w:val="111111"/>
          <w:sz w:val="28"/>
          <w:sz w:val="28"/>
          <w:szCs w:val="28"/>
          <w:rtl w:val="true"/>
          <w:lang w:bidi="ar-SA"/>
        </w:rPr>
        <w:t xml:space="preserve">، وفي المنتهى إلى الأصحاب </w:t>
      </w:r>
      <w:r>
        <w:rPr>
          <w:rStyle w:val="FootnoteAnchor"/>
          <w:rtl w:val="true"/>
        </w:rPr>
        <w:footnoteReference w:id="2472"/>
      </w:r>
      <w:r>
        <w:rPr>
          <w:rFonts w:ascii="Amiri" w:hAnsi="Amiri" w:eastAsia="Amiri" w:cs="Amiri"/>
          <w:color w:val="111111"/>
          <w:sz w:val="28"/>
          <w:sz w:val="28"/>
          <w:szCs w:val="28"/>
          <w:rtl w:val="true"/>
          <w:lang w:bidi="ar-SA"/>
        </w:rPr>
        <w:t xml:space="preserve">، للأمر في الآية والأخبار المتكثّرة جدّا بالتيمّم بالصعيد الذي هو وجه الأرض ، كما في كلام جماعة من أهل اللغة ، كصاحب العين والمحيط والأساس والخلاص وثعلب وابن الأعرابي والراغب والشامي والزجاج مدّعيا عدم الخلاف في ذلك بين أهل اللغة </w:t>
      </w:r>
      <w:r>
        <w:rPr>
          <w:rStyle w:val="FootnoteAnchor"/>
          <w:rtl w:val="true"/>
        </w:rPr>
        <w:footnoteReference w:id="2473"/>
      </w:r>
      <w:r>
        <w:rPr>
          <w:rFonts w:ascii="Amiri" w:hAnsi="Amiri" w:eastAsia="Amiri" w:cs="Amiri"/>
          <w:color w:val="111111"/>
          <w:sz w:val="28"/>
          <w:sz w:val="28"/>
          <w:szCs w:val="28"/>
          <w:rtl w:val="true"/>
          <w:lang w:bidi="ar-SA"/>
        </w:rPr>
        <w:t xml:space="preserve">، ويظهر من الأخبار ، كالمرويين في فقه الرضا </w:t>
      </w:r>
    </w:p>
    <w:p>
      <w:pPr>
        <w:pStyle w:val="BookText"/>
        <w:rPr/>
      </w:pPr>
      <w:r>
        <w:rPr>
          <w:rFonts w:ascii="Amiri" w:hAnsi="Amiri" w:eastAsia="Amiri" w:cs="Amiri"/>
          <w:color w:val="111111"/>
          <w:sz w:val="28"/>
          <w:sz w:val="28"/>
          <w:szCs w:val="28"/>
          <w:rtl w:val="true"/>
          <w:lang w:bidi="ar-SA"/>
        </w:rPr>
        <w:t xml:space="preserve">ومعاني الأخبار المفسّر أحدهما له بالموضع المرتفع </w:t>
      </w:r>
      <w:r>
        <w:rPr>
          <w:rStyle w:val="FootnoteAnchor"/>
          <w:rtl w:val="true"/>
        </w:rPr>
        <w:footnoteReference w:id="2474"/>
      </w:r>
      <w:r>
        <w:rPr>
          <w:rFonts w:ascii="IRNazanin" w:hAnsi="IRNazanin" w:eastAsia="IRNazanin"/>
          <w:color w:val="111111"/>
          <w:sz w:val="28"/>
          <w:sz w:val="28"/>
          <w:szCs w:val="28"/>
          <w:rtl w:val="true"/>
          <w:lang w:bidi="fa-IR"/>
        </w:rPr>
        <w:t xml:space="preserve">، والآخر بالمرتفع من الأرض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وللتصريح بجواز التيمّم على الأرض في جملة من الأخبار ، 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الرجل طهورا وكان جنبا فليمسح من الأرض </w:t>
      </w:r>
      <w:r>
        <w:rPr>
          <w:rFonts w:eastAsia="Amiri" w:cs="Amiri" w:ascii="Amiri" w:hAnsi="Amiri"/>
          <w:color w:val="111111"/>
          <w:sz w:val="28"/>
          <w:szCs w:val="28"/>
          <w:rtl w:val="true"/>
          <w:lang w:bidi="ar-SA"/>
        </w:rPr>
        <w:t xml:space="preserve">»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 الماء هو ربّ الأرض فليتيمّم </w:t>
      </w:r>
      <w:r>
        <w:rPr>
          <w:rFonts w:eastAsia="Amiri" w:cs="Amiri" w:ascii="Amiri" w:hAnsi="Amiri"/>
          <w:color w:val="111111"/>
          <w:sz w:val="28"/>
          <w:szCs w:val="28"/>
          <w:rtl w:val="true"/>
          <w:lang w:bidi="ar-SA"/>
        </w:rPr>
        <w:t xml:space="preserve">»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فاتك الماء لم تفتك الأرض </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بكفيك على الأرض مرتين ثمَّ تنفضهما </w:t>
      </w:r>
      <w:r>
        <w:rPr>
          <w:rFonts w:eastAsia="Amiri" w:cs="Amiri" w:ascii="Amiri" w:hAnsi="Amiri"/>
          <w:color w:val="111111"/>
          <w:sz w:val="28"/>
          <w:szCs w:val="28"/>
          <w:rtl w:val="true"/>
          <w:lang w:bidi="ar-SA"/>
        </w:rPr>
        <w:t xml:space="preserve">»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الواردة في التيمّم البياني وأنه ضرب بيده على الأرض </w:t>
      </w:r>
      <w:r>
        <w:rPr>
          <w:rStyle w:val="FootnoteAnchor"/>
          <w:rtl w:val="true"/>
        </w:rPr>
        <w:footnoteReference w:id="2480"/>
      </w:r>
      <w:r>
        <w:rPr>
          <w:rFonts w:ascii="Amiri" w:hAnsi="Amiri" w:eastAsia="Amiri" w:cs="Amiri"/>
          <w:color w:val="111111"/>
          <w:sz w:val="28"/>
          <w:sz w:val="28"/>
          <w:szCs w:val="28"/>
          <w:rtl w:val="true"/>
          <w:lang w:bidi="ar-SA"/>
        </w:rPr>
        <w:t xml:space="preserve">، والمصرّحة بكون الأرض مسجدا وطهورا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الصعيد مطلق وجه الأرض ، بل يجوز أن يكون هو التراب الخالص ، كما صرّح به جماعة أخرى من اللغويين ، كما في الصحاح والمجمل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والمفصل والمقاييس </w:t>
      </w:r>
      <w:r>
        <w:rPr>
          <w:rStyle w:val="FootnoteAnchor"/>
          <w:rtl w:val="true"/>
        </w:rPr>
        <w:footnoteReference w:id="2482"/>
      </w:r>
      <w:r>
        <w:rPr>
          <w:rFonts w:ascii="Amiri" w:hAnsi="Amiri" w:eastAsia="Amiri" w:cs="Amiri"/>
          <w:color w:val="111111"/>
          <w:sz w:val="28"/>
          <w:sz w:val="28"/>
          <w:szCs w:val="28"/>
          <w:rtl w:val="true"/>
          <w:lang w:bidi="ar-SA"/>
        </w:rPr>
        <w:t xml:space="preserve">، وشمس العلوم والديوان ونظام الغريب والزينة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والجمهرة ، وعن ابن عباس </w:t>
      </w:r>
    </w:p>
    <w:p>
      <w:pPr>
        <w:pStyle w:val="BookText"/>
        <w:rPr/>
      </w:pPr>
      <w:r>
        <w:rPr>
          <w:rFonts w:ascii="Amiri" w:hAnsi="Amiri" w:eastAsia="Amiri" w:cs="Amiri"/>
          <w:color w:val="111111"/>
          <w:sz w:val="28"/>
          <w:sz w:val="28"/>
          <w:szCs w:val="28"/>
          <w:rtl w:val="true"/>
          <w:lang w:bidi="ar-SA"/>
        </w:rPr>
        <w:t xml:space="preserve">والأصمعي وأبي عبيدة ، وربما ظهر من القاموس ومجمع البحرين </w:t>
      </w:r>
      <w:r>
        <w:rPr>
          <w:rStyle w:val="FootnoteAnchor"/>
          <w:rtl w:val="true"/>
        </w:rPr>
        <w:footnoteReference w:id="2483"/>
      </w:r>
      <w:r>
        <w:rPr>
          <w:rFonts w:ascii="Amiri" w:hAnsi="Amiri" w:eastAsia="Amiri" w:cs="Amiri"/>
          <w:color w:val="111111"/>
          <w:sz w:val="28"/>
          <w:sz w:val="28"/>
          <w:szCs w:val="28"/>
          <w:rtl w:val="true"/>
          <w:lang w:bidi="ar-SA"/>
        </w:rPr>
        <w:t xml:space="preserve">والكنز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 والظاهر من السيد أنه المعروف من اللغويين </w:t>
      </w:r>
      <w:r>
        <w:rPr>
          <w:rStyle w:val="FootnoteAnchor"/>
          <w:rtl w:val="true"/>
        </w:rPr>
        <w:footnoteReference w:id="2484"/>
      </w:r>
      <w:r>
        <w:rPr>
          <w:rFonts w:ascii="Amiri" w:hAnsi="Amiri" w:eastAsia="Amiri" w:cs="Amiri"/>
          <w:color w:val="111111"/>
          <w:sz w:val="28"/>
          <w:sz w:val="28"/>
          <w:szCs w:val="28"/>
          <w:rtl w:val="true"/>
          <w:lang w:bidi="ar-SA"/>
        </w:rPr>
        <w:t xml:space="preserve">، وفسّره النيشابوري به أيضا </w:t>
      </w:r>
      <w:r>
        <w:rPr>
          <w:rStyle w:val="FootnoteAnchor"/>
          <w:rtl w:val="true"/>
        </w:rPr>
        <w:footnoteReference w:id="2485"/>
      </w:r>
      <w:r>
        <w:rPr>
          <w:rFonts w:ascii="Amiri" w:hAnsi="Amiri" w:eastAsia="Amiri" w:cs="Amiri"/>
          <w:color w:val="111111"/>
          <w:sz w:val="28"/>
          <w:sz w:val="28"/>
          <w:szCs w:val="28"/>
          <w:rtl w:val="true"/>
          <w:lang w:bidi="ar-SA"/>
        </w:rPr>
        <w:t xml:space="preserve">، وكذا الشيخ في النهاية </w:t>
      </w:r>
      <w:r>
        <w:rPr>
          <w:rStyle w:val="FootnoteAnchor"/>
          <w:rtl w:val="true"/>
        </w:rPr>
        <w:footnoteReference w:id="2486"/>
      </w:r>
      <w:r>
        <w:rPr>
          <w:rFonts w:ascii="Amiri" w:hAnsi="Amiri" w:eastAsia="Amiri" w:cs="Amiri"/>
          <w:color w:val="111111"/>
          <w:sz w:val="28"/>
          <w:sz w:val="28"/>
          <w:szCs w:val="28"/>
          <w:rtl w:val="true"/>
          <w:lang w:bidi="ar-SA"/>
        </w:rPr>
        <w:t xml:space="preserve">، ونسبه بعض مشايخنا إلى كثير من فقهائنا بل أكثرهم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الأقوال تعارض أقوال المفسّرين له بالأرض ، ويخرج الأخير عن الحجية ، مع أنّ الأول هو الظاهر من الآية </w:t>
      </w:r>
      <w:r>
        <w:rPr>
          <w:rStyle w:val="FootnoteAnchor"/>
          <w:rtl w:val="true"/>
        </w:rPr>
        <w:footnoteReference w:id="2488"/>
      </w:r>
      <w:r>
        <w:rPr>
          <w:rFonts w:ascii="Amiri" w:hAnsi="Amiri" w:eastAsia="Amiri" w:cs="Amiri"/>
          <w:color w:val="111111"/>
          <w:sz w:val="28"/>
          <w:sz w:val="28"/>
          <w:szCs w:val="28"/>
          <w:rtl w:val="true"/>
          <w:lang w:bidi="ar-SA"/>
        </w:rPr>
        <w:t>، لظهور عود الضمير المجرور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الصعيد ، ولا ينافيه إرجاعه في الصحيح إلى التيمم </w:t>
      </w:r>
      <w:r>
        <w:rPr>
          <w:rStyle w:val="FootnoteAnchor"/>
          <w:rtl w:val="true"/>
        </w:rPr>
        <w:footnoteReference w:id="2489"/>
      </w:r>
      <w:r>
        <w:rPr>
          <w:rFonts w:ascii="Amiri" w:hAnsi="Amiri" w:eastAsia="Amiri" w:cs="Amiri"/>
          <w:color w:val="111111"/>
          <w:sz w:val="28"/>
          <w:sz w:val="28"/>
          <w:szCs w:val="28"/>
          <w:rtl w:val="true"/>
          <w:lang w:bidi="ar-SA"/>
        </w:rPr>
        <w:t>، لظهور أنّ المراد به ما يتيمّم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بيده إلى الأرض فوضعهما على الصعيد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وبهما يعارض الخبران </w:t>
      </w:r>
      <w:r>
        <w:rPr>
          <w:rStyle w:val="FootnoteAnchor"/>
          <w:rtl w:val="true"/>
        </w:rPr>
        <w:footnoteReference w:id="2491"/>
      </w:r>
      <w:r>
        <w:rPr>
          <w:rFonts w:ascii="Amiri" w:hAnsi="Amiri" w:eastAsia="Amiri" w:cs="Amiri"/>
          <w:color w:val="111111"/>
          <w:sz w:val="28"/>
          <w:sz w:val="28"/>
          <w:szCs w:val="28"/>
          <w:rtl w:val="true"/>
          <w:lang w:bidi="ar-SA"/>
        </w:rPr>
        <w:t>، مضافا إلى ضعفهما ، مع أنّ الثابت منهما ليس إلاّ الاستعمال الأعم من الحقيقة ، بل لا شك في كونه مجازا ، لمخالفته لكلمات جميع أهل اللغة ، ومع أنّ في المرتفع من الأرض والموضع المرتفع عموما يوجب الإجمال في المراد المسقط للاستدلال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وترجيح جعله اسما للأرض بعد الترديد دفعا للاشتراك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2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ترجيح الاشتراك المعنوي ، وهو مطلقا ممنوع ، كما بيّنّاه 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إرادة التراب من الأرض ، للمروي في الخصال والعلل ، بإسنادهما عن جابر ، عن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لك ولأمتك الأرض كلّها مسجدا وترابها طهورا </w:t>
      </w:r>
      <w:r>
        <w:rPr>
          <w:rFonts w:eastAsia="IRNazanin" w:cs="IRNazanin"/>
          <w:color w:val="111111"/>
          <w:sz w:val="28"/>
          <w:szCs w:val="28"/>
          <w:rtl w:val="true"/>
          <w:lang w:bidi="fa-IR"/>
        </w:rPr>
        <w:t xml:space="preserve">»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الناصريات والتذكرة وغيرهما من 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لي الأرض مسجدا وترابها طهورا </w:t>
      </w:r>
      <w:r>
        <w:rPr>
          <w:rFonts w:eastAsia="IRNazanin" w:cs="IRNazanin"/>
          <w:color w:val="111111"/>
          <w:sz w:val="28"/>
          <w:szCs w:val="28"/>
          <w:rtl w:val="true"/>
          <w:lang w:bidi="fa-IR"/>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فإنهما دلاّ على عدم كون الأرض طهورا ، لا باعتبار مفهوم اللقب ، كما توهّمه المحقّق فردّه بذلك </w:t>
      </w:r>
      <w:r>
        <w:rPr>
          <w:rStyle w:val="FootnoteAnchor"/>
          <w:rtl w:val="true"/>
        </w:rPr>
        <w:footnoteReference w:id="2495"/>
      </w:r>
      <w:r>
        <w:rPr>
          <w:rFonts w:ascii="Amiri" w:hAnsi="Amiri" w:eastAsia="Amiri" w:cs="Amiri"/>
          <w:color w:val="111111"/>
          <w:sz w:val="28"/>
          <w:sz w:val="28"/>
          <w:szCs w:val="28"/>
          <w:rtl w:val="true"/>
          <w:lang w:bidi="ar-SA"/>
        </w:rPr>
        <w:t>، بل باعتبار اقتضاء التفصيل لقطع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ما ورد بذلك المضمون من غير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وترابها </w:t>
      </w:r>
      <w:r>
        <w:rPr>
          <w:rFonts w:eastAsia="Amiri" w:cs="Amiri" w:ascii="Amiri" w:hAnsi="Amiri"/>
          <w:color w:val="111111"/>
          <w:sz w:val="28"/>
          <w:szCs w:val="28"/>
          <w:rtl w:val="true"/>
          <w:lang w:bidi="ar-SA"/>
        </w:rPr>
        <w:t xml:space="preserve">» </w:t>
      </w:r>
      <w:r>
        <w:rPr>
          <w:rStyle w:val="FootnoteAnchor"/>
          <w:rtl w:val="true"/>
        </w:rPr>
        <w:footnoteReference w:id="2496"/>
      </w:r>
      <w:r>
        <w:rPr>
          <w:rFonts w:ascii="Amiri" w:hAnsi="Amiri" w:eastAsia="Amiri" w:cs="Amiri"/>
          <w:color w:val="111111"/>
          <w:sz w:val="28"/>
          <w:sz w:val="28"/>
          <w:szCs w:val="28"/>
          <w:rtl w:val="true"/>
          <w:lang w:bidi="ar-SA"/>
        </w:rPr>
        <w:t>، لأنّ غايته الإطلاق الواجب تقييده بعد وجود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ضعف إسنادهما ، مع أنّ بعض متأخّري المحدّثين وصف الحديث بالمشهور </w:t>
      </w:r>
      <w:r>
        <w:rPr>
          <w:rStyle w:val="FootnoteAnchor"/>
          <w:rtl w:val="true"/>
        </w:rPr>
        <w:footnoteReference w:id="2497"/>
      </w:r>
      <w:r>
        <w:rPr>
          <w:rFonts w:ascii="Amiri" w:hAnsi="Amiri" w:eastAsia="Amiri" w:cs="Amiri"/>
          <w:color w:val="111111"/>
          <w:sz w:val="28"/>
          <w:sz w:val="28"/>
          <w:szCs w:val="28"/>
          <w:rtl w:val="true"/>
          <w:lang w:bidi="ar-SA"/>
        </w:rPr>
        <w:t xml:space="preserve">، فضعفه به مجبور ، مضافا إلى أن عدم عمل السيد بخبر الآحاد معروف ، فاحتجاجه به دليل على قطعيته عنده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ولصحيحتي رفاعة وابن المغيرة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الأرض مبتلّة ليس فيها تراب ولا ماء ، فانظر أجفّ موضع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توسيع من اللّه ، فإن كان في ثلج فلينظر لبد سرجه فليتيمّم من غباره أو شي‌ء مغبر ، وإن كان في حال لا يجد إلاّ الطين فلا بأس أن يتيمّم به </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وقريبة منها الثانية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بالمفهوم على عدم كفاية غير التراب والماء مع وجودهما ، وأنه لا يكفي الطين الذي هو أيضا من الأرض اختيارا ، فيكون إطلاق الأرض في بعض الروايات مقيّدا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انصراف مطلقها إلى التراب ، دون غيره من الحجر ونحوه ، لندرته ، وغلبة التراب ، وأكمليته في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إمكان حمل قول من فسّر الصعيد بالأرض على التراب ، بل هو الظاهر من دعوى الزجاج المتقدمة </w:t>
      </w:r>
      <w:r>
        <w:rPr>
          <w:rStyle w:val="FootnoteAnchor"/>
          <w:rtl w:val="true"/>
        </w:rPr>
        <w:footnoteReference w:id="2501"/>
      </w:r>
      <w:r>
        <w:rPr>
          <w:rFonts w:ascii="Amiri" w:hAnsi="Amiri" w:eastAsia="Amiri" w:cs="Amiri"/>
          <w:color w:val="111111"/>
          <w:sz w:val="28"/>
          <w:sz w:val="28"/>
          <w:szCs w:val="28"/>
          <w:rtl w:val="true"/>
          <w:lang w:bidi="ar-SA"/>
        </w:rPr>
        <w:t>، إذ لو حمل مراده على مطلق الأرض لكان مخالفا لكثير من اللغويين ، ويبعد غايته عدم وقوفه على كلامهم أو عدم اعتنائه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كون المراد بالأرض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 في روايات أخر ، والأخبار الدالّة على اشتراط العلوق ، والآمرة بالنفض</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عدم نهوض كثير من المطلقات المذكورة لإثبات مطلوبهم ، كصحيحة ابن سنان </w:t>
      </w:r>
      <w:r>
        <w:rPr>
          <w:rStyle w:val="FootnoteAnchor"/>
          <w:rtl w:val="true"/>
        </w:rPr>
        <w:footnoteReference w:id="2502"/>
      </w:r>
      <w:r>
        <w:rPr>
          <w:rFonts w:ascii="Amiri" w:hAnsi="Amiri" w:eastAsia="Amiri" w:cs="Amiri"/>
          <w:color w:val="111111"/>
          <w:sz w:val="28"/>
          <w:sz w:val="28"/>
          <w:szCs w:val="28"/>
          <w:rtl w:val="true"/>
          <w:lang w:bidi="ar-SA"/>
        </w:rPr>
        <w:t xml:space="preserve">، فإنّها لتضمّنها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التراب ، فإنه الذي يمكن فيه المسح بنفض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إطلاقها لم يفد أيضا ، لجواز أن يكون المراد بالطهور فيها الماء والتراب معا كما وقع التصريح به في الأخبار المتكثّرة ، فيكون المطلق كافيا بعد العجز ، ولا كلام فيه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وأخبار التيمّمات البيانية </w:t>
      </w:r>
      <w:r>
        <w:rPr>
          <w:rStyle w:val="FootnoteAnchor"/>
          <w:rtl w:val="true"/>
        </w:rPr>
        <w:footnoteReference w:id="2503"/>
      </w:r>
      <w:r>
        <w:rPr>
          <w:rFonts w:ascii="Amiri" w:hAnsi="Amiri" w:eastAsia="Amiri" w:cs="Amiri"/>
          <w:color w:val="111111"/>
          <w:sz w:val="28"/>
          <w:sz w:val="28"/>
          <w:szCs w:val="28"/>
          <w:rtl w:val="true"/>
          <w:lang w:bidi="ar-SA"/>
        </w:rPr>
        <w:t>، فإنّ الإطلاق في الإخبار عن الواقعة لا يدلّ على كفاية جميع أفراد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ليث </w:t>
      </w:r>
      <w:r>
        <w:rPr>
          <w:rStyle w:val="FootnoteAnchor"/>
          <w:rtl w:val="true"/>
        </w:rPr>
        <w:footnoteReference w:id="2504"/>
      </w:r>
      <w:r>
        <w:rPr>
          <w:rFonts w:ascii="Amiri" w:hAnsi="Amiri" w:eastAsia="Amiri" w:cs="Amiri"/>
          <w:color w:val="111111"/>
          <w:sz w:val="28"/>
          <w:sz w:val="28"/>
          <w:szCs w:val="28"/>
          <w:rtl w:val="true"/>
          <w:lang w:bidi="ar-SA"/>
        </w:rPr>
        <w:t>، فإنّ الأمر بالنفض فيها ظاهر في أنّ المراد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ظهر ضعف هذه الوجوه ، والأصل عدم توقيف التيمّم بمطلق ما يصدق عليه الأرض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كما ذهب إليه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Style w:val="FootnoteAnchor"/>
          <w:rtl w:val="true"/>
        </w:rPr>
        <w:footnoteReference w:id="2505"/>
      </w:r>
      <w:r>
        <w:rPr>
          <w:rFonts w:ascii="Amiri" w:hAnsi="Amiri" w:eastAsia="Amiri" w:cs="Amiri"/>
          <w:color w:val="111111"/>
          <w:sz w:val="28"/>
          <w:sz w:val="28"/>
          <w:szCs w:val="28"/>
          <w:rtl w:val="true"/>
          <w:lang w:bidi="ar-SA"/>
        </w:rPr>
        <w:t xml:space="preserve">والحلبيان </w:t>
      </w:r>
      <w:r>
        <w:rPr>
          <w:rStyle w:val="FootnoteAnchor"/>
          <w:rtl w:val="true"/>
        </w:rPr>
        <w:footnoteReference w:id="2506"/>
      </w:r>
      <w:r>
        <w:rPr>
          <w:rFonts w:ascii="Amiri" w:hAnsi="Amiri" w:eastAsia="Amiri" w:cs="Amiri"/>
          <w:color w:val="111111"/>
          <w:sz w:val="28"/>
          <w:sz w:val="28"/>
          <w:szCs w:val="28"/>
          <w:rtl w:val="true"/>
          <w:lang w:bidi="ar-SA"/>
        </w:rPr>
        <w:t xml:space="preserve">والإسكافي </w:t>
      </w:r>
      <w:r>
        <w:rPr>
          <w:rStyle w:val="FootnoteAnchor"/>
          <w:rtl w:val="true"/>
        </w:rPr>
        <w:footnoteReference w:id="2507"/>
      </w:r>
      <w:r>
        <w:rPr>
          <w:rFonts w:ascii="IRNazanin" w:hAnsi="IRNazanin" w:eastAsia="IRNazanin"/>
          <w:color w:val="111111"/>
          <w:sz w:val="28"/>
          <w:sz w:val="28"/>
          <w:szCs w:val="28"/>
          <w:rtl w:val="true"/>
          <w:lang w:bidi="fa-IR"/>
        </w:rPr>
        <w:t xml:space="preserve">والنافع </w:t>
      </w:r>
      <w:r>
        <w:rPr>
          <w:rStyle w:val="FootnoteAnchor"/>
          <w:rtl w:val="true"/>
        </w:rPr>
        <w:footnoteReference w:id="2508"/>
      </w:r>
      <w:r>
        <w:rPr>
          <w:rFonts w:ascii="Amiri" w:hAnsi="Amiri" w:eastAsia="Amiri" w:cs="Amiri"/>
          <w:color w:val="111111"/>
          <w:sz w:val="28"/>
          <w:sz w:val="28"/>
          <w:szCs w:val="28"/>
          <w:rtl w:val="true"/>
          <w:lang w:bidi="ar-SA"/>
        </w:rPr>
        <w:t xml:space="preserve">، بل يظهر من الناصريات الإجماع عليه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بالحجر ، وفاقا للناصريات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والإسكافي ونهاية الشيخ والسرائر وعن التهذيب والغنية والوسيلة والمراسم والجامع </w:t>
      </w:r>
      <w:r>
        <w:rPr>
          <w:rStyle w:val="FootnoteAnchor"/>
          <w:rtl w:val="true"/>
        </w:rPr>
        <w:footnoteReference w:id="2510"/>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كلّ من اشترط العلوق </w:t>
      </w:r>
      <w:r>
        <w:rPr>
          <w:rStyle w:val="FootnoteAnchor"/>
          <w:rtl w:val="true"/>
        </w:rPr>
        <w:footnoteReference w:id="2511"/>
      </w:r>
      <w:r>
        <w:rPr>
          <w:rFonts w:ascii="Amiri" w:hAnsi="Amiri" w:eastAsia="Amiri" w:cs="Amiri"/>
          <w:color w:val="111111"/>
          <w:sz w:val="28"/>
          <w:sz w:val="28"/>
          <w:szCs w:val="28"/>
          <w:rtl w:val="true"/>
          <w:lang w:bidi="ar-SA"/>
        </w:rPr>
        <w:t xml:space="preserve">، ومال إليه شيخنا البهائي </w:t>
      </w:r>
      <w:r>
        <w:rPr>
          <w:rStyle w:val="FootnoteAnchor"/>
          <w:rtl w:val="true"/>
        </w:rPr>
        <w:footnoteReference w:id="2512"/>
      </w:r>
      <w:r>
        <w:rPr>
          <w:rFonts w:ascii="Amiri" w:hAnsi="Amiri" w:eastAsia="Amiri" w:cs="Amiri"/>
          <w:color w:val="111111"/>
          <w:sz w:val="28"/>
          <w:sz w:val="28"/>
          <w:szCs w:val="28"/>
          <w:rtl w:val="true"/>
          <w:lang w:bidi="ar-SA"/>
        </w:rPr>
        <w:t xml:space="preserve">، ونسبه جماعة إلى الأكثر ، وبعض مشايخنا إلى الأعاظم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الأعاظم منعوا عنه ، مع كثرتهم وكونهم المؤسّسين لمذهب الشيعة ورؤساءهم </w:t>
      </w:r>
    </w:p>
    <w:p>
      <w:pPr>
        <w:pStyle w:val="BookText"/>
        <w:rPr/>
      </w:pPr>
      <w:r>
        <w:rPr>
          <w:rFonts w:ascii="Amiri" w:hAnsi="Amiri" w:eastAsia="Amiri" w:cs="Amiri"/>
          <w:color w:val="111111"/>
          <w:sz w:val="28"/>
          <w:sz w:val="28"/>
          <w:szCs w:val="28"/>
          <w:rtl w:val="true"/>
          <w:lang w:bidi="ar-SA"/>
        </w:rPr>
        <w:t xml:space="preserve">المشهورين وعمدهم المعروفين </w:t>
      </w:r>
      <w:r>
        <w:rPr>
          <w:rStyle w:val="FootnoteAnchor"/>
          <w:rtl w:val="true"/>
        </w:rPr>
        <w:footnoteReference w:id="2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دعوى شهرة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وتوقيفية العبادة ، وتعليق الطهورية بالتراب ، وصحيحتي رفاعة وابن المغيرة السابقتين </w:t>
      </w:r>
      <w:r>
        <w:rPr>
          <w:rStyle w:val="FootnoteAnchor"/>
          <w:rtl w:val="true"/>
        </w:rPr>
        <w:footnoteReference w:id="2514"/>
      </w:r>
      <w:r>
        <w:rPr>
          <w:rFonts w:ascii="Amiri" w:hAnsi="Amiri" w:eastAsia="Amiri" w:cs="Amiri"/>
          <w:color w:val="111111"/>
          <w:sz w:val="28"/>
          <w:sz w:val="28"/>
          <w:szCs w:val="28"/>
          <w:rtl w:val="true"/>
          <w:lang w:bidi="ar-SA"/>
        </w:rPr>
        <w:t xml:space="preserve">، بل صحيحة ابن سنان بالتقريب المتقدّم </w:t>
      </w:r>
      <w:r>
        <w:rPr>
          <w:rStyle w:val="FootnoteAnchor"/>
          <w:rtl w:val="true"/>
        </w:rPr>
        <w:footnoteReference w:id="2515"/>
      </w:r>
      <w:r>
        <w:rPr>
          <w:rFonts w:ascii="Amiri" w:hAnsi="Amiri" w:eastAsia="Amiri" w:cs="Amiri"/>
          <w:color w:val="111111"/>
          <w:sz w:val="28"/>
          <w:sz w:val="28"/>
          <w:szCs w:val="28"/>
          <w:rtl w:val="true"/>
          <w:lang w:bidi="ar-SA"/>
        </w:rPr>
        <w:t>، وتؤيّده أدلّة العلوق وأخبار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والخلاف والجمل والمصباح والبيان والدروس واللمعة والكفاية </w:t>
      </w:r>
      <w:r>
        <w:rPr>
          <w:rStyle w:val="FootnoteAnchor"/>
          <w:rtl w:val="true"/>
        </w:rPr>
        <w:footnoteReference w:id="2516"/>
      </w:r>
      <w:r>
        <w:rPr>
          <w:rFonts w:ascii="Amiri" w:hAnsi="Amiri" w:eastAsia="Amiri" w:cs="Amiri"/>
          <w:color w:val="111111"/>
          <w:sz w:val="28"/>
          <w:sz w:val="28"/>
          <w:szCs w:val="28"/>
          <w:rtl w:val="true"/>
          <w:lang w:bidi="ar-SA"/>
        </w:rPr>
        <w:t xml:space="preserve">، واللوامع والمعتمد ، والفاضلين في غير النافع والنهاية </w:t>
      </w:r>
      <w:r>
        <w:rPr>
          <w:rStyle w:val="FootnoteAnchor"/>
          <w:rtl w:val="true"/>
        </w:rPr>
        <w:footnoteReference w:id="2517"/>
      </w:r>
      <w:r>
        <w:rPr>
          <w:rFonts w:ascii="Amiri" w:hAnsi="Amiri" w:eastAsia="Amiri" w:cs="Amiri"/>
          <w:color w:val="111111"/>
          <w:sz w:val="28"/>
          <w:sz w:val="28"/>
          <w:szCs w:val="28"/>
          <w:rtl w:val="true"/>
          <w:lang w:bidi="ar-SA"/>
        </w:rPr>
        <w:t xml:space="preserve">فتردّدا فيهما </w:t>
      </w:r>
      <w:r>
        <w:rPr>
          <w:rStyle w:val="FootnoteAnchor"/>
          <w:rtl w:val="true"/>
        </w:rPr>
        <w:footnoteReference w:id="2518"/>
      </w:r>
      <w:r>
        <w:rPr>
          <w:rFonts w:ascii="Amiri" w:hAnsi="Amiri" w:eastAsia="Amiri" w:cs="Amiri"/>
          <w:color w:val="111111"/>
          <w:sz w:val="28"/>
          <w:sz w:val="28"/>
          <w:szCs w:val="28"/>
          <w:rtl w:val="true"/>
          <w:lang w:bidi="ar-SA"/>
        </w:rPr>
        <w:t xml:space="preserve">، ونسب إلى الشهرة المتأخّرة بل المطلقة </w:t>
      </w:r>
      <w:r>
        <w:rPr>
          <w:rStyle w:val="FootnoteAnchor"/>
          <w:rtl w:val="true"/>
        </w:rPr>
        <w:footnoteReference w:id="2519"/>
      </w:r>
      <w:r>
        <w:rPr>
          <w:rFonts w:ascii="Amiri" w:hAnsi="Amiri" w:eastAsia="Amiri" w:cs="Amiri"/>
          <w:color w:val="111111"/>
          <w:sz w:val="28"/>
          <w:sz w:val="28"/>
          <w:szCs w:val="28"/>
          <w:rtl w:val="true"/>
          <w:lang w:bidi="ar-SA"/>
        </w:rPr>
        <w:t xml:space="preserve">، وعن الطبرسي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لاستصحاب جواز التيمّم عليه قبل التحجر ، وصدق الأرض ، والمرويين في الدعائم ونوادر الراوندي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التيمّم بالجصّ ولا بالرماد ولا بالنورة ، ويجزي بالصفا الثابت </w:t>
      </w:r>
      <w:r>
        <w:rPr>
          <w:rStyle w:val="FootnoteAnchor"/>
          <w:rtl w:val="true"/>
        </w:rPr>
        <w:footnoteReference w:id="2521"/>
      </w:r>
      <w:r>
        <w:rPr>
          <w:rFonts w:ascii="Amiri" w:hAnsi="Amiri" w:eastAsia="Amiri" w:cs="Amiri"/>
          <w:color w:val="111111"/>
          <w:sz w:val="28"/>
          <w:sz w:val="28"/>
          <w:szCs w:val="28"/>
          <w:rtl w:val="true"/>
          <w:lang w:bidi="ar-SA"/>
        </w:rPr>
        <w:t xml:space="preserve">في الأرض إذا كان عليه غبار ولم يكن مبلولا </w:t>
      </w:r>
      <w:r>
        <w:rPr>
          <w:rFonts w:eastAsia="Amiri" w:cs="Amiri" w:ascii="Amiri" w:hAnsi="Amiri"/>
          <w:color w:val="111111"/>
          <w:sz w:val="28"/>
          <w:szCs w:val="28"/>
          <w:rtl w:val="true"/>
          <w:lang w:bidi="ar-SA"/>
        </w:rPr>
        <w:t xml:space="preserve">»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أيتمّم بالصفا الثابتة </w:t>
      </w:r>
      <w:r>
        <w:rPr>
          <w:rStyle w:val="FootnoteAnchor"/>
          <w:rtl w:val="true"/>
        </w:rPr>
        <w:footnoteReference w:id="2523"/>
      </w:r>
      <w:r>
        <w:rPr>
          <w:rFonts w:ascii="IRNazanin" w:hAnsi="IRNazanin" w:eastAsia="IRNazanin"/>
          <w:color w:val="111111"/>
          <w:sz w:val="28"/>
          <w:sz w:val="28"/>
          <w:szCs w:val="28"/>
          <w:rtl w:val="true"/>
          <w:lang w:bidi="fa-IR"/>
        </w:rPr>
        <w:t xml:space="preserve">على وجه الأرض؟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524"/>
      </w:r>
      <w:r>
        <w:rPr>
          <w:rFonts w:ascii="IRNazanin" w:hAnsi="IRNazanin" w:eastAsia="IRNazanin"/>
          <w:color w:val="111111"/>
          <w:sz w:val="28"/>
          <w:sz w:val="28"/>
          <w:szCs w:val="28"/>
          <w:rtl w:val="true"/>
          <w:lang w:bidi="fa-IR"/>
        </w:rPr>
        <w:t>والصفا هو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بالجصّ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إنّه ليس يخرج من الأرض إنما يخرج من الشجر </w:t>
      </w:r>
      <w:r>
        <w:rPr>
          <w:rFonts w:eastAsia="Amiri" w:cs="Amiri" w:ascii="Amiri" w:hAnsi="Amiri"/>
          <w:color w:val="111111"/>
          <w:sz w:val="28"/>
          <w:szCs w:val="28"/>
          <w:rtl w:val="true"/>
          <w:lang w:bidi="ar-SA"/>
        </w:rPr>
        <w:t xml:space="preserve">» </w:t>
      </w:r>
      <w:r>
        <w:rPr>
          <w:rStyle w:val="FootnoteAnchor"/>
          <w:rtl w:val="true"/>
        </w:rPr>
        <w:footnoteReference w:id="2525"/>
      </w:r>
      <w:r>
        <w:rPr>
          <w:rFonts w:ascii="Amiri" w:hAnsi="Amiri" w:eastAsia="Amiri" w:cs="Amiri"/>
          <w:color w:val="111111"/>
          <w:sz w:val="28"/>
          <w:sz w:val="28"/>
          <w:szCs w:val="28"/>
          <w:rtl w:val="true"/>
          <w:lang w:bidi="ar-SA"/>
        </w:rPr>
        <w:t>دلّت على أنّ الخروج من الأرض علّة لجواز التيمّم ، والحجر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وتجويز التيمّم باللبن في الموثّق </w:t>
      </w:r>
      <w:r>
        <w:rPr>
          <w:rStyle w:val="FootnoteAnchor"/>
          <w:rtl w:val="true"/>
        </w:rPr>
        <w:footnoteReference w:id="2526"/>
      </w:r>
      <w:r>
        <w:rPr>
          <w:rFonts w:ascii="Amiri" w:hAnsi="Amiri" w:eastAsia="Amiri" w:cs="Amiri"/>
          <w:color w:val="111111"/>
          <w:sz w:val="28"/>
          <w:sz w:val="28"/>
          <w:szCs w:val="28"/>
          <w:rtl w:val="true"/>
          <w:lang w:bidi="ar-SA"/>
        </w:rPr>
        <w:t>، وعدم القول بالفرق بينه وبين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للجواز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الحجر تراب اكتسبت رطوبة لزجة وعملت فيه الحرارة فأفادته استمساكا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كلّ حجر أصله ترابا ، فلعلّه مخلوق أولا ، أو متكوّن من الماء أو منه ومن التراب معا ، وعلى فرض التسليم يدفع استصحاب الجواز ببعض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بعدم معلومية كون الحجر أرضا فيتّجه منعه ، بل ظاهر الإسكافي المنع من كونه منها </w:t>
      </w:r>
      <w:r>
        <w:rPr>
          <w:rStyle w:val="FootnoteAnchor"/>
          <w:rtl w:val="true"/>
        </w:rPr>
        <w:footnoteReference w:id="2528"/>
      </w:r>
      <w:r>
        <w:rPr>
          <w:rFonts w:ascii="Amiri" w:hAnsi="Amiri" w:eastAsia="Amiri" w:cs="Amiri"/>
          <w:color w:val="111111"/>
          <w:sz w:val="28"/>
          <w:sz w:val="28"/>
          <w:szCs w:val="28"/>
          <w:rtl w:val="true"/>
          <w:lang w:bidi="ar-SA"/>
        </w:rPr>
        <w:t xml:space="preserve">، وهو الظاهر من السرائر أيضا </w:t>
      </w:r>
      <w:r>
        <w:rPr>
          <w:rStyle w:val="FootnoteAnchor"/>
          <w:rtl w:val="true"/>
        </w:rPr>
        <w:footnoteReference w:id="2529"/>
      </w:r>
      <w:r>
        <w:rPr>
          <w:rFonts w:ascii="Amiri" w:hAnsi="Amiri" w:eastAsia="Amiri" w:cs="Amiri"/>
          <w:color w:val="111111"/>
          <w:sz w:val="28"/>
          <w:sz w:val="28"/>
          <w:szCs w:val="28"/>
          <w:rtl w:val="true"/>
          <w:lang w:bidi="ar-SA"/>
        </w:rPr>
        <w:t xml:space="preserve">، وصرّح بالمنع بعض المعاصرين </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على كونه أرضا غير مسموعة ، بل الظاهر عدم الصدق ، لعدم التبادر ، وصحة السلب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بمنع الجواز في مطلق الأرض ، كما مرّ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الروايتين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وانجبارهما بدعوى الشهرة إنما كان إذا لم تعارضها دعواها على الخلاف ، مع أنهما أعمّان من صورة فقد التراب ، </w:t>
      </w:r>
    </w:p>
    <w:p>
      <w:pPr>
        <w:pStyle w:val="BookText"/>
        <w:rPr/>
      </w:pPr>
      <w:r>
        <w:rPr>
          <w:rFonts w:ascii="Amiri" w:hAnsi="Amiri" w:eastAsia="Amiri" w:cs="Amiri"/>
          <w:color w:val="111111"/>
          <w:sz w:val="28"/>
          <w:sz w:val="28"/>
          <w:szCs w:val="28"/>
          <w:rtl w:val="true"/>
          <w:lang w:bidi="ar-SA"/>
        </w:rPr>
        <w:t xml:space="preserve">فتخصّصان بها للصحيحين المتقدّمين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مدلولها علّية عدم الخروج لعدم الجواز ، دون علّية الخروج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ترابا ، ولو صحّ ذلك جرى في المعادن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ما اخترناه من عدم الجواز ، فهل يختص بحال الاختيار ، ويجوز مع فقد التراب التيمّم بالأحجار ، كما هو صريح الشيخين والديلمي والحلّي والوسيلة والجامع </w:t>
      </w:r>
      <w:r>
        <w:rPr>
          <w:rStyle w:val="FootnoteAnchor"/>
          <w:rtl w:val="true"/>
        </w:rPr>
        <w:footnoteReference w:id="2532"/>
      </w:r>
      <w:r>
        <w:rPr>
          <w:rFonts w:ascii="Amiri" w:hAnsi="Amiri" w:eastAsia="Amiri" w:cs="Amiri"/>
          <w:color w:val="111111"/>
          <w:sz w:val="28"/>
          <w:sz w:val="28"/>
          <w:szCs w:val="28"/>
          <w:rtl w:val="true"/>
          <w:lang w:bidi="ar-SA"/>
        </w:rPr>
        <w:t xml:space="preserve">، وعليه الإجماع عن المختلف والروضة </w:t>
      </w:r>
      <w:r>
        <w:rPr>
          <w:rStyle w:val="FootnoteAnchor"/>
          <w:rtl w:val="true"/>
        </w:rPr>
        <w:footnoteReference w:id="2533"/>
      </w:r>
      <w:r>
        <w:rPr>
          <w:rFonts w:ascii="Amiri" w:hAnsi="Amiri" w:eastAsia="Amiri" w:cs="Amiri"/>
          <w:color w:val="111111"/>
          <w:sz w:val="28"/>
          <w:sz w:val="28"/>
          <w:szCs w:val="28"/>
          <w:rtl w:val="true"/>
          <w:lang w:bidi="ar-SA"/>
        </w:rPr>
        <w:t xml:space="preserve">، أو يعمّ المنع ، كما هو ظاهر إطلاق بعض المانعين </w:t>
      </w:r>
      <w:r>
        <w:rPr>
          <w:rStyle w:val="FootnoteAnchor"/>
          <w:rtl w:val="true"/>
        </w:rPr>
        <w:footnoteReference w:id="2534"/>
      </w:r>
      <w:r>
        <w:rPr>
          <w:rFonts w:ascii="Amiri" w:hAnsi="Amiri" w:eastAsia="Amiri" w:cs="Amiri"/>
          <w:color w:val="111111"/>
          <w:sz w:val="28"/>
          <w:sz w:val="28"/>
          <w:szCs w:val="28"/>
          <w:rtl w:val="true"/>
          <w:lang w:bidi="ar-SA"/>
        </w:rPr>
        <w:t xml:space="preserve">؟ الحقّ هو الأول ، لخبري الدعائم والنوادر </w:t>
      </w:r>
      <w:r>
        <w:rPr>
          <w:rStyle w:val="FootnoteAnchor"/>
          <w:rtl w:val="true"/>
        </w:rPr>
        <w:footnoteReference w:id="2535"/>
      </w:r>
      <w:r>
        <w:rPr>
          <w:rFonts w:ascii="Amiri" w:hAnsi="Amiri" w:eastAsia="Amiri" w:cs="Amiri"/>
          <w:color w:val="111111"/>
          <w:sz w:val="28"/>
          <w:sz w:val="28"/>
          <w:szCs w:val="28"/>
          <w:rtl w:val="true"/>
          <w:lang w:bidi="ar-SA"/>
        </w:rPr>
        <w:t>، المنجبرين بما ذكر هنا قطعا ، الخالي عن معارضة دعوى الشهرة على الخلاف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عليه اسم الأرض ، جاز التيمّم به مع التراب أيضا ، وإلاّ امتنع مع فقده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يجوز مع فقده لا لصدق الأرض ، بل لدليل آخر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التيمّم بشي‌ء من المعادن غير التراب ، أو الأرض أيضا على القول به ، بالإجماع كما في المنتهى </w:t>
      </w:r>
      <w:r>
        <w:rPr>
          <w:rStyle w:val="FootnoteAnchor"/>
          <w:rtl w:val="true"/>
        </w:rPr>
        <w:footnoteReference w:id="2537"/>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الخلاف فيها إلى </w:t>
      </w:r>
    </w:p>
    <w:p>
      <w:pPr>
        <w:pStyle w:val="BookText"/>
        <w:rPr/>
      </w:pPr>
      <w:r>
        <w:rPr>
          <w:rFonts w:ascii="Amiri" w:hAnsi="Amiri" w:eastAsia="Amiri" w:cs="Amiri"/>
          <w:color w:val="111111"/>
          <w:sz w:val="28"/>
          <w:sz w:val="28"/>
          <w:szCs w:val="28"/>
          <w:rtl w:val="true"/>
          <w:lang w:bidi="ar-SA"/>
        </w:rPr>
        <w:t xml:space="preserve">العماني </w:t>
      </w:r>
      <w:r>
        <w:rPr>
          <w:rStyle w:val="FootnoteAnchor"/>
          <w:rtl w:val="true"/>
        </w:rPr>
        <w:footnoteReference w:id="2538"/>
      </w:r>
      <w:r>
        <w:rPr>
          <w:rFonts w:ascii="IRNazanin" w:hAnsi="IRNazanin" w:eastAsia="IRNazanin"/>
          <w:color w:val="111111"/>
          <w:sz w:val="28"/>
          <w:sz w:val="28"/>
          <w:szCs w:val="28"/>
          <w:rtl w:val="true"/>
          <w:lang w:bidi="fa-IR"/>
        </w:rPr>
        <w:t>، لخروجها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بالرماد وإن كان من التراب ، بالإجماع المحقّق والمحكي في المنتهى </w:t>
      </w:r>
      <w:r>
        <w:rPr>
          <w:rStyle w:val="FootnoteAnchor"/>
          <w:rtl w:val="true"/>
        </w:rPr>
        <w:footnoteReference w:id="2539"/>
      </w:r>
      <w:r>
        <w:rPr>
          <w:rFonts w:ascii="Amiri" w:hAnsi="Amiri" w:eastAsia="Amiri" w:cs="Amiri"/>
          <w:color w:val="111111"/>
          <w:sz w:val="28"/>
          <w:sz w:val="28"/>
          <w:szCs w:val="28"/>
          <w:rtl w:val="true"/>
          <w:lang w:bidi="ar-SA"/>
        </w:rPr>
        <w:t xml:space="preserve">وغيره </w:t>
      </w:r>
      <w:r>
        <w:rPr>
          <w:rStyle w:val="FootnoteAnchor"/>
          <w:rtl w:val="true"/>
        </w:rPr>
        <w:footnoteReference w:id="2540"/>
      </w:r>
      <w:r>
        <w:rPr>
          <w:rFonts w:ascii="Amiri" w:hAnsi="Amiri" w:eastAsia="Amiri" w:cs="Amiri"/>
          <w:color w:val="111111"/>
          <w:sz w:val="28"/>
          <w:sz w:val="28"/>
          <w:szCs w:val="28"/>
          <w:rtl w:val="true"/>
          <w:lang w:bidi="ar-SA"/>
        </w:rPr>
        <w:t xml:space="preserve">، لما ذكر ، وروايتي السكوني والدعائم ، المتقدّمتين </w:t>
      </w:r>
      <w:r>
        <w:rPr>
          <w:rStyle w:val="FootnoteAnchor"/>
          <w:rtl w:val="true"/>
        </w:rPr>
        <w:footnoteReference w:id="2541"/>
      </w:r>
      <w:r>
        <w:rPr>
          <w:rFonts w:ascii="Amiri" w:hAnsi="Amiri" w:eastAsia="Amiri" w:cs="Amiri"/>
          <w:color w:val="111111"/>
          <w:sz w:val="28"/>
          <w:sz w:val="28"/>
          <w:szCs w:val="28"/>
          <w:rtl w:val="true"/>
          <w:lang w:bidi="ar-SA"/>
        </w:rPr>
        <w:t xml:space="preserve">، والمروي في النوادر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بالرماد ، لأنه لم يخرج من الأرض </w:t>
      </w:r>
      <w:r>
        <w:rPr>
          <w:rFonts w:eastAsia="Amiri" w:cs="Amiri" w:ascii="Amiri" w:hAnsi="Amiri"/>
          <w:color w:val="111111"/>
          <w:sz w:val="28"/>
          <w:szCs w:val="28"/>
          <w:rtl w:val="true"/>
          <w:lang w:bidi="ar-SA"/>
        </w:rPr>
        <w:t xml:space="preserve">»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بالخزف والآجر ، وفاقا للإسكافي </w:t>
      </w:r>
      <w:r>
        <w:rPr>
          <w:rStyle w:val="FootnoteAnchor"/>
          <w:rtl w:val="true"/>
        </w:rPr>
        <w:footnoteReference w:id="2543"/>
      </w:r>
      <w:r>
        <w:rPr>
          <w:rFonts w:ascii="IRNazanin" w:hAnsi="IRNazanin" w:eastAsia="IRNazanin"/>
          <w:color w:val="111111"/>
          <w:sz w:val="28"/>
          <w:sz w:val="28"/>
          <w:szCs w:val="28"/>
          <w:rtl w:val="true"/>
          <w:lang w:bidi="fa-IR"/>
        </w:rPr>
        <w:t xml:space="preserve">، والمعتبر </w:t>
      </w:r>
      <w:r>
        <w:rPr>
          <w:rStyle w:val="FootnoteAnchor"/>
          <w:rtl w:val="true"/>
        </w:rPr>
        <w:footnoteReference w:id="2544"/>
      </w:r>
      <w:r>
        <w:rPr>
          <w:rFonts w:ascii="Amiri" w:hAnsi="Amiri" w:eastAsia="Amiri" w:cs="Amiri"/>
          <w:color w:val="111111"/>
          <w:sz w:val="28"/>
          <w:sz w:val="28"/>
          <w:szCs w:val="28"/>
          <w:rtl w:val="true"/>
          <w:lang w:bidi="ar-SA"/>
        </w:rPr>
        <w:t>، للأصل الخالي عن معارضة صدق التراب ، أو الأرض على القول بالتجويز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التذكرة الجواز </w:t>
      </w:r>
      <w:r>
        <w:rPr>
          <w:rStyle w:val="FootnoteAnchor"/>
          <w:rtl w:val="true"/>
        </w:rPr>
        <w:footnoteReference w:id="2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 المنتهى </w:t>
      </w:r>
      <w:r>
        <w:rPr>
          <w:rStyle w:val="FootnoteAnchor"/>
          <w:rtl w:val="true"/>
        </w:rPr>
        <w:footnoteReference w:id="2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الجواز ، بل استصحاب الترابية للشك في زوالها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وعورض باستصحاب الشغل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الأولين مزيلان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أن يجاب بمنع الصدق جدّا ، وبه يبطل أحد الاستصحابين الموجب لبطلان الآخر ، لتغيّر الموضوع الذي هو التراب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الطين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 بل وكذا مطلق الطين ، وفاقا لجماعة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القواعد والمدارك </w:t>
      </w:r>
      <w:r>
        <w:rPr>
          <w:rStyle w:val="FootnoteAnchor"/>
          <w:rtl w:val="true"/>
        </w:rPr>
        <w:footnoteReference w:id="2548"/>
      </w:r>
      <w:r>
        <w:rPr>
          <w:rFonts w:ascii="Amiri" w:hAnsi="Amiri" w:eastAsia="Amiri" w:cs="Amiri"/>
          <w:color w:val="111111"/>
          <w:sz w:val="28"/>
          <w:sz w:val="28"/>
          <w:szCs w:val="28"/>
          <w:rtl w:val="true"/>
          <w:lang w:bidi="ar-SA"/>
        </w:rPr>
        <w:t xml:space="preserve">واللوامع ، للأصل المتقدم ، والمفهوم في </w:t>
      </w:r>
    </w:p>
    <w:p>
      <w:pPr>
        <w:pStyle w:val="BookText"/>
        <w:rPr/>
      </w:pPr>
      <w:r>
        <w:rPr>
          <w:rFonts w:ascii="Amiri" w:hAnsi="Amiri" w:eastAsia="Amiri" w:cs="Amiri"/>
          <w:color w:val="111111"/>
          <w:sz w:val="28"/>
          <w:sz w:val="28"/>
          <w:szCs w:val="28"/>
          <w:rtl w:val="true"/>
          <w:lang w:bidi="ar-SA"/>
        </w:rPr>
        <w:t xml:space="preserve">صحيحتي رفاعة وابن المغيرة ، المتقدّمتين </w:t>
      </w:r>
      <w:r>
        <w:rPr>
          <w:rStyle w:val="FootnoteAnchor"/>
          <w:rtl w:val="true"/>
        </w:rPr>
        <w:footnoteReference w:id="2549"/>
      </w:r>
      <w:r>
        <w:rPr>
          <w:rFonts w:ascii="Amiri" w:hAnsi="Amiri" w:eastAsia="Amiri" w:cs="Amiri"/>
          <w:color w:val="111111"/>
          <w:sz w:val="28"/>
          <w:sz w:val="28"/>
          <w:szCs w:val="28"/>
          <w:rtl w:val="true"/>
          <w:lang w:bidi="ar-SA"/>
        </w:rPr>
        <w:t xml:space="preserve">، وفي موثّقتي زرارة وحسنة أبي بصير الآتية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تقيّد إطلاقات بعض الروايات ، كرواية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الأجمة ليس فيها ماء وفيها طين ، ما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فإنه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راكب لا يمكنه النزول من خوف وليس هو على وضوء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خاف على نفسه من سبع أو غيره وخاف فوت الوقت فليتيمّم ، يضرب بيده على اللبد والبردعة </w:t>
      </w:r>
      <w:r>
        <w:rPr>
          <w:rStyle w:val="FootnoteAnchor"/>
          <w:rtl w:val="true"/>
        </w:rPr>
        <w:footnoteReference w:id="2551"/>
      </w:r>
      <w:r>
        <w:rPr>
          <w:rFonts w:ascii="Amiri" w:hAnsi="Amiri" w:eastAsia="Amiri" w:cs="Amiri"/>
          <w:color w:val="111111"/>
          <w:sz w:val="28"/>
          <w:sz w:val="28"/>
          <w:szCs w:val="28"/>
          <w:rtl w:val="true"/>
          <w:lang w:bidi="ar-SA"/>
        </w:rPr>
        <w:t xml:space="preserve">ويتيمّم ويصلّي </w:t>
      </w:r>
      <w:r>
        <w:rPr>
          <w:rFonts w:eastAsia="Amiri" w:cs="Amiri" w:ascii="Amiri" w:hAnsi="Amiri"/>
          <w:color w:val="111111"/>
          <w:sz w:val="28"/>
          <w:szCs w:val="28"/>
          <w:rtl w:val="true"/>
          <w:lang w:bidi="ar-SA"/>
        </w:rPr>
        <w:t xml:space="preserve">»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يجب 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أصله وجزؤه المعظم ، فيصح التيمّم به حال العذر ، بقرينة ما في روايات أخر من أنه صعيد وماء ، فلا يصح الاحتجاج على الجواز المطلق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التيمّم بالتراب الندي الغير البالغ حدّ صدق الطين حال الاختيار؟ الظاهر نعم ، كما صرّح به المحقّق </w:t>
      </w:r>
      <w:r>
        <w:rPr>
          <w:rStyle w:val="FootnoteAnchor"/>
          <w:rtl w:val="true"/>
        </w:rPr>
        <w:footnoteReference w:id="2553"/>
      </w:r>
      <w:r>
        <w:rPr>
          <w:rFonts w:ascii="Amiri" w:hAnsi="Amiri" w:eastAsia="Amiri" w:cs="Amiri"/>
          <w:color w:val="111111"/>
          <w:sz w:val="28"/>
          <w:sz w:val="28"/>
          <w:szCs w:val="28"/>
          <w:rtl w:val="true"/>
          <w:lang w:bidi="ar-SA"/>
        </w:rPr>
        <w:t xml:space="preserve">، والفاضل في التذكرة ، بل نسبه فيه إلى علمائنا </w:t>
      </w:r>
      <w:r>
        <w:rPr>
          <w:rStyle w:val="FootnoteAnchor"/>
          <w:rtl w:val="true"/>
        </w:rPr>
        <w:footnoteReference w:id="2554"/>
      </w:r>
      <w:r>
        <w:rPr>
          <w:rFonts w:ascii="Amiri" w:hAnsi="Amiri" w:eastAsia="Amiri" w:cs="Amiri"/>
          <w:color w:val="111111"/>
          <w:sz w:val="28"/>
          <w:sz w:val="28"/>
          <w:szCs w:val="28"/>
          <w:rtl w:val="true"/>
          <w:lang w:bidi="ar-SA"/>
        </w:rPr>
        <w:t xml:space="preserve">، وذهب إليه في شرح القواعد </w:t>
      </w:r>
      <w:r>
        <w:rPr>
          <w:rStyle w:val="FootnoteAnchor"/>
          <w:rtl w:val="true"/>
        </w:rPr>
        <w:footnoteReference w:id="2555"/>
      </w:r>
      <w:r>
        <w:rPr>
          <w:rFonts w:ascii="Amiri" w:hAnsi="Amiri" w:eastAsia="Amiri" w:cs="Amiri"/>
          <w:color w:val="111111"/>
          <w:sz w:val="28"/>
          <w:sz w:val="28"/>
          <w:szCs w:val="28"/>
          <w:rtl w:val="true"/>
          <w:lang w:bidi="ar-SA"/>
        </w:rPr>
        <w:t xml:space="preserve">، واختاره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اللوامع ، لصدق التراب ، بل وكذلك لو شك في خروجه عن الترابية ، للاستصحاب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مشايخنا المحدّثين الميل إلى عدم جواز التيمّم بالتراب </w:t>
      </w:r>
    </w:p>
    <w:p>
      <w:pPr>
        <w:pStyle w:val="BookText"/>
        <w:rPr/>
      </w:pPr>
      <w:r>
        <w:rPr>
          <w:rFonts w:ascii="IRNazanin" w:hAnsi="IRNazanin" w:eastAsia="IRNazanin"/>
          <w:color w:val="111111"/>
          <w:sz w:val="28"/>
          <w:sz w:val="28"/>
          <w:szCs w:val="28"/>
          <w:rtl w:val="true"/>
          <w:lang w:bidi="fa-IR"/>
        </w:rPr>
        <w:t xml:space="preserve">الرطب مع وجود الجاف </w:t>
      </w:r>
      <w:r>
        <w:rPr>
          <w:rStyle w:val="FootnoteAnchor"/>
          <w:rtl w:val="true"/>
        </w:rPr>
        <w:footnoteReference w:id="2556"/>
      </w:r>
      <w:r>
        <w:rPr>
          <w:rFonts w:ascii="Amiri" w:hAnsi="Amiri" w:eastAsia="Amiri" w:cs="Amiri"/>
          <w:color w:val="111111"/>
          <w:sz w:val="28"/>
          <w:sz w:val="28"/>
          <w:szCs w:val="28"/>
          <w:rtl w:val="true"/>
          <w:lang w:bidi="ar-SA"/>
        </w:rPr>
        <w:t xml:space="preserve">، للصحيحتين المتقدّمتين </w:t>
      </w:r>
      <w:r>
        <w:rPr>
          <w:rStyle w:val="FootnoteAnchor"/>
          <w:rtl w:val="true"/>
        </w:rPr>
        <w:footnoteReference w:id="2557"/>
      </w:r>
      <w:r>
        <w:rPr>
          <w:rFonts w:ascii="Amiri" w:hAnsi="Amiri" w:eastAsia="Amiri" w:cs="Amiri"/>
          <w:color w:val="111111"/>
          <w:sz w:val="28"/>
          <w:sz w:val="28"/>
          <w:szCs w:val="28"/>
          <w:rtl w:val="true"/>
          <w:lang w:bidi="ar-SA"/>
        </w:rPr>
        <w:t xml:space="preserve">، والحكم فيهما بأنّ الانتقال إلى الأجف من باب التوسيع ، والمرويين في نوادر الراوندي والدعائم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أخذته سماء شديدة والأرض مبتلة فليتيمّم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غبار ثوبه أو غبار سرجه أو إكافه </w:t>
      </w:r>
      <w:r>
        <w:rPr>
          <w:rFonts w:eastAsia="Amiri" w:cs="Amiri" w:ascii="Amiri" w:hAnsi="Amiri"/>
          <w:color w:val="111111"/>
          <w:sz w:val="28"/>
          <w:szCs w:val="28"/>
          <w:rtl w:val="true"/>
          <w:lang w:bidi="ar-SA"/>
        </w:rPr>
        <w:t xml:space="preserve">» </w:t>
      </w:r>
      <w:r>
        <w:rPr>
          <w:rStyle w:val="FootnoteAnchor"/>
          <w:rtl w:val="true"/>
        </w:rPr>
        <w:footnoteReference w:id="2558"/>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أصابته جنابة والأرض مبتلة فلينفض لبده وليتيمّم بغباره ، كذلك قال أبو جعفر وأبو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لينفض ثوبه أو لبده أو إكافه إذا لم يجد ترابا طيبا </w:t>
      </w:r>
      <w:r>
        <w:rPr>
          <w:rFonts w:eastAsia="Amiri" w:cs="Amiri" w:ascii="Amiri" w:hAnsi="Amiri"/>
          <w:color w:val="111111"/>
          <w:sz w:val="28"/>
          <w:szCs w:val="28"/>
          <w:rtl w:val="true"/>
          <w:lang w:bidi="ar-SA"/>
        </w:rPr>
        <w:t xml:space="preserve">»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أنّ المصرّح به في الصحيحين انتفاء التراب ، فيكون المراد بالأجف الطين الأجف أو شي‌ء آخر من اللبد والثوب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والروايتان ضعيفتان غير صالحتين لتقييد مطلقات التراب والأرض ، مع أنّ قوله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المراد الوصول إلى حد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يستفاد من الصحيحة وجوب تقديم الأجف فالأجف في صورة الانتقال إلى الطين ، وهو كذلك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بأرض الجصّ والنورة قبل الإحراق ، على الأظهر المختار ، عند الأكثر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والمبسوط والوسيلة والقواعد والدروس والبيان </w:t>
      </w:r>
      <w:r>
        <w:rPr>
          <w:rStyle w:val="FootnoteAnchor"/>
          <w:rtl w:val="true"/>
        </w:rPr>
        <w:footnoteReference w:id="2560"/>
      </w:r>
      <w:r>
        <w:rPr>
          <w:rFonts w:ascii="Amiri" w:hAnsi="Amiri" w:eastAsia="Amiri" w:cs="Amiri"/>
          <w:color w:val="111111"/>
          <w:sz w:val="28"/>
          <w:sz w:val="28"/>
          <w:szCs w:val="28"/>
          <w:rtl w:val="true"/>
          <w:lang w:bidi="ar-SA"/>
        </w:rPr>
        <w:t xml:space="preserve">، وعن المهذّب أيضا في الأول </w:t>
      </w:r>
      <w:r>
        <w:rPr>
          <w:rStyle w:val="FootnoteAnchor"/>
          <w:rtl w:val="true"/>
        </w:rPr>
        <w:footnoteReference w:id="2561"/>
      </w:r>
      <w:r>
        <w:rPr>
          <w:rFonts w:ascii="Amiri" w:hAnsi="Amiri" w:eastAsia="Amiri" w:cs="Amiri"/>
          <w:color w:val="111111"/>
          <w:sz w:val="28"/>
          <w:sz w:val="28"/>
          <w:szCs w:val="28"/>
          <w:rtl w:val="true"/>
          <w:lang w:bidi="ar-SA"/>
        </w:rPr>
        <w:t xml:space="preserve">، كما عن الجامع والنافع في الثاني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لصدق الأرض كما قيل </w:t>
      </w:r>
      <w:r>
        <w:rPr>
          <w:rStyle w:val="FootnoteAnchor"/>
          <w:rtl w:val="true"/>
        </w:rPr>
        <w:footnoteReference w:id="2563"/>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لرواية السكوني ، المتقدّمة </w:t>
      </w:r>
      <w:r>
        <w:rPr>
          <w:rStyle w:val="FootnoteAnchor"/>
          <w:rtl w:val="true"/>
        </w:rPr>
        <w:footnoteReference w:id="2564"/>
      </w:r>
      <w:r>
        <w:rPr>
          <w:rFonts w:ascii="Amiri" w:hAnsi="Amiri" w:eastAsia="Amiri" w:cs="Amiri"/>
          <w:color w:val="111111"/>
          <w:sz w:val="28"/>
          <w:sz w:val="28"/>
          <w:szCs w:val="28"/>
          <w:rtl w:val="true"/>
          <w:lang w:bidi="ar-SA"/>
        </w:rPr>
        <w:t xml:space="preserve">، والمروي في النوادر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بالجصّ والنورة </w:t>
      </w:r>
      <w:r>
        <w:rPr>
          <w:rFonts w:eastAsia="Amiri" w:cs="Amiri" w:ascii="Amiri" w:hAnsi="Amiri"/>
          <w:color w:val="111111"/>
          <w:sz w:val="28"/>
          <w:szCs w:val="28"/>
          <w:rtl w:val="true"/>
          <w:lang w:bidi="ar-SA"/>
        </w:rPr>
        <w:t xml:space="preserve">» </w:t>
      </w:r>
      <w:r>
        <w:rPr>
          <w:rStyle w:val="FootnoteAnchor"/>
          <w:rtl w:val="true"/>
        </w:rPr>
        <w:footnoteReference w:id="2565"/>
      </w:r>
      <w:r>
        <w:rPr>
          <w:rFonts w:ascii="Amiri" w:hAnsi="Amiri" w:eastAsia="Amiri" w:cs="Amiri"/>
          <w:color w:val="111111"/>
          <w:sz w:val="28"/>
          <w:sz w:val="28"/>
          <w:szCs w:val="28"/>
          <w:rtl w:val="true"/>
          <w:lang w:bidi="ar-SA"/>
        </w:rPr>
        <w:t xml:space="preserve">المنجبر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الأكثر ، كما نصّ عليه جمع ممّن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تعارضهما رواية الدعائم ، المذكورة </w:t>
      </w:r>
      <w:r>
        <w:rPr>
          <w:rStyle w:val="FootnoteAnchor"/>
          <w:rtl w:val="true"/>
        </w:rPr>
        <w:footnoteReference w:id="2566"/>
      </w:r>
      <w:r>
        <w:rPr>
          <w:rFonts w:ascii="Amiri" w:hAnsi="Amiri" w:eastAsia="Amiri" w:cs="Amiri"/>
          <w:color w:val="111111"/>
          <w:sz w:val="28"/>
          <w:sz w:val="28"/>
          <w:szCs w:val="28"/>
          <w:rtl w:val="true"/>
          <w:lang w:bidi="ar-SA"/>
        </w:rPr>
        <w:t>، لضعفها الخالي عن الجابر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بعد الإحراق ، على الأقوى ، الموافق للمحكي عن مصباح السيد والمراسم والمعتبر والتذكرة والذكرى فيهما </w:t>
      </w:r>
      <w:r>
        <w:rPr>
          <w:rStyle w:val="FootnoteAnchor"/>
          <w:rtl w:val="true"/>
        </w:rPr>
        <w:footnoteReference w:id="2567"/>
      </w:r>
      <w:r>
        <w:rPr>
          <w:rFonts w:ascii="Amiri" w:hAnsi="Amiri" w:eastAsia="Amiri" w:cs="Amiri"/>
          <w:color w:val="111111"/>
          <w:sz w:val="28"/>
          <w:sz w:val="28"/>
          <w:szCs w:val="28"/>
          <w:rtl w:val="true"/>
          <w:lang w:bidi="ar-SA"/>
        </w:rPr>
        <w:t xml:space="preserve">، وعن ظاهر النافع والشرائع والتلخيص والتبصرة ونهاية الإحكام وصريح الوسيلة في الأول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الخبرين ، واستصحاب الجواز ، وصدق اسم الأرض عند القائل بكفايته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فمنع عنهما مطلقا </w:t>
      </w:r>
      <w:r>
        <w:rPr>
          <w:rStyle w:val="FootnoteAnchor"/>
          <w:rtl w:val="true"/>
        </w:rPr>
        <w:footnoteReference w:id="2569"/>
      </w:r>
      <w:r>
        <w:rPr>
          <w:rFonts w:ascii="Amiri" w:hAnsi="Amiri" w:eastAsia="Amiri" w:cs="Amiri"/>
          <w:color w:val="111111"/>
          <w:sz w:val="28"/>
          <w:sz w:val="28"/>
          <w:szCs w:val="28"/>
          <w:rtl w:val="true"/>
          <w:lang w:bidi="ar-SA"/>
        </w:rPr>
        <w:t>، للمعدنية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مانع في المعدن سوى الإجماع المعلوم انتفاؤه هنا ، والأصل الواضح اندفاعه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ولنهاية الشيخ طاب ثراه </w:t>
      </w:r>
      <w:r>
        <w:rPr>
          <w:rStyle w:val="FootnoteAnchor"/>
          <w:rtl w:val="true"/>
        </w:rPr>
        <w:footnoteReference w:id="2570"/>
      </w:r>
      <w:r>
        <w:rPr>
          <w:rFonts w:ascii="Amiri" w:hAnsi="Amiri" w:eastAsia="Amiri" w:cs="Amiri"/>
          <w:color w:val="111111"/>
          <w:sz w:val="28"/>
          <w:sz w:val="28"/>
          <w:szCs w:val="28"/>
          <w:rtl w:val="true"/>
          <w:lang w:bidi="ar-SA"/>
        </w:rPr>
        <w:t>، فمنع في الاختيار ، ولم أعثر على دليله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الأكثر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والمقنعة والسرائر </w:t>
      </w:r>
      <w:r>
        <w:rPr>
          <w:rStyle w:val="FootnoteAnchor"/>
          <w:rtl w:val="true"/>
        </w:rPr>
        <w:footnoteReference w:id="2571"/>
      </w:r>
      <w:r>
        <w:rPr>
          <w:rFonts w:ascii="IRNazanin" w:hAnsi="IRNazanin" w:eastAsia="IRNazanin"/>
          <w:color w:val="111111"/>
          <w:sz w:val="28"/>
          <w:sz w:val="28"/>
          <w:szCs w:val="28"/>
          <w:rtl w:val="true"/>
          <w:lang w:bidi="fa-IR"/>
        </w:rPr>
        <w:t xml:space="preserve">، والإصباح ، </w:t>
      </w:r>
    </w:p>
    <w:p>
      <w:pPr>
        <w:pStyle w:val="BookText"/>
        <w:rPr/>
      </w:pPr>
      <w:r>
        <w:rPr>
          <w:rFonts w:ascii="Amiri" w:hAnsi="Amiri" w:eastAsia="Amiri" w:cs="Amiri"/>
          <w:color w:val="111111"/>
          <w:sz w:val="28"/>
          <w:sz w:val="28"/>
          <w:szCs w:val="28"/>
          <w:rtl w:val="true"/>
          <w:lang w:bidi="ar-SA"/>
        </w:rPr>
        <w:t xml:space="preserve">فمنعوا فيهما بعد الإحراق ، ونهاية الإحكام والتلخيص واللمعة وشرح القواعد </w:t>
      </w:r>
      <w:r>
        <w:rPr>
          <w:rStyle w:val="FootnoteAnchor"/>
          <w:rtl w:val="true"/>
        </w:rPr>
        <w:footnoteReference w:id="2572"/>
      </w:r>
      <w:r>
        <w:rPr>
          <w:rFonts w:ascii="Amiri" w:hAnsi="Amiri" w:eastAsia="Amiri" w:cs="Amiri"/>
          <w:color w:val="111111"/>
          <w:sz w:val="28"/>
          <w:sz w:val="28"/>
          <w:szCs w:val="28"/>
          <w:rtl w:val="true"/>
          <w:lang w:bidi="ar-SA"/>
        </w:rPr>
        <w:t xml:space="preserve">، ففي الثاني بعده ، لضعف الخبرين </w:t>
      </w:r>
      <w:r>
        <w:rPr>
          <w:rStyle w:val="FootnoteAnchor"/>
          <w:rtl w:val="true"/>
        </w:rPr>
        <w:footnoteReference w:id="2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واختصاص الجابر بالقبل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سلّم فيعارضهما خبر الدعائم </w:t>
      </w:r>
      <w:r>
        <w:rPr>
          <w:rStyle w:val="FootnoteAnchor"/>
          <w:rtl w:val="true"/>
        </w:rPr>
        <w:footnoteReference w:id="2574"/>
      </w:r>
      <w:r>
        <w:rPr>
          <w:rFonts w:ascii="Amiri" w:hAnsi="Amiri" w:eastAsia="Amiri" w:cs="Amiri"/>
          <w:color w:val="111111"/>
          <w:sz w:val="28"/>
          <w:sz w:val="28"/>
          <w:szCs w:val="28"/>
          <w:rtl w:val="true"/>
          <w:lang w:bidi="ar-SA"/>
        </w:rPr>
        <w:t>المنجبر فيه ولو بالشهرة المحكية ، كما يعارض استصحاب الجواز بأصالة عدمه واستصحاب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ضرر ضعف سند رواية السكوني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الشهرة على المنع من بعض المتأخّرين </w:t>
      </w:r>
      <w:r>
        <w:rPr>
          <w:rStyle w:val="FootnoteAnchor"/>
          <w:rtl w:val="true"/>
        </w:rPr>
        <w:footnoteReference w:id="2575"/>
      </w:r>
      <w:r>
        <w:rPr>
          <w:rFonts w:ascii="Amiri" w:hAnsi="Amiri" w:eastAsia="Amiri" w:cs="Amiri"/>
          <w:color w:val="111111"/>
          <w:sz w:val="28"/>
          <w:sz w:val="28"/>
          <w:szCs w:val="28"/>
          <w:rtl w:val="true"/>
          <w:lang w:bidi="ar-SA"/>
        </w:rPr>
        <w:t xml:space="preserve">تعارض نسبة بعض آخر الجواز المطلق إلى الأكثر </w:t>
      </w:r>
      <w:r>
        <w:rPr>
          <w:rStyle w:val="FootnoteAnchor"/>
          <w:rtl w:val="true"/>
        </w:rPr>
        <w:footnoteReference w:id="2576"/>
      </w:r>
      <w:r>
        <w:rPr>
          <w:rFonts w:ascii="Amiri" w:hAnsi="Amiri" w:eastAsia="Amiri" w:cs="Amiri"/>
          <w:color w:val="111111"/>
          <w:sz w:val="28"/>
          <w:sz w:val="28"/>
          <w:szCs w:val="28"/>
          <w:rtl w:val="true"/>
          <w:lang w:bidi="ar-SA"/>
        </w:rPr>
        <w:t>، وبه يبقى خبر الدعائم خاليا عن الجابر ، ورواية السكوني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يدفع استصحاب شغل الذمة وعدم الجواز ، مع معارضتهما باستصحاب الجواز المزيل لهما المقدم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المنتهى والمختلف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الإحالة إلى صدق اسم الأرض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موجّه على اعتباره ، وعدم اعتبار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أيضا بالأرض السبخة ، وهي المالحة النشاشة ، على الأظهر الأشهر ، بل عليه الإجماع في المعتبر </w:t>
      </w:r>
      <w:r>
        <w:rPr>
          <w:rStyle w:val="FootnoteAnchor"/>
          <w:rtl w:val="true"/>
        </w:rPr>
        <w:footnoteReference w:id="2578"/>
      </w:r>
      <w:r>
        <w:rPr>
          <w:rFonts w:ascii="IRNazanin" w:hAnsi="IRNazanin" w:eastAsia="IRNazanin"/>
          <w:color w:val="111111"/>
          <w:sz w:val="28"/>
          <w:sz w:val="28"/>
          <w:szCs w:val="28"/>
          <w:rtl w:val="true"/>
          <w:lang w:bidi="fa-IR"/>
        </w:rPr>
        <w:t>، لصدق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الإسكافي فمنع عنها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لما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الصعيد هو التراب الخالص الذي لا يخالطه </w:t>
      </w:r>
    </w:p>
    <w:p>
      <w:pPr>
        <w:pStyle w:val="BookText"/>
        <w:rPr/>
      </w:pPr>
      <w:r>
        <w:rPr>
          <w:rFonts w:ascii="IRNazanin" w:hAnsi="IRNazanin" w:eastAsia="IRNazanin"/>
          <w:color w:val="111111"/>
          <w:sz w:val="28"/>
          <w:sz w:val="28"/>
          <w:szCs w:val="28"/>
          <w:rtl w:val="true"/>
          <w:lang w:bidi="fa-IR"/>
        </w:rPr>
        <w:t xml:space="preserve">رمل ولا سبخ </w:t>
      </w:r>
      <w:r>
        <w:rPr>
          <w:rStyle w:val="FootnoteAnchor"/>
          <w:rtl w:val="true"/>
        </w:rPr>
        <w:footnoteReference w:id="2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معارض بما مرّ في تفسير الصعيد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على الزجاج وإن حدّثتك نفسك أنه مما أنبتت الأرض ، ولكنه من الملح والرمل وهما ممسوخان </w:t>
      </w:r>
      <w:r>
        <w:rPr>
          <w:rFonts w:eastAsia="Amiri" w:cs="Amiri" w:ascii="Amiri" w:hAnsi="Amiri"/>
          <w:color w:val="111111"/>
          <w:sz w:val="28"/>
          <w:szCs w:val="28"/>
          <w:rtl w:val="true"/>
          <w:lang w:bidi="ar-SA"/>
        </w:rPr>
        <w:t xml:space="preserve">»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ذكر السبخة ، وإنّما فيه الرمل والملح ، وهو لا يقول بالمنع عن الأول ، ولا كلام في المنع عن الثاني ، لعدم صدق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بالمدر ومنه اللبن ، إجماعا محقّقا ومحكيا في التذكرة </w:t>
      </w:r>
      <w:r>
        <w:rPr>
          <w:rStyle w:val="FootnoteAnchor"/>
          <w:rtl w:val="true"/>
        </w:rPr>
        <w:footnoteReference w:id="2583"/>
      </w:r>
      <w:r>
        <w:rPr>
          <w:rFonts w:ascii="Amiri" w:hAnsi="Amiri" w:eastAsia="Amiri" w:cs="Amiri"/>
          <w:color w:val="111111"/>
          <w:sz w:val="28"/>
          <w:sz w:val="28"/>
          <w:szCs w:val="28"/>
          <w:rtl w:val="true"/>
          <w:lang w:bidi="ar-SA"/>
        </w:rPr>
        <w:t xml:space="preserve">، له ، ولصدق التراب كما صرّح به فيه ، 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مرّت به جنازة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طهر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يديه على حائط لبن فيتيمّم </w:t>
      </w:r>
      <w:r>
        <w:rPr>
          <w:rFonts w:eastAsia="Amiri" w:cs="Amiri" w:ascii="Amiri" w:hAnsi="Amiri"/>
          <w:color w:val="111111"/>
          <w:sz w:val="28"/>
          <w:szCs w:val="28"/>
          <w:rtl w:val="true"/>
          <w:lang w:bidi="ar-SA"/>
        </w:rPr>
        <w:t xml:space="preserve">»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اشتراط الطهارة في صلاة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ذلك تعبّدا لا طهورا كما في تيمّم النوم ، ويؤيّده شمول الرواية بإطلاقها لحال وجود الماء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عدم استحباب ذلك إلاّ للطهورية وعدم استحباب غير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وشمولها لحال وجود الماء غير ضائر ، إذ يمكن أن تكون الصلاة تفوت باستعماله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اللين في سبيل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 لصدق التراب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وبالرمل ، إجماعا أيضا ، كما في المعتبر والتذكرة وشرح القواعد واللوامع وظاهر المنتهى </w:t>
      </w:r>
      <w:r>
        <w:rPr>
          <w:rStyle w:val="FootnoteAnchor"/>
          <w:rtl w:val="true"/>
        </w:rPr>
        <w:footnoteReference w:id="2585"/>
      </w:r>
      <w:r>
        <w:rPr>
          <w:rFonts w:ascii="Amiri" w:hAnsi="Amiri" w:eastAsia="Amiri" w:cs="Amiri"/>
          <w:color w:val="111111"/>
          <w:sz w:val="28"/>
          <w:sz w:val="28"/>
          <w:szCs w:val="28"/>
          <w:rtl w:val="true"/>
          <w:lang w:bidi="ar-SA"/>
        </w:rPr>
        <w:t xml:space="preserve">، له ، وللصدق المذكور ، والعامي المذكور في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المجبور بما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نكون بأرض الرمل فتصيبنا الجنابة والحيض والنفاس ، فلا </w:t>
      </w:r>
    </w:p>
    <w:p>
      <w:pPr>
        <w:pStyle w:val="BookText"/>
        <w:rPr/>
      </w:pPr>
      <w:r>
        <w:rPr>
          <w:rFonts w:ascii="IRNazanin" w:hAnsi="IRNazanin" w:eastAsia="IRNazanin"/>
          <w:color w:val="111111"/>
          <w:sz w:val="28"/>
          <w:sz w:val="28"/>
          <w:szCs w:val="28"/>
          <w:rtl w:val="true"/>
          <w:lang w:bidi="fa-IR"/>
        </w:rPr>
        <w:t xml:space="preserve">نجد الماء أربعة أشهر وخمسة أشهر ، فقال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بالأرض أو بأرضكم </w:t>
      </w:r>
      <w:r>
        <w:rPr>
          <w:rFonts w:eastAsia="IRNazanin" w:cs="IRNazanin"/>
          <w:color w:val="111111"/>
          <w:sz w:val="28"/>
          <w:szCs w:val="28"/>
          <w:rtl w:val="true"/>
          <w:lang w:bidi="fa-IR"/>
        </w:rPr>
        <w:t xml:space="preserve">»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وبتراب القبر ما لم يعلم نجاسته ، وبالمستعمل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بغير التراب أو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ما ذكر اختيارا وإن كان مغبرا ، للأصل ، وتعليق تجويز غيرهما مما جوّز في الأخبار بفقدهما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ظاهر المبسوط ونهاية الإحكام والشرائع والقواعد </w:t>
      </w:r>
      <w:r>
        <w:rPr>
          <w:rStyle w:val="FootnoteAnchor"/>
          <w:rtl w:val="true"/>
        </w:rPr>
        <w:footnoteReference w:id="2587"/>
      </w:r>
      <w:r>
        <w:rPr>
          <w:rFonts w:ascii="Amiri" w:hAnsi="Amiri" w:eastAsia="Amiri" w:cs="Amiri"/>
          <w:color w:val="111111"/>
          <w:sz w:val="28"/>
          <w:sz w:val="28"/>
          <w:szCs w:val="28"/>
          <w:rtl w:val="true"/>
          <w:lang w:bidi="ar-SA"/>
        </w:rPr>
        <w:t>، فجوّزوا بالمغبر مع وجود الحجر الذي هو الأرض عندهم ، مع قولهم بكفاية صدق اسم الأرض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ولظاهر السيد </w:t>
      </w:r>
      <w:r>
        <w:rPr>
          <w:rStyle w:val="FootnoteAnchor"/>
          <w:rtl w:val="true"/>
        </w:rPr>
        <w:footnoteReference w:id="2588"/>
      </w:r>
      <w:r>
        <w:rPr>
          <w:rFonts w:ascii="Amiri" w:hAnsi="Amiri" w:eastAsia="Amiri" w:cs="Amiri"/>
          <w:color w:val="111111"/>
          <w:sz w:val="28"/>
          <w:sz w:val="28"/>
          <w:szCs w:val="28"/>
          <w:rtl w:val="true"/>
          <w:lang w:bidi="ar-SA"/>
        </w:rPr>
        <w:t xml:space="preserve">، واستقواه في المنتهى </w:t>
      </w:r>
      <w:r>
        <w:rPr>
          <w:rStyle w:val="FootnoteAnchor"/>
          <w:rtl w:val="true"/>
        </w:rPr>
        <w:footnoteReference w:id="2589"/>
      </w:r>
      <w:r>
        <w:rPr>
          <w:rFonts w:ascii="Amiri" w:hAnsi="Amiri" w:eastAsia="Amiri" w:cs="Amiri"/>
          <w:color w:val="111111"/>
          <w:sz w:val="28"/>
          <w:sz w:val="28"/>
          <w:szCs w:val="28"/>
          <w:rtl w:val="true"/>
          <w:lang w:bidi="ar-SA"/>
        </w:rPr>
        <w:t xml:space="preserve">، ونسبه في المفاتيح إلى الإسكافي أيضا </w:t>
      </w:r>
      <w:r>
        <w:rPr>
          <w:rStyle w:val="FootnoteAnchor"/>
          <w:rtl w:val="true"/>
        </w:rPr>
        <w:footnoteReference w:id="2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سهو كما قيل </w:t>
      </w:r>
      <w:r>
        <w:rPr>
          <w:rStyle w:val="FootnoteAnchor"/>
          <w:rtl w:val="true"/>
        </w:rPr>
        <w:footnoteReference w:id="2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 بالمغبر مع التراب ، لكون الغبار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واضح ، لعدم التبادر ، وصحة السلب ، مع أنّ الغبار غير المغبر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رجوع النزاع إلى ترابية الغبار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التراب يتيمّم بشي‌ء فيه غبار كالثوب واللبد وعرف الدابة </w:t>
      </w:r>
      <w:r>
        <w:rPr>
          <w:rStyle w:val="FootnoteAnchor"/>
          <w:rtl w:val="true"/>
        </w:rPr>
        <w:footnoteReference w:id="2592"/>
      </w:r>
      <w:r>
        <w:rPr>
          <w:rFonts w:ascii="Amiri" w:hAnsi="Amiri" w:eastAsia="Amiri" w:cs="Amiri"/>
          <w:color w:val="111111"/>
          <w:sz w:val="28"/>
          <w:sz w:val="28"/>
          <w:szCs w:val="28"/>
          <w:rtl w:val="true"/>
          <w:lang w:bidi="ar-SA"/>
        </w:rPr>
        <w:t>والبساط وغيرها ، وبالحجر ولو خلا عن الغبار ، وبالطين والوحل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جوازه بالمغبر فبعد الإجماع المحقّق والمنقول في المعتبر والتذكرة </w:t>
      </w:r>
      <w:r>
        <w:rPr>
          <w:rStyle w:val="FootnoteAnchor"/>
          <w:rtl w:val="true"/>
        </w:rPr>
        <w:footnoteReference w:id="259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لصحيحتي رفاعة وابن المغيرة ، المتقدّمتين </w:t>
      </w:r>
      <w:r>
        <w:rPr>
          <w:rStyle w:val="FootnoteAnchor"/>
          <w:rtl w:val="true"/>
        </w:rPr>
        <w:footnoteReference w:id="2594"/>
      </w:r>
      <w:r>
        <w:rPr>
          <w:rFonts w:ascii="Amiri" w:hAnsi="Amiri" w:eastAsia="Amiri" w:cs="Amiri"/>
          <w:color w:val="111111"/>
          <w:sz w:val="28"/>
          <w:sz w:val="28"/>
          <w:szCs w:val="28"/>
          <w:rtl w:val="true"/>
          <w:lang w:bidi="ar-SA"/>
        </w:rPr>
        <w:t xml:space="preserve">، وحسنة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حال لا تقدر إلاّ على الطين فتيمّم به ، فإنّ اللّه أولى بالعذر ، إذا لم يكن معك ثوب جاف أو لبد تقدر على أن تنفضه وتتيمّم به </w:t>
      </w:r>
      <w:r>
        <w:rPr>
          <w:rFonts w:eastAsia="Amiri" w:cs="Amiri" w:ascii="Amiri" w:hAnsi="Amiri"/>
          <w:color w:val="111111"/>
          <w:sz w:val="28"/>
          <w:szCs w:val="28"/>
          <w:rtl w:val="true"/>
          <w:lang w:bidi="ar-SA"/>
        </w:rPr>
        <w:t xml:space="preserve">»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المواقف إن لم يكن على وضوء كيف يصنع ولا يقدر على النزول؟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من لبده أو سرجه أو معرفة دابته ، فإنّ فيها غبارا ويصلّي </w:t>
      </w:r>
      <w:r>
        <w:rPr>
          <w:rFonts w:eastAsia="Amiri" w:cs="Amiri" w:ascii="Amiri" w:hAnsi="Amiri"/>
          <w:color w:val="111111"/>
          <w:sz w:val="28"/>
          <w:szCs w:val="28"/>
          <w:rtl w:val="true"/>
          <w:lang w:bidi="ar-SA"/>
        </w:rPr>
        <w:t xml:space="preserve">»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وموثّقتي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أصابه الثلج فلينظر لبد سرجه فيتيمّم من غباره أو من شي‌ء معه ، وإن كان في حال لا يجد إلاّ الطين فلا بأس أن يتيمّم به </w:t>
      </w:r>
      <w:r>
        <w:rPr>
          <w:rFonts w:eastAsia="Amiri" w:cs="Amiri" w:ascii="Amiri" w:hAnsi="Amiri"/>
          <w:color w:val="111111"/>
          <w:sz w:val="28"/>
          <w:szCs w:val="28"/>
          <w:rtl w:val="true"/>
          <w:lang w:bidi="ar-SA"/>
        </w:rPr>
        <w:t xml:space="preserve">»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والمرويين في الدعائم والنوادر ، المتقدّمين في المسألة الرابعة </w:t>
      </w:r>
      <w:r>
        <w:rPr>
          <w:rStyle w:val="FootnoteAnchor"/>
          <w:rtl w:val="true"/>
        </w:rPr>
        <w:footnoteReference w:id="2598"/>
      </w:r>
      <w:r>
        <w:rPr>
          <w:rFonts w:ascii="Amiri" w:hAnsi="Amiri" w:eastAsia="Amiri" w:cs="Amiri"/>
          <w:color w:val="111111"/>
          <w:sz w:val="28"/>
          <w:sz w:val="28"/>
          <w:szCs w:val="28"/>
          <w:rtl w:val="true"/>
          <w:lang w:bidi="ar-SA"/>
        </w:rPr>
        <w:t xml:space="preserve">، ورواية الدعائم ، المتقدّمة في الثالثة </w:t>
      </w:r>
      <w:r>
        <w:rPr>
          <w:rStyle w:val="FootnoteAnchor"/>
          <w:rtl w:val="true"/>
        </w:rPr>
        <w:footnoteReference w:id="2599"/>
      </w:r>
      <w:r>
        <w:rPr>
          <w:rFonts w:ascii="Amiri" w:hAnsi="Amiri" w:eastAsia="Amiri" w:cs="Amiri"/>
          <w:color w:val="111111"/>
          <w:sz w:val="28"/>
          <w:sz w:val="28"/>
          <w:szCs w:val="28"/>
          <w:rtl w:val="true"/>
          <w:lang w:bidi="ar-SA"/>
        </w:rPr>
        <w:t>، وهي وإن كانت مطلقة بالنسبة إلى الاختيار وعدمه ، إلاّ أنّها ضعيفة في غير محل الانجبار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والاقتصار في بعض تلك الأخبار على اللبد أو مع الثوب أو مع السرج أو العرف ، بعد عموم قوله في الصحيحتين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شي‌ء مغبر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فيها غبارا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إطلاق بعضها بالنسبة إلى المغبر وغيره غير مفيد للتعميم ، بعد التقييد في بعض </w:t>
      </w:r>
    </w:p>
    <w:p>
      <w:pPr>
        <w:pStyle w:val="BookText"/>
        <w:rPr/>
      </w:pPr>
      <w:r>
        <w:rPr>
          <w:rFonts w:ascii="Amiri" w:hAnsi="Amiri" w:eastAsia="Amiri" w:cs="Amiri"/>
          <w:color w:val="111111"/>
          <w:sz w:val="28"/>
          <w:sz w:val="28"/>
          <w:szCs w:val="28"/>
          <w:rtl w:val="true"/>
          <w:lang w:bidi="ar-SA"/>
        </w:rPr>
        <w:t>آخر بالأمر بالتيمّم بالغبار أو المغبر ، والأمر في بعض بالنفض ،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بالحجر ولو كان خاليا عن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فلرواية النوادر ، السالفة في الثالثة </w:t>
      </w:r>
      <w:r>
        <w:rPr>
          <w:rStyle w:val="FootnoteAnchor"/>
          <w:rtl w:val="true"/>
        </w:rPr>
        <w:footnoteReference w:id="2600"/>
      </w:r>
      <w:r>
        <w:rPr>
          <w:rFonts w:ascii="Amiri" w:hAnsi="Amiri" w:eastAsia="Amiri" w:cs="Amiri"/>
          <w:color w:val="111111"/>
          <w:sz w:val="28"/>
          <w:sz w:val="28"/>
          <w:szCs w:val="28"/>
          <w:rtl w:val="true"/>
          <w:lang w:bidi="ar-SA"/>
        </w:rPr>
        <w:t>، وهي وإن كانت مطلقة بالنسبة إلى فقد التراب ووجوده ، إلاّ أنّ ضعفها مانع عن العمل بها في غير موضع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بالطين والوحل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فللمستفيضة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يترتّب المغبر والحجر مع الطين ، فالأولان مقدّمان على الثالث سواء كان وحلا أو غيره ، ولكن لا ترتيب بين الأولين ، كما ليس بين الأشياء المغبرة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 الأول فهو المعروف من مذهب الأصحاب ، بل في صريح المنتهى وظاهر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w:t>
      </w:r>
      <w:r>
        <w:rPr>
          <w:rStyle w:val="FootnoteAnchor"/>
          <w:rtl w:val="true"/>
        </w:rPr>
        <w:footnoteReference w:id="2601"/>
      </w:r>
      <w:r>
        <w:rPr>
          <w:rFonts w:ascii="Amiri" w:hAnsi="Amiri" w:eastAsia="Amiri" w:cs="Amiri"/>
          <w:color w:val="111111"/>
          <w:sz w:val="28"/>
          <w:sz w:val="28"/>
          <w:szCs w:val="28"/>
          <w:rtl w:val="true"/>
          <w:lang w:bidi="ar-SA"/>
        </w:rPr>
        <w:t>، لتعليق تجويز التيمّم بالطين في الموثّقتين والصحيحتين والحسنة بحال لا يجد غيره ممّا ذكر في الروايات عموما أو خصوصا ، فيدلّ بالمفهوم على عدم الجواز بدون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التصريح في الحسنة بأنه إنما هو إذا لم يكن معه ثوب أو لبد ، وفي الصحيحتين بتعيّن الأجف ، وبذلك يقيّد إطلاق رواية ابن مطر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المهذّب وبعض المتأخّرين </w:t>
      </w:r>
      <w:r>
        <w:rPr>
          <w:rStyle w:val="FootnoteAnchor"/>
          <w:rtl w:val="true"/>
        </w:rPr>
        <w:footnoteReference w:id="2603"/>
      </w:r>
      <w:r>
        <w:rPr>
          <w:rFonts w:ascii="Amiri" w:hAnsi="Amiri" w:eastAsia="Amiri" w:cs="Amiri"/>
          <w:color w:val="111111"/>
          <w:sz w:val="28"/>
          <w:sz w:val="28"/>
          <w:szCs w:val="28"/>
          <w:rtl w:val="true"/>
          <w:lang w:bidi="ar-SA"/>
        </w:rPr>
        <w:t xml:space="preserve">، فقدّم الطين عليهما ، لرواية زرارة ، المتقدّمة في الرابعة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في المنتهى </w:t>
      </w:r>
      <w:r>
        <w:rPr>
          <w:rStyle w:val="FootnoteAnchor"/>
          <w:rtl w:val="true"/>
        </w:rPr>
        <w:footnoteReference w:id="2605"/>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 لعدم التعرّض فيها لنفي التراب ، فلعلّ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تمحّل بعيد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 وهو كذلك سندا وعملا ، فإنّ مضمونها مخالف </w:t>
      </w:r>
    </w:p>
    <w:p>
      <w:pPr>
        <w:pStyle w:val="BookText"/>
        <w:rPr/>
      </w:pPr>
      <w:r>
        <w:rPr>
          <w:rFonts w:ascii="Amiri" w:hAnsi="Amiri" w:eastAsia="Amiri" w:cs="Amiri"/>
          <w:color w:val="111111"/>
          <w:sz w:val="28"/>
          <w:sz w:val="28"/>
          <w:szCs w:val="28"/>
          <w:rtl w:val="true"/>
          <w:lang w:bidi="ar-SA"/>
        </w:rPr>
        <w:t>للمعروف من مذهب الأصحاب المدّعى عليه الإجماع ، فلا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محط الاستدلال إن كان صدرها فهو مطلق يجب تقييده ، وإن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راكب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غير دالّ ، لإمكان إرجاع الضمير إلى الرجل مطلقا ، وكون الفاء للتعقيب الذكري ، ويكون سؤالا عن راكب يخاف النزول سواء وجد التراب لو نزل أم لا ، من غير أن يكون من تتمة سابقة ، ويؤكّده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تتميما لما سبق لكان ذلك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مشايخنا المحقّقين ، فقدّمه على الحجر ، لما يأتي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فلثبوت جواز التيمّم بكلّ منهما مع فقد التراب ، والأصل عدم تعيّن أحدهما للتقديم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الصحيحين </w:t>
      </w:r>
      <w:r>
        <w:rPr>
          <w:rStyle w:val="FootnoteAnchor"/>
          <w:rtl w:val="true"/>
        </w:rPr>
        <w:footnoteReference w:id="2607"/>
      </w:r>
      <w:r>
        <w:rPr>
          <w:rFonts w:ascii="Amiri" w:hAnsi="Amiri" w:eastAsia="Amiri" w:cs="Amiri"/>
          <w:color w:val="111111"/>
          <w:sz w:val="28"/>
          <w:sz w:val="28"/>
          <w:szCs w:val="28"/>
          <w:rtl w:val="true"/>
          <w:lang w:bidi="ar-SA"/>
        </w:rPr>
        <w:t>الرجوع إلى الأجف والمغبر ، ولازمه عدم جواز الانتقال إلى غيرهما ، ولو كان حجرا فيؤخّر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رواية النوادر </w:t>
      </w:r>
      <w:r>
        <w:rPr>
          <w:rStyle w:val="FootnoteAnchor"/>
          <w:rtl w:val="true"/>
        </w:rPr>
        <w:footnoteReference w:id="2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بالحجر ولو مع وجود الأجف والمغبر فيعارضان ، فيرجع إلى التخيير أو أصالة عدم التعيين ، مع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شي‌ء معه </w:t>
      </w:r>
      <w:r>
        <w:rPr>
          <w:rFonts w:eastAsia="Amiri" w:cs="Amiri" w:ascii="Amiri" w:hAnsi="Amiri"/>
          <w:color w:val="111111"/>
          <w:sz w:val="28"/>
          <w:szCs w:val="28"/>
          <w:rtl w:val="true"/>
          <w:lang w:bidi="ar-SA"/>
        </w:rPr>
        <w:t xml:space="preserve">» </w:t>
      </w:r>
      <w:r>
        <w:rPr>
          <w:rStyle w:val="FootnoteAnchor"/>
          <w:rtl w:val="true"/>
        </w:rPr>
        <w:footnoteReference w:id="2609"/>
      </w:r>
      <w:r>
        <w:rPr>
          <w:rFonts w:ascii="Amiri" w:hAnsi="Amiri" w:eastAsia="Amiri" w:cs="Amiri"/>
          <w:color w:val="111111"/>
          <w:sz w:val="28"/>
          <w:sz w:val="28"/>
          <w:szCs w:val="28"/>
          <w:rtl w:val="true"/>
          <w:lang w:bidi="ar-SA"/>
        </w:rPr>
        <w:t>عام خرج عنه غير المغبر والحجر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النهاية والحلّي ، فقدّما الحجر الخالي عن الغبار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وللديلمي فعكس </w:t>
      </w:r>
      <w:r>
        <w:rPr>
          <w:rStyle w:val="FootnoteAnchor"/>
          <w:rtl w:val="true"/>
        </w:rPr>
        <w:footnoteReference w:id="2611"/>
      </w:r>
      <w:r>
        <w:rPr>
          <w:rFonts w:ascii="Amiri" w:hAnsi="Amiri" w:eastAsia="Amiri" w:cs="Amiri"/>
          <w:color w:val="111111"/>
          <w:sz w:val="28"/>
          <w:sz w:val="28"/>
          <w:szCs w:val="28"/>
          <w:rtl w:val="true"/>
          <w:lang w:bidi="ar-SA"/>
        </w:rPr>
        <w:t xml:space="preserve">، ونسبه بعض مشايخنا إلى السيد أيضا واختاره </w:t>
      </w:r>
      <w:r>
        <w:rPr>
          <w:rStyle w:val="FootnoteAnchor"/>
          <w:rtl w:val="true"/>
        </w:rPr>
        <w:footnoteReference w:id="2612"/>
      </w:r>
      <w:r>
        <w:rPr>
          <w:rFonts w:ascii="Amiri" w:hAnsi="Amiri" w:eastAsia="Amiri" w:cs="Amiri"/>
          <w:color w:val="111111"/>
          <w:sz w:val="28"/>
          <w:sz w:val="28"/>
          <w:szCs w:val="28"/>
          <w:rtl w:val="true"/>
          <w:lang w:bidi="ar-SA"/>
        </w:rPr>
        <w:t xml:space="preserve">، ولعلّه للصحيحين وما بمعناهما الدالّين على الانتقال إلى الغبار بعد انتفاء التراب ، </w:t>
      </w:r>
    </w:p>
    <w:p>
      <w:pPr>
        <w:pStyle w:val="BookText"/>
        <w:rPr/>
      </w:pPr>
      <w:r>
        <w:rPr>
          <w:rFonts w:ascii="Amiri" w:hAnsi="Amiri" w:eastAsia="Amiri" w:cs="Amiri"/>
          <w:color w:val="111111"/>
          <w:sz w:val="28"/>
          <w:sz w:val="28"/>
          <w:szCs w:val="28"/>
          <w:rtl w:val="true"/>
          <w:lang w:bidi="ar-SA"/>
        </w:rPr>
        <w:t>وضعف مستند الحجر ، فيقتصر فيه على موضع الإجماع وهو بعد الغبار والطين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من جبر ضعف مستنده يظهر لك 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فلظواهر النصوص المتقدّمة ، وفاقا للمفيد </w:t>
      </w:r>
      <w:r>
        <w:rPr>
          <w:rStyle w:val="FootnoteAnchor"/>
          <w:rtl w:val="true"/>
        </w:rPr>
        <w:footnoteReference w:id="2613"/>
      </w:r>
      <w:r>
        <w:rPr>
          <w:rFonts w:ascii="Amiri" w:hAnsi="Amiri" w:eastAsia="Amiri" w:cs="Amiri"/>
          <w:color w:val="111111"/>
          <w:sz w:val="28"/>
          <w:sz w:val="28"/>
          <w:szCs w:val="28"/>
          <w:rtl w:val="true"/>
          <w:lang w:bidi="ar-SA"/>
        </w:rPr>
        <w:t xml:space="preserve">بل الأكثر ، وخلافا لنهاية الشيخ ، فقدّم اللبد والعرف على الثوب </w:t>
      </w:r>
      <w:r>
        <w:rPr>
          <w:rStyle w:val="FootnoteAnchor"/>
          <w:rtl w:val="true"/>
        </w:rPr>
        <w:footnoteReference w:id="2614"/>
      </w:r>
      <w:r>
        <w:rPr>
          <w:rFonts w:ascii="Amiri" w:hAnsi="Amiri" w:eastAsia="Amiri" w:cs="Amiri"/>
          <w:color w:val="111111"/>
          <w:sz w:val="28"/>
          <w:sz w:val="28"/>
          <w:szCs w:val="28"/>
          <w:rtl w:val="true"/>
          <w:lang w:bidi="ar-SA"/>
        </w:rPr>
        <w:t xml:space="preserve">، وللحلّي فعكس </w:t>
      </w:r>
      <w:r>
        <w:rPr>
          <w:rStyle w:val="FootnoteAnchor"/>
          <w:rtl w:val="true"/>
        </w:rPr>
        <w:footnoteReference w:id="2615"/>
      </w:r>
      <w:r>
        <w:rPr>
          <w:rFonts w:ascii="Amiri" w:hAnsi="Amiri" w:eastAsia="Amiri" w:cs="Amiri"/>
          <w:color w:val="111111"/>
          <w:sz w:val="28"/>
          <w:sz w:val="28"/>
          <w:szCs w:val="28"/>
          <w:rtl w:val="true"/>
          <w:lang w:bidi="ar-SA"/>
        </w:rPr>
        <w:t xml:space="preserve">، ولا نعرف لهما دليلا سوى ما في المنتهى للشيخ من كثرة وجود أجزاء التراب غالبا فيهما دون الثوب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ظاهر ، لمنع الكثرة أولا ، وعدم اعتبارها ثانيا ،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كان هناك أشياء مغبرة وكان بعضها أكثر غبارا لم يجب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الثانيين </w:t>
      </w:r>
      <w:r>
        <w:rPr>
          <w:rStyle w:val="FootnoteAnchor"/>
          <w:rtl w:val="true"/>
        </w:rPr>
        <w:footnoteReference w:id="2617"/>
      </w:r>
      <w:r>
        <w:rPr>
          <w:rFonts w:ascii="Amiri" w:hAnsi="Amiri" w:eastAsia="Amiri" w:cs="Amiri"/>
          <w:color w:val="111111"/>
          <w:sz w:val="28"/>
          <w:sz w:val="28"/>
          <w:szCs w:val="28"/>
          <w:rtl w:val="true"/>
          <w:lang w:bidi="ar-SA"/>
        </w:rPr>
        <w:t xml:space="preserve">، ولا وجه له ، كما لا وجه لما عن الإسكافي من تخصيص الغبار بما لم يكن على الحيوان </w:t>
      </w:r>
      <w:r>
        <w:rPr>
          <w:rStyle w:val="FootnoteAnchor"/>
          <w:rtl w:val="true"/>
        </w:rPr>
        <w:footnoteReference w:id="2618"/>
      </w:r>
      <w:r>
        <w:rPr>
          <w:rFonts w:ascii="Amiri" w:hAnsi="Amiri" w:eastAsia="Amiri" w:cs="Amiri"/>
          <w:color w:val="111111"/>
          <w:sz w:val="28"/>
          <w:sz w:val="28"/>
          <w:szCs w:val="28"/>
          <w:rtl w:val="true"/>
          <w:lang w:bidi="ar-SA"/>
        </w:rPr>
        <w:t>، مع أن ظاهر عرف الدابة صريح في ردّه ، لعدم الفرق ، فيجوز ولو كان الغبار على جسد نفسه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 المغبر كون غباره ممّا يتيمّم به من تراب ونحوه؟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كما به صرّح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والحلّي والفاضل </w:t>
      </w:r>
      <w:r>
        <w:rPr>
          <w:rStyle w:val="FootnoteAnchor"/>
          <w:rtl w:val="true"/>
        </w:rPr>
        <w:footnoteReference w:id="2619"/>
      </w:r>
      <w:r>
        <w:rPr>
          <w:rFonts w:ascii="Amiri" w:hAnsi="Amiri" w:eastAsia="Amiri" w:cs="Amiri"/>
          <w:color w:val="111111"/>
          <w:sz w:val="28"/>
          <w:sz w:val="28"/>
          <w:szCs w:val="28"/>
          <w:rtl w:val="true"/>
          <w:lang w:bidi="ar-SA"/>
        </w:rPr>
        <w:t xml:space="preserve">، لا لأجل حمل إطلاق الأخبار على الغالب ، لكون كل من الغلبة والحمل محل النظر ، بل لمنع كون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كغبار الدقيق والأشنان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غبارا حقيقة لغة ، ولا أقل من الشك ، فلا يندفع أصالة اشتغال الذمة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والغبار المركّب منهما والمشكوك فيه كغبار ما لا يتيمّم به ، والوجه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 من تجفيف الطين والوحل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بطليه على الجسد ثمَّ فركه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يجتمع التراب ويتيمّم به ، وجب ، تحصيلا لمقدمة الواجب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جمع الغبار بنفض الثوب ومثله بحيث يجتمع به تراب صالح للتيمّم به ، 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مقدّما على التيمّم بالثوب ونحوه؟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لعدم تحقّق فقد التراب حينئذ ، ووجوب تحصيل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صدق التراب على الغبار المجتمع ضعيف ، بل هو تراب عرفا ، كما يدلّ عليه كلام الديلمي </w:t>
      </w:r>
      <w:r>
        <w:rPr>
          <w:rStyle w:val="FootnoteAnchor"/>
          <w:rtl w:val="true"/>
        </w:rPr>
        <w:footnoteReference w:id="2620"/>
      </w:r>
      <w:r>
        <w:rPr>
          <w:rFonts w:ascii="Amiri" w:hAnsi="Amiri" w:eastAsia="Amiri" w:cs="Amiri"/>
          <w:color w:val="111111"/>
          <w:sz w:val="28"/>
          <w:sz w:val="28"/>
          <w:szCs w:val="28"/>
          <w:rtl w:val="true"/>
          <w:lang w:bidi="ar-SA"/>
        </w:rPr>
        <w:t xml:space="preserve">، وصرّح به بعض المحقّقين </w:t>
      </w:r>
      <w:r>
        <w:rPr>
          <w:rStyle w:val="FootnoteAnchor"/>
          <w:rtl w:val="true"/>
        </w:rPr>
        <w:footnoteReference w:id="2621"/>
      </w:r>
      <w:r>
        <w:rPr>
          <w:rFonts w:ascii="Amiri" w:hAnsi="Amiri" w:eastAsia="Amiri" w:cs="Amiri"/>
          <w:color w:val="111111"/>
          <w:sz w:val="28"/>
          <w:sz w:val="28"/>
          <w:szCs w:val="28"/>
          <w:rtl w:val="true"/>
          <w:lang w:bidi="ar-SA"/>
        </w:rPr>
        <w:t xml:space="preserve">، مع أنّ دلالة حسنة أبي بصير </w:t>
      </w:r>
      <w:r>
        <w:rPr>
          <w:rStyle w:val="FootnoteAnchor"/>
          <w:rtl w:val="true"/>
        </w:rPr>
        <w:footnoteReference w:id="2622"/>
      </w:r>
      <w:r>
        <w:rPr>
          <w:rFonts w:ascii="Amiri" w:hAnsi="Amiri" w:eastAsia="Amiri" w:cs="Amiri"/>
          <w:color w:val="111111"/>
          <w:sz w:val="28"/>
          <w:sz w:val="28"/>
          <w:szCs w:val="28"/>
          <w:rtl w:val="true"/>
          <w:lang w:bidi="ar-SA"/>
        </w:rPr>
        <w:t>على ذلك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الغبار الكامن في المحل ، وعدم اشتراط نفضة في التيمّم على الثوب ونحوه ،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Style w:val="FootnoteAnchor"/>
          <w:rtl w:val="true"/>
        </w:rPr>
        <w:footnoteReference w:id="2623"/>
      </w:r>
      <w:r>
        <w:rPr>
          <w:rFonts w:ascii="Amiri" w:hAnsi="Amiri" w:eastAsia="Amiri" w:cs="Amiri"/>
          <w:color w:val="111111"/>
          <w:sz w:val="28"/>
          <w:sz w:val="28"/>
          <w:szCs w:val="28"/>
          <w:rtl w:val="true"/>
          <w:lang w:bidi="ar-SA"/>
        </w:rPr>
        <w:t>، للحسنة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الوجوب غير واضحة ، مع أنه يمكن أن يكون المراد منها نفض الثوب وجمع غباره والتيمّم به ، فيخرج عن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بالغبار المتصاعد من الأرض المغصوبة ، لعدم كونه مالا ، ولكن لا يجوز إذا كان المحل المغبر مغصوبا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الإسكافي اشتراط عدم كون المغبر نجسا </w:t>
      </w:r>
      <w:r>
        <w:rPr>
          <w:rStyle w:val="FootnoteAnchor"/>
          <w:rtl w:val="true"/>
        </w:rPr>
        <w:footnoteReference w:id="2624"/>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كان الغبار متصاعدا من تراب نجس ، لإطلاق الأخبار ، وعدم معلومية تعدّي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اشتراط طهارة المتيمّم به كما يأتي </w:t>
      </w:r>
      <w:r>
        <w:rPr>
          <w:rStyle w:val="FootnoteAnchor"/>
          <w:rtl w:val="true"/>
        </w:rPr>
        <w:footnoteReference w:id="2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الأصح في كيفية التيمّم بالطين والوحل ما عن السرائر أنه كالتيمّم بالتراب </w:t>
      </w:r>
      <w:r>
        <w:rPr>
          <w:rStyle w:val="FootnoteAnchor"/>
          <w:rtl w:val="true"/>
        </w:rPr>
        <w:footnoteReference w:id="2626"/>
      </w:r>
      <w:r>
        <w:rPr>
          <w:rFonts w:ascii="IRNazanin" w:hAnsi="IRNazanin" w:eastAsia="IRNazanin"/>
          <w:color w:val="111111"/>
          <w:sz w:val="28"/>
          <w:sz w:val="28"/>
          <w:szCs w:val="28"/>
          <w:rtl w:val="true"/>
          <w:lang w:bidi="fa-IR"/>
        </w:rPr>
        <w:t>، لظاهر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المقنعة والخلاف والنهاية والمبسوط والمهذب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يضع يديه ثمَّ يرفعهما فيمسح إحداهما بالأخرى ويفرك طينهما حتى لا تبقى فيهما نداوة ثمَّ يمسح </w:t>
      </w:r>
      <w:r>
        <w:rPr>
          <w:rStyle w:val="FootnoteAnchor"/>
          <w:rtl w:val="true"/>
        </w:rPr>
        <w:footnoteReference w:id="2627"/>
      </w:r>
      <w:r>
        <w:rPr>
          <w:rFonts w:ascii="Amiri" w:hAnsi="Amiri" w:eastAsia="Amiri" w:cs="Amiri"/>
          <w:color w:val="111111"/>
          <w:sz w:val="28"/>
          <w:sz w:val="28"/>
          <w:szCs w:val="28"/>
          <w:rtl w:val="true"/>
          <w:lang w:bidi="ar-SA"/>
        </w:rPr>
        <w:t xml:space="preserve">، وعلّل بكونه مقتضى ظاهر النصوص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ظاهر ، مع احتمال إخلاله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الوسيلة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يترك يديه بعد الضرب حتى ييبس ثمَّ ينفض ويتيمّم به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التذكرة ونهاية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الوجه إن لم يخف فوات الوقت ، فإن خاف عمل بمذهب الشيخين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قد يفوت به أيضا ، مع أنّ ما في الوسيلة ليس تيمّما بالطين ، بل هو التجفيف والتيمّم بالتراب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يوجد إلاّ الثلج فإن أمكن تحصيل الماء منه بإذابة أو عصر أو كسر أو وضع اليد عليه حتى يجتمع فيها يسير ماء يجري على الجسد أو يمسح به بحيث يجري ماؤه ، وجبت الطهارة المائية ولم يجز التيمّم مطلقا ، لصدق وجدان </w:t>
      </w:r>
    </w:p>
    <w:p>
      <w:pPr>
        <w:pStyle w:val="BookText"/>
        <w:rPr/>
      </w:pPr>
      <w:r>
        <w:rPr>
          <w:rFonts w:ascii="Amiri" w:hAnsi="Amiri" w:eastAsia="Amiri" w:cs="Amiri"/>
          <w:color w:val="111111"/>
          <w:sz w:val="28"/>
          <w:sz w:val="28"/>
          <w:szCs w:val="28"/>
          <w:rtl w:val="true"/>
          <w:lang w:bidi="ar-SA"/>
        </w:rPr>
        <w:t>الماء ، وعليه الإجماع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ذلك ، ولا التطهّر منه بمثل الدهن ، انتقل إلى التيمّم بالإجماع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الدهن به فهو إمّا بأخذ نداوة منه باليد والتدهين بها ، أو بمسحه على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يرجع إلى مسألة جواز الدهن في الطهارة وعدمه مطلقا أو اضطرارا ، ولا خصوصية نصّا ولا خلاف للدهن بماء الثلج أو غيره ، فلا وجه للتعرّض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الثاني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الدهن المتنازع فيه سابقا أعم من الدهن بأخذ الماء أو من التمسّح بالشي‌ء الرطب ولو بمثل الثلج ، وإن قلنا باختصاصه بالأول وعدم شمول الدهن لمثل ذلك ، فيكون لاختصاصه بالذكر هنا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لأصالة عدم المشروعية ، لعدم صدق الغسل ، ولأنّ أجزاءه إمّا مقدّم على التيمّم ، أو مؤخّر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الصحيحتين والموثّقتين المتقدّمة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تعارضها صحيحة علي ، المتقدّمة في مسألة حدّ الغسل من باب الوضوء </w:t>
      </w:r>
      <w:r>
        <w:rPr>
          <w:rStyle w:val="FootnoteAnchor"/>
          <w:rtl w:val="true"/>
        </w:rPr>
        <w:footnoteReference w:id="2632"/>
      </w:r>
      <w:r>
        <w:rPr>
          <w:rFonts w:ascii="Amiri" w:hAnsi="Amiri" w:eastAsia="Amiri" w:cs="Amiri"/>
          <w:color w:val="111111"/>
          <w:sz w:val="28"/>
          <w:sz w:val="28"/>
          <w:szCs w:val="28"/>
          <w:rtl w:val="true"/>
          <w:lang w:bidi="ar-SA"/>
        </w:rPr>
        <w:t xml:space="preserve">، لعدم حجيتها ، لمخالفة عمل الأصحاب ، إذ لم يقل بالتطهر من الثلج إلاّ الشيخان وابنا حمزة وسعيد </w:t>
      </w:r>
      <w:r>
        <w:rPr>
          <w:rStyle w:val="FootnoteAnchor"/>
          <w:rtl w:val="true"/>
        </w:rPr>
        <w:footnoteReference w:id="2633"/>
      </w:r>
      <w:r>
        <w:rPr>
          <w:rFonts w:ascii="Amiri" w:hAnsi="Amiri" w:eastAsia="Amiri" w:cs="Amiri"/>
          <w:color w:val="111111"/>
          <w:sz w:val="28"/>
          <w:sz w:val="28"/>
          <w:szCs w:val="28"/>
          <w:rtl w:val="true"/>
          <w:lang w:bidi="ar-SA"/>
        </w:rPr>
        <w:t>، وهؤلاء صرّحوا بتأخّره عن التيمّم ، فلا قائل بمدلولها ، مع أنّ كلامهم صريح في أخذ النداوة باليد ، وأمّا المسح بالجسد فلم يقل به أحد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الحجية فتتعارض مع الأربعة بالعموم من وجه ، لاختصاص </w:t>
      </w:r>
    </w:p>
    <w:p>
      <w:pPr>
        <w:pStyle w:val="BookText"/>
        <w:rPr/>
      </w:pPr>
      <w:r>
        <w:rPr>
          <w:rFonts w:ascii="Amiri" w:hAnsi="Amiri" w:eastAsia="Amiri" w:cs="Amiri"/>
          <w:color w:val="111111"/>
          <w:sz w:val="28"/>
          <w:sz w:val="28"/>
          <w:szCs w:val="28"/>
          <w:rtl w:val="true"/>
          <w:lang w:bidi="ar-SA"/>
        </w:rPr>
        <w:t>الصحيحة بصورة القدرة على التطهّر بالثلج وعمومها بالنسبة إلى حصول الغسل والجريان ، واختصاص الأربعة بما إذا لم يمكن الطهارة بماء الثلج قطعا ، وعمومها بالإضافة إلى القدرة على التطهر بالثلج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للأربعة ، لموافقتها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عنه يرجع إلى أصالة عدم المشروعية وبقاء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يدفعه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في السفر لا يجد إلاّ الثلج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بالثلج أو ماء النهر </w:t>
      </w:r>
      <w:r>
        <w:rPr>
          <w:rFonts w:eastAsia="Amiri" w:cs="Amiri" w:ascii="Amiri" w:hAnsi="Amiri"/>
          <w:color w:val="111111"/>
          <w:sz w:val="28"/>
          <w:szCs w:val="28"/>
          <w:rtl w:val="true"/>
          <w:lang w:bidi="ar-SA"/>
        </w:rPr>
        <w:t xml:space="preserve">» </w:t>
      </w:r>
      <w:r>
        <w:rPr>
          <w:rStyle w:val="FootnoteAnchor"/>
          <w:rtl w:val="true"/>
        </w:rPr>
        <w:footnoteReference w:id="2634"/>
      </w:r>
      <w:r>
        <w:rPr>
          <w:rFonts w:ascii="Amiri" w:hAnsi="Amiri" w:eastAsia="Amiri" w:cs="Amiri"/>
          <w:color w:val="111111"/>
          <w:sz w:val="28"/>
          <w:sz w:val="28"/>
          <w:szCs w:val="28"/>
          <w:rtl w:val="true"/>
          <w:lang w:bidi="ar-SA"/>
        </w:rPr>
        <w:t>فظاهر في إجراء الماء ، لأنّه المفهوم من الاغتسال ، فتحمل على إذابة الثلج ، وتدلّ عليه التسوية بينه وبين ماء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باب الوضوء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واردة في الجمد </w:t>
      </w:r>
      <w:r>
        <w:rPr>
          <w:rStyle w:val="FootnoteAnchor"/>
          <w:rtl w:val="true"/>
        </w:rPr>
        <w:footnoteReference w:id="2635"/>
      </w:r>
      <w:r>
        <w:rPr>
          <w:rFonts w:ascii="Amiri" w:hAnsi="Amiri" w:eastAsia="Amiri" w:cs="Amiri"/>
          <w:color w:val="111111"/>
          <w:sz w:val="28"/>
          <w:sz w:val="28"/>
          <w:szCs w:val="28"/>
          <w:rtl w:val="true"/>
          <w:lang w:bidi="ar-SA"/>
        </w:rPr>
        <w:t>، والغالب فيه الجريان بعد مماسّة حرارة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بإمكان عدم الجريان مع الدلك أيضا وعدم التفرقة بين الثلج والجمد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هما الظاهران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بالدلك بعد فقد ما يتيمّم به ، لخروج حال إمكانه بالمعارضة المتقدّمة ، ولا بأس به حيث إنّه الأحوط بل الأظهر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التيمّم المنتقل إليه بعد العجز عن إجراء ماء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على الدلك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يختص بما مرّ من التراب والغبار والطين على الترتيب دون غيرها؟ أو يتيمّم بالثلج أيضا مؤخّرا عن الثلاثة أو مقدّما عليها كلا أو بعضا؟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وفاقا للحلّي </w:t>
      </w:r>
      <w:r>
        <w:rPr>
          <w:rStyle w:val="FootnoteAnchor"/>
          <w:rtl w:val="true"/>
        </w:rPr>
        <w:footnoteReference w:id="2636"/>
      </w:r>
      <w:r>
        <w:rPr>
          <w:rFonts w:ascii="Amiri" w:hAnsi="Amiri" w:eastAsia="Amiri" w:cs="Amiri"/>
          <w:color w:val="111111"/>
          <w:sz w:val="28"/>
          <w:sz w:val="28"/>
          <w:szCs w:val="28"/>
          <w:rtl w:val="true"/>
          <w:lang w:bidi="ar-SA"/>
        </w:rPr>
        <w:t>بل الأكثر ،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وخلافا للإسكافي والسيد في المصباح </w:t>
      </w:r>
      <w:r>
        <w:rPr>
          <w:rStyle w:val="FootnoteAnchor"/>
          <w:rtl w:val="true"/>
        </w:rPr>
        <w:footnoteReference w:id="2637"/>
      </w:r>
      <w:r>
        <w:rPr>
          <w:rFonts w:ascii="IRNazanin" w:hAnsi="IRNazanin" w:eastAsia="IRNazanin"/>
          <w:color w:val="111111"/>
          <w:sz w:val="28"/>
          <w:sz w:val="28"/>
          <w:szCs w:val="28"/>
          <w:rtl w:val="true"/>
          <w:lang w:bidi="fa-IR"/>
        </w:rPr>
        <w:t xml:space="preserve">والإصباح والمراسم </w:t>
      </w:r>
      <w:r>
        <w:rPr>
          <w:rStyle w:val="FootnoteAnchor"/>
          <w:rtl w:val="true"/>
        </w:rPr>
        <w:footnoteReference w:id="2638"/>
      </w:r>
      <w:r>
        <w:rPr>
          <w:rFonts w:ascii="Amiri" w:hAnsi="Amiri" w:eastAsia="Amiri" w:cs="Amiri"/>
          <w:color w:val="111111"/>
          <w:sz w:val="28"/>
          <w:sz w:val="28"/>
          <w:szCs w:val="28"/>
          <w:rtl w:val="true"/>
          <w:lang w:bidi="ar-SA"/>
        </w:rPr>
        <w:t>، فيتيمّم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منهم تأخيره عن الثلاثة ، 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سفر ولم يجد إلاّ الثلج أو ماء جامدا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الضرورة يتيمّم </w:t>
      </w:r>
      <w:r>
        <w:rPr>
          <w:rFonts w:eastAsia="Amiri" w:cs="Amiri" w:ascii="Amiri" w:hAnsi="Amiri"/>
          <w:color w:val="111111"/>
          <w:sz w:val="28"/>
          <w:szCs w:val="28"/>
          <w:rtl w:val="true"/>
          <w:lang w:bidi="ar-SA"/>
        </w:rPr>
        <w:t xml:space="preserve">»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من جنس الماء ، لا من الماء وما يتيمّم به ، لعدم مرجّح للمقدّر ، فيكون التيمّم المأمور به بالتراب ، مع أنه يمكن أن يكون مرادهم من التيمّم التمسّح بنداوته بأعضاء الطهارة كما قيل </w:t>
      </w:r>
      <w:r>
        <w:rPr>
          <w:rStyle w:val="FootnoteAnchor"/>
          <w:rtl w:val="true"/>
        </w:rPr>
        <w:footnoteReference w:id="2640"/>
      </w:r>
      <w:r>
        <w:rPr>
          <w:rFonts w:ascii="Amiri" w:hAnsi="Amiri" w:eastAsia="Amiri" w:cs="Amiri"/>
          <w:color w:val="111111"/>
          <w:sz w:val="28"/>
          <w:sz w:val="28"/>
          <w:szCs w:val="28"/>
          <w:rtl w:val="true"/>
          <w:lang w:bidi="ar-SA"/>
        </w:rPr>
        <w:t>، فتنتفي دلالة الصحيحة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التيمّم بالتراب المغصوب إجماعا ، كما في التذكرة والمنتهى </w:t>
      </w:r>
      <w:r>
        <w:rPr>
          <w:rStyle w:val="FootnoteAnchor"/>
          <w:rtl w:val="true"/>
        </w:rPr>
        <w:footnoteReference w:id="2641"/>
      </w:r>
      <w:r>
        <w:rPr>
          <w:rFonts w:ascii="Amiri" w:hAnsi="Amiri" w:eastAsia="Amiri" w:cs="Amiri"/>
          <w:color w:val="111111"/>
          <w:sz w:val="28"/>
          <w:sz w:val="28"/>
          <w:szCs w:val="28"/>
          <w:rtl w:val="true"/>
          <w:lang w:bidi="ar-SA"/>
        </w:rPr>
        <w:t>، للنهي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بالتراب المباح في المكان المغصوب ، لا للنهي عن الكون فيه ، لأنّه ليس جزء التيمّم ولا شرطه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لاقتضاء الأمر بالخروج النهي عن ضدّه الخاص الذي هو التيمّم ، لمنع كونه ضدّا له ، بل هو أمر مقارن له ولتركه ، فإن التيمّم يجتمع مع الخروج أيضا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لأنّ المفهوم عرفا من الأمر بالتيمّم والنهي عن الغصب عدم الرضا بالتيمّم في المكان الغصبي ، لأنّه تركيب جعلي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الرضا بالتيمّم والنهي عن الغصب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لأنّ حركة اليد حين رفعها من الأرض للمسح وللضرب تصرّف في الملك المغصوب ، لأنّ هذه الأمور أيضا غير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مسح الجبهة والكفين عبارة عن إمرار اليد عليهما ، وذلك الإمرار تصرّف في الهواء المغصوب ، فيكون منهيا عنه ، وبه يبطل المسح الذي هو عين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كان على موضع مغصوب ولكن أخرج رأسه وكفّيه منه ومسحهما ، 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حبس في مكان مغصوب ولم يجد ماء مباحا يصح استعماله ، قال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بترابه وإن وجد غيره ، لأنّ الإكراه أخرجه عن النهي ، فصارت الأكوان مباحة ، لامتناع التكليف بما لا يطاق ، إلاّ ما يلزم منه ضرر زائد على أصل الكون ، ومن ثمَّ جاز له أن يصلّي وينام ويقوم </w:t>
      </w:r>
      <w:r>
        <w:rPr>
          <w:rStyle w:val="FootnoteAnchor"/>
          <w:rtl w:val="true"/>
        </w:rPr>
        <w:footnoteReference w:id="2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بالنجس إجماعا محقّقا ومنقولا في الناصريات والتذكرة </w:t>
      </w:r>
      <w:r>
        <w:rPr>
          <w:rStyle w:val="FootnoteAnchor"/>
          <w:rtl w:val="true"/>
        </w:rPr>
        <w:footnoteReference w:id="2644"/>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فيه مخالفا </w:t>
      </w:r>
      <w:r>
        <w:rPr>
          <w:rStyle w:val="FootnoteAnchor"/>
          <w:rtl w:val="true"/>
        </w:rPr>
        <w:footnoteReference w:id="2645"/>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الأصحاب </w:t>
      </w:r>
      <w:r>
        <w:rPr>
          <w:rStyle w:val="FootnoteAnchor"/>
          <w:rtl w:val="true"/>
        </w:rPr>
        <w:footnoteReference w:id="2646"/>
      </w:r>
      <w:r>
        <w:rPr>
          <w:rFonts w:ascii="Amiri" w:hAnsi="Amiri" w:eastAsia="Amiri" w:cs="Amiri"/>
          <w:color w:val="111111"/>
          <w:sz w:val="28"/>
          <w:sz w:val="28"/>
          <w:szCs w:val="28"/>
          <w:rtl w:val="true"/>
          <w:lang w:bidi="ar-SA"/>
        </w:rPr>
        <w:t xml:space="preserve">، له ، ولقوله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صَعِيداً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بالطيّب وإن لم يتعيّن لغة أنه الطاهر ، وكثير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فسّروه به ، وبعضهم بالحلال ، وبعض بما ينبت منه النبات </w:t>
      </w:r>
      <w:r>
        <w:rPr>
          <w:rStyle w:val="FootnoteAnchor"/>
          <w:rtl w:val="true"/>
        </w:rPr>
        <w:footnoteReference w:id="2647"/>
      </w:r>
      <w:r>
        <w:rPr>
          <w:rFonts w:ascii="Amiri" w:hAnsi="Amiri" w:eastAsia="Amiri" w:cs="Amiri"/>
          <w:color w:val="111111"/>
          <w:sz w:val="28"/>
          <w:sz w:val="28"/>
          <w:szCs w:val="28"/>
          <w:rtl w:val="true"/>
          <w:lang w:bidi="ar-SA"/>
        </w:rPr>
        <w:t>، ولكنه محتمل الإرادة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الطيب اللغوي بجميع معانيه على النجس غير معلوم ، فيكون مجملا وبه تقيّد المطلقات ، والمقيّد بالمجمل ليس بحجة في موضع الإجمال ، فيؤخذ فيما هو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إباحة ما يشترط الطهور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بالمتيقّن ، وهو الطاهر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يستدلّ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بالروايات المتضمّنة لقوله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وجعلت لي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طهورا </w:t>
      </w:r>
      <w:r>
        <w:rPr>
          <w:rFonts w:eastAsia="IRNazanin" w:cs="IRNazanin"/>
          <w:color w:val="111111"/>
          <w:sz w:val="28"/>
          <w:szCs w:val="28"/>
          <w:rtl w:val="true"/>
          <w:lang w:bidi="fa-IR"/>
        </w:rPr>
        <w:t xml:space="preserve">» </w:t>
      </w:r>
      <w:r>
        <w:rPr>
          <w:rStyle w:val="FootnoteAnchor"/>
          <w:rtl w:val="true"/>
        </w:rPr>
        <w:footnoteReference w:id="2648"/>
      </w:r>
      <w:r>
        <w:rPr>
          <w:rFonts w:ascii="Amiri" w:hAnsi="Amiri" w:eastAsia="Amiri" w:cs="Amiri"/>
          <w:color w:val="111111"/>
          <w:sz w:val="28"/>
          <w:sz w:val="28"/>
          <w:szCs w:val="28"/>
          <w:rtl w:val="true"/>
          <w:lang w:bidi="ar-SA"/>
        </w:rPr>
        <w:t xml:space="preserve">حيث إنّ الطهور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المطهّر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ظاهر ، فإنّه لا يدلّ على اشتراط مطهّريته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ويتعدّى الحكم إلى غير التراب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امتزج بما يتيمّم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يتيمّم به ، فإن كان الخليط مستهلكا غير موجب لسلب اسم التراب ، يصح التيمّم به ، وإلاّ لم يصح وإن غلب التراب ، كما صرح به في الخلاف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دخل فيه ما لا يعلّق بالكف كالتبن والشعير والشعر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به ، لصدق وجود التراب وعدم منع ما فيه من التصاق اليد به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واستشكله في المدارك ، لاعتبار مماسة باطن الكفين بأسرهما بالصعيد ، وما أصاب الخليط لا يماس التراب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سيظهر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التيمّم بعوالي الأرض ورباها ، لتفسير الصعيد في معاني الأخبار والرضوي بالموضع المرتفع </w:t>
      </w:r>
      <w:r>
        <w:rPr>
          <w:rStyle w:val="FootnoteAnchor"/>
          <w:rtl w:val="true"/>
        </w:rPr>
        <w:footnoteReference w:id="2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يكون من أثر الطريق ، لرواية غياث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بالسبخة والرمل كما صرّح به الأكثر ، وهو كاف في إثبات الكراهة</w:t>
      </w:r>
      <w:r>
        <w:rPr>
          <w:rFonts w:eastAsia="Amiri" w:cs="Amiri" w:ascii="Amiri" w:hAnsi="Amiri"/>
          <w:color w:val="111111"/>
          <w:sz w:val="28"/>
          <w:szCs w:val="28"/>
          <w:rtl w:val="true"/>
          <w:lang w:bidi="ar-SA"/>
        </w:rPr>
        <w:t xml:space="preserve">. </w:t>
      </w:r>
      <w:bookmarkStart w:id="148" w:name="pg11616_94866"/>
    </w:p>
    <w:p>
      <w:pPr>
        <w:pStyle w:val="Heading3"/>
        <w:numPr>
          <w:ilvl w:val="2"/>
          <w:numId w:val="1"/>
        </w:numPr>
        <w:rPr/>
      </w:pPr>
      <w:bookmarkStart w:id="149" w:name="__RefHeading___Toc5588161_73709187"/>
      <w:bookmarkStart w:id="150" w:name="_Toc58"/>
      <w:bookmarkEnd w:id="148"/>
      <w:bookmarkEnd w:id="149"/>
      <w:r>
        <w:rPr>
          <w:rtl w:val="true"/>
        </w:rPr>
        <w:t xml:space="preserve">الفصل الثالث </w:t>
      </w:r>
      <w:r>
        <w:rPr>
          <w:rtl w:val="true"/>
        </w:rPr>
        <w:t xml:space="preserve">: </w:t>
      </w:r>
      <w:r>
        <w:rPr>
          <w:rtl w:val="true"/>
        </w:rPr>
        <w:t>فيما يشرع له التيمّم</w:t>
      </w:r>
      <w:bookmarkEnd w:id="15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التيمّم للصلاة عند تعذّر المائية إجماعية ، بل ضرورية دينية منصوصة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فيها بين الحاضرة والفائتة ، لعموم الآيتين ، ورواية أبي همام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لكلّ صلاة حتى يوجد الماء </w:t>
      </w:r>
      <w:r>
        <w:rPr>
          <w:rFonts w:eastAsia="Amiri" w:cs="Amiri" w:ascii="Amiri" w:hAnsi="Amiri"/>
          <w:color w:val="111111"/>
          <w:sz w:val="28"/>
          <w:szCs w:val="28"/>
          <w:rtl w:val="true"/>
          <w:lang w:bidi="ar-SA"/>
        </w:rPr>
        <w:t xml:space="preserve">» </w:t>
      </w:r>
      <w:r>
        <w:rPr>
          <w:rStyle w:val="FootnoteAnchor"/>
          <w:rtl w:val="true"/>
        </w:rPr>
        <w:footnoteReference w:id="2655"/>
      </w:r>
      <w:r>
        <w:rPr>
          <w:rFonts w:ascii="IRNazanin" w:hAnsi="IRNazanin" w:eastAsia="IRNazanin"/>
          <w:color w:val="111111"/>
          <w:sz w:val="28"/>
          <w:sz w:val="28"/>
          <w:szCs w:val="28"/>
          <w:rtl w:val="true"/>
          <w:lang w:bidi="fa-IR"/>
        </w:rPr>
        <w:t>وسائر المطلقات والعمومات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بين اليومية وغيرها ، كالجمعة والعيدين والآيات والمنذورة ، ولا بين الواجبة والنافلة المرتبة وغيرها ، ذات السبب والمبتدأة ، بلا خلاف ظاهر في شي‌ء منها ، لما ذكر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يشرع لكلّ ما تجب له المائية ويبيحه عند تعذّرها ، وفاقا للمعظم ، كالشيخ في المبسوط والجمل والعقود </w:t>
      </w:r>
      <w:r>
        <w:rPr>
          <w:rStyle w:val="FootnoteAnchor"/>
          <w:rtl w:val="true"/>
        </w:rPr>
        <w:footnoteReference w:id="2656"/>
      </w:r>
      <w:r>
        <w:rPr>
          <w:rFonts w:ascii="Amiri" w:hAnsi="Amiri" w:eastAsia="Amiri" w:cs="Amiri"/>
          <w:color w:val="111111"/>
          <w:sz w:val="28"/>
          <w:sz w:val="28"/>
          <w:szCs w:val="28"/>
          <w:rtl w:val="true"/>
          <w:lang w:bidi="ar-SA"/>
        </w:rPr>
        <w:t xml:space="preserve">، والإصباح والمعتبر والشرائع والجامع والمنتهى والتذكرة والقواعد والبيان وروض الجنان والكركي </w:t>
      </w:r>
      <w:r>
        <w:rPr>
          <w:rStyle w:val="FootnoteAnchor"/>
          <w:rtl w:val="true"/>
        </w:rPr>
        <w:footnoteReference w:id="2657"/>
      </w:r>
      <w:r>
        <w:rPr>
          <w:rFonts w:ascii="Amiri" w:hAnsi="Amiri" w:eastAsia="Amiri" w:cs="Amiri"/>
          <w:color w:val="111111"/>
          <w:sz w:val="28"/>
          <w:sz w:val="28"/>
          <w:szCs w:val="28"/>
          <w:rtl w:val="true"/>
          <w:lang w:bidi="ar-SA"/>
        </w:rPr>
        <w:t xml:space="preserve">، بل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إجماع علماء الإسلام ، وفي اللوامع والمعتمد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عن الفاضل أيضا </w:t>
      </w:r>
      <w:r>
        <w:rPr>
          <w:rStyle w:val="FootnoteAnchor"/>
          <w:rtl w:val="true"/>
        </w:rPr>
        <w:footnoteReference w:id="2658"/>
      </w:r>
      <w:r>
        <w:rPr>
          <w:rFonts w:ascii="Amiri" w:hAnsi="Amiri" w:eastAsia="Amiri" w:cs="Amiri"/>
          <w:color w:val="111111"/>
          <w:sz w:val="28"/>
          <w:sz w:val="28"/>
          <w:szCs w:val="28"/>
          <w:rtl w:val="true"/>
          <w:lang w:bidi="ar-SA"/>
        </w:rPr>
        <w:t xml:space="preserve">، وفي موضع من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أنّ التيمّم يبيح ما تبيحه المائية مطلقا ، وفي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الأصحاب </w:t>
      </w:r>
      <w:r>
        <w:rPr>
          <w:rStyle w:val="FootnoteAnchor"/>
          <w:rtl w:val="true"/>
        </w:rPr>
        <w:footnoteReference w:id="2659"/>
      </w:r>
      <w:r>
        <w:rPr>
          <w:rFonts w:ascii="Amiri" w:hAnsi="Amiri" w:eastAsia="Amiri" w:cs="Amiri"/>
          <w:color w:val="111111"/>
          <w:sz w:val="28"/>
          <w:sz w:val="28"/>
          <w:szCs w:val="28"/>
          <w:rtl w:val="true"/>
          <w:lang w:bidi="ar-SA"/>
        </w:rPr>
        <w:t xml:space="preserve">، وفي التذكرة نفى الخلاف عن استباحة </w:t>
      </w:r>
    </w:p>
    <w:p>
      <w:pPr>
        <w:pStyle w:val="BookText"/>
        <w:rPr/>
      </w:pPr>
      <w:r>
        <w:rPr>
          <w:rFonts w:ascii="Amiri" w:hAnsi="Amiri" w:eastAsia="Amiri" w:cs="Amiri"/>
          <w:color w:val="111111"/>
          <w:sz w:val="28"/>
          <w:sz w:val="28"/>
          <w:szCs w:val="28"/>
          <w:rtl w:val="true"/>
          <w:lang w:bidi="ar-SA"/>
        </w:rPr>
        <w:t xml:space="preserve">المسّ والتلاوة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بما 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والتيمّم غسل المضطر ووضوؤه </w:t>
      </w:r>
      <w:r>
        <w:rPr>
          <w:rFonts w:eastAsia="Amiri" w:cs="Amiri" w:ascii="Amiri" w:hAnsi="Amiri"/>
          <w:color w:val="111111"/>
          <w:sz w:val="28"/>
          <w:szCs w:val="28"/>
          <w:rtl w:val="true"/>
          <w:lang w:bidi="ar-SA"/>
        </w:rPr>
        <w:t xml:space="preserve">» </w:t>
      </w:r>
      <w:r>
        <w:rPr>
          <w:rStyle w:val="FootnoteAnchor"/>
          <w:rtl w:val="true"/>
        </w:rPr>
        <w:footnoteReference w:id="2661"/>
      </w:r>
      <w:r>
        <w:rPr>
          <w:rFonts w:ascii="Amiri" w:hAnsi="Amiri" w:eastAsia="Amiri" w:cs="Amiri"/>
          <w:color w:val="111111"/>
          <w:sz w:val="28"/>
          <w:sz w:val="28"/>
          <w:szCs w:val="28"/>
          <w:rtl w:val="true"/>
          <w:lang w:bidi="ar-SA"/>
        </w:rPr>
        <w:t>فإنّ من وجب عليه المشروط بالمائية ولم يتمكّن منها مضطر ، وعمومه الجنسي يشمل جميع أفراده ، ويلزمه كونه مبيحا لكلّ ما تبيحه ، إذ بفرض وجوبه ولو بالنذر يباح بالتيمّم ، فكذا قبله ، لعدم الفصل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في خصوص اللبث في المساجد الآية أيضا ، حيث نهي فيها عن قرب الصلاة التي أريد بها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w:t>
      </w:r>
      <w:r>
        <w:rPr>
          <w:rStyle w:val="FootnoteAnchor"/>
          <w:rtl w:val="true"/>
        </w:rPr>
        <w:footnoteReference w:id="2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عبورا حتى يغتسل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مَرْضى </w:t>
      </w:r>
      <w:r>
        <w:rPr>
          <w:rFonts w:eastAsia="Amiri" w:cs="Amiri" w:ascii="Amiri" w:hAnsi="Amiri"/>
          <w:color w:val="111111"/>
          <w:sz w:val="28"/>
          <w:szCs w:val="28"/>
          <w:rtl w:val="true"/>
          <w:lang w:bidi="ar-SA"/>
        </w:rPr>
        <w:t xml:space="preserve">) .. </w:t>
      </w:r>
      <w:r>
        <w:rPr>
          <w:rStyle w:val="FootnoteAnchor"/>
          <w:rtl w:val="true"/>
        </w:rPr>
        <w:footnoteReference w:id="2663"/>
      </w:r>
      <w:r>
        <w:rPr>
          <w:rFonts w:ascii="Amiri" w:hAnsi="Amiri" w:eastAsia="Amiri" w:cs="Amiri"/>
          <w:color w:val="111111"/>
          <w:sz w:val="28"/>
          <w:sz w:val="28"/>
          <w:szCs w:val="28"/>
          <w:rtl w:val="true"/>
          <w:lang w:bidi="ar-SA"/>
        </w:rPr>
        <w:t>فدلّ على الجواز بعد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استفاضة النصوص بطهورية التراب ، وأنّه أحد الطهورين ، وأنّ اللّه جعله طهورا كما جعل الماء طهورا </w:t>
      </w:r>
      <w:r>
        <w:rPr>
          <w:rStyle w:val="FootnoteAnchor"/>
          <w:rtl w:val="true"/>
        </w:rPr>
        <w:footnoteReference w:id="2664"/>
      </w:r>
      <w:r>
        <w:rPr>
          <w:rFonts w:ascii="Amiri" w:hAnsi="Amiri" w:eastAsia="Amiri" w:cs="Amiri"/>
          <w:color w:val="111111"/>
          <w:sz w:val="28"/>
          <w:sz w:val="28"/>
          <w:szCs w:val="28"/>
          <w:rtl w:val="true"/>
          <w:lang w:bidi="ar-SA"/>
        </w:rPr>
        <w:t xml:space="preserve">، 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بمنزلة الماء ، وفي خبر 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يكفيك الصعيد عشر سنين </w:t>
      </w:r>
      <w:r>
        <w:rPr>
          <w:rFonts w:eastAsia="Amiri" w:cs="Amiri" w:ascii="Amiri" w:hAnsi="Amiri"/>
          <w:color w:val="111111"/>
          <w:sz w:val="28"/>
          <w:szCs w:val="28"/>
          <w:rtl w:val="true"/>
          <w:lang w:bidi="ar-SA"/>
        </w:rPr>
        <w:t xml:space="preserve">» </w:t>
      </w:r>
      <w:r>
        <w:rPr>
          <w:rStyle w:val="FootnoteAnchor"/>
          <w:rtl w:val="true"/>
        </w:rPr>
        <w:footnoteReference w:id="2665"/>
      </w:r>
      <w:r>
        <w:rPr>
          <w:rFonts w:ascii="Amiri" w:hAnsi="Amiri" w:eastAsia="Amiri" w:cs="Amiri"/>
          <w:color w:val="111111"/>
          <w:sz w:val="28"/>
          <w:sz w:val="28"/>
          <w:szCs w:val="28"/>
          <w:rtl w:val="true"/>
          <w:lang w:bidi="ar-SA"/>
        </w:rPr>
        <w:t xml:space="preserve">وأن ما يبيح أعظم العبادات يبيح غيره بطريق أولى ، وما ورد في الأخبار الكثيرة من إطلاق الأمر بالتيمّم لذوي الأعذار ، وصحيحة زرارة في رجل يتيمّم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يجزيه ذلك إلى أن يجد الماء </w:t>
      </w:r>
      <w:r>
        <w:rPr>
          <w:rFonts w:eastAsia="Amiri" w:cs="Amiri" w:ascii="Amiri" w:hAnsi="Amiri"/>
          <w:color w:val="111111"/>
          <w:sz w:val="28"/>
          <w:szCs w:val="28"/>
          <w:rtl w:val="true"/>
          <w:lang w:bidi="ar-SA"/>
        </w:rPr>
        <w:t xml:space="preserve">»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هذه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فخر المحقّقين في استباحة اللبث ، لقوله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 المصحف ، لعدم فصل الأمة بينهما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ثبوت البدلية بدلالة خارجة ، مع أنها تثبت بدلالة متّصلة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ولصاحب المدارك ، فقال بأنه يبيح ما يبيحه مطلق الطهارة ، كالصلاة ،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668"/>
      </w:r>
      <w:r>
        <w:rPr>
          <w:rFonts w:ascii="Amiri" w:hAnsi="Amiri" w:eastAsia="Amiri" w:cs="Amiri"/>
          <w:color w:val="111111"/>
          <w:sz w:val="28"/>
          <w:sz w:val="28"/>
          <w:szCs w:val="28"/>
          <w:rtl w:val="true"/>
          <w:lang w:bidi="ar-SA"/>
        </w:rPr>
        <w:t xml:space="preserve">ومسّ المصحف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2669"/>
      </w:r>
      <w:r>
        <w:rPr>
          <w:rFonts w:ascii="Amiri" w:hAnsi="Amiri" w:eastAsia="Amiri" w:cs="Amiri"/>
          <w:color w:val="111111"/>
          <w:sz w:val="28"/>
          <w:sz w:val="28"/>
          <w:szCs w:val="28"/>
          <w:rtl w:val="true"/>
          <w:lang w:bidi="ar-SA"/>
        </w:rPr>
        <w:t xml:space="preserve">دون ما يتوقّف على نوع خاص منها كصوم الجنب ، إذ المستفاد من الأخبار أنه طهور ، وكالماء في الطهورية ، فيكفي فيما يتوقّف عليها دون ما يتوقّف على خصوص الوضوء أو الغسل ، لعدم ثبوت بدليته عنهما عموما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توقّفه على ثبوت الحقيقة الشرعية للطهارة ، ثمَّ كونها مشتركة معنوية بين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إنّما يتمّ لو أريد من الطهارة فيما تبيحه مطلقها ، وهو باطل جزما ، لعدم كفاية المطلق ، لتعيّن المائية مع التمكّن منها ، فيكون المراد منها الفرد الخاص لا القدر المشترك ، 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التيمّم مع وجود الماء ليس طهورا ، فالمراد مطلقها أي ما يحصل به الطهر ، سواء كان تيمّما كما في بعض الأوقات ، أو وضوءا كما في بعض آخر ، أو غسلا كما في ثالث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يفيد لو ثبت طهورية التيمّم عند فقد الماء مطلقا أيضا ، وهو محل النزاع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نهاية الإحكام أنّ التيمّم يستحب لكلّ ما يستحب له </w:t>
      </w:r>
    </w:p>
    <w:p>
      <w:pPr>
        <w:pStyle w:val="BookText"/>
        <w:rPr/>
      </w:pPr>
      <w:r>
        <w:rPr>
          <w:rFonts w:ascii="IRNazanin" w:hAnsi="IRNazanin" w:eastAsia="IRNazanin"/>
          <w:color w:val="111111"/>
          <w:sz w:val="28"/>
          <w:sz w:val="28"/>
          <w:szCs w:val="28"/>
          <w:rtl w:val="true"/>
          <w:lang w:bidi="fa-IR"/>
        </w:rPr>
        <w:t xml:space="preserve">الوضوء والغسل عند تعذّرهما </w:t>
      </w:r>
      <w:r>
        <w:rPr>
          <w:rStyle w:val="FootnoteAnchor"/>
          <w:rtl w:val="true"/>
        </w:rPr>
        <w:footnoteReference w:id="2671"/>
      </w:r>
      <w:r>
        <w:rPr>
          <w:rFonts w:ascii="Amiri" w:hAnsi="Amiri" w:eastAsia="Amiri" w:cs="Amiri"/>
          <w:color w:val="111111"/>
          <w:sz w:val="28"/>
          <w:sz w:val="28"/>
          <w:szCs w:val="28"/>
          <w:rtl w:val="true"/>
          <w:lang w:bidi="ar-SA"/>
        </w:rPr>
        <w:t xml:space="preserve">، وبه صرّح الأردبيلي </w:t>
      </w:r>
      <w:r>
        <w:rPr>
          <w:rStyle w:val="FootnoteAnchor"/>
          <w:rtl w:val="true"/>
        </w:rPr>
        <w:footnoteReference w:id="2672"/>
      </w:r>
      <w:r>
        <w:rPr>
          <w:rFonts w:ascii="Amiri" w:hAnsi="Amiri" w:eastAsia="Amiri" w:cs="Amiri"/>
          <w:color w:val="111111"/>
          <w:sz w:val="28"/>
          <w:sz w:val="28"/>
          <w:szCs w:val="28"/>
          <w:rtl w:val="true"/>
          <w:lang w:bidi="ar-SA"/>
        </w:rPr>
        <w:t xml:space="preserve">ووالدي العلاّمة رحمه اللّه ، وبعض مشايخنا المحقّقين </w:t>
      </w:r>
      <w:r>
        <w:rPr>
          <w:rStyle w:val="FootnoteAnchor"/>
          <w:rtl w:val="true"/>
        </w:rPr>
        <w:footnoteReference w:id="2673"/>
      </w:r>
      <w:r>
        <w:rPr>
          <w:rFonts w:ascii="Amiri" w:hAnsi="Amiri" w:eastAsia="Amiri" w:cs="Amiri"/>
          <w:color w:val="111111"/>
          <w:sz w:val="28"/>
          <w:sz w:val="28"/>
          <w:szCs w:val="28"/>
          <w:rtl w:val="true"/>
          <w:lang w:bidi="ar-SA"/>
        </w:rPr>
        <w:t xml:space="preserve">، وبعض سادة مشايخنا في منظومته </w:t>
      </w:r>
      <w:r>
        <w:rPr>
          <w:rStyle w:val="FootnoteAnchor"/>
          <w:rtl w:val="true"/>
        </w:rPr>
        <w:footnoteReference w:id="2674"/>
      </w:r>
      <w:r>
        <w:rPr>
          <w:rFonts w:ascii="Amiri" w:hAnsi="Amiri" w:eastAsia="Amiri" w:cs="Amiri"/>
          <w:color w:val="111111"/>
          <w:sz w:val="28"/>
          <w:sz w:val="28"/>
          <w:szCs w:val="28"/>
          <w:rtl w:val="true"/>
          <w:lang w:bidi="ar-SA"/>
        </w:rPr>
        <w:t xml:space="preserve">، والحدائق ، ونسبه فيه إلى المشهور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الحقّ ، لكفاية فتوى هؤلاء مع الشهرة المحكية في إثبات الاستحباب ، ولذا قال الشيخ علي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ما ورد به النصّ أو ذكره من يوثق به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كالتيمّم بدلا من وضوء الحائض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يصار إليه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وصفة التيمّم للوضوء والغسل من الجنابة وسائر أبواب الغسل واحد </w:t>
      </w:r>
      <w:r>
        <w:rPr>
          <w:rFonts w:eastAsia="Amiri" w:cs="Amiri" w:ascii="Amiri" w:hAnsi="Amiri"/>
          <w:color w:val="111111"/>
          <w:sz w:val="28"/>
          <w:szCs w:val="28"/>
          <w:rtl w:val="true"/>
          <w:lang w:bidi="ar-SA"/>
        </w:rPr>
        <w:t xml:space="preserve">» </w:t>
      </w:r>
      <w:r>
        <w:rPr>
          <w:rStyle w:val="FootnoteAnchor"/>
          <w:rtl w:val="true"/>
        </w:rPr>
        <w:footnoteReference w:id="2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 مشروعية التيمّم المستلزمة لرجحانه في جميع أبواب الغسل ، حيث إنّ الجمع المضاف مفيد للعموم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ويثبت في جميع أبواب الوضوء أيضا بعدم الفصل ، بل بما بعد قوله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غسل المضطر ووضوؤه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نصف الوضوء من غير ضرورة إذا لم يجد الماء </w:t>
      </w:r>
      <w:r>
        <w:rPr>
          <w:rFonts w:eastAsia="Amiri" w:cs="Amiri" w:ascii="Amiri" w:hAnsi="Amiri"/>
          <w:color w:val="111111"/>
          <w:sz w:val="28"/>
          <w:szCs w:val="28"/>
          <w:rtl w:val="true"/>
          <w:lang w:bidi="ar-SA"/>
        </w:rPr>
        <w:t xml:space="preserve">» </w:t>
      </w:r>
      <w:r>
        <w:rPr>
          <w:rStyle w:val="FootnoteAnchor"/>
          <w:rtl w:val="true"/>
        </w:rPr>
        <w:footnoteReference w:id="2678"/>
      </w:r>
      <w:r>
        <w:rPr>
          <w:rFonts w:ascii="Amiri" w:hAnsi="Amiri" w:eastAsia="Amiri" w:cs="Amiri"/>
          <w:color w:val="111111"/>
          <w:sz w:val="28"/>
          <w:sz w:val="28"/>
          <w:szCs w:val="28"/>
          <w:rtl w:val="true"/>
          <w:lang w:bidi="ar-SA"/>
        </w:rPr>
        <w:t>دلّ على أنه نصف الوضوء حين لا يوجد الماء مطلقا في غير حال الوجوب ، والمراد نصفيته في الترغيب أو الثواب أو الفضيلة أو إضراب ذلك ، وكلّ ما كان يفيد الرجحان ، بل ذكره عليه السلام لذلك إنشاء لبيان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وضعفهما بعد جبرهما بما مرّ غير ضائر ، مع أنّ المقام مقام المسامحة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ذر </w:t>
      </w:r>
      <w:r>
        <w:rPr>
          <w:rStyle w:val="FootnoteAnchor"/>
          <w:rtl w:val="true"/>
        </w:rPr>
        <w:footnoteReference w:id="2679"/>
      </w:r>
      <w:r>
        <w:rPr>
          <w:rFonts w:ascii="Amiri" w:hAnsi="Amiri" w:eastAsia="Amiri" w:cs="Amiri"/>
          <w:color w:val="111111"/>
          <w:sz w:val="28"/>
          <w:sz w:val="28"/>
          <w:szCs w:val="28"/>
          <w:rtl w:val="true"/>
          <w:lang w:bidi="ar-SA"/>
        </w:rPr>
        <w:t xml:space="preserve">، ورواية المنزلة </w:t>
      </w:r>
      <w:r>
        <w:rPr>
          <w:rStyle w:val="FootnoteAnchor"/>
          <w:rtl w:val="true"/>
        </w:rPr>
        <w:footnoteReference w:id="2680"/>
      </w:r>
      <w:r>
        <w:rPr>
          <w:rFonts w:ascii="IRNazanin" w:hAnsi="IRNazanin" w:eastAsia="IRNazanin"/>
          <w:color w:val="111111"/>
          <w:sz w:val="28"/>
          <w:sz w:val="28"/>
          <w:szCs w:val="28"/>
          <w:rtl w:val="true"/>
          <w:lang w:bidi="fa-IR"/>
        </w:rPr>
        <w:t>،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للمنتهى في بحث الأغسال المستحبة ، والمدارك ، فقالا بعدم كونه بدلا عن الغسل المستحب أصلا ، للأصل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وللكركي ، فخصّ البدلية بما كان مبدله رافعا </w:t>
      </w:r>
      <w:r>
        <w:rPr>
          <w:rStyle w:val="FootnoteAnchor"/>
          <w:rtl w:val="true"/>
        </w:rPr>
        <w:footnoteReference w:id="2682"/>
      </w:r>
      <w:r>
        <w:rPr>
          <w:rFonts w:ascii="Amiri" w:hAnsi="Amiri" w:eastAsia="Amiri" w:cs="Amiri"/>
          <w:color w:val="111111"/>
          <w:sz w:val="28"/>
          <w:sz w:val="28"/>
          <w:szCs w:val="28"/>
          <w:rtl w:val="true"/>
          <w:lang w:bidi="ar-SA"/>
        </w:rPr>
        <w:t xml:space="preserve">، واختاره في روض الجنان في غير غسل الإحرام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الشهيد التردّد في غير الرافع ، لأخبار الطهورية في الرافع ، والأصل في غيره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وللفاضل الخوانساري في شرح الدروس ، فخصّها بما يستحب له مطلق الطهارة </w:t>
      </w:r>
      <w:r>
        <w:rPr>
          <w:rStyle w:val="FootnoteAnchor"/>
          <w:rtl w:val="true"/>
        </w:rPr>
        <w:footnoteReference w:id="2685"/>
      </w:r>
      <w:r>
        <w:rPr>
          <w:rFonts w:ascii="Amiri" w:hAnsi="Amiri" w:eastAsia="Amiri" w:cs="Amiri"/>
          <w:color w:val="111111"/>
          <w:sz w:val="28"/>
          <w:sz w:val="28"/>
          <w:szCs w:val="28"/>
          <w:rtl w:val="true"/>
          <w:lang w:bidi="ar-SA"/>
        </w:rPr>
        <w:t xml:space="preserve">، لمثل ما مرّ في المسألة السابقة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الكل يظهر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التيمّم لصلاة الجنازة لغير المتطهّر ، ولو مع التمكن من استعمال الماء ، على الأشهر الأظهر ، بل عليه الإجماع عن الخلاف والمنتهى والتذكرة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الحجة لكون المقام مقام المسامحة ، مضافا إلى إطلاق موثّقة سماعة ، السابقة في المسألة الخامسة من الفصل السابق </w:t>
      </w:r>
      <w:r>
        <w:rPr>
          <w:rStyle w:val="FootnoteAnchor"/>
          <w:rtl w:val="true"/>
        </w:rPr>
        <w:footnoteReference w:id="2688"/>
      </w:r>
      <w:r>
        <w:rPr>
          <w:rFonts w:ascii="Amiri" w:hAnsi="Amiri" w:eastAsia="Amiri" w:cs="Amiri"/>
          <w:color w:val="111111"/>
          <w:sz w:val="28"/>
          <w:sz w:val="28"/>
          <w:szCs w:val="28"/>
          <w:rtl w:val="true"/>
          <w:lang w:bidi="ar-SA"/>
        </w:rPr>
        <w:t xml:space="preserve">، ومرسلة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والجنب يتيمّم </w:t>
      </w:r>
    </w:p>
    <w:p>
      <w:pPr>
        <w:pStyle w:val="BookText"/>
        <w:rPr/>
      </w:pPr>
      <w:r>
        <w:rPr>
          <w:rFonts w:ascii="Amiri" w:hAnsi="Amiri" w:eastAsia="Amiri" w:cs="Amiri"/>
          <w:color w:val="111111"/>
          <w:sz w:val="28"/>
          <w:sz w:val="28"/>
          <w:szCs w:val="28"/>
          <w:rtl w:val="true"/>
          <w:lang w:bidi="ar-SA"/>
        </w:rPr>
        <w:t xml:space="preserve">ويصلّي على الجنازة </w:t>
      </w:r>
      <w:r>
        <w:rPr>
          <w:rFonts w:eastAsia="Amiri" w:cs="Amiri" w:ascii="Amiri" w:hAnsi="Amiri"/>
          <w:color w:val="111111"/>
          <w:sz w:val="28"/>
          <w:szCs w:val="28"/>
          <w:rtl w:val="true"/>
          <w:lang w:bidi="ar-SA"/>
        </w:rPr>
        <w:t xml:space="preserve">»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والمعتبر </w:t>
      </w:r>
      <w:r>
        <w:rPr>
          <w:rStyle w:val="FootnoteAnchor"/>
          <w:rtl w:val="true"/>
        </w:rPr>
        <w:footnoteReference w:id="2690"/>
      </w:r>
      <w:r>
        <w:rPr>
          <w:rFonts w:ascii="Amiri" w:hAnsi="Amiri" w:eastAsia="Amiri" w:cs="Amiri"/>
          <w:color w:val="111111"/>
          <w:sz w:val="28"/>
          <w:sz w:val="28"/>
          <w:szCs w:val="28"/>
          <w:rtl w:val="true"/>
          <w:lang w:bidi="ar-SA"/>
        </w:rPr>
        <w:t xml:space="preserve">، فخصّاه بخوف الفوت ، تمسّكا بأصالة اشتراط عدم التمكّن من الماء في التيمّم ، 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تدركه الجنازة وهو على غير وضوء ، فإن ذهب يتوضّأ فاتته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w:t>
      </w:r>
      <w:r>
        <w:rPr>
          <w:rFonts w:eastAsia="Amiri" w:cs="Amiri" w:ascii="Amiri" w:hAnsi="Amiri"/>
          <w:color w:val="111111"/>
          <w:sz w:val="28"/>
          <w:szCs w:val="28"/>
          <w:rtl w:val="true"/>
          <w:lang w:bidi="ar-SA"/>
        </w:rPr>
        <w:t xml:space="preserve">» </w:t>
      </w:r>
      <w:r>
        <w:rPr>
          <w:rStyle w:val="FootnoteAnchor"/>
          <w:rtl w:val="true"/>
        </w:rPr>
        <w:footnoteReference w:id="2691"/>
      </w:r>
      <w:r>
        <w:rPr>
          <w:rFonts w:ascii="Amiri" w:hAnsi="Amiri" w:eastAsia="Amiri" w:cs="Amiri"/>
          <w:color w:val="111111"/>
          <w:sz w:val="28"/>
          <w:sz w:val="28"/>
          <w:szCs w:val="28"/>
          <w:rtl w:val="true"/>
          <w:lang w:bidi="ar-SA"/>
        </w:rPr>
        <w:t>وتضعيفا للإجماع بكونه منقولا ، والموثّقة بوقف الراوي وإضمار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ثبوت الأصالة عموما ، وتخصيصها بما مرّ لو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إنما هو في كلام الراوي ، وهو لا ينافي ثبوت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ضيره في مقام التسامح ، مع عدم قدح الوقف والإضمار بعد ثبوت العدالة ومن مثل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جوازه إنما هو على الاستحباب دون الوجوب ، لعدم نهوض ما ذكر لإثباته ، مضافا إلى الإجماع على عدم وجوب الطهارة في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للنوم أيضا ولو مع وجود الماء </w:t>
      </w:r>
      <w:r>
        <w:rPr>
          <w:rStyle w:val="FootnoteAnchor"/>
          <w:rtl w:val="true"/>
        </w:rPr>
        <w:footnoteReference w:id="2692"/>
      </w:r>
      <w:r>
        <w:rPr>
          <w:rFonts w:ascii="Amiri" w:hAnsi="Amiri" w:eastAsia="Amiri" w:cs="Amiri"/>
          <w:color w:val="111111"/>
          <w:sz w:val="28"/>
          <w:sz w:val="28"/>
          <w:szCs w:val="28"/>
          <w:rtl w:val="true"/>
          <w:lang w:bidi="ar-SA"/>
        </w:rPr>
        <w:t xml:space="preserve">، بل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 ، وفي اللوامع أنه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المستفاد من بعض مشايخنا المحقّقين اختصاص القول به بجملة من متأخّري المتأخّرين </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 xml:space="preserve">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تطهّر ثمَّ أوى إلى فراشه </w:t>
      </w:r>
    </w:p>
    <w:p>
      <w:pPr>
        <w:pStyle w:val="BookText"/>
        <w:rPr/>
      </w:pPr>
      <w:r>
        <w:rPr>
          <w:rFonts w:ascii="Amiri" w:hAnsi="Amiri" w:eastAsia="Amiri" w:cs="Amiri"/>
          <w:color w:val="111111"/>
          <w:sz w:val="28"/>
          <w:sz w:val="28"/>
          <w:szCs w:val="28"/>
          <w:rtl w:val="true"/>
          <w:lang w:bidi="ar-SA"/>
        </w:rPr>
        <w:t xml:space="preserve">باب وفراشه كمسجده ، فإن ذكر أنه على غير وضوء فليتيمّم من دثاره كائنا ما كان </w:t>
      </w:r>
      <w:r>
        <w:rPr>
          <w:rFonts w:eastAsia="Amiri" w:cs="Amiri" w:ascii="Amiri" w:hAnsi="Amiri"/>
          <w:color w:val="111111"/>
          <w:sz w:val="28"/>
          <w:szCs w:val="28"/>
          <w:rtl w:val="true"/>
          <w:lang w:bidi="ar-SA"/>
        </w:rPr>
        <w:t xml:space="preserve">»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مقتضاها اختصاص الاستحباب بحال تذكّره في فراشه عدم الوضوء ، كما هو ظاهر مختار والدي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مطلقا كما هو الظاهر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فهي معارضة بمفهوم الشرط في رواية أبي بصير ومحمد ، المروية في العلل والخصال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ينام المسلم وهو جنب ، ولا ينام إلاّ على طهور ، فإن لم يجد الماء فليتيمّم بالصعيد </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يظهر من بعض مشايخنا الميل إلى عدم جوازه إلاّ مع العجز عن الماء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لاختصاصها بحال تذكّر عدم الوضوء في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وجه من الرواية فتساقطان ، والأصل وإن اقتضى عدم مشروعية التيمّم مطلقا ، إلاّ أنّ نفي الخلاف والإجماع المنقول يكفيان لإثبات استحبابه ، إلاّ أنّهما يثبتانه في صورة التذكر في الفراش خاصة ، لتعارضهما في غيرها مع الرواية النافية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تجوز الصلاة وسائر مشروطات الطهارة بذلك التيمّم وسابقة وإن حصل العجز بعد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ظاهر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صادف العجز حال الفعل أيضا ، جازت</w:t>
      </w:r>
      <w:r>
        <w:rPr>
          <w:rFonts w:eastAsia="Amiri" w:cs="Amiri" w:ascii="Amiri" w:hAnsi="Amiri"/>
          <w:color w:val="111111"/>
          <w:sz w:val="28"/>
          <w:szCs w:val="28"/>
          <w:rtl w:val="true"/>
          <w:lang w:bidi="ar-SA"/>
        </w:rPr>
        <w:t xml:space="preserve">. </w:t>
      </w:r>
      <w:bookmarkStart w:id="151" w:name="pg11616_94873"/>
    </w:p>
    <w:p>
      <w:pPr>
        <w:pStyle w:val="Heading3"/>
        <w:numPr>
          <w:ilvl w:val="2"/>
          <w:numId w:val="1"/>
        </w:numPr>
        <w:rPr/>
      </w:pPr>
      <w:bookmarkStart w:id="152" w:name="__RefHeading___Toc5588163_73709187"/>
      <w:bookmarkStart w:id="153" w:name="_Toc59"/>
      <w:bookmarkEnd w:id="151"/>
      <w:bookmarkEnd w:id="152"/>
      <w:r>
        <w:rPr>
          <w:rtl w:val="true"/>
        </w:rPr>
        <w:t xml:space="preserve">الفصل الرابع </w:t>
      </w:r>
      <w:r>
        <w:rPr>
          <w:rtl w:val="true"/>
        </w:rPr>
        <w:t xml:space="preserve">: </w:t>
      </w:r>
      <w:r>
        <w:rPr>
          <w:rtl w:val="true"/>
        </w:rPr>
        <w:t>في كيفيته ، أي أفعاله الواجبة</w:t>
      </w:r>
      <w:bookmarkEnd w:id="153"/>
    </w:p>
    <w:p>
      <w:pPr>
        <w:pStyle w:val="Heading4"/>
        <w:numPr>
          <w:ilvl w:val="3"/>
          <w:numId w:val="1"/>
        </w:numPr>
        <w:rPr/>
      </w:pPr>
      <w:bookmarkStart w:id="154" w:name="__RefHeading___Toc5588165_73709187"/>
      <w:bookmarkStart w:id="155" w:name="_Toc60"/>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588167_73709187"/>
      <w:bookmarkStart w:id="157" w:name="_Toc61"/>
      <w:bookmarkEnd w:id="156"/>
      <w:r>
        <w:rPr>
          <w:rtl w:val="true"/>
        </w:rPr>
        <w:t xml:space="preserve">الأول </w:t>
      </w:r>
      <w:r>
        <w:rPr>
          <w:rtl w:val="true"/>
        </w:rPr>
        <w:t xml:space="preserve">: </w:t>
      </w:r>
      <w:r>
        <w:rPr>
          <w:rtl w:val="true"/>
        </w:rPr>
        <w:t>النية</w:t>
      </w:r>
      <w:bookmarkEnd w:id="157"/>
    </w:p>
    <w:p>
      <w:pPr>
        <w:pStyle w:val="BookText"/>
        <w:rPr/>
      </w:pPr>
      <w:r>
        <w:rPr>
          <w:rFonts w:ascii="Amiri" w:hAnsi="Amiri" w:eastAsia="Amiri" w:cs="Amiri"/>
          <w:color w:val="111111"/>
          <w:sz w:val="28"/>
          <w:sz w:val="28"/>
          <w:szCs w:val="28"/>
          <w:rtl w:val="true"/>
          <w:lang w:bidi="ar-SA"/>
        </w:rPr>
        <w:t xml:space="preserve">ووجوبها مجمع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وكيفيتها وما يعتبر فيها وما لا يعتبر ووجوب استدامتها حكما والمراد منها يظهر ممّا سبق </w:t>
      </w:r>
      <w:r>
        <w:rPr>
          <w:rStyle w:val="FootnoteAnchor"/>
          <w:rtl w:val="true"/>
        </w:rPr>
        <w:footnoteReference w:id="2697"/>
      </w:r>
    </w:p>
    <w:p>
      <w:pPr>
        <w:pStyle w:val="BookText"/>
        <w:rPr/>
      </w:pPr>
      <w:r>
        <w:rPr>
          <w:rFonts w:ascii="Amiri" w:hAnsi="Amiri" w:eastAsia="Amiri" w:cs="Amiri"/>
          <w:color w:val="111111"/>
          <w:sz w:val="28"/>
          <w:sz w:val="28"/>
          <w:szCs w:val="28"/>
          <w:rtl w:val="true"/>
          <w:lang w:bidi="ar-SA"/>
        </w:rPr>
        <w:t>اعلم أن الخلاف في نية الوجه والاستباحة هنا كما سبق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قصد رفع الحدث فلم يعتبر هنا عند الأكثر على اعتباره في المائية أيضا ، لعدم ارتفاعه بالتيمم بالإجماع ، كما عن الخلاف والمعتبر والمنتهى والتذكرة مؤيدا بقوله عليه السلام لمن تيمم من الجنابة لشدة البرد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بأصحابك وأنت 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بعدم جواز قصده والبطلان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نية الرفع إلى غاية معينة إما الحدث أو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بجواز نية رفع المانع من الصلاة دون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بجواز نية رفع الماضي دون المقارن واللاحق فهو في دائم الحدث كالمبطون والسلس دون المتيمم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الحدث يطلق تارة على نفس الناقض ، واخرى على الحال المعلولة له التي هي العلة لمنع الشارع ، وثالثة على نفس الممنوعية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علة للثاني والثاني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نية رفع الأول غير معقول ، فالكلام في أحد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الثاني فلا يرتفع بالتراب ، لأن واجد الماء بعد التيمم للجنابة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جنب قطعا مع أنه لم يحدث بسبب الجنابة والحالة باقية قطعا ، بخلاف المغتسل فإنه لا يجنب إلا بسبب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الثالث فهو مرتفع بالتيمم ولا غاية له بل هو باق ما دام التيمم باقيا كما في المائية ، غاية الأمر ناقضية الماء للتيمم أيضا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الشهيد بجواز الرفع إلى غاية ، إن أراد رفعه بالمعنى الثاني فهو لا يرتفع ، وإن أراد الثالث فهو في الماء والتراب على طريق واحد ، غاية الأمر أن الممنوعية بسبب الحالة السابقة ترتفع في المائية مطلقا وفي الترابية إلى غاية ، ولكن هذا القيد غير معتبر في النية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الرابع ، فإن أراد بالمانع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المعنى الثالث ، وإن أراد الثاني فقد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ما ذكره الوالد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يمكن أن يمنع حدوث الحالة الثانية ، بل الحادثة هي الاولى والثالثة فقط ، والأولى علة للثالثة ، وكذا سائر ما رتبه الشارع من ارتفاع الممنوعية وعدم عودها ما لم يحدث حدث آخر ، وارتفاعها وعدم عودها مع ما ذكر أو وجود الماء مع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اعتبار نية البدلية عن الغسل أو الوضوء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والوجود ، والتفصيل بالأول مع اختلاف كيفية التيمم والثاني مع عدمه ، والوجود فيما يزيد المأمور به على ماهية الغسل كغسل الجمعة ، فيلزم منه البدلية عنه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حقيقة الحال فيه مما مر في بحث الوضوء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التأخير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ضرب اليد على المشهور ، ولو </w:t>
      </w:r>
      <w:r>
        <w:rPr>
          <w:rStyle w:val="FootnoteAnchor"/>
          <w:rtl w:val="true"/>
        </w:rPr>
        <w:footnoteReference w:id="2698"/>
      </w:r>
      <w:r>
        <w:rPr>
          <w:rFonts w:ascii="Amiri" w:hAnsi="Amiri" w:eastAsia="Amiri" w:cs="Amiri"/>
          <w:color w:val="111111"/>
          <w:sz w:val="28"/>
          <w:sz w:val="28"/>
          <w:szCs w:val="28"/>
          <w:rtl w:val="true"/>
          <w:lang w:bidi="ar-SA"/>
        </w:rPr>
        <w:t xml:space="preserve">ضرب يديه على الأرض لسبب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 xml:space="preserve">راجح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التيمّم يجب عليه ضرب آخر مع قصد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للأخبار الآمرة بضرب الكفّين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الأخبار الواردة في ذلك المضمار إنّما وردت بلفظ الإخبار الغير المفيد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 وجوبه حتى من المخالف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خارج عن التيمّم شرط له ، ونقل الإجماع عليه جملة من الأصحاب </w:t>
      </w:r>
      <w:r>
        <w:rPr>
          <w:rStyle w:val="FootnoteAnchor"/>
          <w:rtl w:val="true"/>
        </w:rPr>
        <w:footnoteReference w:id="2699"/>
      </w:r>
      <w:r>
        <w:rPr>
          <w:rFonts w:ascii="Amiri" w:hAnsi="Amiri" w:eastAsia="Amiri" w:cs="Amiri"/>
          <w:color w:val="111111"/>
          <w:sz w:val="28"/>
          <w:sz w:val="28"/>
          <w:szCs w:val="28"/>
          <w:rtl w:val="true"/>
          <w:lang w:bidi="ar-SA"/>
        </w:rPr>
        <w:t>، فإثبات الوجوب لا يفيد في وجوب مقارنة نية التيمّم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الأصلية في الوجوب المتوقّفة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 xml:space="preserve">) </w:t>
      </w:r>
      <w:r>
        <w:rPr>
          <w:rStyle w:val="FootnoteAnchor"/>
          <w:rtl w:val="true"/>
        </w:rPr>
        <w:footnoteReference w:id="2700"/>
      </w:r>
      <w:r>
        <w:rPr>
          <w:rFonts w:ascii="Amiri" w:hAnsi="Amiri" w:eastAsia="Amiri" w:cs="Amiri"/>
          <w:color w:val="111111"/>
          <w:sz w:val="28"/>
          <w:sz w:val="28"/>
          <w:szCs w:val="28"/>
          <w:rtl w:val="true"/>
          <w:lang w:bidi="ar-SA"/>
        </w:rPr>
        <w:t xml:space="preserve">على النية باعتبار أنها الأصل في الوجوب أيضا غير مفيد ، لأنّ لازمه وجوب مقارنة نية الضرب له دون التيمّم ، والظاهر أنه لا كلام فيه ، وأنّ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بوجوبه أيضا ولم يكتف بوضع اليد على الأرض لأجل القيام أو ضربها لقتل دويبة أو نحوه عن ضربة التيمّم ، وإنما الكلام في نية التيمّم ومحلها ، ولا يفيد في ذلك وجوب الضرب وشرطيته ، كما لا تجب نية الصلاة عند الوضوء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لاستصحاب الممنوعية من الصلاة ، والنصوص الدالّة على أنّ الضرب </w:t>
      </w:r>
    </w:p>
    <w:p>
      <w:pPr>
        <w:pStyle w:val="BookText"/>
        <w:rPr/>
      </w:pPr>
      <w:r>
        <w:rPr>
          <w:rFonts w:ascii="Amiri" w:hAnsi="Amiri" w:eastAsia="Amiri" w:cs="Amiri"/>
          <w:color w:val="111111"/>
          <w:sz w:val="28"/>
          <w:sz w:val="28"/>
          <w:szCs w:val="28"/>
          <w:rtl w:val="true"/>
          <w:lang w:bidi="ar-SA"/>
        </w:rPr>
        <w:t>داخل في حقيقة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الكندي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ضربة للوجه وضربة للكفين </w:t>
      </w:r>
      <w:r>
        <w:rPr>
          <w:rFonts w:eastAsia="Amiri" w:cs="Amiri" w:ascii="Amiri" w:hAnsi="Amiri"/>
          <w:color w:val="111111"/>
          <w:sz w:val="28"/>
          <w:szCs w:val="28"/>
          <w:rtl w:val="true"/>
          <w:lang w:bidi="ar-SA"/>
        </w:rPr>
        <w:t xml:space="preserve">»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مرتين للوجه واليدين </w:t>
      </w:r>
      <w:r>
        <w:rPr>
          <w:rFonts w:eastAsia="Amiri" w:cs="Amiri" w:ascii="Amiri" w:hAnsi="Amiri"/>
          <w:color w:val="111111"/>
          <w:sz w:val="28"/>
          <w:szCs w:val="28"/>
          <w:rtl w:val="true"/>
          <w:lang w:bidi="ar-SA"/>
        </w:rPr>
        <w:t xml:space="preserve">»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ضرب واحد للوضوء ، والغسل من الجنابة تضرب بيديك مرتين ثمَّ تنفضهما نفضة للوجه ، ومرة لليدين </w:t>
      </w:r>
      <w:r>
        <w:rPr>
          <w:rFonts w:eastAsia="Amiri" w:cs="Amiri" w:ascii="Amiri" w:hAnsi="Amiri"/>
          <w:color w:val="111111"/>
          <w:sz w:val="28"/>
          <w:szCs w:val="28"/>
          <w:rtl w:val="true"/>
          <w:lang w:bidi="ar-SA"/>
        </w:rPr>
        <w:t xml:space="preserve">» </w:t>
      </w:r>
      <w:r>
        <w:rPr>
          <w:rStyle w:val="FootnoteAnchor"/>
          <w:rtl w:val="true"/>
        </w:rPr>
        <w:footnoteReference w:id="2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وصفة التيمّم للوضوء والجنابة وسائر أبواب الغسل واحد ، وهو أن تضرب بيديك الأرض ضربة واحدة تمسح بهما وجهك موضع السجود من مقام الشعر إلى طرف الأنف ، ثمَّ تضرب بها الأخرى فتمسح بها اليمنى إلى حد الزند </w:t>
      </w:r>
      <w:r>
        <w:rPr>
          <w:rFonts w:eastAsia="Amiri" w:cs="Amiri" w:ascii="Amiri" w:hAnsi="Amiri"/>
          <w:color w:val="111111"/>
          <w:sz w:val="28"/>
          <w:szCs w:val="28"/>
          <w:rtl w:val="true"/>
          <w:lang w:bidi="ar-SA"/>
        </w:rPr>
        <w:t xml:space="preserve">» </w:t>
      </w:r>
      <w:r>
        <w:rPr>
          <w:rStyle w:val="FootnoteAnchor"/>
          <w:rtl w:val="true"/>
        </w:rPr>
        <w:footnoteReference w:id="27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الحمل حقيقة في الاتّحاد المستلزم لجزئية أجزاء المحمول للموضوع الموجبة لوجوبها بإيجاب الموضوع ، إلاّ أنّ في دلالة غير الرضوي المنجبر بالشهرة بل الإجماع المنقول نظرا يظهر وجهه في مسألة عدد الضربات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نهاية الإحكام للفاضل ، فجعل الضرب خارجا عن التيمّم ونزّله منزلة أخذ الماء للمائية ، ولذا يجوّز تأخير النية إلى مسح الجبهة </w:t>
      </w:r>
      <w:r>
        <w:rPr>
          <w:rStyle w:val="FootnoteAnchor"/>
          <w:rtl w:val="true"/>
        </w:rPr>
        <w:footnoteReference w:id="2705"/>
      </w:r>
      <w:r>
        <w:rPr>
          <w:rFonts w:ascii="Amiri" w:hAnsi="Amiri" w:eastAsia="Amiri" w:cs="Amiri"/>
          <w:color w:val="111111"/>
          <w:sz w:val="28"/>
          <w:sz w:val="28"/>
          <w:szCs w:val="28"/>
          <w:rtl w:val="true"/>
          <w:lang w:bidi="ar-SA"/>
        </w:rPr>
        <w:t xml:space="preserve">، بل لأكثر كتبه ، كما صرّح به المحقّق الثاني في شرح القواعد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 xml:space="preserve">. </w:t>
      </w:r>
      <w:bookmarkStart w:id="158" w:name="pg11616_94876"/>
    </w:p>
    <w:p>
      <w:pPr>
        <w:pStyle w:val="BookText"/>
        <w:rPr/>
      </w:pPr>
      <w:bookmarkEnd w:id="158"/>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فَامْسَحُوا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اقصدوا صعيدا ، وهذا القصد خارج عن التيمّم قطعا ولم يذكر إلاّ المسح ، فلا يكون الضرب داخلا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فليتيمم ، يضرب بيده على اللبد والبرذعة ويتيمّم </w:t>
      </w:r>
      <w:r>
        <w:rPr>
          <w:rFonts w:eastAsia="Amiri" w:cs="Amiri" w:ascii="Amiri" w:hAnsi="Amiri"/>
          <w:color w:val="111111"/>
          <w:sz w:val="28"/>
          <w:szCs w:val="28"/>
          <w:rtl w:val="true"/>
          <w:lang w:bidi="ar-SA"/>
        </w:rPr>
        <w:t xml:space="preserve">»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التصريح بوجوبه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دلالتها عليه ولو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ثبوت وجوبه وجزئيته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غايته استعمال التيمّم في سائر الأجزاء ، وهو أعم من الحقيقة ، ولا يعارض الحمل الذي هو حقيقة في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كونه مستعملا في السائر غير معلوم ، لأن غاية ما يقتضيه العطف مغايرته للمعطوف عليه ، ويكفي فيها الجزئية والكلية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ونوى وكبّر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يمكن أن يكون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لظهور الغبار ، فإنه مستحب أيضا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588169_73709187"/>
      <w:bookmarkStart w:id="160" w:name="_Toc62"/>
      <w:bookmarkEnd w:id="159"/>
      <w:r>
        <w:rPr>
          <w:rtl w:val="true"/>
        </w:rPr>
        <w:t xml:space="preserve">الثاني </w:t>
      </w:r>
      <w:r>
        <w:rPr>
          <w:rtl w:val="true"/>
        </w:rPr>
        <w:t xml:space="preserve">: </w:t>
      </w:r>
      <w:r>
        <w:rPr>
          <w:rtl w:val="true"/>
        </w:rPr>
        <w:t>وضع اليدين على ما يتيمّم به</w:t>
      </w:r>
      <w:bookmarkEnd w:id="160"/>
    </w:p>
    <w:p>
      <w:pPr>
        <w:pStyle w:val="Heading5"/>
        <w:numPr>
          <w:ilvl w:val="4"/>
          <w:numId w:val="1"/>
        </w:numPr>
        <w:rPr/>
      </w:pPr>
      <w:bookmarkStart w:id="161" w:name="__RefHeading___Toc5588171_73709187"/>
      <w:bookmarkStart w:id="162" w:name="_Toc63"/>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ولا نزاع في وجوبه بل هو مجمع عليه ، فهو مع ما مرّ من مثبتات جزئيته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النزاع في أنه هل يكتفى فيه بمجرد الوضع ، أو يجب الضرب أي ما يسمّى ضربا عرفا وهو ما يكون مع الدفع والاعتماد ، لا مجرّد الوضع المشتمل كما في كلام جماعة من المتأخّرين ، لأنّه لا يستلزم صدق الضرب العرفي ، وكأنهم أرادوا أيضا ذلك وإن كان كلامهم قاصرا؟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فصرّح الشهيد في الذكرى والدروس </w:t>
      </w:r>
      <w:r>
        <w:rPr>
          <w:rStyle w:val="FootnoteAnchor"/>
          <w:rtl w:val="true"/>
        </w:rPr>
        <w:footnoteReference w:id="2708"/>
      </w:r>
      <w:r>
        <w:rPr>
          <w:rFonts w:ascii="Amiri" w:hAnsi="Amiri" w:eastAsia="Amiri" w:cs="Amiri"/>
          <w:color w:val="111111"/>
          <w:sz w:val="28"/>
          <w:sz w:val="28"/>
          <w:szCs w:val="28"/>
          <w:rtl w:val="true"/>
          <w:lang w:bidi="ar-SA"/>
        </w:rPr>
        <w:t xml:space="preserve">، والمحقّق الثاني في شرح القواعد </w:t>
      </w:r>
      <w:r>
        <w:rPr>
          <w:rStyle w:val="FootnoteAnchor"/>
          <w:rtl w:val="true"/>
        </w:rPr>
        <w:footnoteReference w:id="2709"/>
      </w:r>
    </w:p>
    <w:p>
      <w:pPr>
        <w:pStyle w:val="BookText"/>
        <w:rPr/>
      </w:pPr>
      <w:r>
        <w:rPr>
          <w:rFonts w:ascii="Amiri" w:hAnsi="Amiri" w:eastAsia="Amiri" w:cs="Amiri"/>
          <w:color w:val="111111"/>
          <w:sz w:val="28"/>
          <w:sz w:val="28"/>
          <w:szCs w:val="28"/>
          <w:rtl w:val="true"/>
          <w:lang w:bidi="ar-SA"/>
        </w:rPr>
        <w:t xml:space="preserve">وحاشية الإرشاد بالأول ، وهو مختار الأردبيلي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بين الضرب والوضع في الإجزاء ، لوجودهما في الأخبار وعدم المنافاة بينهما بوجه ، فلا يحمل أحدهما على الآخر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جماعة بالثاني </w:t>
      </w:r>
      <w:r>
        <w:rPr>
          <w:rStyle w:val="FootnoteAnchor"/>
          <w:rtl w:val="true"/>
        </w:rPr>
        <w:footnoteReference w:id="2711"/>
      </w:r>
      <w:r>
        <w:rPr>
          <w:rFonts w:ascii="Amiri" w:hAnsi="Amiri" w:eastAsia="Amiri" w:cs="Amiri"/>
          <w:color w:val="111111"/>
          <w:sz w:val="28"/>
          <w:sz w:val="28"/>
          <w:szCs w:val="28"/>
          <w:rtl w:val="true"/>
          <w:lang w:bidi="ar-SA"/>
        </w:rPr>
        <w:t xml:space="preserve">، بل نسبه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والدي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 ويظهر اشتهاره من الذكرى أيضا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كثير منهم إجمال ، كالنهاية والمبسوط والجامع والشرائع والمعتبر </w:t>
      </w:r>
      <w:r>
        <w:rPr>
          <w:rStyle w:val="FootnoteAnchor"/>
          <w:rtl w:val="true"/>
        </w:rPr>
        <w:footnoteReference w:id="2713"/>
      </w:r>
      <w:r>
        <w:rPr>
          <w:rFonts w:ascii="Amiri" w:hAnsi="Amiri" w:eastAsia="Amiri" w:cs="Amiri"/>
          <w:color w:val="111111"/>
          <w:sz w:val="28"/>
          <w:sz w:val="28"/>
          <w:szCs w:val="28"/>
          <w:rtl w:val="true"/>
          <w:lang w:bidi="ar-SA"/>
        </w:rPr>
        <w:t xml:space="preserve">، وأكثر كتب الفاضل </w:t>
      </w:r>
      <w:r>
        <w:rPr>
          <w:rStyle w:val="FootnoteAnchor"/>
          <w:rtl w:val="true"/>
        </w:rPr>
        <w:footnoteReference w:id="2714"/>
      </w:r>
      <w:r>
        <w:rPr>
          <w:rFonts w:ascii="Amiri" w:hAnsi="Amiri" w:eastAsia="Amiri" w:cs="Amiri"/>
          <w:color w:val="111111"/>
          <w:sz w:val="28"/>
          <w:sz w:val="28"/>
          <w:szCs w:val="28"/>
          <w:rtl w:val="true"/>
          <w:lang w:bidi="ar-SA"/>
        </w:rPr>
        <w:t xml:space="preserve">، حيث إنّهم عبّروا بالضرب والوضع معا ، فمنهم من عبّر بالضربة والضربتين في مسألة عدد الضربات بعد التعبير بالوضع في ذكر الواجبات ، ومنهم من ذكر الأول في التيمّم بدل الوضوء والثاني في بدل الغسل ، وظاهر أنه لا فرق بينهما ، ولذا قال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عبارات الأصحاب والأخبار في التعبير بالوضع والضرب يدلّ على أنّ المراد بهما واحد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فاستدلّ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الآية ، والأخبار البيانية المتضمّنة للوضع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الاشتغال ، والروايات المشتملة على الضرب </w:t>
      </w:r>
      <w:r>
        <w:rPr>
          <w:rStyle w:val="FootnoteAnchor"/>
          <w:rtl w:val="true"/>
        </w:rPr>
        <w:footnoteReference w:id="2717"/>
      </w:r>
      <w:r>
        <w:rPr>
          <w:rFonts w:ascii="Amiri" w:hAnsi="Amiri" w:eastAsia="Amiri" w:cs="Amiri"/>
          <w:color w:val="111111"/>
          <w:sz w:val="28"/>
          <w:sz w:val="28"/>
          <w:szCs w:val="28"/>
          <w:rtl w:val="true"/>
          <w:lang w:bidi="ar-SA"/>
        </w:rPr>
        <w:t>، وبها قيّدوا الآية وإطلاق الوضع ، مضافا إلى أنّ أخبار الوضع حكاية للفعل ، ونقل وقوع العام لا يستلزم صحة جميع أفراده ، إذ الفعل المثبت لا عموم 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يصح على القول بكون الوضع أعم من الضرب ، وأمّا لو </w:t>
      </w:r>
    </w:p>
    <w:p>
      <w:pPr>
        <w:pStyle w:val="BookText"/>
        <w:rPr/>
      </w:pPr>
      <w:r>
        <w:rPr>
          <w:rFonts w:ascii="Amiri" w:hAnsi="Amiri" w:eastAsia="Amiri" w:cs="Amiri"/>
          <w:color w:val="111111"/>
          <w:sz w:val="28"/>
          <w:sz w:val="28"/>
          <w:szCs w:val="28"/>
          <w:rtl w:val="true"/>
          <w:lang w:bidi="ar-SA"/>
        </w:rPr>
        <w:t>قلنا بتباينهما ، فوضع الإمام عليه السلام يدلّ على كفايته ، ولا يكون هناك تقييد وإطلاق ، بل يجب إمّا جعل الوضع مجازا في الضرب ، كما هو محتمل ، أو الأمر بالضرب في الاستحباب ، كما هو غاية ما يثبت من الأخبار المتضمّنة له ، لخلوّها عن لفظ 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بكفيك </w:t>
      </w:r>
      <w:r>
        <w:rPr>
          <w:rFonts w:eastAsia="Amiri" w:cs="Amiri" w:ascii="Amiri" w:hAnsi="Amiri"/>
          <w:color w:val="111111"/>
          <w:sz w:val="28"/>
          <w:szCs w:val="28"/>
          <w:rtl w:val="true"/>
          <w:lang w:bidi="ar-SA"/>
        </w:rPr>
        <w:t xml:space="preserve">» </w:t>
      </w:r>
      <w:r>
        <w:rPr>
          <w:rStyle w:val="FootnoteAnchor"/>
          <w:rtl w:val="true"/>
        </w:rPr>
        <w:footnoteReference w:id="2718"/>
      </w:r>
      <w:r>
        <w:rPr>
          <w:rFonts w:ascii="Amiri" w:hAnsi="Amiri" w:eastAsia="Amiri" w:cs="Amiri"/>
          <w:color w:val="111111"/>
          <w:sz w:val="28"/>
          <w:sz w:val="28"/>
          <w:szCs w:val="28"/>
          <w:rtl w:val="true"/>
          <w:lang w:bidi="ar-SA"/>
        </w:rPr>
        <w:t xml:space="preserve">وهو صريح في الوجوب فيه ، بعد جبر ضعفه بما مرّ من الشهرة المحكية ، بل بما مرّ من الأخبار المصرّحة بأن التيمّم ضرب يمكن تقييد المطلقات على القول بأعمية الوضع ، فالقول بتعيين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التباين فتتعارض أخبار الطرفين ، والحكم التخيير ، كما ذهب إليه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قول كلّ من قال بكفاية الوضع ، لجواز الاكتفاء بالضرب إجماعا وهو محتمل كلّ من عبّر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ترجيح أخبار الضرب بالشهرة ، وبكونه لفظ المعصوم والوضع لفظ الراوي </w:t>
      </w:r>
      <w:r>
        <w:rPr>
          <w:rStyle w:val="FootnoteAnchor"/>
          <w:rtl w:val="true"/>
        </w:rPr>
        <w:footnoteReference w:id="2719"/>
      </w:r>
      <w:r>
        <w:rPr>
          <w:rFonts w:ascii="Amiri" w:hAnsi="Amiri" w:eastAsia="Amiri" w:cs="Amiri"/>
          <w:color w:val="111111"/>
          <w:sz w:val="28"/>
          <w:sz w:val="28"/>
          <w:szCs w:val="28"/>
          <w:rtl w:val="true"/>
          <w:lang w:bidi="ar-SA"/>
        </w:rPr>
        <w:t>، فليس بجيّد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الأحوط العمل بالضرب ، لإجماعيته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الأقوى مطلقا أيضا ، إذ لو لم نقل بأعمية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Style w:val="FootnoteAnchor"/>
          <w:rtl w:val="true"/>
        </w:rPr>
        <w:footnoteReference w:id="2720"/>
      </w:r>
      <w:r>
        <w:rPr>
          <w:rFonts w:ascii="Amiri" w:hAnsi="Amiri" w:eastAsia="Amiri" w:cs="Amiri"/>
          <w:color w:val="111111"/>
          <w:sz w:val="28"/>
          <w:sz w:val="28"/>
          <w:szCs w:val="28"/>
          <w:rtl w:val="true"/>
          <w:lang w:bidi="ar-SA"/>
        </w:rPr>
        <w:t>كما قاله الأكثر ، فالتباين غير ثابت أيضا ، سيما في الضرب اللازم في التيمّم المجزي فيه يسير دفع ، فلا يعلم معارض مدافع لموجبات الضرب ، فيجب العمل بها قطعا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يكون الضرب بباطن الكفين ، كما صرّح به في المقنعة والمراسم والسرائر والمهذّب والذكرى والدروس والبيان وشرح القواعد للمحقّق الثاني والمدارك </w:t>
      </w:r>
      <w:r>
        <w:rPr>
          <w:rStyle w:val="FootnoteAnchor"/>
          <w:rtl w:val="true"/>
        </w:rPr>
        <w:footnoteReference w:id="2721"/>
      </w:r>
      <w:r>
        <w:rPr>
          <w:rFonts w:ascii="Amiri" w:hAnsi="Amiri" w:eastAsia="Amiri" w:cs="Amiri"/>
          <w:color w:val="111111"/>
          <w:sz w:val="28"/>
          <w:sz w:val="28"/>
          <w:szCs w:val="28"/>
          <w:rtl w:val="true"/>
          <w:lang w:bidi="ar-SA"/>
        </w:rPr>
        <w:t>، بل المنتهى والتذكرة ، حيث ذكر فيهما في الكيفية أنه يمسح ظهر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اليسرى ببطن اليمنى وبالعكس </w:t>
      </w:r>
      <w:r>
        <w:rPr>
          <w:rStyle w:val="FootnoteAnchor"/>
          <w:rtl w:val="true"/>
        </w:rPr>
        <w:footnoteReference w:id="2722"/>
      </w:r>
      <w:r>
        <w:rPr>
          <w:rFonts w:ascii="Amiri" w:hAnsi="Amiri" w:eastAsia="Amiri" w:cs="Amiri"/>
          <w:color w:val="111111"/>
          <w:sz w:val="28"/>
          <w:sz w:val="28"/>
          <w:szCs w:val="28"/>
          <w:rtl w:val="true"/>
          <w:lang w:bidi="ar-SA"/>
        </w:rPr>
        <w:t xml:space="preserve">، بل هو المشهور بين العلماء ، بل صرّح بعض مشايخنا المحقّقين أنه وفاقي ، وعليه عمل المسلمين في الأعصار والأمصار من دون شك </w:t>
      </w:r>
      <w:r>
        <w:rPr>
          <w:rStyle w:val="FootnoteAnchor"/>
          <w:rtl w:val="true"/>
        </w:rPr>
        <w:footnoteReference w:id="2723"/>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الحجة فيه ، لا التبادر من الكف في الأخبار كما قيل </w:t>
      </w:r>
      <w:r>
        <w:rPr>
          <w:rStyle w:val="FootnoteAnchor"/>
          <w:rtl w:val="true"/>
        </w:rPr>
        <w:footnoteReference w:id="2724"/>
      </w:r>
      <w:r>
        <w:rPr>
          <w:rFonts w:ascii="Amiri" w:hAnsi="Amiri" w:eastAsia="Amiri" w:cs="Amiri"/>
          <w:color w:val="111111"/>
          <w:sz w:val="28"/>
          <w:sz w:val="28"/>
          <w:szCs w:val="28"/>
          <w:rtl w:val="true"/>
          <w:lang w:bidi="ar-SA"/>
        </w:rPr>
        <w:t xml:space="preserve">، لاستعمال الكف فيها في الأكثر في كلّ من الماسح والممسوح مطلقا ، وتصريح اللغويين </w:t>
      </w:r>
      <w:r>
        <w:rPr>
          <w:rStyle w:val="FootnoteAnchor"/>
          <w:rtl w:val="true"/>
        </w:rPr>
        <w:footnoteReference w:id="2725"/>
      </w:r>
      <w:r>
        <w:rPr>
          <w:rFonts w:ascii="Amiri" w:hAnsi="Amiri" w:eastAsia="Amiri" w:cs="Amiri"/>
          <w:color w:val="111111"/>
          <w:sz w:val="28"/>
          <w:sz w:val="28"/>
          <w:szCs w:val="28"/>
          <w:rtl w:val="true"/>
          <w:lang w:bidi="ar-SA"/>
        </w:rPr>
        <w:t>والفقهاء بأنها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أنه المعهود من فعل الحجج ، لكونه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الباطن أجزأ الظاهر ، لإطلاق الظواهر ، خرج غير المعذور بما مرّ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 بعض من ادّعى تبادر الباطن على إجزاء الظاهر للمعذور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واستدلال بعض من ادّعى تبادر الباطن على إجزاء الظاهر للمعذور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الميسور </w:t>
      </w:r>
      <w:r>
        <w:rPr>
          <w:rFonts w:eastAsia="Amiri" w:cs="Amiri" w:ascii="Amiri" w:hAnsi="Amiri"/>
          <w:color w:val="111111"/>
          <w:sz w:val="28"/>
          <w:szCs w:val="28"/>
          <w:rtl w:val="true"/>
          <w:lang w:bidi="ar-SA"/>
        </w:rPr>
        <w:t xml:space="preserve">» </w:t>
      </w:r>
      <w:r>
        <w:rPr>
          <w:rStyle w:val="FootnoteAnchor"/>
          <w:rtl w:val="true"/>
        </w:rPr>
        <w:footnoteReference w:id="272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الباطن من إحداهما ففي الاجتزاء بباطن الأخرى ، أو ضمّ ظاهر الأولى إليه ، أو كفاية الظاهر منهما حينئذ أوجه ، أوجهها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الأخيرين ، للإطلاق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يتعيّن الثاني؟ فيه إشكال ، لعدم معلومية الإجماع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إحدى الكفّين أو بعض إحداهما أو بعض كلّ منهما ، ضرب بالباقي ، للإطلاق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المجموع منهما ، سقط الضرب ، للأصل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 وجوب معية اليدين في الضرب ، فلو ضرب إحداهما وأتبعهما بالأخرى ، لم يجز ، لأنّه المفهوم من قوله في المعتبرة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bookmarkStart w:id="163" w:name="pg11616_94880"/>
    </w:p>
    <w:p>
      <w:pPr>
        <w:pStyle w:val="BookText"/>
        <w:rPr/>
      </w:pPr>
      <w:bookmarkEnd w:id="163"/>
      <w:r>
        <w:rPr>
          <w:rFonts w:ascii="Amiri" w:hAnsi="Amiri" w:eastAsia="Amiri" w:cs="Amiri"/>
          <w:color w:val="111111"/>
          <w:sz w:val="28"/>
          <w:sz w:val="28"/>
          <w:szCs w:val="28"/>
          <w:rtl w:val="true"/>
          <w:lang w:bidi="ar-SA"/>
        </w:rPr>
        <w:t xml:space="preserve">بيديه </w:t>
      </w:r>
      <w:r>
        <w:rPr>
          <w:rFonts w:eastAsia="Amiri" w:cs="Amiri" w:ascii="Amiri" w:hAnsi="Amiri"/>
          <w:color w:val="111111"/>
          <w:sz w:val="28"/>
          <w:szCs w:val="28"/>
          <w:rtl w:val="true"/>
          <w:lang w:bidi="ar-SA"/>
        </w:rPr>
        <w:t xml:space="preserve">» </w:t>
      </w:r>
      <w:r>
        <w:rPr>
          <w:rStyle w:val="FootnoteAnchor"/>
          <w:rtl w:val="true"/>
        </w:rPr>
        <w:footnoteReference w:id="2727"/>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فهمه منه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ضربة للوجه وضربة للكفين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صحيحة محمد في الضربة الثانية أنه يضرب الشمال لليمين واليمين للشمال </w:t>
      </w:r>
      <w:r>
        <w:rPr>
          <w:rStyle w:val="FootnoteAnchor"/>
          <w:rtl w:val="true"/>
        </w:rPr>
        <w:footnoteReference w:id="2728"/>
      </w:r>
      <w:r>
        <w:rPr>
          <w:rFonts w:ascii="Amiri" w:hAnsi="Amiri" w:eastAsia="Amiri" w:cs="Amiri"/>
          <w:color w:val="111111"/>
          <w:sz w:val="28"/>
          <w:sz w:val="28"/>
          <w:szCs w:val="28"/>
          <w:rtl w:val="true"/>
          <w:lang w:bidi="ar-SA"/>
        </w:rPr>
        <w:t xml:space="preserve">، وأفتى بمضمونها الصدوق في المجالس </w:t>
      </w:r>
      <w:r>
        <w:rPr>
          <w:rStyle w:val="FootnoteAnchor"/>
          <w:rtl w:val="true"/>
        </w:rPr>
        <w:footnoteReference w:id="2729"/>
      </w:r>
      <w:r>
        <w:rPr>
          <w:rFonts w:ascii="Amiri" w:hAnsi="Amiri" w:eastAsia="Amiri" w:cs="Amiri"/>
          <w:color w:val="111111"/>
          <w:sz w:val="28"/>
          <w:sz w:val="28"/>
          <w:szCs w:val="28"/>
          <w:rtl w:val="true"/>
          <w:lang w:bidi="ar-SA"/>
        </w:rPr>
        <w:t xml:space="preserve">، ولذا جعله المحقّق الأردبيلي الأحوط </w:t>
      </w:r>
      <w:r>
        <w:rPr>
          <w:rStyle w:val="FootnoteAnchor"/>
          <w:rtl w:val="true"/>
        </w:rPr>
        <w:footnoteReference w:id="2730"/>
      </w:r>
      <w:r>
        <w:rPr>
          <w:rFonts w:ascii="Amiri" w:hAnsi="Amiri" w:eastAsia="Amiri" w:cs="Amiri"/>
          <w:color w:val="111111"/>
          <w:sz w:val="28"/>
          <w:sz w:val="28"/>
          <w:szCs w:val="28"/>
          <w:rtl w:val="true"/>
          <w:lang w:bidi="ar-SA"/>
        </w:rPr>
        <w:t>المشعر بعدم الوجوب ، وهو كذلك</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5588173_73709187"/>
      <w:bookmarkStart w:id="165" w:name="_Toc64"/>
      <w:bookmarkEnd w:id="164"/>
      <w:r>
        <w:rPr>
          <w:rtl w:val="true"/>
        </w:rPr>
        <w:t xml:space="preserve">مسائل </w:t>
      </w:r>
      <w:r>
        <w:rPr>
          <w:rtl w:val="true"/>
        </w:rPr>
        <w:t>:</w:t>
      </w:r>
      <w:bookmarkEnd w:id="16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في التيمّم مرة مطلقا ، وفاقا للإسكافي والعماني </w:t>
      </w:r>
      <w:r>
        <w:rPr>
          <w:rStyle w:val="FootnoteAnchor"/>
          <w:rtl w:val="true"/>
        </w:rPr>
        <w:footnoteReference w:id="2731"/>
      </w:r>
      <w:r>
        <w:rPr>
          <w:rFonts w:ascii="Amiri" w:hAnsi="Amiri" w:eastAsia="Amiri" w:cs="Amiri"/>
          <w:color w:val="111111"/>
          <w:sz w:val="28"/>
          <w:sz w:val="28"/>
          <w:szCs w:val="28"/>
          <w:rtl w:val="true"/>
          <w:lang w:bidi="ar-SA"/>
        </w:rPr>
        <w:t xml:space="preserve">، والمفيد في العزّية </w:t>
      </w:r>
      <w:r>
        <w:rPr>
          <w:rStyle w:val="FootnoteAnchor"/>
          <w:rtl w:val="true"/>
        </w:rPr>
        <w:footnoteReference w:id="2732"/>
      </w:r>
      <w:r>
        <w:rPr>
          <w:rFonts w:ascii="Amiri" w:hAnsi="Amiri" w:eastAsia="Amiri" w:cs="Amiri"/>
          <w:color w:val="111111"/>
          <w:sz w:val="28"/>
          <w:sz w:val="28"/>
          <w:szCs w:val="28"/>
          <w:rtl w:val="true"/>
          <w:lang w:bidi="ar-SA"/>
        </w:rPr>
        <w:t xml:space="preserve">، والسيد في الجمل وشرح الرسالة وظاهر الناصريات </w:t>
      </w:r>
      <w:r>
        <w:rPr>
          <w:rStyle w:val="FootnoteAnchor"/>
          <w:rtl w:val="true"/>
        </w:rPr>
        <w:footnoteReference w:id="2733"/>
      </w:r>
      <w:r>
        <w:rPr>
          <w:rFonts w:ascii="Amiri" w:hAnsi="Amiri" w:eastAsia="Amiri" w:cs="Amiri"/>
          <w:color w:val="111111"/>
          <w:sz w:val="28"/>
          <w:sz w:val="28"/>
          <w:szCs w:val="28"/>
          <w:rtl w:val="true"/>
          <w:lang w:bidi="ar-SA"/>
        </w:rPr>
        <w:t xml:space="preserve">، والصدوق في ظاهر المقنع والهداية </w:t>
      </w:r>
      <w:r>
        <w:rPr>
          <w:rStyle w:val="FootnoteAnchor"/>
          <w:rtl w:val="true"/>
        </w:rPr>
        <w:footnoteReference w:id="2734"/>
      </w:r>
      <w:r>
        <w:rPr>
          <w:rFonts w:ascii="Amiri" w:hAnsi="Amiri" w:eastAsia="Amiri" w:cs="Amiri"/>
          <w:color w:val="111111"/>
          <w:sz w:val="28"/>
          <w:sz w:val="28"/>
          <w:szCs w:val="28"/>
          <w:rtl w:val="true"/>
          <w:lang w:bidi="ar-SA"/>
        </w:rPr>
        <w:t xml:space="preserve">، والقاضي </w:t>
      </w:r>
      <w:r>
        <w:rPr>
          <w:rStyle w:val="FootnoteAnchor"/>
          <w:rtl w:val="true"/>
        </w:rPr>
        <w:footnoteReference w:id="2735"/>
      </w:r>
      <w:r>
        <w:rPr>
          <w:rFonts w:ascii="Amiri" w:hAnsi="Amiri" w:eastAsia="Amiri" w:cs="Amiri"/>
          <w:color w:val="111111"/>
          <w:sz w:val="28"/>
          <w:sz w:val="28"/>
          <w:szCs w:val="28"/>
          <w:rtl w:val="true"/>
          <w:lang w:bidi="ar-SA"/>
        </w:rPr>
        <w:t xml:space="preserve">والحلبيين </w:t>
      </w:r>
      <w:r>
        <w:rPr>
          <w:rStyle w:val="FootnoteAnchor"/>
          <w:rtl w:val="true"/>
        </w:rPr>
        <w:footnoteReference w:id="2736"/>
      </w:r>
      <w:r>
        <w:rPr>
          <w:rFonts w:ascii="Amiri" w:hAnsi="Amiri" w:eastAsia="Amiri" w:cs="Amiri"/>
          <w:color w:val="111111"/>
          <w:sz w:val="28"/>
          <w:sz w:val="28"/>
          <w:szCs w:val="28"/>
          <w:rtl w:val="true"/>
          <w:lang w:bidi="ar-SA"/>
        </w:rPr>
        <w:t xml:space="preserve">، والمعتبر والذكرى </w:t>
      </w:r>
    </w:p>
    <w:p>
      <w:pPr>
        <w:pStyle w:val="BookText"/>
        <w:rPr/>
      </w:pPr>
      <w:r>
        <w:rPr>
          <w:rFonts w:ascii="Amiri" w:hAnsi="Amiri" w:eastAsia="Amiri" w:cs="Amiri"/>
          <w:color w:val="111111"/>
          <w:sz w:val="28"/>
          <w:sz w:val="28"/>
          <w:szCs w:val="28"/>
          <w:rtl w:val="true"/>
          <w:lang w:bidi="ar-SA"/>
        </w:rPr>
        <w:t xml:space="preserve">والمدارك </w:t>
      </w:r>
      <w:r>
        <w:rPr>
          <w:rStyle w:val="FootnoteAnchor"/>
          <w:rtl w:val="true"/>
        </w:rPr>
        <w:footnoteReference w:id="2737"/>
      </w:r>
      <w:r>
        <w:rPr>
          <w:rFonts w:ascii="Amiri" w:hAnsi="Amiri" w:eastAsia="Amiri" w:cs="Amiri"/>
          <w:color w:val="111111"/>
          <w:sz w:val="28"/>
          <w:sz w:val="28"/>
          <w:szCs w:val="28"/>
          <w:rtl w:val="true"/>
          <w:lang w:bidi="ar-SA"/>
        </w:rPr>
        <w:t xml:space="preserve">، وحكته العامة عن علي </w:t>
      </w:r>
      <w:r>
        <w:rPr>
          <w:rStyle w:val="FootnoteAnchor"/>
          <w:rtl w:val="true"/>
        </w:rPr>
        <w:footnoteReference w:id="2738"/>
      </w:r>
      <w:r>
        <w:rPr>
          <w:rFonts w:ascii="Amiri" w:hAnsi="Amiri" w:eastAsia="Amiri" w:cs="Amiri"/>
          <w:color w:val="111111"/>
          <w:sz w:val="28"/>
          <w:sz w:val="28"/>
          <w:szCs w:val="28"/>
          <w:rtl w:val="true"/>
          <w:lang w:bidi="ar-SA"/>
        </w:rPr>
        <w:t>، وهو مختار معظم الثالثة كما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والإطلاقات ، ورواية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المتيمّم تجزيه ضربة واحدة يمسح بها وجهه ويديه </w:t>
      </w:r>
      <w:r>
        <w:rPr>
          <w:rFonts w:eastAsia="Amiri" w:cs="Amiri" w:ascii="Amiri" w:hAnsi="Amiri"/>
          <w:color w:val="111111"/>
          <w:sz w:val="28"/>
          <w:szCs w:val="28"/>
          <w:rtl w:val="true"/>
          <w:lang w:bidi="ar-SA"/>
        </w:rPr>
        <w:t xml:space="preserve">»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وضعفها منجبر بالعمل ولو في الوضوء خاصة ، ويتمّ المطلوب بما يأتي من الأخبار المصرّحة بتسوية التيمّم للوضوء والغسل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خلوّ التيمّمات البيانية عن ضربة أخرى ، وتصريح الراوي في بعضها بالوحدة </w:t>
      </w:r>
      <w:r>
        <w:rPr>
          <w:rStyle w:val="FootnoteAnchor"/>
          <w:rtl w:val="true"/>
        </w:rPr>
        <w:footnoteReference w:id="2741"/>
      </w:r>
      <w:r>
        <w:rPr>
          <w:rFonts w:ascii="Amiri" w:hAnsi="Amiri" w:eastAsia="Amiri" w:cs="Amiri"/>
          <w:color w:val="111111"/>
          <w:sz w:val="28"/>
          <w:sz w:val="28"/>
          <w:szCs w:val="28"/>
          <w:rtl w:val="true"/>
          <w:lang w:bidi="ar-SA"/>
        </w:rPr>
        <w:t xml:space="preserve">، وإن احتمل الاولى كونها بيانا للممسوح والماسح دون جميع الأجزاء والشرائط ، ولذا لم يذكر النية وبعض الشروط ، أو كون ذكر الثانية مهملا من الرواة ولو كان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روايات حكاية عمّار </w:t>
      </w:r>
      <w:r>
        <w:rPr>
          <w:rStyle w:val="FootnoteAnchor"/>
          <w:rtl w:val="true"/>
        </w:rPr>
        <w:footnoteReference w:id="2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كإهمال ذكر البدأة بالأعلى والضربات بالباطن والمسح بالظهر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 بعضها في كون الملحوظ بيانه اتّحاد الضرب وتعدّده ، أو ظهور عدم نقل التعدّد في بيان العبادة في عدم لزومه ، 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دعوى ظهورها في أنّ الغرض إمّا الرد على التمعك أو على المسح إلى الذراع أو كلّ الوجه أو تكرار المسح ، ولذا وقع في بعضها الضرب على الأرض وفي آخر على البساط ، وفي البعض المسح باليد ، وفي آخر بالأصابع ، وفي البعض صرّح في الممسوح بالظهر ، وفي الآخر لم يصرّح ، إلى غير ذلك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الثاني كون الوحدة قيدا 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تعدّده محل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كونه كذلك في أمثال هذا الزمان بالإجماع ونحوه لا يوجب كونه كذلك في مبادي الأمر أيضا ، فلعلّ فيها خفاء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المفيد في الأركان </w:t>
      </w:r>
      <w:r>
        <w:rPr>
          <w:rStyle w:val="FootnoteAnchor"/>
          <w:rtl w:val="true"/>
        </w:rPr>
        <w:footnoteReference w:id="2743"/>
      </w:r>
      <w:r>
        <w:rPr>
          <w:rFonts w:ascii="Amiri" w:hAnsi="Amiri" w:eastAsia="Amiri" w:cs="Amiri"/>
          <w:color w:val="111111"/>
          <w:sz w:val="28"/>
          <w:sz w:val="28"/>
          <w:szCs w:val="28"/>
          <w:rtl w:val="true"/>
          <w:lang w:bidi="ar-SA"/>
        </w:rPr>
        <w:t xml:space="preserve">، ووالد الصدوق في الرسالة </w:t>
      </w:r>
      <w:r>
        <w:rPr>
          <w:rStyle w:val="FootnoteAnchor"/>
          <w:rtl w:val="true"/>
        </w:rPr>
        <w:footnoteReference w:id="2744"/>
      </w:r>
      <w:r>
        <w:rPr>
          <w:rFonts w:ascii="Amiri" w:hAnsi="Amiri" w:eastAsia="Amiri" w:cs="Amiri"/>
          <w:color w:val="111111"/>
          <w:sz w:val="28"/>
          <w:sz w:val="28"/>
          <w:szCs w:val="28"/>
          <w:rtl w:val="true"/>
          <w:lang w:bidi="ar-SA"/>
        </w:rPr>
        <w:t xml:space="preserve">، وولده في المجالس </w:t>
      </w:r>
      <w:r>
        <w:rPr>
          <w:rStyle w:val="FootnoteAnchor"/>
          <w:rtl w:val="true"/>
        </w:rPr>
        <w:footnoteReference w:id="2745"/>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مرتان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صاحب المنتقى من المتأخّرين ، ونقل أنه مذهب جماعة من قدماء الأصحاب </w:t>
      </w:r>
      <w:r>
        <w:rPr>
          <w:rStyle w:val="FootnoteAnchor"/>
          <w:rtl w:val="true"/>
        </w:rPr>
        <w:footnoteReference w:id="2746"/>
      </w:r>
      <w:r>
        <w:rPr>
          <w:rFonts w:ascii="Amiri" w:hAnsi="Amiri" w:eastAsia="Amiri" w:cs="Amiri"/>
          <w:color w:val="111111"/>
          <w:sz w:val="28"/>
          <w:sz w:val="28"/>
          <w:szCs w:val="28"/>
          <w:rtl w:val="true"/>
          <w:lang w:bidi="ar-SA"/>
        </w:rPr>
        <w:t xml:space="preserve">، ونسبه في التبيان ومجمع البيان إلى قوم من أصحابنا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لصحاح الكندي ومحمد وزرارة ، والرضوي ، المتقدّمة في النية </w:t>
      </w:r>
      <w:r>
        <w:rPr>
          <w:rStyle w:val="FootnoteAnchor"/>
          <w:rtl w:val="true"/>
        </w:rPr>
        <w:footnoteReference w:id="2748"/>
      </w:r>
      <w:r>
        <w:rPr>
          <w:rFonts w:ascii="Amiri" w:hAnsi="Amiri" w:eastAsia="Amiri" w:cs="Amiri"/>
          <w:color w:val="111111"/>
          <w:sz w:val="28"/>
          <w:sz w:val="28"/>
          <w:szCs w:val="28"/>
          <w:rtl w:val="true"/>
          <w:lang w:bidi="ar-SA"/>
        </w:rPr>
        <w:t xml:space="preserve">، ورواية 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بكفّيك على الأرض مرتين </w:t>
      </w:r>
      <w:r>
        <w:rPr>
          <w:rFonts w:eastAsia="Amiri" w:cs="Amiri" w:ascii="Amiri" w:hAnsi="Amiri"/>
          <w:color w:val="111111"/>
          <w:sz w:val="28"/>
          <w:szCs w:val="28"/>
          <w:rtl w:val="true"/>
          <w:lang w:bidi="ar-SA"/>
        </w:rPr>
        <w:t xml:space="preserve">»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وإن تضمّنتا الحمل الذي هو حقيقة في الحقيقي المستلزم للوجوب ، إلاّ أنه لكون المحمول فيهما جزءا للتيمّم دون نفسه يكون الحمل تجوّزا خارجا عن حقيقته ، ومعه لا يثبت الوجوب لسعة دائرة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فلخلوّها عن الدالّ على الوجوب ، وبه يضعّف الخامسة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نفسها ضعيفة ، وعن الجابر في المقام خالية ، إلاّ أن يقال بانجبارها في الغسل بما يأتي ، ويتمّ في الوضوء بأخبار التسوية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حينئذ بأنّ القول بالضربتين مطلقا محكي عن العامة </w:t>
      </w:r>
      <w:r>
        <w:rPr>
          <w:rStyle w:val="FootnoteAnchor"/>
          <w:rtl w:val="true"/>
        </w:rPr>
        <w:footnoteReference w:id="2750"/>
      </w:r>
      <w:r>
        <w:rPr>
          <w:rFonts w:ascii="Amiri" w:hAnsi="Amiri" w:eastAsia="Amiri" w:cs="Amiri"/>
          <w:color w:val="111111"/>
          <w:sz w:val="28"/>
          <w:sz w:val="28"/>
          <w:szCs w:val="28"/>
          <w:rtl w:val="true"/>
          <w:lang w:bidi="ar-SA"/>
        </w:rPr>
        <w:t xml:space="preserve">، فالرواية </w:t>
      </w:r>
    </w:p>
    <w:p>
      <w:pPr>
        <w:pStyle w:val="BookText"/>
        <w:rPr/>
      </w:pPr>
      <w:r>
        <w:rPr>
          <w:rFonts w:ascii="Amiri" w:hAnsi="Amiri" w:eastAsia="Amiri" w:cs="Amiri"/>
          <w:color w:val="111111"/>
          <w:sz w:val="28"/>
          <w:sz w:val="28"/>
          <w:szCs w:val="28"/>
          <w:rtl w:val="true"/>
          <w:lang w:bidi="ar-SA"/>
        </w:rPr>
        <w:t xml:space="preserve">الدالّة عليه لهم موافقة ، فتطرح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معارضتها مع ما مرّ من خبر المرة ، مع أنه لو لا ترجيحه أيضا لكان المرجع إلى الأصل </w:t>
      </w:r>
      <w:r>
        <w:rPr>
          <w:rFonts w:eastAsia="Amiri" w:cs="Amiri" w:ascii="Amiri" w:hAnsi="Amiri"/>
          <w:color w:val="111111"/>
          <w:sz w:val="28"/>
          <w:szCs w:val="28"/>
          <w:rtl w:val="true"/>
          <w:lang w:bidi="ar-SA"/>
        </w:rPr>
        <w:t xml:space="preserve">) </w:t>
      </w:r>
      <w:r>
        <w:rPr>
          <w:rStyle w:val="FootnoteAnchor"/>
          <w:rtl w:val="true"/>
        </w:rPr>
        <w:footnoteReference w:id="2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يجاب أيضا عن سائر الأخبار لو كانت فيها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وللمقنعة ومصباح الشيخ ونهايته ومبسوطه والفقيه والديلمي والحلّي والحلبي وابن حمزة </w:t>
      </w:r>
      <w:r>
        <w:rPr>
          <w:rStyle w:val="FootnoteAnchor"/>
          <w:rtl w:val="true"/>
        </w:rPr>
        <w:footnoteReference w:id="2752"/>
      </w:r>
      <w:r>
        <w:rPr>
          <w:rFonts w:ascii="Amiri" w:hAnsi="Amiri" w:eastAsia="Amiri" w:cs="Amiri"/>
          <w:color w:val="111111"/>
          <w:sz w:val="28"/>
          <w:sz w:val="28"/>
          <w:szCs w:val="28"/>
          <w:rtl w:val="true"/>
          <w:lang w:bidi="ar-SA"/>
        </w:rPr>
        <w:t xml:space="preserve">، بل أكثر المتأخّرين ، بل مطلقا كما قيل </w:t>
      </w:r>
      <w:r>
        <w:rPr>
          <w:rStyle w:val="FootnoteAnchor"/>
          <w:rtl w:val="true"/>
        </w:rPr>
        <w:footnoteReference w:id="2753"/>
      </w:r>
      <w:r>
        <w:rPr>
          <w:rFonts w:ascii="Amiri" w:hAnsi="Amiri" w:eastAsia="Amiri" w:cs="Amiri"/>
          <w:color w:val="111111"/>
          <w:sz w:val="28"/>
          <w:sz w:val="28"/>
          <w:szCs w:val="28"/>
          <w:rtl w:val="true"/>
          <w:lang w:bidi="ar-SA"/>
        </w:rPr>
        <w:t xml:space="preserve">، بل عن الأمالي ومجمع البيان والتهذيب والتبيان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بالمرة في بدل الوضوء والمرتين في بدل الغسل ، للجمع بين أدلّة المرة والمرتين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صحيحة زرارة ، المتقدّمة </w:t>
      </w:r>
      <w:r>
        <w:rPr>
          <w:rStyle w:val="FootnoteAnchor"/>
          <w:rtl w:val="true"/>
        </w:rPr>
        <w:footnoteReference w:id="2755"/>
      </w:r>
      <w:r>
        <w:rPr>
          <w:rFonts w:ascii="Amiri" w:hAnsi="Amiri" w:eastAsia="Amiri" w:cs="Amiri"/>
          <w:color w:val="111111"/>
          <w:sz w:val="28"/>
          <w:sz w:val="28"/>
          <w:szCs w:val="28"/>
          <w:rtl w:val="true"/>
          <w:lang w:bidi="ar-SA"/>
        </w:rPr>
        <w:t xml:space="preserve">، على جعل الواو فيها للاستئناف المقتضي لجعل ما بعدها مبتدأ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المنتهى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 عن محمد ابن مسلم ، 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التيمّم من الوضوء مرّة واحدة ومن الجنابة مرّتان </w:t>
      </w:r>
      <w:r>
        <w:rPr>
          <w:rFonts w:eastAsia="Amiri" w:cs="Amiri" w:ascii="Amiri" w:hAnsi="Amiri"/>
          <w:color w:val="111111"/>
          <w:sz w:val="28"/>
          <w:szCs w:val="28"/>
          <w:rtl w:val="true"/>
          <w:lang w:bidi="ar-SA"/>
        </w:rPr>
        <w:t xml:space="preserve">»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نقل عن الحلبي والصيمري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بذلك القول روايات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الآتية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والإجماعات المنقولة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تمامية أخبار المرتين ، وعدم تعيّن وجه الجمع في ذلك على فرض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كون الواو للعطف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نوع واحد للوضوء والغسل ، إلى آخره ، فيكون دليلا للمرتين مطلقا ، وبعد الاحتمال لا يتمّ الاستدلال ، كما لا يتمّ دليلا للمرتين أيضا لذلك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تتمّ دلالتها على المرتين في الغسل على الاحتمالين ، ويعمل في الوضوء بالأصل ، فتتمّ دلالتها على التفصيل ، إلاّ أنه لا دلالة فيها على الوجوب أصلا ، فلا فائدة في التتميم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دلالتها على ما نقلها في المعتبر أيضا من 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واحد </w:t>
      </w:r>
      <w:r>
        <w:rPr>
          <w:rFonts w:eastAsia="Amiri" w:cs="Amiri" w:ascii="Amiri" w:hAnsi="Amiri"/>
          <w:color w:val="111111"/>
          <w:sz w:val="28"/>
          <w:szCs w:val="28"/>
          <w:rtl w:val="true"/>
          <w:lang w:bidi="ar-SA"/>
        </w:rPr>
        <w:t xml:space="preserve">» </w:t>
      </w:r>
      <w:r>
        <w:rPr>
          <w:rStyle w:val="FootnoteAnchor"/>
          <w:rtl w:val="true"/>
        </w:rPr>
        <w:footnoteReference w:id="2759"/>
      </w:r>
      <w:r>
        <w:rPr>
          <w:rFonts w:ascii="Amiri" w:hAnsi="Amiri" w:eastAsia="Amiri" w:cs="Amiri"/>
          <w:color w:val="111111"/>
          <w:sz w:val="28"/>
          <w:sz w:val="28"/>
          <w:szCs w:val="28"/>
          <w:rtl w:val="true"/>
          <w:lang w:bidi="ar-SA"/>
        </w:rPr>
        <w:t xml:space="preserve">وإن لم يستقم عليه الاحتمال الأخير ، مع أنّ الموجود في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في المعتبر والنافع غفلة </w:t>
      </w:r>
      <w:r>
        <w:rPr>
          <w:rStyle w:val="FootnoteAnchor"/>
          <w:rtl w:val="true"/>
        </w:rPr>
        <w:footnoteReference w:id="2760"/>
      </w:r>
      <w:r>
        <w:rPr>
          <w:rFonts w:ascii="IRNazanin" w:hAnsi="IRNazanin" w:eastAsia="IRNazanin"/>
          <w:color w:val="111111"/>
          <w:sz w:val="28"/>
          <w:sz w:val="28"/>
          <w:szCs w:val="28"/>
          <w:rtl w:val="true"/>
          <w:lang w:bidi="fa-IR"/>
        </w:rPr>
        <w:t>، أو نقل بالمعنى مع فهمه الاحتمال الأول ، أو سهو من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الوجوب إلاّ باعتبار الحمل الذي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فيه من الإجمال من جهة عدم ذكر متعلّق المرة والمرتين ، فيحتمل أن يكون في المسح ، كما صرّح بالوحدة فيه في صحيحة زرارة وغيرها </w:t>
      </w:r>
      <w:r>
        <w:rPr>
          <w:rStyle w:val="FootnoteAnchor"/>
          <w:rtl w:val="true"/>
        </w:rPr>
        <w:footnoteReference w:id="2761"/>
      </w:r>
      <w:r>
        <w:rPr>
          <w:rFonts w:ascii="Amiri" w:hAnsi="Amiri" w:eastAsia="Amiri" w:cs="Amiri"/>
          <w:color w:val="111111"/>
          <w:sz w:val="28"/>
          <w:sz w:val="28"/>
          <w:szCs w:val="28"/>
          <w:rtl w:val="true"/>
          <w:lang w:bidi="ar-SA"/>
        </w:rPr>
        <w:t>، أو التيمّم ، أو غيرهما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هذه الرواية لم توجد في شي‌ء من كتب الحديث ، ولم ينقله غير الفاضل في كتب الاستدلال ،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2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نشأ له من عبارة الشيخ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صلاحيته فرع ملاحظة تلك الروايات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التفرقة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الحجية ، مع أنّ عبارة غير الأمالي ليست نصّا في دعوى الإجماع </w:t>
      </w:r>
      <w:r>
        <w:rPr>
          <w:rStyle w:val="FootnoteAnchor"/>
          <w:rtl w:val="true"/>
        </w:rPr>
        <w:footnoteReference w:id="2764"/>
      </w:r>
      <w:r>
        <w:rPr>
          <w:rFonts w:ascii="Amiri" w:hAnsi="Amiri" w:eastAsia="Amiri" w:cs="Amiri"/>
          <w:color w:val="111111"/>
          <w:sz w:val="28"/>
          <w:sz w:val="28"/>
          <w:szCs w:val="28"/>
          <w:rtl w:val="true"/>
          <w:lang w:bidi="ar-SA"/>
        </w:rPr>
        <w:t xml:space="preserve">حكى عن رسالته في الذكرى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يفرق بين الوضوء والغسل</w:t>
      </w:r>
      <w:r>
        <w:rPr>
          <w:rFonts w:eastAsia="Amiri" w:cs="Amiri" w:ascii="Amiri" w:hAnsi="Amiri"/>
          <w:color w:val="111111"/>
          <w:sz w:val="28"/>
          <w:szCs w:val="28"/>
          <w:rtl w:val="true"/>
          <w:lang w:bidi="ar-SA"/>
        </w:rPr>
        <w:t>.</w:t>
      </w:r>
      <w:r>
        <w:rPr>
          <w:rStyle w:val="FootnoteAnchor"/>
          <w:rtl w:val="true"/>
        </w:rPr>
        <w:footnoteReference w:id="2765"/>
      </w:r>
      <w:r>
        <w:rPr>
          <w:rFonts w:ascii="Amiri" w:hAnsi="Amiri" w:eastAsia="Amiri" w:cs="Amiri"/>
          <w:color w:val="111111"/>
          <w:sz w:val="28"/>
          <w:sz w:val="28"/>
          <w:szCs w:val="28"/>
          <w:rtl w:val="true"/>
          <w:lang w:bidi="ar-SA"/>
        </w:rPr>
        <w:t xml:space="preserve">، والظاهر من الأمالي الإجماع على وجوب التيمّم </w:t>
      </w:r>
      <w:r>
        <w:rPr>
          <w:rStyle w:val="FootnoteAnchor"/>
          <w:rtl w:val="true"/>
        </w:rPr>
        <w:footnoteReference w:id="2766"/>
      </w:r>
      <w:r>
        <w:rPr>
          <w:rFonts w:ascii="Amiri" w:hAnsi="Amiri" w:eastAsia="Amiri" w:cs="Amiri"/>
          <w:color w:val="111111"/>
          <w:sz w:val="28"/>
          <w:sz w:val="28"/>
          <w:szCs w:val="28"/>
          <w:rtl w:val="true"/>
          <w:lang w:bidi="ar-SA"/>
        </w:rPr>
        <w:t xml:space="preserve">، ولا تعلّق له بالمورد ، 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موهون بمصيره هو في كتابيه </w:t>
      </w:r>
      <w:r>
        <w:rPr>
          <w:rStyle w:val="FootnoteAnchor"/>
          <w:rtl w:val="true"/>
        </w:rPr>
        <w:footnoteReference w:id="2767"/>
      </w:r>
      <w:r>
        <w:rPr>
          <w:rFonts w:ascii="Amiri" w:hAnsi="Amiri" w:eastAsia="Amiri" w:cs="Amiri"/>
          <w:color w:val="111111"/>
          <w:sz w:val="28"/>
          <w:sz w:val="28"/>
          <w:szCs w:val="28"/>
          <w:rtl w:val="true"/>
          <w:lang w:bidi="ar-SA"/>
        </w:rPr>
        <w:t xml:space="preserve">، ووالده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وشيخه </w:t>
      </w:r>
      <w:r>
        <w:rPr>
          <w:rStyle w:val="FootnoteAnchor"/>
          <w:rtl w:val="true"/>
        </w:rPr>
        <w:footnoteReference w:id="2768"/>
      </w:r>
      <w:r>
        <w:rPr>
          <w:rFonts w:ascii="IRNazanin" w:hAnsi="IRNazanin" w:eastAsia="IRNazanin"/>
          <w:color w:val="111111"/>
          <w:sz w:val="28"/>
          <w:sz w:val="28"/>
          <w:szCs w:val="28"/>
          <w:rtl w:val="true"/>
          <w:lang w:bidi="fa-IR"/>
        </w:rPr>
        <w:t>إلى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 مع فساد هذا الجمع ، ومعارضة ما استدلّوا له بموثّقة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من الوضوء ومن الجنابة ومن الحيض للنساء سواء؟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التسوية على التساوي في الوجوب ردّا على بعض العامة القائل بعدم جواز التيمّم للجنب </w:t>
      </w:r>
      <w:r>
        <w:rPr>
          <w:rStyle w:val="FootnoteAnchor"/>
          <w:rtl w:val="true"/>
        </w:rPr>
        <w:footnoteReference w:id="2770"/>
      </w:r>
      <w:r>
        <w:rPr>
          <w:rFonts w:ascii="Amiri" w:hAnsi="Amiri" w:eastAsia="Amiri" w:cs="Amiri"/>
          <w:color w:val="111111"/>
          <w:sz w:val="28"/>
          <w:sz w:val="28"/>
          <w:szCs w:val="28"/>
          <w:rtl w:val="true"/>
          <w:lang w:bidi="ar-SA"/>
        </w:rPr>
        <w:t xml:space="preserve">، أو في العدد ردّا على بعض آخر منهم يقول بتعدّده للجنابة والحيض </w:t>
      </w:r>
      <w:r>
        <w:rPr>
          <w:rStyle w:val="FootnoteAnchor"/>
          <w:rtl w:val="true"/>
        </w:rPr>
        <w:footnoteReference w:id="2771"/>
      </w:r>
      <w:r>
        <w:rPr>
          <w:rFonts w:ascii="Amiri" w:hAnsi="Amiri" w:eastAsia="Amiri" w:cs="Amiri"/>
          <w:color w:val="111111"/>
          <w:sz w:val="28"/>
          <w:sz w:val="28"/>
          <w:szCs w:val="28"/>
          <w:rtl w:val="true"/>
          <w:lang w:bidi="ar-SA"/>
        </w:rPr>
        <w:t xml:space="preserve">، خلاف الظاهر المتبادر ، بل لا يلائمه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الوضوء ومن الجنابة ومن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تفيد مسلّمية البدلية في الكل ، وأن التشكيك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في الرضوي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وصفه التيمّم للوضوء والجنابة وسائر أبواب الغسل واحد </w:t>
      </w:r>
      <w:r>
        <w:rPr>
          <w:rFonts w:eastAsia="Amiri" w:cs="Amiri" w:ascii="Amiri" w:hAnsi="Amiri"/>
          <w:color w:val="111111"/>
          <w:sz w:val="28"/>
          <w:szCs w:val="28"/>
          <w:rtl w:val="true"/>
          <w:lang w:bidi="ar-SA"/>
        </w:rPr>
        <w:t xml:space="preserve">»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وللمحكي عن بعض القدماء كما في اللوامع ، وعن قوم منّا كما في المعتبر </w:t>
      </w:r>
      <w:r>
        <w:rPr>
          <w:rStyle w:val="FootnoteAnchor"/>
          <w:rtl w:val="true"/>
        </w:rPr>
        <w:footnoteReference w:id="2773"/>
      </w:r>
      <w:r>
        <w:rPr>
          <w:rFonts w:ascii="IRNazanin" w:hAnsi="IRNazanin" w:eastAsia="IRNazanin"/>
          <w:color w:val="111111"/>
          <w:sz w:val="28"/>
          <w:sz w:val="28"/>
          <w:szCs w:val="28"/>
          <w:rtl w:val="true"/>
          <w:lang w:bidi="fa-IR"/>
        </w:rPr>
        <w:t>، فأوجب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مراده ضرب مجموع اليدين ثلاثا ، فلا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ضرب مجموعهما مرة للوجه ثمَّ اليسرى لليمنى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والد الصدوق </w:t>
      </w:r>
      <w:r>
        <w:rPr>
          <w:rStyle w:val="FootnoteAnchor"/>
          <w:rtl w:val="true"/>
        </w:rPr>
        <w:footnoteReference w:id="2774"/>
      </w:r>
      <w:r>
        <w:rPr>
          <w:rFonts w:ascii="Amiri" w:hAnsi="Amiri" w:eastAsia="Amiri" w:cs="Amiri"/>
          <w:color w:val="111111"/>
          <w:sz w:val="28"/>
          <w:sz w:val="28"/>
          <w:szCs w:val="28"/>
          <w:rtl w:val="true"/>
          <w:lang w:bidi="ar-SA"/>
        </w:rPr>
        <w:t xml:space="preserve">، وعن المجالس كما مرّ </w:t>
      </w:r>
      <w:r>
        <w:rPr>
          <w:rStyle w:val="FootnoteAnchor"/>
          <w:rtl w:val="true"/>
        </w:rPr>
        <w:footnoteReference w:id="2775"/>
      </w:r>
      <w:r>
        <w:rPr>
          <w:rFonts w:ascii="Amiri" w:hAnsi="Amiri" w:eastAsia="Amiri" w:cs="Amiri"/>
          <w:color w:val="111111"/>
          <w:sz w:val="28"/>
          <w:sz w:val="28"/>
          <w:szCs w:val="28"/>
          <w:rtl w:val="true"/>
          <w:lang w:bidi="ar-SA"/>
        </w:rPr>
        <w:t xml:space="preserve">، وجوّز المحقّق العمل به وخيّر بينه وبين الجمع في الثانية </w:t>
      </w:r>
      <w:r>
        <w:rPr>
          <w:rStyle w:val="FootnoteAnchor"/>
          <w:rtl w:val="true"/>
        </w:rPr>
        <w:footnoteReference w:id="2776"/>
      </w:r>
      <w:r>
        <w:rPr>
          <w:rFonts w:ascii="Amiri" w:hAnsi="Amiri" w:eastAsia="Amiri" w:cs="Amiri"/>
          <w:color w:val="111111"/>
          <w:sz w:val="28"/>
          <w:sz w:val="28"/>
          <w:szCs w:val="28"/>
          <w:rtl w:val="true"/>
          <w:lang w:bidi="ar-SA"/>
        </w:rPr>
        <w:t xml:space="preserve">، واستحسنه بعض المتأخرين </w:t>
      </w:r>
      <w:r>
        <w:rPr>
          <w:rStyle w:val="FootnoteAnchor"/>
          <w:rtl w:val="true"/>
        </w:rPr>
        <w:footnoteReference w:id="2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فمستنده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 فضرب بكفّيه الأرض ، ثمَّ مسح بهما وجهه ، ثمَّ ضرب بشماله الأرض ، فمسح بها مرفقه إلى طرف الأصابع ، واحدة على ظهرها ، وواحدة على بطنها ، ثمَّ ضرب بيمينه الأرض ، ثمَّ صنع بشماله كما صنع بيمينه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التيمم على ما كان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الوضوء الوجه واليدين إلى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ما كان عليه مسح الرأس والقدمين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بمعارضته ما مرّ ، مع ندرة العامل بها الموجبة لشذوذها المخرج لها عن الحجية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عدم دلالتها على الوجوب إلاّ من جهة الحمل الذي هو محمول </w:t>
      </w:r>
    </w:p>
    <w:p>
      <w:pPr>
        <w:pStyle w:val="BookText"/>
        <w:rPr/>
      </w:pPr>
      <w:r>
        <w:rPr>
          <w:rFonts w:ascii="Amiri" w:hAnsi="Amiri" w:eastAsia="Amiri" w:cs="Amiri"/>
          <w:color w:val="111111"/>
          <w:sz w:val="28"/>
          <w:sz w:val="28"/>
          <w:szCs w:val="28"/>
          <w:rtl w:val="true"/>
          <w:lang w:bidi="ar-SA"/>
        </w:rPr>
        <w:t>هنا على التجوّز أو التقية قطعا ، لتضمّنها مسح الظهر من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ذكرنا ظهر استحباب المرتين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اشتراط علوق التراب باليد ، وفاقا للمحكي عن السيد </w:t>
      </w:r>
      <w:r>
        <w:rPr>
          <w:rStyle w:val="FootnoteAnchor"/>
          <w:rtl w:val="true"/>
        </w:rPr>
        <w:footnoteReference w:id="2779"/>
      </w:r>
      <w:r>
        <w:rPr>
          <w:rFonts w:ascii="Amiri" w:hAnsi="Amiri" w:eastAsia="Amiri" w:cs="Amiri"/>
          <w:color w:val="111111"/>
          <w:sz w:val="28"/>
          <w:sz w:val="28"/>
          <w:szCs w:val="28"/>
          <w:rtl w:val="true"/>
          <w:lang w:bidi="ar-SA"/>
        </w:rPr>
        <w:t xml:space="preserve">، والإسكافي </w:t>
      </w:r>
      <w:r>
        <w:rPr>
          <w:rStyle w:val="FootnoteAnchor"/>
          <w:rtl w:val="true"/>
        </w:rPr>
        <w:footnoteReference w:id="2780"/>
      </w:r>
      <w:r>
        <w:rPr>
          <w:rFonts w:ascii="Amiri" w:hAnsi="Amiri" w:eastAsia="Amiri" w:cs="Amiri"/>
          <w:color w:val="111111"/>
          <w:sz w:val="28"/>
          <w:sz w:val="28"/>
          <w:szCs w:val="28"/>
          <w:rtl w:val="true"/>
          <w:lang w:bidi="ar-SA"/>
        </w:rPr>
        <w:t xml:space="preserve">، وأكثر الثالثة </w:t>
      </w:r>
      <w:r>
        <w:rPr>
          <w:rStyle w:val="FootnoteAnchor"/>
          <w:rtl w:val="true"/>
        </w:rPr>
        <w:footnoteReference w:id="2781"/>
      </w:r>
      <w:r>
        <w:rPr>
          <w:rFonts w:ascii="Amiri" w:hAnsi="Amiri" w:eastAsia="Amiri" w:cs="Amiri"/>
          <w:color w:val="111111"/>
          <w:sz w:val="28"/>
          <w:sz w:val="28"/>
          <w:szCs w:val="28"/>
          <w:rtl w:val="true"/>
          <w:lang w:bidi="ar-SA"/>
        </w:rPr>
        <w:t xml:space="preserve">، وهو مختار شيخنا البهائي ووالده طاب ثراهما </w:t>
      </w:r>
      <w:r>
        <w:rPr>
          <w:rStyle w:val="FootnoteAnchor"/>
          <w:rtl w:val="true"/>
        </w:rPr>
        <w:footnoteReference w:id="2782"/>
      </w:r>
      <w:r>
        <w:rPr>
          <w:rFonts w:ascii="Amiri" w:hAnsi="Amiri" w:eastAsia="Amiri" w:cs="Amiri"/>
          <w:color w:val="111111"/>
          <w:sz w:val="28"/>
          <w:sz w:val="28"/>
          <w:szCs w:val="28"/>
          <w:rtl w:val="true"/>
          <w:lang w:bidi="ar-SA"/>
        </w:rPr>
        <w:t xml:space="preserve">، ووالدي العلاّمة وأكثر مشايخنا ومعاصرينا قدّس أسرارهم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لعموم البدلية والمنزلة ، لمنعهما ، مع أنهما لو سلّما ففي الأحكام دون كيفية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لوجوب القطع بالبراءة ، لحصوله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لأنه مقتضى كون التراب طهورا ، لمنع الاقتضاء ، لكفاية توقّف التطهر على الضرب عليه في طهوريته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لقوله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وَأَيْدِيكُمْ مِنْهُ </w:t>
      </w:r>
      <w:r>
        <w:rPr>
          <w:rFonts w:eastAsia="Amiri" w:cs="Amiri" w:ascii="Amiri" w:hAnsi="Amiri"/>
          <w:color w:val="111111"/>
          <w:sz w:val="28"/>
          <w:szCs w:val="28"/>
          <w:rtl w:val="true"/>
          <w:lang w:bidi="ar-SA"/>
        </w:rPr>
        <w:t xml:space="preserve">) </w:t>
      </w:r>
      <w:r>
        <w:rPr>
          <w:rStyle w:val="FootnoteAnchor"/>
          <w:rtl w:val="true"/>
        </w:rPr>
        <w:footnoteReference w:id="2784"/>
      </w:r>
      <w:r>
        <w:rPr>
          <w:rFonts w:ascii="Amiri" w:hAnsi="Amiri" w:eastAsia="Amiri" w:cs="Amiri"/>
          <w:color w:val="111111"/>
          <w:sz w:val="28"/>
          <w:sz w:val="28"/>
          <w:szCs w:val="28"/>
          <w:rtl w:val="true"/>
          <w:lang w:bidi="ar-SA"/>
        </w:rPr>
        <w:t xml:space="preserve">لرجوع الضمير إلى الصعيد ، وكون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بحكم التبادر ، كما يظهر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مسحت رأسي من الماء ومن الدهن ، وصرّح به الزمخشري في تفسير الآية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وجعلها لابتداء الغاية أو البدلية بإرجاع الضمير إلى الماء أو الوضوء والغسل ، أو السببية بإرجاعه إلى الحدث حيث يستفاد من الكلام ، أو إلى عدم وجدان الماء ، بعيد غايته ، بل مخالف لظاهر صحيحة زرارة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ببعض الرأس وبعض القدم؟ فضحك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زرارة قاله رسول اللّه صلی اللّه عليه وآله ، ونزل به الكتاب من اللّه ،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فَامْسَحُوا بِوُجُوهِكُمْ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أن وضع الوضوء عمّن لم يجد الماء أثبت بعض </w:t>
      </w:r>
      <w:r>
        <w:rPr>
          <w:rStyle w:val="FootnoteAnchor"/>
          <w:rtl w:val="true"/>
        </w:rPr>
        <w:footnoteReference w:id="2786"/>
      </w:r>
      <w:r>
        <w:rPr>
          <w:rFonts w:ascii="Amiri" w:hAnsi="Amiri" w:eastAsia="Amiri" w:cs="Amiri"/>
          <w:color w:val="111111"/>
          <w:sz w:val="28"/>
          <w:sz w:val="28"/>
          <w:szCs w:val="28"/>
          <w:rtl w:val="true"/>
          <w:lang w:bidi="ar-SA"/>
        </w:rPr>
        <w:t xml:space="preserve">الغسل مسحا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بوجوهكم ، ثمَّ وصل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وأيديكم منه ، أي من ذلك التيمّم ، لأنه علم أن ذلك أجمع لا يجري على الوجه ، لأنه يعلق من ذلك الصعيد ببعض الكف ولا يعلّق ببعضها </w:t>
      </w:r>
      <w:r>
        <w:rPr>
          <w:rFonts w:eastAsia="Amiri" w:cs="Amiri" w:ascii="Amiri" w:hAnsi="Amiri"/>
          <w:color w:val="111111"/>
          <w:sz w:val="28"/>
          <w:szCs w:val="28"/>
          <w:rtl w:val="true"/>
          <w:lang w:bidi="ar-SA"/>
        </w:rPr>
        <w:t xml:space="preserve">»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أنّ المراد بالتيمّم المتيمّم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إمكان إرادة المعنى الاصطلاحي حيث لم يتحقّق ، ولا اللغوي ، لبعده ، لأنّ جزء الاصطلاحي قد تحقّق ، وتسمية الجزء باسم الكل ممكنة ، غايتها التجوّز اللازم في إرادة المتيمّم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لأنه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الظاهر أنه تعليل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ذلك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أوجب المسح ببعض ذلك؟ لأنه علم أن ذلك كلّه لا يجري على الوجه ، لأنه يعلّق من ذلك الصعيد المتيمّم به ببعض الكف ولا يعلّق ببعضها ، فلا يكون كلّه جاريا على الوجه ، وهذا كالنص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 وعود الضمير إلى الصعيد ، فأمر بالمسح ببعضه ، وهو لا يكون إلاّ مع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مسح بعض الوجه بعيد بل غير مستقيم ، لأنّ الصالح للعلية حينئذ عدم جريان الصعيد على كلّ الوجه لا عدم جريان كلّه عليه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صح لكان مفاده أنّ تبعيض الوجه لأجل أنه علم أنّ الصعيد لا يجري على الوجه لعلّته ، ولازمه وجوب إجرائه على جميع موضع المسح ، وإذا ضمّ </w:t>
      </w:r>
    </w:p>
    <w:p>
      <w:pPr>
        <w:pStyle w:val="BookText"/>
        <w:rPr/>
      </w:pPr>
      <w:r>
        <w:rPr>
          <w:rFonts w:ascii="Amiri" w:hAnsi="Amiri" w:eastAsia="Amiri" w:cs="Amiri"/>
          <w:color w:val="111111"/>
          <w:sz w:val="28"/>
          <w:sz w:val="28"/>
          <w:szCs w:val="28"/>
          <w:rtl w:val="true"/>
          <w:lang w:bidi="ar-SA"/>
        </w:rPr>
        <w:t xml:space="preserve">ذلك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يعلّق ببعض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يتحصّل منه وجوب مسح جميع أجزاء الممسوح بجميع أجزاء الماسح حتى يحصل العلم بمسح كلّ جزء بما فيه العلوق ، وهو متعسّر بل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جعله تعليلا لذلك أيضا كالنصّ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واشتراط العلوق </w:t>
      </w:r>
      <w:r>
        <w:rPr>
          <w:rStyle w:val="FootnoteAnchor"/>
          <w:rtl w:val="true"/>
        </w:rPr>
        <w:footnoteReference w:id="2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المطلوب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فليمسح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مرّ من جعله عليه السلام التراب أو الأرض طهورا في عدة أخبار </w:t>
      </w:r>
      <w:r>
        <w:rPr>
          <w:rStyle w:val="FootnoteAnchor"/>
          <w:rtl w:val="true"/>
        </w:rPr>
        <w:footnoteReference w:id="2791"/>
      </w:r>
      <w:r>
        <w:rPr>
          <w:rFonts w:ascii="Amiri" w:hAnsi="Amiri" w:eastAsia="Amiri" w:cs="Amiri"/>
          <w:color w:val="111111"/>
          <w:sz w:val="28"/>
          <w:sz w:val="28"/>
          <w:szCs w:val="28"/>
          <w:rtl w:val="true"/>
          <w:lang w:bidi="ar-SA"/>
        </w:rPr>
        <w:t>، فإنّ الظاهر منه كون نفس التراب مطهّرا ، لا مجرّد الكف الخالي عنه بمجرّد ملاقاته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للمشهور كما قيل </w:t>
      </w:r>
      <w:r>
        <w:rPr>
          <w:rStyle w:val="FootnoteAnchor"/>
          <w:rtl w:val="true"/>
        </w:rPr>
        <w:footnoteReference w:id="2792"/>
      </w:r>
      <w:r>
        <w:rPr>
          <w:rFonts w:ascii="Amiri" w:hAnsi="Amiri" w:eastAsia="Amiri" w:cs="Amiri"/>
          <w:color w:val="111111"/>
          <w:sz w:val="28"/>
          <w:sz w:val="28"/>
          <w:szCs w:val="28"/>
          <w:rtl w:val="true"/>
          <w:lang w:bidi="ar-SA"/>
        </w:rPr>
        <w:t xml:space="preserve">، بل ظاهر المنتهى الإجماع عليه </w:t>
      </w:r>
      <w:r>
        <w:rPr>
          <w:rStyle w:val="FootnoteAnchor"/>
          <w:rtl w:val="true"/>
        </w:rPr>
        <w:footnoteReference w:id="2793"/>
      </w:r>
      <w:r>
        <w:rPr>
          <w:rFonts w:ascii="Amiri" w:hAnsi="Amiri" w:eastAsia="Amiri" w:cs="Amiri"/>
          <w:color w:val="111111"/>
          <w:sz w:val="28"/>
          <w:sz w:val="28"/>
          <w:szCs w:val="28"/>
          <w:rtl w:val="true"/>
          <w:lang w:bidi="ar-SA"/>
        </w:rPr>
        <w:t>، فلم يشترط العلوق ، للأصل ، والإجماع على استحباب النفض المنافي للعلوق ، وكون الصعيد وجه الأرض الصادق على الحجر الخالي عن الغبار ، وكفاية الضربة الواحدة حيث إنّ الغالب فيها عدم بقاء الغبار فيها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المنافاة كما لا ينافي تقليل الماء في المسح للوضوء ، ولذا قال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المنافاة كما لا ينافي تقليل الماء في المسح للوضوء ، ولذا قال </w:t>
      </w:r>
    </w:p>
    <w:p>
      <w:pPr>
        <w:pStyle w:val="BookText"/>
        <w:rPr/>
      </w:pPr>
      <w:r>
        <w:rPr>
          <w:rFonts w:ascii="Amiri" w:hAnsi="Amiri" w:eastAsia="Amiri" w:cs="Amiri"/>
          <w:color w:val="111111"/>
          <w:sz w:val="28"/>
          <w:sz w:val="28"/>
          <w:szCs w:val="28"/>
          <w:rtl w:val="true"/>
          <w:lang w:bidi="ar-SA"/>
        </w:rPr>
        <w:t xml:space="preserve">باستحبابه من أوجب العلوق أيضا ، 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نقيض المطلوب ، لأنّ النفض فرع العلوق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كما مرّ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عنه أيضا بأنّ كفاية مطلق وجه الأرض لا ينافي اشتراط وجود غبار عليه بدلالة خارجة </w:t>
      </w:r>
      <w:r>
        <w:rPr>
          <w:rStyle w:val="FootnoteAnchor"/>
          <w:rtl w:val="true"/>
        </w:rPr>
        <w:footnoteReference w:id="2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بقاء شي‌ء من الغبار بعد مسح الوجه ، بل الظاهر بقاؤه ، ولو سلّم احتمال رفعه فاستصحابه كاف ، ولعلّ دفع ذلك الاحتمال سرّ استحباب الضربة الثانية عند من لا يوجبها ، بل احتمل بعضهم وجوبها مع عدم بقاء الغبار وعدمه مع بقائه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اعتبار مطلق العلوق وذلك لا يوجب الاستمرار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يثبت به العلوق يدلّ عليه في الوجه واليدين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اعتبار العلوق إذا انتقل إلى الحجر والثوب ونحوهما لعذر مشكل ، لأنّ الآية التي هي دليل اعتباره لا يجري في غير التراب ، والإجماع المركّب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اعتباره مهما أمكن ، لقوله في روايات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فليتيمّم من غباره </w:t>
      </w:r>
      <w:r>
        <w:rPr>
          <w:rFonts w:eastAsia="Amiri" w:cs="Amiri" w:ascii="Amiri" w:hAnsi="Amiri"/>
          <w:color w:val="111111"/>
          <w:sz w:val="28"/>
          <w:szCs w:val="28"/>
          <w:rtl w:val="true"/>
          <w:lang w:bidi="ar-SA"/>
        </w:rPr>
        <w:t xml:space="preserve">»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رفع الحائل بين الكف وما يتيمّم به ، فإنّ معه لا يصدق </w:t>
      </w:r>
      <w:bookmarkStart w:id="166" w:name="pg11616_94891"/>
    </w:p>
    <w:p>
      <w:pPr>
        <w:pStyle w:val="BookText"/>
        <w:rPr/>
      </w:pPr>
      <w:bookmarkEnd w:id="166"/>
      <w:r>
        <w:rPr>
          <w:rFonts w:ascii="Amiri" w:hAnsi="Amiri" w:eastAsia="Amiri" w:cs="Amiri"/>
          <w:color w:val="111111"/>
          <w:sz w:val="28"/>
          <w:sz w:val="28"/>
          <w:szCs w:val="28"/>
          <w:rtl w:val="true"/>
          <w:lang w:bidi="ar-SA"/>
        </w:rPr>
        <w:t xml:space="preserve">الضرب بالكف ، بل في التذكرة وشرح القواعد للمحقق الثاني ، واللوامع 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نزع الخاتم </w:t>
      </w:r>
      <w:r>
        <w:rPr>
          <w:rStyle w:val="FootnoteAnchor"/>
          <w:rtl w:val="true"/>
        </w:rPr>
        <w:footnoteReference w:id="2801"/>
      </w:r>
      <w:r>
        <w:rPr>
          <w:rFonts w:ascii="Amiri" w:hAnsi="Amiri" w:eastAsia="Amiri" w:cs="Amiri"/>
          <w:color w:val="111111"/>
          <w:sz w:val="28"/>
          <w:sz w:val="28"/>
          <w:szCs w:val="28"/>
          <w:rtl w:val="true"/>
          <w:lang w:bidi="ar-SA"/>
        </w:rPr>
        <w:t xml:space="preserve">، وهو ظاهر من منع عن خلط التراب بمثل الشعر والشعير مستدلا بوجوب الاستيعاب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وجوبه إشكال ، لعدم دليل عليه ، وصدق الضرب بالكف عرفا مع وجوده ، فالظاهر عدم البطلان مع بقائه ، بل وكذلك ما يشبه الخاتم من الموانع اليسيرة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بدلية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عمومها في نحو ذلك أيضا ، وإثبات الإجماع في أمثال ذلك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يستحب تخليل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Style w:val="FootnoteAnchor"/>
          <w:rtl w:val="true"/>
        </w:rPr>
        <w:footnoteReference w:id="2803"/>
      </w:r>
      <w:r>
        <w:rPr>
          <w:rFonts w:ascii="Amiri" w:hAnsi="Amiri" w:eastAsia="Amiri" w:cs="Amiri"/>
          <w:color w:val="111111"/>
          <w:sz w:val="28"/>
          <w:sz w:val="28"/>
          <w:szCs w:val="28"/>
          <w:rtl w:val="true"/>
          <w:lang w:bidi="ar-SA"/>
        </w:rPr>
        <w:t xml:space="preserve">ويستحب تفريجها حين الضرب ، لتصريح الجماعة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5588175_73709187"/>
      <w:bookmarkStart w:id="168" w:name="_Toc65"/>
      <w:bookmarkEnd w:id="167"/>
      <w:r>
        <w:rPr>
          <w:rtl w:val="true"/>
        </w:rPr>
        <w:t xml:space="preserve">الثالث من واجبات التيمّم </w:t>
      </w:r>
      <w:r>
        <w:rPr>
          <w:rtl w:val="true"/>
        </w:rPr>
        <w:t xml:space="preserve">: </w:t>
      </w:r>
      <w:r>
        <w:rPr>
          <w:rtl w:val="true"/>
        </w:rPr>
        <w:t>مسح الوجه</w:t>
      </w:r>
      <w:bookmarkEnd w:id="168"/>
    </w:p>
    <w:p>
      <w:pPr>
        <w:pStyle w:val="Heading5"/>
        <w:numPr>
          <w:ilvl w:val="4"/>
          <w:numId w:val="1"/>
        </w:numPr>
        <w:rPr/>
      </w:pPr>
      <w:bookmarkStart w:id="169" w:name="__RefHeading___Toc5588177_73709187"/>
      <w:bookmarkStart w:id="170" w:name="_Toc66"/>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ووجوب مسح الجبهة منه محل الوفاق بين المسلمين ، بل هو ضروري الدين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اختصاص محل الوجوب بها ، كالقواعد والدروس والشرائع والكفاية </w:t>
      </w:r>
      <w:r>
        <w:rPr>
          <w:rStyle w:val="FootnoteAnchor"/>
          <w:rtl w:val="true"/>
        </w:rPr>
        <w:footnoteReference w:id="2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احتمالات كلام المفيد والحلبي والناصريات والانتصار والنهاية والسرائر والوسيلة والمنتهى والتذكرة والبيان ، حيث جميعا عبّروا بمسح الوجه من القصاص إلى طرف الأنف </w:t>
      </w:r>
      <w:r>
        <w:rPr>
          <w:rStyle w:val="FootnoteAnchor"/>
          <w:rtl w:val="true"/>
        </w:rPr>
        <w:footnoteReference w:id="2806"/>
      </w:r>
      <w:r>
        <w:rPr>
          <w:rFonts w:ascii="Amiri" w:hAnsi="Amiri" w:eastAsia="Amiri" w:cs="Amiri"/>
          <w:color w:val="111111"/>
          <w:sz w:val="28"/>
          <w:sz w:val="28"/>
          <w:szCs w:val="28"/>
          <w:rtl w:val="true"/>
          <w:lang w:bidi="ar-SA"/>
        </w:rPr>
        <w:t xml:space="preserve">، إلاّ أنّ في الانتصار الرأس بدل </w:t>
      </w:r>
    </w:p>
    <w:p>
      <w:pPr>
        <w:pStyle w:val="BookText"/>
        <w:rPr/>
      </w:pPr>
      <w:r>
        <w:rPr>
          <w:rFonts w:ascii="IRNazanin" w:hAnsi="IRNazanin" w:eastAsia="IRNazanin"/>
          <w:color w:val="111111"/>
          <w:sz w:val="28"/>
          <w:sz w:val="28"/>
          <w:szCs w:val="28"/>
          <w:rtl w:val="true"/>
          <w:lang w:bidi="fa-IR"/>
        </w:rPr>
        <w:t xml:space="preserve">الوجه </w:t>
      </w:r>
      <w:r>
        <w:rPr>
          <w:rStyle w:val="FootnoteAnchor"/>
          <w:rtl w:val="true"/>
        </w:rPr>
        <w:footnoteReference w:id="2807"/>
      </w:r>
      <w:r>
        <w:rPr>
          <w:rFonts w:ascii="Amiri" w:hAnsi="Amiri" w:eastAsia="Amiri" w:cs="Amiri"/>
          <w:color w:val="111111"/>
          <w:sz w:val="28"/>
          <w:sz w:val="28"/>
          <w:szCs w:val="28"/>
          <w:rtl w:val="true"/>
          <w:lang w:bidi="ar-SA"/>
        </w:rPr>
        <w:t xml:space="preserve">، وفي الحدائق </w:t>
      </w:r>
      <w:r>
        <w:rPr>
          <w:rStyle w:val="FootnoteAnchor"/>
          <w:rtl w:val="true"/>
        </w:rPr>
        <w:footnoteReference w:id="2808"/>
      </w:r>
      <w:r>
        <w:rPr>
          <w:rFonts w:ascii="Amiri" w:hAnsi="Amiri" w:eastAsia="Amiri" w:cs="Amiri"/>
          <w:color w:val="111111"/>
          <w:sz w:val="28"/>
          <w:sz w:val="28"/>
          <w:szCs w:val="28"/>
          <w:rtl w:val="true"/>
          <w:lang w:bidi="ar-SA"/>
        </w:rPr>
        <w:t xml:space="preserve">واللوامع وغيرهما نسب هذا القول إلى المشهور ، ولعلّه لفهم الجبهة من كلام هؤلاء الأعلام ، كما صرّح به في المعتبر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وجوب ضمّ الجبينين خاصة معها ، كالعاملي والمدارك </w:t>
      </w:r>
      <w:r>
        <w:rPr>
          <w:rStyle w:val="FootnoteAnchor"/>
          <w:rtl w:val="true"/>
        </w:rPr>
        <w:footnoteReference w:id="2810"/>
      </w:r>
      <w:r>
        <w:rPr>
          <w:rFonts w:ascii="Amiri" w:hAnsi="Amiri" w:eastAsia="Amiri" w:cs="Amiri"/>
          <w:color w:val="111111"/>
          <w:sz w:val="28"/>
          <w:sz w:val="28"/>
          <w:szCs w:val="28"/>
          <w:rtl w:val="true"/>
          <w:lang w:bidi="ar-SA"/>
        </w:rPr>
        <w:t xml:space="preserve">،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والمعتمد ، وبعض سادة مشايخنا في منظومته </w:t>
      </w:r>
      <w:r>
        <w:rPr>
          <w:rStyle w:val="FootnoteAnchor"/>
          <w:rtl w:val="true"/>
        </w:rPr>
        <w:footnoteReference w:id="2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الاحتمال الثاني لكلمات المذكورين ، ونسبه الأردبيلي في شرح الإرشاد إلى المشهور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الحاجبين أيضا ، كالصدوق في الفقيه والهداية </w:t>
      </w:r>
      <w:r>
        <w:rPr>
          <w:rStyle w:val="FootnoteAnchor"/>
          <w:rtl w:val="true"/>
        </w:rPr>
        <w:footnoteReference w:id="2813"/>
      </w:r>
      <w:r>
        <w:rPr>
          <w:rFonts w:ascii="Amiri" w:hAnsi="Amiri" w:eastAsia="Amiri" w:cs="Amiri"/>
          <w:color w:val="111111"/>
          <w:sz w:val="28"/>
          <w:sz w:val="28"/>
          <w:szCs w:val="28"/>
          <w:rtl w:val="true"/>
          <w:lang w:bidi="ar-SA"/>
        </w:rPr>
        <w:t xml:space="preserve">، والكركي </w:t>
      </w:r>
      <w:r>
        <w:rPr>
          <w:rStyle w:val="FootnoteAnchor"/>
          <w:rtl w:val="true"/>
        </w:rPr>
        <w:footnoteReference w:id="2814"/>
      </w:r>
      <w:r>
        <w:rPr>
          <w:rFonts w:ascii="Amiri" w:hAnsi="Amiri" w:eastAsia="Amiri" w:cs="Amiri"/>
          <w:color w:val="111111"/>
          <w:sz w:val="28"/>
          <w:sz w:val="28"/>
          <w:szCs w:val="28"/>
          <w:rtl w:val="true"/>
          <w:lang w:bidi="ar-SA"/>
        </w:rPr>
        <w:t xml:space="preserve">، وعن ظاهر الشهيد </w:t>
      </w:r>
      <w:r>
        <w:rPr>
          <w:rStyle w:val="FootnoteAnchor"/>
          <w:rtl w:val="true"/>
        </w:rPr>
        <w:footnoteReference w:id="2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الاحتمال الثالث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بقية الوجه ، كما عن الصدوق في المجالس ووالده طاب ثراهما </w:t>
      </w:r>
      <w:r>
        <w:rPr>
          <w:rStyle w:val="FootnoteAnchor"/>
          <w:rtl w:val="true"/>
        </w:rPr>
        <w:footnoteReference w:id="2816"/>
      </w:r>
      <w:r>
        <w:rPr>
          <w:rFonts w:ascii="Amiri" w:hAnsi="Amiri" w:eastAsia="Amiri" w:cs="Amiri"/>
          <w:color w:val="111111"/>
          <w:sz w:val="28"/>
          <w:sz w:val="28"/>
          <w:szCs w:val="28"/>
          <w:rtl w:val="true"/>
          <w:lang w:bidi="ar-SA"/>
        </w:rPr>
        <w:t xml:space="preserve">، وعن ظاهر الجعفي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مخيّرا بين البعض وتمام الوجه ، كما عن العماني والإسكافي والمعتبر </w:t>
      </w:r>
      <w:r>
        <w:rPr>
          <w:rStyle w:val="FootnoteAnchor"/>
          <w:rtl w:val="true"/>
        </w:rPr>
        <w:footnoteReference w:id="2818"/>
      </w:r>
      <w:r>
        <w:rPr>
          <w:rFonts w:ascii="IRNazanin" w:hAnsi="IRNazanin" w:eastAsia="IRNazanin"/>
          <w:color w:val="111111"/>
          <w:sz w:val="28"/>
          <w:sz w:val="28"/>
          <w:szCs w:val="28"/>
          <w:rtl w:val="true"/>
          <w:lang w:bidi="fa-IR"/>
        </w:rPr>
        <w:t xml:space="preserve">،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وعدم الدليل الموجب للزائد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الأخبار البيانية بمسح جبينه عليه السلام خاصة ، </w:t>
      </w:r>
    </w:p>
    <w:p>
      <w:pPr>
        <w:pStyle w:val="BookText"/>
        <w:rPr/>
      </w:pPr>
      <w:r>
        <w:rPr>
          <w:rFonts w:ascii="Amiri" w:hAnsi="Amiri" w:eastAsia="Amiri" w:cs="Amiri"/>
          <w:color w:val="111111"/>
          <w:sz w:val="28"/>
          <w:sz w:val="28"/>
          <w:szCs w:val="28"/>
          <w:rtl w:val="true"/>
          <w:lang w:bidi="ar-SA"/>
        </w:rPr>
        <w:t xml:space="preserve">كصحيحة زرارة في حكاية عمّار </w:t>
      </w:r>
      <w:r>
        <w:rPr>
          <w:rStyle w:val="FootnoteAnchor"/>
          <w:rtl w:val="true"/>
        </w:rPr>
        <w:footnoteReference w:id="2819"/>
      </w:r>
      <w:r>
        <w:rPr>
          <w:rFonts w:ascii="Amiri" w:hAnsi="Amiri" w:eastAsia="Amiri" w:cs="Amiri"/>
          <w:color w:val="111111"/>
          <w:sz w:val="28"/>
          <w:sz w:val="28"/>
          <w:szCs w:val="28"/>
          <w:rtl w:val="true"/>
          <w:lang w:bidi="ar-SA"/>
        </w:rPr>
        <w:t xml:space="preserve">، وموثّقته على نسخة الكافي </w:t>
      </w:r>
      <w:r>
        <w:rPr>
          <w:rStyle w:val="FootnoteAnchor"/>
          <w:rtl w:val="true"/>
        </w:rPr>
        <w:footnoteReference w:id="2820"/>
      </w:r>
      <w:r>
        <w:rPr>
          <w:rFonts w:ascii="Amiri" w:hAnsi="Amiri" w:eastAsia="Amiri" w:cs="Amiri"/>
          <w:color w:val="111111"/>
          <w:sz w:val="28"/>
          <w:sz w:val="28"/>
          <w:szCs w:val="28"/>
          <w:rtl w:val="true"/>
          <w:lang w:bidi="ar-SA"/>
        </w:rPr>
        <w:t xml:space="preserve">، وحسنة ابن أبي المقدام </w:t>
      </w:r>
      <w:r>
        <w:rPr>
          <w:rStyle w:val="FootnoteAnchor"/>
          <w:rtl w:val="true"/>
        </w:rPr>
        <w:footnoteReference w:id="2821"/>
      </w:r>
      <w:r>
        <w:rPr>
          <w:rFonts w:ascii="Amiri" w:hAnsi="Amiri" w:eastAsia="Amiri" w:cs="Amiri"/>
          <w:color w:val="111111"/>
          <w:sz w:val="28"/>
          <w:sz w:val="28"/>
          <w:szCs w:val="28"/>
          <w:rtl w:val="true"/>
          <w:lang w:bidi="ar-SA"/>
        </w:rPr>
        <w:t xml:space="preserve">، والمروي في السرائر في حكاية عمّار أيضا </w:t>
      </w:r>
      <w:r>
        <w:rPr>
          <w:rStyle w:val="FootnoteAnchor"/>
          <w:rtl w:val="true"/>
        </w:rPr>
        <w:footnoteReference w:id="2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تنافيها أخبار وجوب مسح الجبهة ، لأنّ الزيادة غير منافية لما لا يشتملها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وشيوع إطلاق لفظ الجبهة على المركّب من الجبينين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التيمّم بدلا من الوضوء ، والبدل في حكم المبدل منه إلاّ فيما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ولزوم المسح بالكفّين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به الأخبار ووقع في كلام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يزيد عن الجبهة المنفردة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الوجه ، إمّا باعتبار الاقتصار فيما علم خروجه منه على المتيقّن ، أو باعتبار أنّ المراد منه المجاز قطعا ، والجبهة والجبينان معا أقرب إلى الحقيقة من الأولى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واستصحاب الشغل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في شي‌ء من تلك الأخبار على الوجوب أصلا ، إذ ليس في شي‌ء منها إلاّ أنه مسح الجبين ، وهو لا يدلّ على الوجوب ، سيما مع اشتمال التيمّم على واجبات ومستحبات قطعا ، فلا يعلم أنّ فعله هذا بيان للواجب سيما مع اشتمال الموثقة والحسنة على النفض المستحب قطعا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أنه لا تعرّض في شي‌ء منها لمسح الجبهة الواجب البتة ، ويمتنع تركه في مقام البيان ، فلا بدّ من كون الجبين مجازا إمّا في الجبهة من باب المجاورة أو مع الجبين من باب تسمية الكلّ باسم الجزء ، وإذ لا مرجّح فيدخله الإجمال </w:t>
      </w:r>
    </w:p>
    <w:p>
      <w:pPr>
        <w:pStyle w:val="BookText"/>
        <w:rPr/>
      </w:pPr>
      <w:r>
        <w:rPr>
          <w:rFonts w:ascii="Amiri" w:hAnsi="Amiri" w:eastAsia="Amiri" w:cs="Amiri"/>
          <w:color w:val="111111"/>
          <w:sz w:val="28"/>
          <w:sz w:val="28"/>
          <w:szCs w:val="28"/>
          <w:rtl w:val="true"/>
          <w:lang w:bidi="ar-SA"/>
        </w:rPr>
        <w:t xml:space="preserve">المسقط للاستدلال ، مع رجحان الأول من جهة إفراد الجبين ، وكون الجبهة واردة في أخبار أخر ، وشيوع التعبير عن الجبهة خاصة بالجبين في المعتبرة ، كما في حسنة عبد اللّه بن المغيرة وموثّقة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 أنفه ما يصيب جبينه </w:t>
      </w:r>
      <w:r>
        <w:rPr>
          <w:rFonts w:eastAsia="Amiri" w:cs="Amiri" w:ascii="Amiri" w:hAnsi="Amiri"/>
          <w:color w:val="111111"/>
          <w:sz w:val="28"/>
          <w:szCs w:val="28"/>
          <w:rtl w:val="true"/>
          <w:lang w:bidi="ar-SA"/>
        </w:rPr>
        <w:t xml:space="preserve">»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شيوع استعمال الجبهة في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عن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اقتضاء البدلية للاتّحاد في جميع الأحكام كما يأتي ، بل مقتضاه الاتّحاد فيما صار ذلك بدلا عنه وهو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الكفّين عن الجبهة لا تقتضي وجوب الزائد ، فإنّ وجوب مسح موضع بالكفين غير وجوب المسح بمجموعهما ، مع أنهما زائدان عن الجبهة والجبين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الوجه لا تدلّ على وجوب مسح تمامه كما يأتي ، مع أنّ الوجه ليس عاما حتى يجري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خرج ، والحمل على أقرب المجازات مطلقا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معارض باستصحاب عدم وجوب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أنه يمسح على جبينيه وحاجبيه ويمسح على ظهر كفيه </w:t>
      </w:r>
      <w:r>
        <w:rPr>
          <w:rFonts w:eastAsia="Amiri" w:cs="Amiri" w:ascii="Amiri" w:hAnsi="Amiri"/>
          <w:color w:val="111111"/>
          <w:sz w:val="28"/>
          <w:szCs w:val="28"/>
          <w:rtl w:val="true"/>
          <w:lang w:bidi="ar-SA"/>
        </w:rPr>
        <w:t xml:space="preserve">» </w:t>
      </w:r>
      <w:r>
        <w:rPr>
          <w:rStyle w:val="FootnoteAnchor"/>
          <w:rtl w:val="true"/>
        </w:rPr>
        <w:footnoteReference w:id="2824"/>
      </w:r>
      <w:r>
        <w:rPr>
          <w:rFonts w:ascii="Amiri" w:hAnsi="Amiri" w:eastAsia="Amiri" w:cs="Amiri"/>
          <w:color w:val="111111"/>
          <w:sz w:val="28"/>
          <w:sz w:val="28"/>
          <w:szCs w:val="28"/>
          <w:rtl w:val="true"/>
          <w:lang w:bidi="ar-SA"/>
        </w:rPr>
        <w:t xml:space="preserve">وحكاية وجود رواية فيه </w:t>
      </w:r>
      <w:r>
        <w:rPr>
          <w:rStyle w:val="FootnoteAnchor"/>
          <w:rtl w:val="true"/>
        </w:rPr>
        <w:footnoteReference w:id="2825"/>
      </w:r>
      <w:r>
        <w:rPr>
          <w:rFonts w:ascii="Amiri" w:hAnsi="Amiri" w:eastAsia="Amiri" w:cs="Amiri"/>
          <w:color w:val="111111"/>
          <w:sz w:val="28"/>
          <w:sz w:val="28"/>
          <w:szCs w:val="28"/>
          <w:rtl w:val="true"/>
          <w:lang w:bidi="ar-SA"/>
        </w:rPr>
        <w:t>، ووجوب إدخاله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الأولين ظاهر جدّا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الواجب الأصلي ، مع أنّ إدخال جميعهما في المسح ليس مما لا يتمّ الواجب إلاّ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استفاضة النصوص بمسح الوجه الظاهر في كلّه ، كالصحاح الثلاث في حكاية عمّار لزرارة </w:t>
      </w:r>
      <w:r>
        <w:rPr>
          <w:rStyle w:val="FootnoteAnchor"/>
          <w:rtl w:val="true"/>
        </w:rPr>
        <w:footnoteReference w:id="2826"/>
      </w:r>
      <w:r>
        <w:rPr>
          <w:rFonts w:ascii="IRNazanin" w:hAnsi="IRNazanin" w:eastAsia="IRNazanin"/>
          <w:color w:val="111111"/>
          <w:sz w:val="28"/>
          <w:sz w:val="28"/>
          <w:szCs w:val="28"/>
          <w:rtl w:val="true"/>
          <w:lang w:bidi="fa-IR"/>
        </w:rPr>
        <w:t xml:space="preserve">، وداود </w:t>
      </w:r>
      <w:r>
        <w:rPr>
          <w:rStyle w:val="FootnoteAnchor"/>
          <w:rtl w:val="true"/>
        </w:rPr>
        <w:footnoteReference w:id="2827"/>
      </w:r>
      <w:r>
        <w:rPr>
          <w:rFonts w:ascii="IRNazanin" w:hAnsi="IRNazanin" w:eastAsia="IRNazanin"/>
          <w:color w:val="111111"/>
          <w:sz w:val="28"/>
          <w:sz w:val="28"/>
          <w:szCs w:val="28"/>
          <w:rtl w:val="true"/>
          <w:lang w:bidi="fa-IR"/>
        </w:rPr>
        <w:t xml:space="preserve">، والخزاز </w:t>
      </w:r>
      <w:r>
        <w:rPr>
          <w:rStyle w:val="FootnoteAnchor"/>
          <w:rtl w:val="true"/>
        </w:rPr>
        <w:footnoteReference w:id="2828"/>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في موثّقة سماعة </w:t>
      </w:r>
      <w:r>
        <w:rPr>
          <w:rStyle w:val="FootnoteAnchor"/>
          <w:rtl w:val="true"/>
        </w:rPr>
        <w:footnoteReference w:id="2829"/>
      </w:r>
      <w:r>
        <w:rPr>
          <w:rFonts w:ascii="Amiri" w:hAnsi="Amiri" w:eastAsia="Amiri" w:cs="Amiri"/>
          <w:color w:val="111111"/>
          <w:sz w:val="28"/>
          <w:sz w:val="28"/>
          <w:szCs w:val="28"/>
          <w:rtl w:val="true"/>
          <w:lang w:bidi="ar-SA"/>
        </w:rPr>
        <w:t xml:space="preserve">وحسنة الكاهلي </w:t>
      </w:r>
      <w:r>
        <w:rPr>
          <w:rStyle w:val="FootnoteAnchor"/>
          <w:rtl w:val="true"/>
        </w:rPr>
        <w:footnoteReference w:id="2830"/>
      </w:r>
      <w:r>
        <w:rPr>
          <w:rFonts w:ascii="Amiri" w:hAnsi="Amiri" w:eastAsia="Amiri" w:cs="Amiri"/>
          <w:color w:val="111111"/>
          <w:sz w:val="28"/>
          <w:sz w:val="28"/>
          <w:szCs w:val="28"/>
          <w:rtl w:val="true"/>
          <w:lang w:bidi="ar-SA"/>
        </w:rPr>
        <w:t xml:space="preserve">وصحيحة محمد </w:t>
      </w:r>
      <w:r>
        <w:rPr>
          <w:rStyle w:val="FootnoteAnchor"/>
          <w:rtl w:val="true"/>
        </w:rPr>
        <w:footnoteReference w:id="2831"/>
      </w:r>
      <w:r>
        <w:rPr>
          <w:rFonts w:ascii="Amiri" w:hAnsi="Amiri" w:eastAsia="Amiri" w:cs="Amiri"/>
          <w:color w:val="111111"/>
          <w:sz w:val="28"/>
          <w:sz w:val="28"/>
          <w:szCs w:val="28"/>
          <w:rtl w:val="true"/>
          <w:lang w:bidi="ar-SA"/>
        </w:rPr>
        <w:t xml:space="preserve">، 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وتمسح وجهك </w:t>
      </w:r>
      <w:r>
        <w:rPr>
          <w:rFonts w:eastAsia="Amiri" w:cs="Amiri" w:ascii="Amiri" w:hAnsi="Amiri"/>
          <w:color w:val="111111"/>
          <w:sz w:val="28"/>
          <w:szCs w:val="28"/>
          <w:rtl w:val="true"/>
          <w:lang w:bidi="ar-SA"/>
        </w:rPr>
        <w:t xml:space="preserve">» </w:t>
      </w:r>
      <w:r>
        <w:rPr>
          <w:rStyle w:val="FootnoteAnchor"/>
          <w:rtl w:val="true"/>
        </w:rPr>
        <w:footnoteReference w:id="2832"/>
      </w:r>
      <w:r>
        <w:rPr>
          <w:rFonts w:ascii="Amiri" w:hAnsi="Amiri" w:eastAsia="Amiri" w:cs="Amiri"/>
          <w:color w:val="111111"/>
          <w:sz w:val="28"/>
          <w:sz w:val="28"/>
          <w:szCs w:val="28"/>
          <w:rtl w:val="true"/>
          <w:lang w:bidi="ar-SA"/>
        </w:rPr>
        <w:t xml:space="preserve">ومثلها في خبر ليث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 الكلّ عن الدالّ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صراحته بل دلالته على مسح الجميع ، لأنّ الوجه وإن كان حقيقة في الكلّ إلاّ أنّ مسحه يصدق بمسح بعضه أيضا ، بل هو المتبادر منه ، فهو حقيقة في مسح اليد على جزء منه ، كضرب الوجه وتقبيله وجرحه ومسه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قضية عمّار مع اختلاف الأخبار الحاكية لها فيما يمسح من الوجه وتضمين كثير منها الوجه والكفين إلى الذراعين ، مع أنه لا قائل باستيعاب الوجه خاصة ، مع أنّ شيوع التعبير عن الجبهة بالوجه يقرب إرادتها منه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قطع النظر عن الجميع فهي معارضة لصحيحة زرارة ، المتقدّمة ، </w:t>
      </w:r>
      <w:bookmarkStart w:id="171" w:name="pg11616_94896"/>
    </w:p>
    <w:p>
      <w:pPr>
        <w:pStyle w:val="BookText"/>
        <w:rPr/>
      </w:pPr>
      <w:bookmarkEnd w:id="171"/>
      <w:r>
        <w:rPr>
          <w:rFonts w:ascii="Amiri" w:hAnsi="Amiri" w:eastAsia="Amiri" w:cs="Amiri"/>
          <w:color w:val="111111"/>
          <w:sz w:val="28"/>
          <w:sz w:val="28"/>
          <w:szCs w:val="28"/>
          <w:rtl w:val="true"/>
          <w:lang w:bidi="ar-SA"/>
        </w:rPr>
        <w:t xml:space="preserve">المفسّرة للآية ، المصرّحة بوجوب مسح بعض الوجه خاصة </w:t>
      </w:r>
      <w:r>
        <w:rPr>
          <w:rStyle w:val="FootnoteAnchor"/>
          <w:rtl w:val="true"/>
        </w:rPr>
        <w:footnoteReference w:id="2834"/>
      </w:r>
      <w:r>
        <w:rPr>
          <w:rFonts w:ascii="Amiri" w:hAnsi="Amiri" w:eastAsia="Amiri" w:cs="Amiri"/>
          <w:color w:val="111111"/>
          <w:sz w:val="28"/>
          <w:sz w:val="28"/>
          <w:szCs w:val="28"/>
          <w:rtl w:val="true"/>
          <w:lang w:bidi="ar-SA"/>
        </w:rPr>
        <w:t>،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ترجيح الصحيحة لازم ، لموافقتها الكتاب حيث أتى بلفظة الباء التبعيضية ، بنصّ الأدباء على أنها إذا دخلت على المتعدّي يبعّضه ، ومخالفتها العامة ، فإنّ الاستيعاب مذهب الجمهور كافة ، كما صرّح به الانتصار والمنتهى والتذكرة </w:t>
      </w:r>
      <w:r>
        <w:rPr>
          <w:rStyle w:val="FootnoteAnchor"/>
          <w:rtl w:val="true"/>
        </w:rPr>
        <w:footnoteReference w:id="2835"/>
      </w:r>
      <w:r>
        <w:rPr>
          <w:rFonts w:ascii="Amiri" w:hAnsi="Amiri" w:eastAsia="Amiri" w:cs="Amiri"/>
          <w:color w:val="111111"/>
          <w:sz w:val="28"/>
          <w:sz w:val="28"/>
          <w:szCs w:val="28"/>
          <w:rtl w:val="true"/>
          <w:lang w:bidi="ar-SA"/>
        </w:rPr>
        <w:t xml:space="preserve">، ومعاضدتها بالإجماع على عدم وجوب مسح ما تحت طرف الأنف الأعلى ، كما في الناصريات والانتصار وعن الغنية </w:t>
      </w:r>
      <w:r>
        <w:rPr>
          <w:rStyle w:val="FootnoteAnchor"/>
          <w:rtl w:val="true"/>
        </w:rPr>
        <w:footnoteReference w:id="2836"/>
      </w:r>
      <w:r>
        <w:rPr>
          <w:rFonts w:ascii="Amiri" w:hAnsi="Amiri" w:eastAsia="Amiri" w:cs="Amiri"/>
          <w:color w:val="111111"/>
          <w:sz w:val="28"/>
          <w:sz w:val="28"/>
          <w:szCs w:val="28"/>
          <w:rtl w:val="true"/>
          <w:lang w:bidi="ar-SA"/>
        </w:rPr>
        <w:t xml:space="preserve">، ونسبه الصدوق في المجالس إلى مشايخه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لا ينافي الاستيعاب الذي يقولون به ، لأنّه أيضا بعض الوجه دون تمامه من الاذن إلى الاذن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المصرّح به في النصّ من التبعيض هو تبعيض موضع الغسل من الوجه ، ولا شك أنه غير الاستيعاب المذكور ، لأنه استيعاب محل الغسل ، وكذا في الآية بقرينة مقابلة الوجه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5588179_73709187"/>
      <w:bookmarkStart w:id="173" w:name="_Toc67"/>
      <w:bookmarkEnd w:id="172"/>
      <w:r>
        <w:rPr>
          <w:rtl w:val="true"/>
        </w:rPr>
        <w:t xml:space="preserve">فروع </w:t>
      </w:r>
      <w:r>
        <w:rPr>
          <w:rtl w:val="true"/>
        </w:rPr>
        <w:t>:</w:t>
      </w:r>
      <w:bookmarkEnd w:id="17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استيعاب الجبهة ، بأن يمسح جميعها الواقع عرضا بين الجبينين ، وطولا بين قصاص الشعر إلى طرف الأنف الأعلى المسمى بالعرنين </w:t>
      </w:r>
      <w:r>
        <w:rPr>
          <w:rStyle w:val="FootnoteAnchor"/>
          <w:rtl w:val="true"/>
        </w:rPr>
        <w:footnoteReference w:id="2839"/>
      </w:r>
      <w:r>
        <w:rPr>
          <w:rFonts w:ascii="Amiri" w:hAnsi="Amiri" w:eastAsia="Amiri" w:cs="Amiri"/>
          <w:color w:val="111111"/>
          <w:sz w:val="28"/>
          <w:sz w:val="28"/>
          <w:szCs w:val="28"/>
          <w:rtl w:val="true"/>
          <w:lang w:bidi="ar-SA"/>
        </w:rPr>
        <w:t xml:space="preserve">، بالإجماع المحقّق والمصرّح به في المنتهى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في الطول إلى الرضوي المتقدم في النية </w:t>
      </w:r>
      <w:r>
        <w:rPr>
          <w:rStyle w:val="FootnoteAnchor"/>
          <w:rtl w:val="true"/>
        </w:rPr>
        <w:footnoteReference w:id="2841"/>
      </w:r>
      <w:r>
        <w:rPr>
          <w:rFonts w:ascii="Amiri" w:hAnsi="Amiri" w:eastAsia="Amiri" w:cs="Amiri"/>
          <w:color w:val="111111"/>
          <w:sz w:val="28"/>
          <w:sz w:val="28"/>
          <w:szCs w:val="28"/>
          <w:rtl w:val="true"/>
          <w:lang w:bidi="ar-SA"/>
        </w:rPr>
        <w:t>، المنجبر ضعفه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 لأنّه في مقام بيان حقيقة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الطرف الأسفل كما عن أمالي الصدوق </w:t>
      </w:r>
      <w:r>
        <w:rPr>
          <w:rStyle w:val="FootnoteAnchor"/>
          <w:rtl w:val="true"/>
        </w:rPr>
        <w:footnoteReference w:id="2842"/>
      </w:r>
      <w:r>
        <w:rPr>
          <w:rFonts w:ascii="Amiri" w:hAnsi="Amiri" w:eastAsia="Amiri" w:cs="Amiri"/>
          <w:color w:val="111111"/>
          <w:sz w:val="28"/>
          <w:sz w:val="28"/>
          <w:szCs w:val="28"/>
          <w:rtl w:val="true"/>
          <w:lang w:bidi="ar-SA"/>
        </w:rPr>
        <w:t xml:space="preserve">، ولا النتوّ الواقع في وسط الأنف كما قيل </w:t>
      </w:r>
      <w:r>
        <w:rPr>
          <w:rStyle w:val="FootnoteAnchor"/>
          <w:rtl w:val="true"/>
        </w:rPr>
        <w:footnoteReference w:id="2843"/>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والشيخان والسيد والحلّي والحلبي وابن حمزة والفاضلان والشهيدان وغيرهما بأنّ المسح من القصاص إلى طرف الأنف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وجوب البدأة بالأعلى ، وقد صرّح به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والتذكرة والدروس والذكرى </w:t>
      </w:r>
      <w:r>
        <w:rPr>
          <w:rStyle w:val="FootnoteAnchor"/>
          <w:rtl w:val="true"/>
        </w:rPr>
        <w:footnoteReference w:id="2845"/>
      </w:r>
      <w:r>
        <w:rPr>
          <w:rFonts w:ascii="Amiri" w:hAnsi="Amiri" w:eastAsia="Amiri" w:cs="Amiri"/>
          <w:color w:val="111111"/>
          <w:sz w:val="28"/>
          <w:sz w:val="28"/>
          <w:szCs w:val="28"/>
          <w:rtl w:val="true"/>
          <w:lang w:bidi="ar-SA"/>
        </w:rPr>
        <w:t xml:space="preserve">، ونسبه في المنتهى إلى ظاهر عبارة المشايخ </w:t>
      </w:r>
      <w:r>
        <w:rPr>
          <w:rStyle w:val="FootnoteAnchor"/>
          <w:rtl w:val="true"/>
        </w:rPr>
        <w:footnoteReference w:id="2846"/>
      </w:r>
      <w:r>
        <w:rPr>
          <w:rFonts w:ascii="Amiri" w:hAnsi="Amiri" w:eastAsia="Amiri" w:cs="Amiri"/>
          <w:color w:val="111111"/>
          <w:sz w:val="28"/>
          <w:sz w:val="28"/>
          <w:szCs w:val="28"/>
          <w:rtl w:val="true"/>
          <w:lang w:bidi="ar-SA"/>
        </w:rPr>
        <w:t xml:space="preserve">، وعن أمالي الصدوق الإجماع عليه </w:t>
      </w:r>
      <w:r>
        <w:rPr>
          <w:rStyle w:val="FootnoteAnchor"/>
          <w:rtl w:val="true"/>
        </w:rPr>
        <w:footnoteReference w:id="2847"/>
      </w:r>
      <w:r>
        <w:rPr>
          <w:rFonts w:ascii="Amiri" w:hAnsi="Amiri" w:eastAsia="Amiri" w:cs="Amiri"/>
          <w:color w:val="111111"/>
          <w:sz w:val="28"/>
          <w:sz w:val="28"/>
          <w:szCs w:val="28"/>
          <w:rtl w:val="true"/>
          <w:lang w:bidi="ar-SA"/>
        </w:rPr>
        <w:t xml:space="preserve">، ونقل بعض مشايخنا المحقّقين اتّفاق الفقهاء والمسلمين عليه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 المتقدم ، المنجبر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التحديد على </w:t>
      </w:r>
    </w:p>
    <w:p>
      <w:pPr>
        <w:pStyle w:val="BookText"/>
        <w:rPr/>
      </w:pPr>
      <w:r>
        <w:rPr>
          <w:rFonts w:ascii="IRNazanin" w:hAnsi="IRNazanin" w:eastAsia="IRNazanin"/>
          <w:color w:val="111111"/>
          <w:sz w:val="28"/>
          <w:sz w:val="28"/>
          <w:szCs w:val="28"/>
          <w:rtl w:val="true"/>
          <w:lang w:bidi="fa-IR"/>
        </w:rPr>
        <w:t xml:space="preserve">الممسوح دون المسح </w:t>
      </w:r>
      <w:r>
        <w:rPr>
          <w:rStyle w:val="FootnoteAnchor"/>
          <w:rtl w:val="true"/>
        </w:rPr>
        <w:footnoteReference w:id="2849"/>
      </w:r>
      <w:r>
        <w:rPr>
          <w:rFonts w:ascii="Amiri" w:hAnsi="Amiri" w:eastAsia="Amiri" w:cs="Amiri"/>
          <w:color w:val="111111"/>
          <w:sz w:val="28"/>
          <w:sz w:val="28"/>
          <w:szCs w:val="28"/>
          <w:rtl w:val="true"/>
          <w:lang w:bidi="ar-SA"/>
        </w:rPr>
        <w:t xml:space="preserve">خلاف الظاهر بل الأصل ، لأنه يخرج لفظتي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إفادة الابتدائية والانتهائية اللتين هما حقيقتاهما عند ذكرهما معا ، إذ لا ابتداء حينئذ ولا انتهاء ، بل يكونان طرفين للمحدود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الاشتغال ، وتبعية التيمّمات البيانية حيث إنّ الظاهر أنه كان بالبدأة من الأعلى وإلاّ لنقل ، لكونه خلاف المتعارف في الوضوء والمعهود بين الناس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البدأة بالأعلى فيها أولا ، ووجوب النقل لو نكس ممنوع جدّا ، وكونه خلاف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ممنوعا للخلاف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وجوب النقل ، وكونه خلاف المعهود في الصدر الأول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دلالتها على الوجوب ثانيا ، لمنع كون البدأة بيانا ، بل اتّفاقية وأحد أفراد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المنزلة الثابت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2851"/>
      </w:r>
      <w:r>
        <w:rPr>
          <w:rFonts w:ascii="Amiri" w:hAnsi="Amiri" w:eastAsia="Amiri" w:cs="Amiri"/>
          <w:color w:val="111111"/>
          <w:sz w:val="28"/>
          <w:sz w:val="28"/>
          <w:szCs w:val="28"/>
          <w:rtl w:val="true"/>
          <w:lang w:bidi="ar-SA"/>
        </w:rPr>
        <w:t>ونحوه ، وعموم البدلية الثابت بفهم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المحقّقين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 إذا سمعوا وجوب التيمّم بالتراب عند فقد الماء يتبادر إلى أذهانهم كونه بالكيفية التي عرفوها للمائية إلاّ أن تثبت المخالفة ، فإنّهم إذا سمعوا إذا فقد الماء فالجمد والثلج ، وإذا فقد فالتراب ، وإذا فقد فالغبار ، يفهمون أنّ الكلّ بكيفية واحدة ، كما إذا علموا أنّ الجمد المذاب بمنزلة الماء بعد فقده ، والغبار بمنزلة التراب كذلك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من أمثال هذه العبارات اتّحاد الكيفية ، ولذا صدر من عمّار ما صدر مع أنه كان من أهل اللسان ، ولذا تراهم لا يحتملون مغايرة كيفية تيمّم </w:t>
      </w:r>
    </w:p>
    <w:p>
      <w:pPr>
        <w:pStyle w:val="BookText"/>
        <w:rPr/>
      </w:pPr>
      <w:r>
        <w:rPr>
          <w:rFonts w:ascii="Amiri" w:hAnsi="Amiri" w:eastAsia="Amiri" w:cs="Amiri"/>
          <w:color w:val="111111"/>
          <w:sz w:val="28"/>
          <w:sz w:val="28"/>
          <w:szCs w:val="28"/>
          <w:rtl w:val="true"/>
          <w:lang w:bidi="ar-SA"/>
        </w:rPr>
        <w:t xml:space="preserve">الغبار لتيمّم التراب ، ولا يحتملونها في الثلج والجمد المذابين مع الماء ، وإذا علموا المخالفة في شي‌ء يقتصرون عليه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عموم المنزلة بأخبار التشبيه فممنوع ، ولو سلّم فلا يفيد في كيفية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إذا قال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الإهليلج الشفاء كما أنّ في السقمونيا الشفاء ، لا يفهم منه اتّحادهما في كيفية الاستشفاء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فهم العرف عموم البدلية الذي ادّعاه فإنما هو فيما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استعملوا الماء في الوضوء كذا ، وإن لم تجدوه فاستعملوا التراب ، أو التراب بدله ، أو نحو ذلك من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استعملوا الماء كذا ، أو يغسل الوجه واليدين بالكيفية المخصوصة من الماء في الوضوء ، فإن لم تجدوا الماء فتيمّموا بالتراب ، أو امسحوا بعض وجوهكم به ، فلا يفهم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قول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بطلي جسدك بدهن البنفسج ، تدهنه برطل منه قبل أكل الغذاء ، مبتدئا من رأسك في الحمام بعد غسل البدن ، فإن لم تجده فماء الورد ، أو أطل بماء الورد ، أو بدله ماء الورد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منه قطعا أنّ ماء الورد أيضا يطلى برطل منه قبل الغذاء إلى آخر ما ذكر ، إلاّ أن تثبت المخالفة في موضع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تجددهن البنفسج فاشرب المسهل ، أو ضع الدقيق على رأسك ، فإنه لا يفهم منه المسهل أو الدقيق أيضا يلزم أن يكون رطلا بعد الغذاء في الحمام إلى آخر ما مرّ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بين الأمر بفعل آلته شي‌ء وجعل شي‌ء آخر بدلا عن تلك الآلة في ذلك الفعل ، أو جعل فعل آخر آلته شي‌ء آخر بدلا عن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والتيمم من قبيل الثاني دون الأول ، فإنّه لو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وجوهكم وأيديكم في الوضوء بالماء ، أو توضّؤوا بالماء ، فإن لم تجدوا الماء فبالتراب ، أو بدله </w:t>
      </w:r>
    </w:p>
    <w:p>
      <w:pPr>
        <w:pStyle w:val="BookText"/>
        <w:rPr/>
      </w:pPr>
      <w:r>
        <w:rPr>
          <w:rFonts w:ascii="Amiri" w:hAnsi="Amiri" w:eastAsia="Amiri" w:cs="Amiri"/>
          <w:color w:val="111111"/>
          <w:sz w:val="28"/>
          <w:sz w:val="28"/>
          <w:szCs w:val="28"/>
          <w:rtl w:val="true"/>
          <w:lang w:bidi="ar-SA"/>
        </w:rPr>
        <w:t xml:space="preserve">التراب ، لكان يتبادر منه ما ذكر ، ولكن أين مثل ذلك القول وأنّى؟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وإن لم تجدوا ماء فتيمّموا ، أو فخذوا صعيدا فامسحوا به بعض وجوهكم ، ولا تبادر في مثل ذلك أصلا ، ويختلف فهم المعاني من الألفاظ بأدنى تغيير واختلاف ، فيفهم من بدلية الآلة عن الآلة ما لا يفهم من بدلية الفعل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مسح الجبهة بباطن الكف ، 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والمراسم والمهذّب والسرائر والذكرى والدروس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مشايخنا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يخالف فيه أحد من الأصحاب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كذلك ، بل الظاهر أنه إجماعي ، فهو الحجة فيه ، مضافا إلى أنه لازم وجوب ضرب الباطن واشتراط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المسح باليدين ، كما هو المشهور ، للرضوي المتقدّم </w:t>
      </w:r>
      <w:r>
        <w:rPr>
          <w:rStyle w:val="FootnoteAnchor"/>
          <w:rtl w:val="true"/>
        </w:rPr>
        <w:footnoteReference w:id="2855"/>
      </w:r>
      <w:r>
        <w:rPr>
          <w:rFonts w:ascii="Amiri" w:hAnsi="Amiri" w:eastAsia="Amiri" w:cs="Amiri"/>
          <w:color w:val="111111"/>
          <w:sz w:val="28"/>
          <w:sz w:val="28"/>
          <w:szCs w:val="28"/>
          <w:rtl w:val="true"/>
          <w:lang w:bidi="ar-SA"/>
        </w:rPr>
        <w:t xml:space="preserve">، المنجبر بما ذكر ، المعتضد بأخبار كثيرة أخر ، كموثّقتي زرارة وسماعة </w:t>
      </w:r>
      <w:r>
        <w:rPr>
          <w:rStyle w:val="FootnoteAnchor"/>
          <w:rtl w:val="true"/>
        </w:rPr>
        <w:footnoteReference w:id="2856"/>
      </w:r>
      <w:r>
        <w:rPr>
          <w:rFonts w:ascii="Amiri" w:hAnsi="Amiri" w:eastAsia="Amiri" w:cs="Amiri"/>
          <w:color w:val="111111"/>
          <w:sz w:val="28"/>
          <w:sz w:val="28"/>
          <w:szCs w:val="28"/>
          <w:rtl w:val="true"/>
          <w:lang w:bidi="ar-SA"/>
        </w:rPr>
        <w:t xml:space="preserve">، ورواية ليث </w:t>
      </w:r>
      <w:r>
        <w:rPr>
          <w:rStyle w:val="FootnoteAnchor"/>
          <w:rtl w:val="true"/>
        </w:rPr>
        <w:footnoteReference w:id="2857"/>
      </w:r>
      <w:r>
        <w:rPr>
          <w:rFonts w:ascii="Amiri" w:hAnsi="Amiri" w:eastAsia="Amiri" w:cs="Amiri"/>
          <w:color w:val="111111"/>
          <w:sz w:val="28"/>
          <w:sz w:val="28"/>
          <w:szCs w:val="28"/>
          <w:rtl w:val="true"/>
          <w:lang w:bidi="ar-SA"/>
        </w:rPr>
        <w:t xml:space="preserve">، وصحيحة زرارة </w:t>
      </w:r>
      <w:r>
        <w:rPr>
          <w:rStyle w:val="FootnoteAnchor"/>
          <w:rtl w:val="true"/>
        </w:rPr>
        <w:footnoteReference w:id="2858"/>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العامي المروي في كتب الفاضل وغيره ، عن عمّار ،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كان يجزيك من ذلك أن تمسح بيديك وجهك </w:t>
      </w:r>
      <w:r>
        <w:rPr>
          <w:rFonts w:eastAsia="IRNazanin" w:cs="IRNazanin"/>
          <w:color w:val="111111"/>
          <w:sz w:val="28"/>
          <w:szCs w:val="28"/>
          <w:rtl w:val="true"/>
          <w:lang w:bidi="fa-IR"/>
        </w:rPr>
        <w:t xml:space="preserve">»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المتيمّم تجزيه ضربة واحدة ، يضرب بيديه على الأرض يمسح بهما وجهه ويديه </w:t>
      </w:r>
      <w:r>
        <w:rPr>
          <w:rFonts w:eastAsia="Amiri" w:cs="Amiri" w:ascii="Amiri" w:hAnsi="Amiri"/>
          <w:color w:val="111111"/>
          <w:sz w:val="28"/>
          <w:szCs w:val="28"/>
          <w:rtl w:val="true"/>
          <w:lang w:bidi="ar-SA"/>
        </w:rPr>
        <w:t xml:space="preserve">»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وحملهما على أن يمسح المجموع بالمجموع حتى يكفي في صدقه مسح اليمين بالشمال أيضا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اختصاص الممسوح بالجبهة ، إذ لا يجب شمول الكفّين بأجمعهما دفعة للممسوح ، بل يمكن أن يمسح المجموع ببعض كلّ منهما أو المجموع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 فاجتزأ بالمسح باليد اليمنى </w:t>
      </w:r>
      <w:r>
        <w:rPr>
          <w:rStyle w:val="FootnoteAnchor"/>
          <w:rtl w:val="true"/>
        </w:rPr>
        <w:footnoteReference w:id="2861"/>
      </w:r>
      <w:r>
        <w:rPr>
          <w:rFonts w:ascii="Amiri" w:hAnsi="Amiri" w:eastAsia="Amiri" w:cs="Amiri"/>
          <w:color w:val="111111"/>
          <w:sz w:val="28"/>
          <w:sz w:val="28"/>
          <w:szCs w:val="28"/>
          <w:rtl w:val="true"/>
          <w:lang w:bidi="ar-SA"/>
        </w:rPr>
        <w:t>، لصدق المسح ، ودفعه ظاهر ، والقياس على الوضوء ، لأنّ القياس مذهبه ، وضعفه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الأردبيلي ، فنفي وجوبه بالكفّين ، واستجود جوازه واستحبابه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في نهاية الإحكام والتذكرة الجواز أيضا بعد أن جعل الأول في الثاني الأظهر من عبارات الأصحاب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لصدق المسح ، وعدم دلالة غير الرضوي على الوجوب ، وهو وإن دلّ بالحمل إلاّ أنه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حسنا لو لا انجباره بالاشتهار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الدفعة في المسح بهما ، فلا يكفي التعقيب ، للإجماع المركّب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وجوب استيعاب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الماسح فلا يجب فيه الاستيعاب بمعنى مسح محل الوجوب بمجموع الكفين ، بل يكفي المسح بجزء كلّ من اليدين بحيث يمدّه على الممسوح ويستوعبه بالمسح بهما ، وفاقا لبعضهم كما نقله </w:t>
      </w:r>
    </w:p>
    <w:p>
      <w:pPr>
        <w:pStyle w:val="BookText"/>
        <w:rPr/>
      </w:pPr>
      <w:r>
        <w:rPr>
          <w:rFonts w:ascii="Amiri" w:hAnsi="Amiri" w:eastAsia="Amiri" w:cs="Amiri"/>
          <w:color w:val="111111"/>
          <w:sz w:val="28"/>
          <w:sz w:val="28"/>
          <w:szCs w:val="28"/>
          <w:rtl w:val="true"/>
          <w:lang w:bidi="ar-SA"/>
        </w:rPr>
        <w:t xml:space="preserve">والدي رحمه اللّه ، وهو مختار شرح القواعد والمدارك والذخيرة والحدائق </w:t>
      </w:r>
      <w:r>
        <w:rPr>
          <w:rStyle w:val="FootnoteAnchor"/>
          <w:rtl w:val="true"/>
        </w:rPr>
        <w:footnoteReference w:id="2864"/>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وظهور الأيدي والكفّين في المجموع غير مفيد ، كما مرّ وجهه في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أيضا ما في صحيحة زرارة من أن النبي صلی اللّه عليه وآله مسح جبينه بأصابعه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لصريح بعض مشايخنا </w:t>
      </w:r>
      <w:r>
        <w:rPr>
          <w:rStyle w:val="FootnoteAnchor"/>
          <w:rtl w:val="true"/>
        </w:rPr>
        <w:footnoteReference w:id="2866"/>
      </w:r>
      <w:r>
        <w:rPr>
          <w:rFonts w:ascii="Amiri" w:hAnsi="Amiri" w:eastAsia="Amiri" w:cs="Amiri"/>
          <w:color w:val="111111"/>
          <w:sz w:val="28"/>
          <w:sz w:val="28"/>
          <w:szCs w:val="28"/>
          <w:rtl w:val="true"/>
          <w:lang w:bidi="ar-SA"/>
        </w:rPr>
        <w:t>ووالدي قدس سرهما ، فأوجبا الاستيعاب بهذا المعنى ، لما مرّ بجوابه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بمعنى مسح كلّ جزء من الممسوح بكلّ جزء من الماسح فمنفي قطعا ، والظاهر أنه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مدّ اليدين على الجبهة ليتحقّق المسح ، فلا يكفي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ظاهر الكفّين من الزند إلى رؤوس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مسحهما بالقدر المذكور واختصاصه به هو المشهور ، كما في التذكرة والمنتهى </w:t>
      </w:r>
      <w:r>
        <w:rPr>
          <w:rStyle w:val="FootnoteAnchor"/>
          <w:rtl w:val="true"/>
        </w:rPr>
        <w:footnoteReference w:id="2867"/>
      </w:r>
      <w:r>
        <w:rPr>
          <w:rFonts w:ascii="Amiri" w:hAnsi="Amiri" w:eastAsia="Amiri" w:cs="Amiri"/>
          <w:color w:val="111111"/>
          <w:sz w:val="28"/>
          <w:sz w:val="28"/>
          <w:szCs w:val="28"/>
          <w:rtl w:val="true"/>
          <w:lang w:bidi="ar-SA"/>
        </w:rPr>
        <w:t xml:space="preserve">وغيرهما ، بل في الناصريات وشرح القواعد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إجماعهم على الحكمين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المتقدّم المنجبر بالشهرتين </w:t>
      </w:r>
      <w:r>
        <w:rPr>
          <w:rStyle w:val="FootnoteAnchor"/>
          <w:rtl w:val="true"/>
        </w:rPr>
        <w:footnoteReference w:id="2869"/>
      </w:r>
      <w:r>
        <w:rPr>
          <w:rFonts w:ascii="Amiri" w:hAnsi="Amiri" w:eastAsia="Amiri" w:cs="Amiri"/>
          <w:color w:val="111111"/>
          <w:sz w:val="28"/>
          <w:sz w:val="28"/>
          <w:szCs w:val="28"/>
          <w:rtl w:val="true"/>
          <w:lang w:bidi="ar-SA"/>
        </w:rPr>
        <w:t xml:space="preserve">، والإجماع المنقول ، وما في المنتهى من نسبته ، إلى مولانا علي </w:t>
      </w:r>
      <w:r>
        <w:rPr>
          <w:rStyle w:val="FootnoteAnchor"/>
          <w:rtl w:val="true"/>
        </w:rPr>
        <w:footnoteReference w:id="2870"/>
      </w:r>
      <w:r>
        <w:rPr>
          <w:rFonts w:ascii="Amiri" w:hAnsi="Amiri" w:eastAsia="Amiri" w:cs="Amiri"/>
          <w:color w:val="111111"/>
          <w:sz w:val="28"/>
          <w:sz w:val="28"/>
          <w:szCs w:val="28"/>
          <w:rtl w:val="true"/>
          <w:lang w:bidi="ar-SA"/>
        </w:rPr>
        <w:t>، فهو أيضا رواية مرسلة منجبرة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والاحتجاج بالنصوص المتكثّرة المصرّحة بمسح الكفّين بواسطة تبادر </w:t>
      </w:r>
    </w:p>
    <w:p>
      <w:pPr>
        <w:pStyle w:val="BookText"/>
        <w:rPr/>
      </w:pPr>
      <w:r>
        <w:rPr>
          <w:rFonts w:ascii="Amiri" w:hAnsi="Amiri" w:eastAsia="Amiri" w:cs="Amiri"/>
          <w:color w:val="111111"/>
          <w:sz w:val="28"/>
          <w:sz w:val="28"/>
          <w:szCs w:val="28"/>
          <w:rtl w:val="true"/>
          <w:lang w:bidi="ar-SA"/>
        </w:rPr>
        <w:t xml:space="preserve">المجموع من الكف غير جيّد ، لمثل ما مرّ في الوجه </w:t>
      </w:r>
      <w:r>
        <w:rPr>
          <w:rStyle w:val="FootnoteAnchor"/>
          <w:rtl w:val="true"/>
        </w:rPr>
        <w:footnoteReference w:id="2871"/>
      </w:r>
      <w:r>
        <w:rPr>
          <w:rFonts w:ascii="Amiri" w:hAnsi="Amiri" w:eastAsia="Amiri" w:cs="Amiri"/>
          <w:color w:val="111111"/>
          <w:sz w:val="28"/>
          <w:sz w:val="28"/>
          <w:szCs w:val="28"/>
          <w:rtl w:val="true"/>
          <w:lang w:bidi="ar-SA"/>
        </w:rPr>
        <w:t>، مع أنّ أكثرها خال عن الدالّ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الاحتجاج بقوله عليه السلام في صحيحة الخزاز وداود ابن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فوق الكف قليلا </w:t>
      </w:r>
      <w:r>
        <w:rPr>
          <w:rFonts w:eastAsia="Amiri" w:cs="Amiri" w:ascii="Amiri" w:hAnsi="Amiri"/>
          <w:color w:val="111111"/>
          <w:sz w:val="28"/>
          <w:szCs w:val="28"/>
          <w:rtl w:val="true"/>
          <w:lang w:bidi="ar-SA"/>
        </w:rPr>
        <w:t xml:space="preserve">»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المذكورة ، حيث إنه لو وجب الزائد لأتى به في التيمّمات البيانية ، ولو اتي به ، لنقله الراوي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والصحيحتان المذكورتان ، فإنّ مسح فوق الكفّ قليلا صريح في عدم استيعابه الذراع ، فلا يكون واجبا البتة ، ولا هذا القليل ، لعدم قوله بوجوبه أصالة ، نعم هو واجب من باب المقدمة ، وهو السبب في مسحه عليه السلام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وجهه وكفيه ولم يمسح الذراعين بشي‌ء </w:t>
      </w:r>
      <w:r>
        <w:rPr>
          <w:rFonts w:eastAsia="Amiri" w:cs="Amiri" w:ascii="Amiri" w:hAnsi="Amiri"/>
          <w:color w:val="111111"/>
          <w:sz w:val="28"/>
          <w:szCs w:val="28"/>
          <w:rtl w:val="true"/>
          <w:lang w:bidi="ar-SA"/>
        </w:rPr>
        <w:t xml:space="preserve">» </w:t>
      </w:r>
      <w:r>
        <w:rPr>
          <w:rStyle w:val="FootnoteAnchor"/>
          <w:rtl w:val="true"/>
        </w:rPr>
        <w:footnoteReference w:id="2873"/>
      </w:r>
      <w:r>
        <w:rPr>
          <w:rFonts w:ascii="Amiri" w:hAnsi="Amiri" w:eastAsia="Amiri" w:cs="Amiri"/>
          <w:color w:val="111111"/>
          <w:sz w:val="28"/>
          <w:sz w:val="28"/>
          <w:szCs w:val="28"/>
          <w:rtl w:val="true"/>
          <w:lang w:bidi="ar-SA"/>
        </w:rPr>
        <w:t>وهو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وبتلك الأدلّة تقيّد مطلقات مسح اليد على القول بإطلاقها ، أو تبيّن مجملات مسحها على إجمالها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صدق مسح اليد مسح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 للمحكي في السرائر عن بعض الأصحاب ، فاكتفى بالمسح من أصول الأصابع إلى رؤوسها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لما في فقه الرضا عليه السلام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من أصول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تضع أصابعك اليسرى على أصابعك اليمنى من أصول الأصابع من فوق الكف ، ثمَّ تمرّها على مقدّمها على </w:t>
      </w:r>
    </w:p>
    <w:p>
      <w:pPr>
        <w:pStyle w:val="BookText"/>
        <w:rPr/>
      </w:pPr>
      <w:r>
        <w:rPr>
          <w:rFonts w:ascii="Amiri" w:hAnsi="Amiri" w:eastAsia="Amiri" w:cs="Amiri"/>
          <w:color w:val="111111"/>
          <w:sz w:val="28"/>
          <w:sz w:val="28"/>
          <w:szCs w:val="28"/>
          <w:rtl w:val="true"/>
          <w:lang w:bidi="ar-SA"/>
        </w:rPr>
        <w:t xml:space="preserve">ظهر الكف ، ثمَّ تضع أصابعك اليمنى على اليسرى فتصنع بيدك اليمنى ما صنعت بيدك اليسرى مرّة واحدة ، فهذا هو التيمّم </w:t>
      </w:r>
      <w:r>
        <w:rPr>
          <w:rFonts w:eastAsia="Amiri" w:cs="Amiri" w:ascii="Amiri" w:hAnsi="Amiri"/>
          <w:color w:val="111111"/>
          <w:sz w:val="28"/>
          <w:szCs w:val="28"/>
          <w:rtl w:val="true"/>
          <w:lang w:bidi="ar-SA"/>
        </w:rPr>
        <w:t xml:space="preserve">»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 فتلا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فامسح على كفيك من حيث موضع القطع </w:t>
      </w:r>
      <w:r>
        <w:rPr>
          <w:rFonts w:eastAsia="Amiri" w:cs="Amiri" w:ascii="Amiri" w:hAnsi="Amiri"/>
          <w:color w:val="111111"/>
          <w:sz w:val="28"/>
          <w:szCs w:val="28"/>
          <w:rtl w:val="true"/>
          <w:lang w:bidi="ar-SA"/>
        </w:rPr>
        <w:t xml:space="preserve">»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الكلّ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فظاهران ، 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فلشذوذها ، ومخالفتها عمل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يمكن أن يكون المراد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أصل أصابعك اليسرى على أصل أصابعك اليمنى ، فتكون رؤوس أصابع اليسرى إمّا على رؤوس أصابع اليمنى أو على الزند ، وعلى التقديرين يحصل بالمدّ المسح على الطريق المشهور ، أو يكون المراد بأصول الأصابع ما يتصل بالزند كما هو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فوق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فبالمدّ يحصل المسح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المراد بموضع القطع في الثالث موضعه عند العامة بحمل اللام على العهد الخارجي ، فيكون جريا على طريقة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العامة </w:t>
      </w:r>
      <w:r>
        <w:rPr>
          <w:rFonts w:eastAsia="Amiri" w:cs="Amiri" w:ascii="Amiri" w:hAnsi="Amiri"/>
          <w:color w:val="111111"/>
          <w:sz w:val="28"/>
          <w:szCs w:val="28"/>
          <w:rtl w:val="true"/>
          <w:lang w:bidi="ar-SA"/>
        </w:rPr>
        <w:t xml:space="preserve">)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للمحكي عن الصدوق في أماليه ووالده ، فأوجبا المسح من المرفقين إلى رؤوس الأصابع </w:t>
      </w:r>
      <w:r>
        <w:rPr>
          <w:rStyle w:val="FootnoteAnchor"/>
          <w:rtl w:val="true"/>
        </w:rPr>
        <w:footnoteReference w:id="2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 أبي حنيفة والشافعي </w:t>
      </w:r>
      <w:r>
        <w:rPr>
          <w:rStyle w:val="FootnoteAnchor"/>
          <w:rtl w:val="true"/>
        </w:rPr>
        <w:footnoteReference w:id="2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محمد ، وموثّقة سماعة ، ورواية ليث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الشذوذ ، مع أنه لا دلالة فيها على الوجوب بوجه ، </w:t>
      </w:r>
      <w:bookmarkStart w:id="174" w:name="pg11616_94905"/>
    </w:p>
    <w:p>
      <w:pPr>
        <w:pStyle w:val="BookText"/>
        <w:rPr/>
      </w:pPr>
      <w:bookmarkEnd w:id="174"/>
      <w:r>
        <w:rPr>
          <w:rFonts w:ascii="Amiri" w:hAnsi="Amiri" w:eastAsia="Amiri" w:cs="Amiri"/>
          <w:color w:val="111111"/>
          <w:sz w:val="28"/>
          <w:sz w:val="28"/>
          <w:szCs w:val="28"/>
          <w:rtl w:val="true"/>
          <w:lang w:bidi="ar-SA"/>
        </w:rPr>
        <w:t>وعلى فرض الدلالة تكون معارضة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يجمع بينهما بحمل الزائد على الندب ، أو يرجّح ما مرّ ، لمخالفة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وموافقة الكتاب حيث إنّ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الصحيحة المفسّرة </w:t>
      </w:r>
      <w:r>
        <w:rPr>
          <w:rStyle w:val="FootnoteAnchor"/>
          <w:rtl w:val="true"/>
        </w:rPr>
        <w:footnoteReference w:id="2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أيضا ببعض الأيدي المغسولة في الوضوء ، أو يتساقطان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التجاوز عن الزند والاستيعاب إلى المرفقين كما عن المعتبر </w:t>
      </w:r>
      <w:r>
        <w:rPr>
          <w:rStyle w:val="FootnoteAnchor"/>
          <w:rtl w:val="true"/>
        </w:rPr>
        <w:footnoteReference w:id="2882"/>
      </w:r>
      <w:r>
        <w:rPr>
          <w:rFonts w:ascii="Amiri" w:hAnsi="Amiri" w:eastAsia="Amiri" w:cs="Amiri"/>
          <w:color w:val="111111"/>
          <w:sz w:val="28"/>
          <w:sz w:val="28"/>
          <w:szCs w:val="28"/>
          <w:rtl w:val="true"/>
          <w:lang w:bidi="ar-SA"/>
        </w:rPr>
        <w:t xml:space="preserve">، أو يستحب كما احتمله في المنتهى </w:t>
      </w:r>
      <w:r>
        <w:rPr>
          <w:rStyle w:val="FootnoteAnchor"/>
          <w:rtl w:val="true"/>
        </w:rPr>
        <w:footnoteReference w:id="2883"/>
      </w:r>
      <w:r>
        <w:rPr>
          <w:rFonts w:ascii="Amiri" w:hAnsi="Amiri" w:eastAsia="Amiri" w:cs="Amiri"/>
          <w:color w:val="111111"/>
          <w:sz w:val="28"/>
          <w:sz w:val="28"/>
          <w:szCs w:val="28"/>
          <w:rtl w:val="true"/>
          <w:lang w:bidi="ar-SA"/>
        </w:rPr>
        <w:t xml:space="preserve">؟ الظاهر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لأصالة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الروايتين الأوليين إلاّ الإخبار عن مسحه ، وهو يحتمل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الأخيرة فورد فيها بلفظ الإخبار المحتمل لمطلق الرجحان والاستحباب والوجوب ، فعلى الأخير يجب حملها على التقية ، ولعدم تعيّن الأولين لا يثبت منهما حكم</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588181_73709187"/>
      <w:bookmarkStart w:id="176" w:name="_Toc68"/>
      <w:bookmarkEnd w:id="175"/>
      <w:r>
        <w:rPr>
          <w:rtl w:val="true"/>
        </w:rPr>
        <w:t xml:space="preserve">فروع </w:t>
      </w:r>
      <w:r>
        <w:rPr>
          <w:rtl w:val="true"/>
        </w:rPr>
        <w:t>:</w:t>
      </w:r>
      <w:bookmarkEnd w:id="17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كما في اللوامع ، بل اتّفقوا عليه كما هو ظاهر شرح القواعد </w:t>
      </w:r>
      <w:r>
        <w:rPr>
          <w:rStyle w:val="FootnoteAnchor"/>
          <w:rtl w:val="true"/>
        </w:rPr>
        <w:footnoteReference w:id="2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البدأة بالزند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في أحد الرضويين المتقدّمين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تمرّها على مقدّمها </w:t>
      </w:r>
      <w:r>
        <w:rPr>
          <w:rFonts w:eastAsia="Amiri" w:cs="Amiri" w:ascii="Amiri" w:hAnsi="Amiri"/>
          <w:color w:val="111111"/>
          <w:sz w:val="28"/>
          <w:szCs w:val="28"/>
          <w:rtl w:val="true"/>
          <w:lang w:bidi="ar-SA"/>
        </w:rPr>
        <w:t xml:space="preserve">»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منجبر ، ولا يضر قوله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الزند </w:t>
      </w:r>
      <w:r>
        <w:rPr>
          <w:rFonts w:eastAsia="Amiri" w:cs="Amiri" w:ascii="Amiri" w:hAnsi="Amiri"/>
          <w:color w:val="111111"/>
          <w:sz w:val="28"/>
          <w:szCs w:val="28"/>
          <w:rtl w:val="true"/>
          <w:lang w:bidi="ar-SA"/>
        </w:rPr>
        <w:t xml:space="preserve">» </w:t>
      </w:r>
      <w:r>
        <w:rPr>
          <w:rStyle w:val="FootnoteAnchor"/>
          <w:rtl w:val="true"/>
        </w:rPr>
        <w:footnoteReference w:id="2886"/>
      </w:r>
      <w:r>
        <w:rPr>
          <w:rFonts w:ascii="Amiri" w:hAnsi="Amiri" w:eastAsia="Amiri" w:cs="Amiri"/>
          <w:color w:val="111111"/>
          <w:sz w:val="28"/>
          <w:sz w:val="28"/>
          <w:szCs w:val="28"/>
          <w:rtl w:val="true"/>
          <w:lang w:bidi="ar-SA"/>
        </w:rPr>
        <w:t>لضعفه الموجب للاقتصار في العمل به على موضع الانجبار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الماسح بطن الكفّ ، لما مرّ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والممسوح ظاهرها ، لظاهر الإجماع ، وبه تقيّد الإطلاقات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كفّيه إحداهما على ظهر الأخرى </w:t>
      </w:r>
      <w:r>
        <w:rPr>
          <w:rFonts w:eastAsia="Amiri" w:cs="Amiri" w:ascii="Amiri" w:hAnsi="Amiri"/>
          <w:color w:val="111111"/>
          <w:sz w:val="28"/>
          <w:szCs w:val="28"/>
          <w:rtl w:val="true"/>
          <w:lang w:bidi="ar-SA"/>
        </w:rPr>
        <w:t xml:space="preserve">» </w:t>
      </w:r>
      <w:r>
        <w:rPr>
          <w:rStyle w:val="FootnoteAnchor"/>
          <w:rtl w:val="true"/>
        </w:rPr>
        <w:footnoteReference w:id="2887"/>
      </w:r>
      <w:r>
        <w:rPr>
          <w:rFonts w:ascii="Amiri" w:hAnsi="Amiri" w:eastAsia="Amiri" w:cs="Amiri"/>
          <w:color w:val="111111"/>
          <w:sz w:val="28"/>
          <w:sz w:val="28"/>
          <w:szCs w:val="28"/>
          <w:rtl w:val="true"/>
          <w:lang w:bidi="ar-SA"/>
        </w:rPr>
        <w:t xml:space="preserve">والرضوي المتقدّم في الوجه </w:t>
      </w:r>
      <w:r>
        <w:rPr>
          <w:rStyle w:val="FootnoteAnchor"/>
          <w:rtl w:val="true"/>
        </w:rPr>
        <w:footnoteReference w:id="2888"/>
      </w:r>
      <w:r>
        <w:rPr>
          <w:rFonts w:ascii="Amiri" w:hAnsi="Amiri" w:eastAsia="Amiri" w:cs="Amiri"/>
          <w:color w:val="111111"/>
          <w:sz w:val="28"/>
          <w:sz w:val="28"/>
          <w:szCs w:val="28"/>
          <w:rtl w:val="true"/>
          <w:lang w:bidi="ar-SA"/>
        </w:rPr>
        <w:t xml:space="preserve">، والمروي في السرائر في حكاية عمّار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بكفّيه كلّ واحدة على ظهر الأخرى </w:t>
      </w:r>
      <w:r>
        <w:rPr>
          <w:rFonts w:eastAsia="Amiri" w:cs="Amiri" w:ascii="Amiri" w:hAnsi="Amiri"/>
          <w:color w:val="111111"/>
          <w:sz w:val="28"/>
          <w:szCs w:val="28"/>
          <w:rtl w:val="true"/>
          <w:lang w:bidi="ar-SA"/>
        </w:rPr>
        <w:t xml:space="preserve">»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تعذّر الباطن من الأول والظاهر من الثاني أجزأ الآخر ، لعموم الآية والأخبار ، فيقتصر في التخصيص المخالف للأصل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اليمنى على اليسرى ، بالإجماع المحقّق والمحكي في التذكرة وشرح القواعد </w:t>
      </w:r>
      <w:r>
        <w:rPr>
          <w:rStyle w:val="FootnoteAnchor"/>
          <w:rtl w:val="true"/>
        </w:rPr>
        <w:footnoteReference w:id="2890"/>
      </w:r>
      <w:r>
        <w:rPr>
          <w:rFonts w:ascii="Amiri" w:hAnsi="Amiri" w:eastAsia="Amiri" w:cs="Amiri"/>
          <w:color w:val="111111"/>
          <w:sz w:val="28"/>
          <w:sz w:val="28"/>
          <w:szCs w:val="28"/>
          <w:rtl w:val="true"/>
          <w:lang w:bidi="ar-SA"/>
        </w:rPr>
        <w:t xml:space="preserve">، وغيرهما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الرضويان المتقدّمان </w:t>
      </w:r>
      <w:r>
        <w:rPr>
          <w:rStyle w:val="FootnoteAnchor"/>
          <w:rtl w:val="true"/>
        </w:rPr>
        <w:footnoteReference w:id="2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المنجبران </w:t>
      </w:r>
      <w:r>
        <w:rPr>
          <w:rFonts w:eastAsia="IRNazanin" w:cs="IRNazanin"/>
          <w:color w:val="111111"/>
          <w:sz w:val="28"/>
          <w:szCs w:val="28"/>
          <w:rtl w:val="true"/>
          <w:lang w:bidi="fa-IR"/>
        </w:rPr>
        <w:t xml:space="preserve">) </w:t>
      </w:r>
      <w:r>
        <w:rPr>
          <w:rStyle w:val="FootnoteAnchor"/>
          <w:rtl w:val="true"/>
        </w:rPr>
        <w:footnoteReference w:id="2893"/>
      </w:r>
      <w:r>
        <w:rPr>
          <w:rFonts w:ascii="Amiri" w:hAnsi="Amiri" w:eastAsia="Amiri" w:cs="Amiri"/>
          <w:color w:val="111111"/>
          <w:sz w:val="28"/>
          <w:sz w:val="28"/>
          <w:szCs w:val="28"/>
          <w:rtl w:val="true"/>
          <w:lang w:bidi="ar-SA"/>
        </w:rPr>
        <w:t xml:space="preserve">المؤيدان بصحيحة ابن مسلم ، المتقدّمة في مسألة عدد الضربات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الإجماع على وجوب استيعاب الممسوح ، وعليه الإجماع في المنتهى </w:t>
      </w:r>
      <w:r>
        <w:rPr>
          <w:rStyle w:val="FootnoteAnchor"/>
          <w:rtl w:val="true"/>
        </w:rPr>
        <w:footnoteReference w:id="2895"/>
      </w:r>
      <w:r>
        <w:rPr>
          <w:rFonts w:ascii="Amiri" w:hAnsi="Amiri" w:eastAsia="Amiri" w:cs="Amiri"/>
          <w:color w:val="111111"/>
          <w:sz w:val="28"/>
          <w:sz w:val="28"/>
          <w:szCs w:val="28"/>
          <w:rtl w:val="true"/>
          <w:lang w:bidi="ar-SA"/>
        </w:rPr>
        <w:t xml:space="preserve">واللوامع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w:t>
      </w:r>
      <w:r>
        <w:rPr>
          <w:rStyle w:val="FootnoteAnchor"/>
          <w:rtl w:val="true"/>
        </w:rPr>
        <w:footnoteReference w:id="2896"/>
      </w:r>
      <w:r>
        <w:rPr>
          <w:rFonts w:ascii="Amiri" w:hAnsi="Amiri" w:eastAsia="Amiri" w:cs="Amiri"/>
          <w:color w:val="111111"/>
          <w:sz w:val="28"/>
          <w:sz w:val="28"/>
          <w:szCs w:val="28"/>
          <w:rtl w:val="true"/>
          <w:lang w:bidi="ar-SA"/>
        </w:rPr>
        <w:t>، وهو الحجة فيه دون ظواهر الأخبار ، لعدم الدلالة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 الثابت الاستيعاب العرفي ، فلا يضرّ خروج ما بين الأصابع ، ولا ما تحت الأظفار ولو طولت ، بل ولا تحت مثل الخاتم ، لعدم ثبوت الإجماع في هذا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عدم وجوب مسح الإصبع الزائدة ولو لم تتميّز من الأصلية ، ومسحها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اليد الزائدة فمع تميزها لا يجب مسحها وإن كانت تحت الزند ، للأصل ، وعدم دليل على وجوب مسح الزائد على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مسح الأصلية إجماعا ، وللشك في كون الأخرى يدا فيستصحب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التميز يجب مسحهما ، تحصيلا للعلم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التخيير ، لعدم وجوب مسح الزائد على اليدين ، وصدق اليد على كلّ منهما ، وعدم اختصاص الوجوب بواحدة معينة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 بعض مواضع المسح مسح الباقي ، لأنّ وجوب الاستيعاب مع إمكانه ، فبدونه يعمل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يبق شي‌ء أصلا ، سقط مسحه واكتفى بمسح سائر الأعضاء ، لاستصحاب وجوبه ، وأصالة عدم الربط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من الزند فلا يجب ما كان واجبا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 إحدى يديه ، مسح ظهر الأخرى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يضرب ، ثمَّ مسح الوجه ثمَّ اليمنى ثمَّ اليسرى ، بالإجماع المحقّق والمصرّح به في المنتهى والتذكرة </w:t>
      </w:r>
      <w:r>
        <w:rPr>
          <w:rStyle w:val="FootnoteAnchor"/>
          <w:rtl w:val="true"/>
        </w:rPr>
        <w:footnoteReference w:id="2897"/>
      </w:r>
      <w:r>
        <w:rPr>
          <w:rFonts w:ascii="Amiri" w:hAnsi="Amiri" w:eastAsia="Amiri" w:cs="Amiri"/>
          <w:color w:val="111111"/>
          <w:sz w:val="28"/>
          <w:sz w:val="28"/>
          <w:szCs w:val="28"/>
          <w:rtl w:val="true"/>
          <w:lang w:bidi="ar-SA"/>
        </w:rPr>
        <w:t xml:space="preserve">واللوامع ، وعن أمالي الصدوق أنه من دين الإمامية </w:t>
      </w:r>
      <w:r>
        <w:rPr>
          <w:rStyle w:val="FootnoteAnchor"/>
          <w:rtl w:val="true"/>
        </w:rPr>
        <w:footnoteReference w:id="2898"/>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الإجماع المركّب بين الترتيب هناك وبينه في المائية كما صرّح به السيد </w:t>
      </w:r>
      <w:r>
        <w:rPr>
          <w:rStyle w:val="FootnoteAnchor"/>
          <w:rtl w:val="true"/>
        </w:rPr>
        <w:footnoteReference w:id="2899"/>
      </w:r>
      <w:r>
        <w:rPr>
          <w:rFonts w:ascii="Amiri" w:hAnsi="Amiri" w:eastAsia="Amiri" w:cs="Amiri"/>
          <w:color w:val="111111"/>
          <w:sz w:val="28"/>
          <w:sz w:val="28"/>
          <w:szCs w:val="28"/>
          <w:rtl w:val="true"/>
          <w:lang w:bidi="ar-SA"/>
        </w:rPr>
        <w:t xml:space="preserve">، والرضويين المتقدّمين </w:t>
      </w:r>
      <w:r>
        <w:rPr>
          <w:rStyle w:val="FootnoteAnchor"/>
          <w:rtl w:val="true"/>
        </w:rPr>
        <w:footnoteReference w:id="2900"/>
      </w:r>
      <w:r>
        <w:rPr>
          <w:rFonts w:ascii="Amiri" w:hAnsi="Amiri" w:eastAsia="Amiri" w:cs="Amiri"/>
          <w:color w:val="111111"/>
          <w:sz w:val="28"/>
          <w:sz w:val="28"/>
          <w:szCs w:val="28"/>
          <w:rtl w:val="true"/>
          <w:lang w:bidi="ar-SA"/>
        </w:rPr>
        <w:t xml:space="preserve">المنجبرين ، المتضمّن أحدهما للفظة الفاء والآخر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الدالّتين على التعقيب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البيانيات على ذلك الترتيب </w:t>
      </w:r>
      <w:r>
        <w:rPr>
          <w:rStyle w:val="FootnoteAnchor"/>
          <w:rtl w:val="true"/>
        </w:rPr>
        <w:footnoteReference w:id="2901"/>
      </w:r>
      <w:r>
        <w:rPr>
          <w:rFonts w:ascii="Amiri" w:hAnsi="Amiri" w:eastAsia="Amiri" w:cs="Amiri"/>
          <w:color w:val="111111"/>
          <w:sz w:val="28"/>
          <w:sz w:val="28"/>
          <w:szCs w:val="28"/>
          <w:rtl w:val="true"/>
          <w:lang w:bidi="ar-SA"/>
        </w:rPr>
        <w:t>، لتضمّن أخبارها الحاكية لها الفاء أو ثمَّ ، إمّا بين الضرب والمسح كبعضها ، أو بينه وبين الوجه واليدين أيضا كآخر ، أو بينها وبين اليدين أيضا كثالث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تلك الأخبار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كجماعة </w:t>
      </w:r>
      <w:r>
        <w:rPr>
          <w:rStyle w:val="FootnoteAnchor"/>
          <w:rtl w:val="true"/>
        </w:rPr>
        <w:footnoteReference w:id="2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وإن اشتمل بعضها على الحمل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دلالة في نقل الترتيب على الوجوب ، لاحتمال كونه أحد فردي المخيّر ، فإنّه لا مفرّ من نوع ترتيب ولا يمكن الجمع ، فلا يعلم كونه جزءا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 بضميمة ما ورد في أخبار الوضوء والسعي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ابدأ بما بدأ اللّه سبحانه </w:t>
      </w:r>
      <w:r>
        <w:rPr>
          <w:rFonts w:eastAsia="Amiri" w:cs="Amiri" w:ascii="Amiri" w:hAnsi="Amiri"/>
          <w:color w:val="111111"/>
          <w:sz w:val="28"/>
          <w:szCs w:val="28"/>
          <w:rtl w:val="true"/>
          <w:lang w:bidi="ar-SA"/>
        </w:rPr>
        <w:t xml:space="preserve">» </w:t>
      </w:r>
      <w:r>
        <w:rPr>
          <w:rStyle w:val="FootnoteAnchor"/>
          <w:rtl w:val="true"/>
        </w:rPr>
        <w:footnoteReference w:id="2903"/>
      </w:r>
      <w:r>
        <w:rPr>
          <w:rFonts w:ascii="Amiri" w:hAnsi="Amiri" w:eastAsia="Amiri" w:cs="Amiri"/>
          <w:color w:val="111111"/>
          <w:sz w:val="28"/>
          <w:sz w:val="28"/>
          <w:szCs w:val="28"/>
          <w:rtl w:val="true"/>
          <w:lang w:bidi="ar-SA"/>
        </w:rPr>
        <w:t>وبأصل الاشتغال ، وقاعدة البدلية والمنزلة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غير الأول بما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بمنع عموم تلك الأخبار بحيث يشمل جميع المواضع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الموصوفية وهي للعموم غير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بنفسه ، ووجوبها مجمع عليه ، وهو الحجة فيه ، مضافا إلى أنه الأصل في خطاب شخص خصوصا أو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تعذّرت ، استناب ، عند علمائنا كما في المدارك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يؤمّم المجدور والكسير إذا أصابتهما الجنابة </w:t>
      </w:r>
      <w:r>
        <w:rPr>
          <w:rFonts w:eastAsia="Amiri" w:cs="Amiri" w:ascii="Amiri" w:hAnsi="Amiri"/>
          <w:color w:val="111111"/>
          <w:sz w:val="28"/>
          <w:szCs w:val="28"/>
          <w:rtl w:val="true"/>
          <w:lang w:bidi="ar-SA"/>
        </w:rPr>
        <w:t xml:space="preserve">»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المجدور والكسير يؤمّمان ولا يغسلان </w:t>
      </w:r>
      <w:r>
        <w:rPr>
          <w:rFonts w:eastAsia="Amiri" w:cs="Amiri" w:ascii="Amiri" w:hAnsi="Amiri"/>
          <w:color w:val="111111"/>
          <w:sz w:val="28"/>
          <w:szCs w:val="28"/>
          <w:rtl w:val="true"/>
          <w:lang w:bidi="ar-SA"/>
        </w:rPr>
        <w:t xml:space="preserve">»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سكين </w:t>
      </w:r>
      <w:r>
        <w:rPr>
          <w:rStyle w:val="FootnoteAnchor"/>
          <w:rtl w:val="true"/>
        </w:rPr>
        <w:footnoteReference w:id="290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أصابته جنابة وهو مجدور فغسّلوه </w:t>
      </w:r>
    </w:p>
    <w:p>
      <w:pPr>
        <w:pStyle w:val="BookText"/>
        <w:rPr/>
      </w:pPr>
      <w:r>
        <w:rPr>
          <w:rFonts w:ascii="Amiri" w:hAnsi="Amiri" w:eastAsia="Amiri" w:cs="Amiri"/>
          <w:color w:val="111111"/>
          <w:sz w:val="28"/>
          <w:sz w:val="28"/>
          <w:szCs w:val="28"/>
          <w:rtl w:val="true"/>
          <w:lang w:bidi="ar-SA"/>
        </w:rPr>
        <w:t xml:space="preserve">فمات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قتلوه ، ألا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 xml:space="preserve">! » </w:t>
      </w:r>
      <w:r>
        <w:rPr>
          <w:rStyle w:val="FootnoteAnchor"/>
          <w:rtl w:val="true"/>
        </w:rPr>
        <w:footnoteReference w:id="29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فيضرب النائب يد العليل ويمسحها ، فإن لم يمكن ضرب يده يضرب يده ، لوجوب الاستنابة في 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تعذّرت مباشرة الضرب فقط ولكن أمكن مسح ظاهر الكفين والوجه بالتراب ، فالظاهر وجوبه ، لإطلاق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قطعت يداه فيمسح وجهه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 وهي أيضا إجماعية على ما به صرّح في المنتهى </w:t>
      </w:r>
      <w:r>
        <w:rPr>
          <w:rStyle w:val="FootnoteAnchor"/>
          <w:rtl w:val="true"/>
        </w:rPr>
        <w:footnoteReference w:id="2909"/>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قطع الأصحاب باعتبارها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الحجة في المقام لو ثبت خاصة ، لا عموم البدلية والمنزلة ، لما عرفت ، مع أنهما لا ينتهضان حجّتين في التيمّم بدل الغسل ، والتعدّي بعدم الفصل ليس 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بدل الوضوء أيضا ، لأنّ الموالاة المعتبرة فيه لا تجري هنا ، مع أنه احتمل في نهاية الإحكام عدم وجوبها في بدل الغسل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التيمّمات البيانية حيث توبع فيه ، لمنعه ، وعدم دلالته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يفيد الحمل في بعض الأخبار ، لعدم معلومية كون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الحمل من جزء المحمول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أنها مقتضى اختصاص التيمّم بآخر الوقت ، لما يأتي من أنّ المراد بالآخر الآخر العرفي الذي لا ينافيه بقاء شي‌ء من الوقت بعده </w:t>
      </w:r>
      <w:r>
        <w:rPr>
          <w:rStyle w:val="FootnoteAnchor"/>
          <w:rtl w:val="true"/>
        </w:rPr>
        <w:footnoteReference w:id="2912"/>
      </w:r>
      <w:r>
        <w:rPr>
          <w:rFonts w:ascii="Amiri" w:hAnsi="Amiri" w:eastAsia="Amiri" w:cs="Amiri"/>
          <w:color w:val="111111"/>
          <w:sz w:val="28"/>
          <w:sz w:val="28"/>
          <w:szCs w:val="28"/>
          <w:rtl w:val="true"/>
          <w:lang w:bidi="ar-SA"/>
        </w:rPr>
        <w:t>، إلاّ أن تحمل الموالاة أيضا على نحو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الآية ، كما استدلّ بها تارة باعتبار الأمر بالتيمّم بعد إرادة الصلاة فورا ، إمّا لأجل دلالة الأمر على الفور ، أو لإفادة الفاء للتعقيب بلا مهملة ، ومقتضاه الإتيان بجميع أفعال التيمم متتابعة بلا فصل لتحقّق الفورية والتعقيب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باعتبار الأمر بمسح الوجه بعد قصد الصعيد والضرب عليه بلا فاصلة ، لأحد الوجهين ، ويتمّ في باقي الأعضاء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يرد على الوجه الأول للاعتبار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كون الأمر للفور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الفاء التعقيبية إنما هي العاطفة دون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التيمّم بعد الإرادة فورا بالإجماع ، مع أنهما إنما يفيدان لو كان التيمّم في الآية بالمعنى الشرعي وهو ممنوع ، 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صعيدا ، يعيّن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 الأول للثاني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يفيد لو كان المراد بالتيمّم هو الضرب على الصعيد دون ما إذا أريد به المعنى اللغوي الذي هو القصد ، لعدم وجوب الضرب ولا المسح بعد القصد بلا فصل إجماعا ، فتكون الفاء منسلخة عن معنى التعقيب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ما إذا أريد به الشرعي ، لأنّ الفاء تكون حينئذ تفصيلية ، ولا إفادة للتعقيب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أخلّ بالموالاة فهل ترك الواجب فقط ، أو يبطل التيمّم أيضا؟ ظاهر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الثاني ، إذ يكون المسح المأمور به حينئذ ما كان عقيب الضرب بلا تراخ ، فلا يكون غيره مأمورا به ، كالواجب الموقّت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عرفت أنه لا دليل على اعتبارها سوى الإجماع ، فالواجب الحكم بما ثبت فيه ، فلا يضرّ الفصل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الماسح والممسوح مع إمكان التطهير ، فإن لم يمكن يصحّ التيمّم بدونها إن لم تتعدّ النجاسة إلى التراب ، وإن تعدّت ، سقط التيمّم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فذهب إليه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Style w:val="FootnoteAnchor"/>
          <w:rtl w:val="true"/>
        </w:rPr>
        <w:footnoteReference w:id="2914"/>
      </w:r>
      <w:r>
        <w:rPr>
          <w:rFonts w:ascii="Amiri" w:hAnsi="Amiri" w:eastAsia="Amiri" w:cs="Amiri"/>
          <w:color w:val="111111"/>
          <w:sz w:val="28"/>
          <w:sz w:val="28"/>
          <w:szCs w:val="28"/>
          <w:rtl w:val="true"/>
          <w:lang w:bidi="ar-SA"/>
        </w:rPr>
        <w:t>واللوامع ، لعموم البدلية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ضعفهما ، مع أنّ في الاشتراط في المبدل أيضا كلاما كما مرّ ، ولإيجابه تنجّس التراب بملاقاته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أخصّ من المدّعى ، مع أنّ المسلّم اشتراط طهارة التراب قبل الضرب والمسح ، وأمّا النجاسة الحاصلة بالضرب أو المسح فلا دليل على مانعيتها أصلا ، ولذا ذهب في المدارك إلى عدم اشتراطها </w:t>
      </w:r>
      <w:r>
        <w:rPr>
          <w:rStyle w:val="FootnoteAnchor"/>
          <w:rtl w:val="true"/>
        </w:rPr>
        <w:footnoteReference w:id="2915"/>
      </w:r>
      <w:r>
        <w:rPr>
          <w:rFonts w:ascii="Amiri" w:hAnsi="Amiri" w:eastAsia="Amiri" w:cs="Amiri"/>
          <w:color w:val="111111"/>
          <w:sz w:val="28"/>
          <w:sz w:val="28"/>
          <w:szCs w:val="28"/>
          <w:rtl w:val="true"/>
          <w:lang w:bidi="ar-SA"/>
        </w:rPr>
        <w:t>، ونقله في اللوامع عن جماعة ، وهو الحقّ الموافق للأصل وإطلاق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كذلك ، ودليله ظاهر ، وفي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ظاهر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فذكره في اللوامع ، ووجهه اشتراط طهارة التراب ، وقد عرفت ما فيه ، بل لو تعدّت نجاسة الماسح إلى الممسوح لم يضرّ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تجب إزالتها للصلاة مع الإمكان ، وإن لم يمكن ، صلّى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تنجيس البدن ولو علم عدم إمكان التطهير للصلاة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أنه لو كان باطن الكفّين نجسا لا ينتقل إلى ظهرهما ، ومع نجاسة الظهر أيضا لا ينتقل إلى ضرب الجبهة كما قيل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أن يقال بعدم تعيّن الباطن حينئذ ، لأنّ دليله الإجماع ، وهو في المقام غير متحقّق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7" w:name="pg11616_94912"/>
    </w:p>
    <w:p>
      <w:pPr>
        <w:pStyle w:val="Heading3"/>
        <w:numPr>
          <w:ilvl w:val="2"/>
          <w:numId w:val="1"/>
        </w:numPr>
        <w:rPr/>
      </w:pPr>
      <w:bookmarkStart w:id="178" w:name="__RefHeading___Toc5588183_73709187"/>
      <w:bookmarkStart w:id="179" w:name="_Toc69"/>
      <w:bookmarkEnd w:id="177"/>
      <w:bookmarkEnd w:id="178"/>
      <w:r>
        <w:rPr>
          <w:rtl w:val="true"/>
        </w:rPr>
        <w:t xml:space="preserve">الفصل الخامس </w:t>
      </w:r>
      <w:r>
        <w:rPr>
          <w:rtl w:val="true"/>
        </w:rPr>
        <w:t xml:space="preserve">: </w:t>
      </w:r>
      <w:r>
        <w:rPr>
          <w:rtl w:val="true"/>
        </w:rPr>
        <w:t>في أحكامه</w:t>
      </w:r>
      <w:bookmarkEnd w:id="179"/>
    </w:p>
    <w:p>
      <w:pPr>
        <w:pStyle w:val="Heading4"/>
        <w:numPr>
          <w:ilvl w:val="3"/>
          <w:numId w:val="1"/>
        </w:numPr>
        <w:rPr/>
      </w:pPr>
      <w:bookmarkStart w:id="180" w:name="__RefHeading___Toc5588185_73709187"/>
      <w:bookmarkStart w:id="181" w:name="_Toc70"/>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التيمّم للصلاة قبل دخول الوقت وإن علم استمرار العذر ، بالإجماع المحقّق والمصرّح به في المعتبر والمنتهى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والتذكرة </w:t>
      </w:r>
      <w:r>
        <w:rPr>
          <w:rFonts w:eastAsia="Amiri" w:cs="Amiri" w:ascii="Amiri" w:hAnsi="Amiri"/>
          <w:color w:val="111111"/>
          <w:sz w:val="28"/>
          <w:szCs w:val="28"/>
          <w:rtl w:val="true"/>
          <w:lang w:bidi="ar-SA"/>
        </w:rPr>
        <w:t xml:space="preserve">) </w:t>
      </w:r>
      <w:r>
        <w:rPr>
          <w:rStyle w:val="FootnoteAnchor"/>
          <w:rtl w:val="true"/>
        </w:rPr>
        <w:footnoteReference w:id="2917"/>
      </w:r>
      <w:r>
        <w:rPr>
          <w:rFonts w:ascii="IRNazanin" w:hAnsi="IRNazanin" w:eastAsia="IRNazanin"/>
          <w:color w:val="111111"/>
          <w:sz w:val="28"/>
          <w:sz w:val="28"/>
          <w:szCs w:val="28"/>
          <w:rtl w:val="true"/>
          <w:lang w:bidi="fa-IR"/>
        </w:rPr>
        <w:t xml:space="preserve">والدروس </w:t>
      </w:r>
      <w:r>
        <w:rPr>
          <w:rStyle w:val="FootnoteAnchor"/>
          <w:rtl w:val="true"/>
        </w:rPr>
        <w:footnoteReference w:id="2918"/>
      </w:r>
      <w:r>
        <w:rPr>
          <w:rFonts w:ascii="Amiri" w:hAnsi="Amiri" w:eastAsia="Amiri" w:cs="Amiri"/>
          <w:color w:val="111111"/>
          <w:sz w:val="28"/>
          <w:sz w:val="28"/>
          <w:szCs w:val="28"/>
          <w:rtl w:val="true"/>
          <w:lang w:bidi="ar-SA"/>
        </w:rPr>
        <w:t xml:space="preserve">، وغيرها </w:t>
      </w:r>
      <w:r>
        <w:rPr>
          <w:rStyle w:val="FootnoteAnchor"/>
          <w:rtl w:val="true"/>
        </w:rPr>
        <w:footnoteReference w:id="2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مع تضيقه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صحته بعد دخوله وعند السعة أقوال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 وهو مختار الشيخين والسيد والقاضي والحلبي والحلّي والديلمي والشهيد الثاني في الروض </w:t>
      </w:r>
      <w:r>
        <w:rPr>
          <w:rStyle w:val="FootnoteAnchor"/>
          <w:rtl w:val="true"/>
        </w:rPr>
        <w:footnoteReference w:id="2920"/>
      </w:r>
      <w:r>
        <w:rPr>
          <w:rFonts w:ascii="Amiri" w:hAnsi="Amiri" w:eastAsia="Amiri" w:cs="Amiri"/>
          <w:color w:val="111111"/>
          <w:sz w:val="28"/>
          <w:sz w:val="28"/>
          <w:szCs w:val="28"/>
          <w:rtl w:val="true"/>
          <w:lang w:bidi="ar-SA"/>
        </w:rPr>
        <w:t xml:space="preserve">، بل أكثر علمائنا كما في التذكرة والمنتهى والدروس وشرح القواعد والحبل المتين </w:t>
      </w:r>
      <w:r>
        <w:rPr>
          <w:rStyle w:val="FootnoteAnchor"/>
          <w:rtl w:val="true"/>
        </w:rPr>
        <w:footnoteReference w:id="2921"/>
      </w:r>
      <w:r>
        <w:rPr>
          <w:rFonts w:ascii="Amiri" w:hAnsi="Amiri" w:eastAsia="Amiri" w:cs="Amiri"/>
          <w:color w:val="111111"/>
          <w:sz w:val="28"/>
          <w:sz w:val="28"/>
          <w:szCs w:val="28"/>
          <w:rtl w:val="true"/>
          <w:lang w:bidi="ar-SA"/>
        </w:rPr>
        <w:t xml:space="preserve">، وغيرها </w:t>
      </w:r>
      <w:r>
        <w:rPr>
          <w:rStyle w:val="FootnoteAnchor"/>
          <w:rtl w:val="true"/>
        </w:rPr>
        <w:footnoteReference w:id="2922"/>
      </w:r>
      <w:r>
        <w:rPr>
          <w:rFonts w:ascii="Amiri" w:hAnsi="Amiri" w:eastAsia="Amiri" w:cs="Amiri"/>
          <w:color w:val="111111"/>
          <w:sz w:val="28"/>
          <w:sz w:val="28"/>
          <w:szCs w:val="28"/>
          <w:rtl w:val="true"/>
          <w:lang w:bidi="ar-SA"/>
        </w:rPr>
        <w:t xml:space="preserve">، بل بالإجماع كما في الناصريات والانتصار والسرائر </w:t>
      </w:r>
      <w:r>
        <w:rPr>
          <w:rStyle w:val="FootnoteAnchor"/>
          <w:rtl w:val="true"/>
        </w:rPr>
        <w:footnoteReference w:id="2923"/>
      </w:r>
      <w:r>
        <w:rPr>
          <w:rFonts w:ascii="Amiri" w:hAnsi="Amiri" w:eastAsia="Amiri" w:cs="Amiri"/>
          <w:color w:val="111111"/>
          <w:sz w:val="28"/>
          <w:sz w:val="28"/>
          <w:szCs w:val="28"/>
          <w:rtl w:val="true"/>
          <w:lang w:bidi="ar-SA"/>
        </w:rPr>
        <w:t xml:space="preserve">، وعن الشيخ </w:t>
      </w:r>
      <w:r>
        <w:rPr>
          <w:rStyle w:val="FootnoteAnchor"/>
          <w:rtl w:val="true"/>
        </w:rPr>
        <w:footnoteReference w:id="2924"/>
      </w:r>
      <w:r>
        <w:rPr>
          <w:rFonts w:ascii="Amiri" w:hAnsi="Amiri" w:eastAsia="Amiri" w:cs="Amiri"/>
          <w:color w:val="111111"/>
          <w:sz w:val="28"/>
          <w:sz w:val="28"/>
          <w:szCs w:val="28"/>
          <w:rtl w:val="true"/>
          <w:lang w:bidi="ar-SA"/>
        </w:rPr>
        <w:t xml:space="preserve">، والغنية وأحكام الراوندي </w:t>
      </w:r>
      <w:r>
        <w:rPr>
          <w:rStyle w:val="FootnoteAnchor"/>
          <w:rtl w:val="true"/>
        </w:rPr>
        <w:footnoteReference w:id="29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والطبرسي </w:t>
      </w:r>
      <w:r>
        <w:rPr>
          <w:rStyle w:val="FootnoteAnchor"/>
          <w:rtl w:val="true"/>
        </w:rPr>
        <w:footnoteReference w:id="2926"/>
      </w:r>
      <w:r>
        <w:rPr>
          <w:rFonts w:ascii="Amiri" w:hAnsi="Amiri" w:eastAsia="Amiri" w:cs="Amiri"/>
          <w:color w:val="111111"/>
          <w:sz w:val="28"/>
          <w:sz w:val="28"/>
          <w:szCs w:val="28"/>
          <w:rtl w:val="true"/>
          <w:lang w:bidi="ar-SA"/>
        </w:rPr>
        <w:t xml:space="preserve">، وشرح جمل السيد للقاضي </w:t>
      </w:r>
      <w:r>
        <w:rPr>
          <w:rStyle w:val="FootnoteAnchor"/>
          <w:rtl w:val="true"/>
        </w:rPr>
        <w:footnoteReference w:id="2927"/>
      </w:r>
      <w:r>
        <w:rPr>
          <w:rFonts w:ascii="Amiri" w:hAnsi="Amiri" w:eastAsia="Amiri" w:cs="Amiri"/>
          <w:color w:val="111111"/>
          <w:sz w:val="28"/>
          <w:sz w:val="28"/>
          <w:szCs w:val="28"/>
          <w:rtl w:val="true"/>
          <w:lang w:bidi="ar-SA"/>
        </w:rPr>
        <w:t xml:space="preserve">، واختاره بعض مشايخنا المحقّقين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الأقوى ، للأصل ، والمستفيضة 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تجد الماء وأردت التيمم فأخّر التيمّم إلى آخر الوقت ، فإن فاتك الماء لم تفتك الأرض </w:t>
      </w:r>
      <w:r>
        <w:rPr>
          <w:rFonts w:eastAsia="Amiri" w:cs="Amiri" w:ascii="Amiri" w:hAnsi="Amiri"/>
          <w:color w:val="111111"/>
          <w:sz w:val="28"/>
          <w:szCs w:val="28"/>
          <w:rtl w:val="true"/>
          <w:lang w:bidi="ar-SA"/>
        </w:rPr>
        <w:t xml:space="preserve">»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المسافر الماء فليطلب ما دام في الوقت ، فإن خاف أن يفوته الوقت فليتيمّم وليصلّ في آخر الوقت </w:t>
      </w:r>
      <w:r>
        <w:rPr>
          <w:rFonts w:eastAsia="Amiri" w:cs="Amiri" w:ascii="Amiri" w:hAnsi="Amiri"/>
          <w:color w:val="111111"/>
          <w:sz w:val="28"/>
          <w:szCs w:val="28"/>
          <w:rtl w:val="true"/>
          <w:lang w:bidi="ar-SA"/>
        </w:rPr>
        <w:t xml:space="preserve">»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روايته المروية في التهذيب ، إلاّ أن مقام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فليطلب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فليمسك </w:t>
      </w:r>
      <w:r>
        <w:rPr>
          <w:rFonts w:eastAsia="Amiri" w:cs="Amiri" w:ascii="Amiri" w:hAnsi="Amiri"/>
          <w:color w:val="111111"/>
          <w:sz w:val="28"/>
          <w:szCs w:val="28"/>
          <w:rtl w:val="true"/>
          <w:lang w:bidi="ar-SA"/>
        </w:rPr>
        <w:t xml:space="preserve">»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تيمّم الرجل فليكن ذلك في آخر الوقت ، فإن فاته الماء فلن تفوته الأرض </w:t>
      </w:r>
      <w:r>
        <w:rPr>
          <w:rFonts w:eastAsia="Amiri" w:cs="Amiri" w:ascii="Amiri" w:hAnsi="Amiri"/>
          <w:color w:val="111111"/>
          <w:sz w:val="28"/>
          <w:szCs w:val="28"/>
          <w:rtl w:val="true"/>
          <w:lang w:bidi="ar-SA"/>
        </w:rPr>
        <w:t xml:space="preserve">»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المروية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فلم يصب الماء ، أيتيمّم ويصلّي؟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آخر الوقت ، فإن فاته الماء لم تفته الأرض </w:t>
      </w:r>
      <w:r>
        <w:rPr>
          <w:rFonts w:eastAsia="Amiri" w:cs="Amiri" w:ascii="Amiri" w:hAnsi="Amiri"/>
          <w:color w:val="111111"/>
          <w:sz w:val="28"/>
          <w:szCs w:val="28"/>
          <w:rtl w:val="true"/>
          <w:lang w:bidi="ar-SA"/>
        </w:rPr>
        <w:t xml:space="preserve">»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للمتيمّم أن يتيمّم إلاّ في آخر الوقت أو إلى أن يتخوّف خروج وقت الصلاة </w:t>
      </w:r>
      <w:r>
        <w:rPr>
          <w:rFonts w:eastAsia="Amiri" w:cs="Amiri" w:ascii="Amiri" w:hAnsi="Amiri"/>
          <w:color w:val="111111"/>
          <w:sz w:val="28"/>
          <w:szCs w:val="28"/>
          <w:rtl w:val="true"/>
          <w:lang w:bidi="ar-SA"/>
        </w:rPr>
        <w:t xml:space="preserve">»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حمران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ينبغي لأحد أن يتيمّم إلاّ في آخر </w:t>
      </w:r>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يتيمّم من لم يجد الماء إلاّ في آخر الوقت </w:t>
      </w:r>
      <w:r>
        <w:rPr>
          <w:rFonts w:eastAsia="Amiri" w:cs="Amiri" w:ascii="Amiri" w:hAnsi="Amiri"/>
          <w:color w:val="111111"/>
          <w:sz w:val="28"/>
          <w:szCs w:val="28"/>
          <w:rtl w:val="true"/>
          <w:lang w:bidi="ar-SA"/>
        </w:rPr>
        <w:t xml:space="preserve">»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المعتبر وغيره ، عن علي عليه السلام في الجنب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ينتظر ويمكث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وبين آخر الوقت ، فإن وجد الماء وإلاّ يتيمّم </w:t>
      </w:r>
      <w:r>
        <w:rPr>
          <w:rFonts w:eastAsia="Amiri" w:cs="Amiri" w:ascii="Amiri" w:hAnsi="Amiri"/>
          <w:color w:val="111111"/>
          <w:sz w:val="28"/>
          <w:szCs w:val="28"/>
          <w:rtl w:val="true"/>
          <w:lang w:bidi="ar-SA"/>
        </w:rPr>
        <w:t xml:space="preserve">»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دلالة بعضها على الوجوب وإن كان كلام ، إلاّ أنّ دلالة أكثرها واضحة صريحة ، كما أنّ في سند بعضها وإن كان ضعف ، إلاّ أن أكثرها في غاية الاعتبار والقوة ، مع أنّ جميعها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الإجماعات ، والشهرة العظيمة القديمة المحقّقة والمحكية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منجبرة ، وبأصالة عدم مشروعية التيمّم وبقاء الاشتغال واستصحاب عدم جواز الدخول في الصلاة معتضدة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كذلك ، وهو مختار المنتهى والتحرير والإرشاد والبيان </w:t>
      </w:r>
      <w:r>
        <w:rPr>
          <w:rStyle w:val="FootnoteAnchor"/>
          <w:rtl w:val="true"/>
        </w:rPr>
        <w:footnoteReference w:id="2938"/>
      </w:r>
      <w:r>
        <w:rPr>
          <w:rFonts w:ascii="Amiri" w:hAnsi="Amiri" w:eastAsia="Amiri" w:cs="Amiri"/>
          <w:color w:val="111111"/>
          <w:sz w:val="28"/>
          <w:sz w:val="28"/>
          <w:szCs w:val="28"/>
          <w:rtl w:val="true"/>
          <w:lang w:bidi="ar-SA"/>
        </w:rPr>
        <w:t xml:space="preserve">، والمحكي عن الصدوقين </w:t>
      </w:r>
      <w:r>
        <w:rPr>
          <w:rStyle w:val="FootnoteAnchor"/>
          <w:rtl w:val="true"/>
        </w:rPr>
        <w:footnoteReference w:id="2939"/>
      </w:r>
      <w:r>
        <w:rPr>
          <w:rFonts w:ascii="Amiri" w:hAnsi="Amiri" w:eastAsia="Amiri" w:cs="Amiri"/>
          <w:color w:val="111111"/>
          <w:sz w:val="28"/>
          <w:sz w:val="28"/>
          <w:szCs w:val="28"/>
          <w:rtl w:val="true"/>
          <w:lang w:bidi="ar-SA"/>
        </w:rPr>
        <w:t xml:space="preserve">، وظاهري الجعفي وجامع البزنطي </w:t>
      </w:r>
      <w:r>
        <w:rPr>
          <w:rStyle w:val="FootnoteAnchor"/>
          <w:rtl w:val="true"/>
        </w:rPr>
        <w:footnoteReference w:id="2940"/>
      </w:r>
      <w:r>
        <w:rPr>
          <w:rFonts w:ascii="Amiri" w:hAnsi="Amiri" w:eastAsia="Amiri" w:cs="Amiri"/>
          <w:color w:val="111111"/>
          <w:sz w:val="28"/>
          <w:sz w:val="28"/>
          <w:szCs w:val="28"/>
          <w:rtl w:val="true"/>
          <w:lang w:bidi="ar-SA"/>
        </w:rPr>
        <w:t xml:space="preserve">وإن كان في ظهوره عن كلام الأخير نظر ، وإليه ذهب جمع من المتأخّرين كما قيل </w:t>
      </w:r>
      <w:r>
        <w:rPr>
          <w:rStyle w:val="FootnoteAnchor"/>
          <w:rtl w:val="true"/>
        </w:rPr>
        <w:footnoteReference w:id="2941"/>
      </w:r>
      <w:r>
        <w:rPr>
          <w:rFonts w:ascii="Amiri" w:hAnsi="Amiri" w:eastAsia="Amiri" w:cs="Amiri"/>
          <w:color w:val="111111"/>
          <w:sz w:val="28"/>
          <w:sz w:val="28"/>
          <w:szCs w:val="28"/>
          <w:rtl w:val="true"/>
          <w:lang w:bidi="ar-SA"/>
        </w:rPr>
        <w:t xml:space="preserve">، وعليه إطباق العامة كما في الناصريات والانتصار والمعتبر والتذكرة </w:t>
      </w:r>
      <w:r>
        <w:rPr>
          <w:rStyle w:val="FootnoteAnchor"/>
          <w:rtl w:val="true"/>
        </w:rPr>
        <w:footnoteReference w:id="2942"/>
      </w:r>
      <w:r>
        <w:rPr>
          <w:rFonts w:ascii="Amiri" w:hAnsi="Amiri" w:eastAsia="Amiri" w:cs="Amiri"/>
          <w:color w:val="111111"/>
          <w:sz w:val="28"/>
          <w:sz w:val="28"/>
          <w:szCs w:val="28"/>
          <w:rtl w:val="true"/>
          <w:lang w:bidi="ar-SA"/>
        </w:rPr>
        <w:t xml:space="preserve">، للأصل ، والعامي المروي في المعتبر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أدركتني الصلاة تيمّمت وصلّيت </w:t>
      </w:r>
      <w:r>
        <w:rPr>
          <w:rFonts w:eastAsia="Amiri" w:cs="Amiri" w:ascii="Amiri" w:hAnsi="Amiri"/>
          <w:color w:val="111111"/>
          <w:sz w:val="28"/>
          <w:szCs w:val="28"/>
          <w:rtl w:val="true"/>
          <w:lang w:bidi="ar-SA"/>
        </w:rPr>
        <w:t xml:space="preserve">»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وإطلاق الآيتين ، وعمومات توسيع الوقت وأفضلية أوّله ، وإطلاق ما دلّ على أنّ الصعيد كالماء وبمنزلته ، وأنه أحد الطهورين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القريبة من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الجواز المطلق من حيث الدلالة على أنّ من تيمّم وصلّى ثمَّ وجد الماء لا إعادة عليه ، وهي بين مطلقة بل عامة بترك الاستفصال لمن وجده في الوقت ، كالصحاح الأربعة للعيص وعبيد اللّه بن علي الحلبي وابني مسلم وسنان </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 xml:space="preserve">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التيمم 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وحسنة 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وخاصة مصرّحة بعدم الإعادة مع الوجدان في الوقت ، كصحيحة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وموثّقتي أبي بصير ويعقوب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وروايتي معاوية بن ميسرة وعلي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على كون الصلاة في الوقت دون إصابة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في الجميع ، كالحمل على الجاهل باعتبار الضيق مع معذورية الجاهل في ذلك الحكم ، أو على من شرع في الصلاة وقد وجد الماء في أثنائها بحيث ينقضي الوقت </w:t>
      </w:r>
    </w:p>
    <w:p>
      <w:pPr>
        <w:pStyle w:val="BookText"/>
        <w:rPr/>
      </w:pPr>
      <w:r>
        <w:rPr>
          <w:rFonts w:ascii="IRNazanin" w:hAnsi="IRNazanin" w:eastAsia="IRNazanin"/>
          <w:color w:val="111111"/>
          <w:sz w:val="28"/>
          <w:sz w:val="28"/>
          <w:szCs w:val="28"/>
          <w:rtl w:val="true"/>
          <w:lang w:bidi="fa-IR"/>
        </w:rPr>
        <w:t>بإتمامها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وتضعيفها بالمعارضة مع ما دلّ على الإعادة لو وجد الماء قبل خروج الوقت </w:t>
      </w:r>
      <w:r>
        <w:rPr>
          <w:rStyle w:val="FootnoteAnchor"/>
          <w:rtl w:val="true"/>
        </w:rPr>
        <w:footnoteReference w:id="2946"/>
      </w:r>
      <w:r>
        <w:rPr>
          <w:rFonts w:ascii="Amiri" w:hAnsi="Amiri" w:eastAsia="Amiri" w:cs="Amiri"/>
          <w:color w:val="111111"/>
          <w:sz w:val="28"/>
          <w:sz w:val="28"/>
          <w:szCs w:val="28"/>
          <w:rtl w:val="true"/>
          <w:lang w:bidi="ar-SA"/>
        </w:rPr>
        <w:t>ضعيف ، لخلوّه عن الدالّ على الوجوب ، وظهوره في كون علّة الإعادة وجدان الماء ، ولو وجب التأخير ، لكانت العلّة عامة ، ودلالته على خلاف المطلوب باعتبار إطلاق نفيه الإعادة مع الوجدان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وللمستفيضة الواردة في أنّ المتيمّم إذا وجد الماء في أثناء الصلاة ينصرف ، كصحيحة زرارة </w:t>
      </w:r>
      <w:r>
        <w:rPr>
          <w:rStyle w:val="FootnoteAnchor"/>
          <w:rtl w:val="true"/>
        </w:rPr>
        <w:footnoteReference w:id="2947"/>
      </w:r>
      <w:r>
        <w:rPr>
          <w:rFonts w:ascii="Amiri" w:hAnsi="Amiri" w:eastAsia="Amiri" w:cs="Amiri"/>
          <w:color w:val="111111"/>
          <w:sz w:val="28"/>
          <w:sz w:val="28"/>
          <w:szCs w:val="28"/>
          <w:rtl w:val="true"/>
          <w:lang w:bidi="ar-SA"/>
        </w:rPr>
        <w:t xml:space="preserve">، وحسنة ابن عاصم </w:t>
      </w:r>
      <w:r>
        <w:rPr>
          <w:rStyle w:val="FootnoteAnchor"/>
          <w:rtl w:val="true"/>
        </w:rPr>
        <w:footnoteReference w:id="2948"/>
      </w:r>
      <w:r>
        <w:rPr>
          <w:rFonts w:ascii="Amiri" w:hAnsi="Amiri" w:eastAsia="Amiri" w:cs="Amiri"/>
          <w:color w:val="111111"/>
          <w:sz w:val="28"/>
          <w:sz w:val="28"/>
          <w:szCs w:val="28"/>
          <w:rtl w:val="true"/>
          <w:lang w:bidi="ar-SA"/>
        </w:rPr>
        <w:t>، وغيرهما ، فإنه مع وجوب التضيّق لا معنى لذلك التفصيل ، كيف ويقولون بالتيمّم لضيق الوقت مع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ولتعليق التيمّم بالجنابة ، أو بها مع فقد الماء في المستفيضة </w:t>
      </w:r>
      <w:r>
        <w:rPr>
          <w:rStyle w:val="FootnoteAnchor"/>
          <w:rtl w:val="true"/>
        </w:rPr>
        <w:footnoteReference w:id="2949"/>
      </w:r>
      <w:r>
        <w:rPr>
          <w:rFonts w:ascii="Amiri" w:hAnsi="Amiri" w:eastAsia="Amiri" w:cs="Amiri"/>
          <w:color w:val="111111"/>
          <w:sz w:val="28"/>
          <w:sz w:val="28"/>
          <w:szCs w:val="28"/>
          <w:rtl w:val="true"/>
          <w:lang w:bidi="ar-SA"/>
        </w:rPr>
        <w:t>، فلا يتقيّد بغير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دلّ على شرعية التيمّم بمجرّد حضور الصلاة </w:t>
      </w:r>
      <w:r>
        <w:rPr>
          <w:rStyle w:val="FootnoteAnchor"/>
          <w:rtl w:val="true"/>
        </w:rPr>
        <w:footnoteReference w:id="2950"/>
      </w:r>
      <w:r>
        <w:rPr>
          <w:rFonts w:ascii="Amiri" w:hAnsi="Amiri" w:eastAsia="Amiri" w:cs="Amiri"/>
          <w:color w:val="111111"/>
          <w:sz w:val="28"/>
          <w:sz w:val="28"/>
          <w:szCs w:val="28"/>
          <w:rtl w:val="true"/>
          <w:lang w:bidi="ar-SA"/>
        </w:rPr>
        <w:t xml:space="preserve">، وعلى أنّ من تيمّم يجزيه ذلك إلى أن يجد الماء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ولاستلزام التأخير المطلق للعسر ، سيما في الأوقات التي لا يعلم أواخرها إلاّ بالترصّد ، وخصوصا في العشاء ، وسيما لذوي الأمراض ، وإيجابه لتفويت كثير من المستحبات ، بل تضييع خصوص العبادة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وللمستفيضة المجوّزة لصلاة الليل والنهار بتيمّم واحد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 قوم أصابته جنابة وليس معه ماء يكفيه للغسل ، أيتوضّأ بعضهم ويصلّي بهم؟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يتيمّم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بهم </w:t>
      </w:r>
      <w:r>
        <w:rPr>
          <w:rFonts w:eastAsia="Amiri" w:cs="Amiri" w:ascii="Amiri" w:hAnsi="Amiri"/>
          <w:color w:val="111111"/>
          <w:sz w:val="28"/>
          <w:szCs w:val="28"/>
          <w:rtl w:val="true"/>
          <w:lang w:bidi="ar-SA"/>
        </w:rPr>
        <w:t xml:space="preserve">» </w:t>
      </w:r>
      <w:r>
        <w:rPr>
          <w:rStyle w:val="FootnoteAnchor"/>
          <w:rtl w:val="true"/>
        </w:rPr>
        <w:footnoteReference w:id="2953"/>
      </w:r>
      <w:r>
        <w:rPr>
          <w:rFonts w:ascii="Amiri" w:hAnsi="Amiri" w:eastAsia="Amiri" w:cs="Amiri"/>
          <w:color w:val="111111"/>
          <w:sz w:val="28"/>
          <w:sz w:val="28"/>
          <w:szCs w:val="28"/>
          <w:rtl w:val="true"/>
          <w:lang w:bidi="ar-SA"/>
        </w:rPr>
        <w:t>فإنّه يبعد الأمر بتأخير المأمومين إلى آخر الوقت لدرك فضيلة الجماعة مع خصوص هذا الإمام المتيمّم مع وجود إمام متوضّي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وقوع الإمام والمأمومين في الضيق اتّفاقا بعيد جدا ، مع غلبة وقوع الجماعة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 بل لا دلالة لغير أخبار عدم الإعادة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 الخلاف كما مرّ </w:t>
      </w:r>
      <w:r>
        <w:rPr>
          <w:rStyle w:val="FootnoteAnchor"/>
          <w:rtl w:val="true"/>
        </w:rPr>
        <w:footnoteReference w:id="2954"/>
      </w:r>
      <w:r>
        <w:rPr>
          <w:rFonts w:ascii="Amiri" w:hAnsi="Amiri" w:eastAsia="Amiri" w:cs="Amiri"/>
          <w:color w:val="111111"/>
          <w:sz w:val="28"/>
          <w:sz w:val="28"/>
          <w:szCs w:val="28"/>
          <w:rtl w:val="true"/>
          <w:lang w:bidi="ar-SA"/>
        </w:rPr>
        <w:t>، وأصالة عدم وجوب التأخير فرع ثبوت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حجيته ، مع ما فيه من ضعف الدلالة كما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فلأنهما لا تدلاّن إلاّ على مشروعية التيمم ، لا على مشروعيته في كلّ وقت ، إلاّ أن تضمّ أصالة عدم التوقيت بوقت خاص ، ولكن أين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معارضة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إحداهما </w:t>
      </w:r>
      <w:r>
        <w:rPr>
          <w:rStyle w:val="FootnoteAnchor"/>
          <w:rtl w:val="true"/>
        </w:rPr>
        <w:footnoteReference w:id="2955"/>
      </w:r>
      <w:r>
        <w:rPr>
          <w:rFonts w:ascii="Amiri" w:hAnsi="Amiri" w:eastAsia="Amiri" w:cs="Amiri"/>
          <w:color w:val="111111"/>
          <w:sz w:val="28"/>
          <w:sz w:val="28"/>
          <w:szCs w:val="28"/>
          <w:rtl w:val="true"/>
          <w:lang w:bidi="ar-SA"/>
        </w:rPr>
        <w:t>دلالة على جوازه حين القيام إليها مطلقا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منه مشروعيته حين القيام إلى الصلاة المشروعة ، أمّا على كون الألفاظ أسماء للصحيحة فظاهر ، وأمّا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فللاتّفاق على عدم وجوب التطهّر إلاّ للصلاة المشروعة ، والكلام بعد في مشروعيتها في أول الوقت للمتيمّم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المشروعية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لِدُلُوكِ الشَّمْسِ </w:t>
      </w:r>
      <w:r>
        <w:rPr>
          <w:rFonts w:eastAsia="Amiri" w:cs="Amiri" w:ascii="Amiri" w:hAnsi="Amiri"/>
          <w:color w:val="111111"/>
          <w:sz w:val="28"/>
          <w:szCs w:val="28"/>
          <w:rtl w:val="true"/>
          <w:lang w:bidi="ar-SA"/>
        </w:rPr>
        <w:t xml:space="preserve">)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مخصّص بآيتي التطهير قطعا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بعد التطهّر ، فقدر زمان التطهّر خارج بالقطع ، ولا يعلم قدره في المورد ، فإثبات مشروعية الصلاة يتوقّف على مشروعية التطهّر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ضعف عمومات التوسيع وأفضلية أول الوقت ، لاختصاصها بغير زمان التطهّر قطعا ، مع أنّ أكثر أهل المواسعة حملوا أخبار المضايقة على الاستحباب ، وهو مناف لأفضلية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 المثلية والمنزلة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التيمّم إذا وجد الماء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فلمعارضتها مع ما دلّ على عدم الانصراف بمجرد الدخول في الصلاة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غير مناف للمضايقة أصلا ، لأنّ المراد منها ليس إلاّ آخر الوقت عرفا ، وهو لا ينافي توسعته لمقدار الطهارة ، ولذا لا مضايقة في الانصراف لكثير من أهل المضايقة ، سيما مع ما في بعض الأخبار من أنه يتوضّأ ويبني </w:t>
      </w:r>
      <w:r>
        <w:rPr>
          <w:rStyle w:val="FootnoteAnchor"/>
          <w:rtl w:val="true"/>
        </w:rPr>
        <w:footnoteReference w:id="2958"/>
      </w:r>
      <w:r>
        <w:rPr>
          <w:rFonts w:ascii="Amiri" w:hAnsi="Amiri" w:eastAsia="Amiri" w:cs="Amiri"/>
          <w:color w:val="111111"/>
          <w:sz w:val="28"/>
          <w:sz w:val="28"/>
          <w:szCs w:val="28"/>
          <w:rtl w:val="true"/>
          <w:lang w:bidi="ar-SA"/>
        </w:rPr>
        <w:t>، وسيما مع أنّ من أدرك ركعة من الوقت فقد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تعليق التيمّم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أنه مقيد بوجوب الصلاة أيضا ، وهو عين النزاع ، فإن أثبته بعمومات التوسيع ، رجع إليها ، وقد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إطلاق تشريع التيمّم بمجرّد حضور الصلاة ، مع أنّ في صدق الحضور والدرك بمجرد دخول الوقت كلاما يأتي في بحث أوقات الصلوات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إجزاء التيمّم لمن يتيمّم إلى أن يجد الماء ولو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ينافي </w:t>
      </w:r>
    </w:p>
    <w:p>
      <w:pPr>
        <w:pStyle w:val="BookText"/>
        <w:rPr/>
      </w:pPr>
      <w:r>
        <w:rPr>
          <w:rFonts w:ascii="Amiri" w:hAnsi="Amiri" w:eastAsia="Amiri" w:cs="Amiri"/>
          <w:color w:val="111111"/>
          <w:sz w:val="28"/>
          <w:sz w:val="28"/>
          <w:szCs w:val="28"/>
          <w:rtl w:val="true"/>
          <w:lang w:bidi="ar-SA"/>
        </w:rPr>
        <w:t xml:space="preserve">وجوب تأخيره لغير المتيمّم ، بل هو مسألة أخرى تأتي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ما في الاستدلال بمجوّزات صلاة الليل والنهار بتيمّم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جدّا ، سيما على القول بجواز الصلاة أول الوقت لمن دخله متيمّما لصلاة أخرى ، أو بجواز التيمّم مع نذر ركعتين في وقت معين وغير ذلك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على ذلك تسقط فائدة الأمر بالتأخير ، يشبه القول بأنه مع سهولة ارتكاب حيل تسقط شفعة الشفيع والربا تسقط فائدة تشريع الأول وتحريم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تفويت المستحبات فهو خطابي شعري لا 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الصحيحة الأخيرة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بعد في استحباب تأخير المأمومين لإدراك الجماعة ، مع أنه يمكن أن يكونوا أيضا متيمّمين ، ويشعر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أيتوضّأ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نفيه إمامة المتوضّئ وأمره إمامة المتيمّم الذي لا أقلّ من الرجحان مع كراهية إمامة المتيمّم للمتطهّر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أخبار الإعادة ،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أعم مطلقا من أخبار المضايقة ، إذ ليس المراد بآخر الوقت فيها وقت منطبق آخره بآخر الفريضة ، لأنّه تكليف بالمحال ، ولا يقول به أهل المضايقة ولا بوجوب الاقتصار على 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العرفي ، كما عليه يحمل سائر الألفاظ ، وهو لا ينافي زيادة شي‌ء من الوقت ، مع أنّ المعول ظنّ المكلّف وتخمينه ، كما هو مقتضى قوله في بعض أخبار 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خاف أن يفوته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التخلّف سيما في حق العوام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 المذكور في بعض أخبار المواسعة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شي‌ء من الوقت ، أو وقت ، وهو دالّ على القلّة ، فلا ينافي التخمين أو الآخر العرفي ، سيما مع أنّ بقاء </w:t>
      </w:r>
    </w:p>
    <w:p>
      <w:pPr>
        <w:pStyle w:val="BookText"/>
        <w:rPr/>
      </w:pPr>
      <w:r>
        <w:rPr>
          <w:rFonts w:ascii="Amiri" w:hAnsi="Amiri" w:eastAsia="Amiri" w:cs="Amiri"/>
          <w:color w:val="111111"/>
          <w:sz w:val="28"/>
          <w:sz w:val="28"/>
          <w:szCs w:val="28"/>
          <w:rtl w:val="true"/>
          <w:lang w:bidi="ar-SA"/>
        </w:rPr>
        <w:t>وقت يكفي فيه مقدار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لها عموما آخر ، وهو شمولها لمن صلّى في السعة بالتيمّم الواقع قبل وقتها لصلاة أخرى في آخر وقتها ، والقول بالجواز فيه معروف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فتخصّص تلك الأخبار بأخبار المضايقة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عمومها أيضا باعتبار شمولها لمن قطع بوجدان الماء إلى آخر الوقت فاسد ، لظهور الجميع أو الأكثر في عدم القطع بذلك ، كما هو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ذلك حتى يكون بينهما عموم من وجه ، أو عدم عموم أخبار المواسعة حتى يكون بينهما التساوي ، فالترجيح أيضا للمضايقة ، لمخالفة جميع العامة ، كما ذكره جمع من الخاصة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ترجيحها أيضا لو توهّم موافقة المواسعة لإطلاق الآيتين ، لتكافؤ الترجيحين وبقاء الأصل مع 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 يظهر المناص لو سلّمت دلالة بعض العمومات المتقدمة على المواسعة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بالأول مع رجاء زوال العذر ، والثاني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الإسكافي وظاهر العماني </w:t>
      </w:r>
      <w:r>
        <w:rPr>
          <w:rStyle w:val="FootnoteAnchor"/>
          <w:rtl w:val="true"/>
        </w:rPr>
        <w:footnoteReference w:id="2961"/>
      </w:r>
      <w:r>
        <w:rPr>
          <w:rFonts w:ascii="Amiri" w:hAnsi="Amiri" w:eastAsia="Amiri" w:cs="Amiri"/>
          <w:color w:val="111111"/>
          <w:sz w:val="28"/>
          <w:sz w:val="28"/>
          <w:szCs w:val="28"/>
          <w:rtl w:val="true"/>
          <w:lang w:bidi="ar-SA"/>
        </w:rPr>
        <w:t xml:space="preserve">، والتذكرة والقواعد وشرح القواعد وفخر المحقّقين واللمعة </w:t>
      </w:r>
      <w:r>
        <w:rPr>
          <w:rStyle w:val="FootnoteAnchor"/>
          <w:rtl w:val="true"/>
        </w:rPr>
        <w:footnoteReference w:id="2962"/>
      </w:r>
      <w:r>
        <w:rPr>
          <w:rFonts w:ascii="Amiri" w:hAnsi="Amiri" w:eastAsia="Amiri" w:cs="Amiri"/>
          <w:color w:val="111111"/>
          <w:sz w:val="28"/>
          <w:sz w:val="28"/>
          <w:szCs w:val="28"/>
          <w:rtl w:val="true"/>
          <w:lang w:bidi="ar-SA"/>
        </w:rPr>
        <w:t xml:space="preserve">، ووالدي العلاّمة ، بل أكثر المتأخّرين كما في شرح القواعد ، واستجوده في المعتبر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للجمع بين أخبار الطرفين ، مع ظهور الرجاء من التعليل في أكثر أخبار </w:t>
      </w:r>
      <w:bookmarkStart w:id="182" w:name="pg11616_94921"/>
    </w:p>
    <w:p>
      <w:pPr>
        <w:pStyle w:val="BookText"/>
        <w:rPr/>
      </w:pPr>
      <w:bookmarkEnd w:id="182"/>
      <w:r>
        <w:rPr>
          <w:rFonts w:ascii="Amiri" w:hAnsi="Amiri" w:eastAsia="Amiri" w:cs="Amiri"/>
          <w:color w:val="111111"/>
          <w:sz w:val="28"/>
          <w:sz w:val="28"/>
          <w:szCs w:val="28"/>
          <w:rtl w:val="true"/>
          <w:lang w:bidi="ar-SA"/>
        </w:rPr>
        <w:t xml:space="preserve">التضيق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فاتك الماء لم تفتك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الشك في الفوات ، مع أنه مع العلم بعدم زوال العذر يكون الأمر بالتأخير لغوا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كما يمكن بما ذكر يمكن بغيره أيضا مما ذكره أرباب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ظهور التعليل في الرجاء فإنما هو إذا جعل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الشرط والجزاء ، ويمكن أن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فاتك اللحم لم يفتك المرق ، لمن حصل له المرق دون اللحم ، وإن ذهب مالك لم يذهب أجرك ، لمن غصب ماله ، بل هو الظاهر والملائم للفظة لم ولن في الجواب ، مع أنّه لو سلّم ظهور ما تضمّن للتعليل فيه لا يقدح في عموم ما لا يتضمّنه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لزوم لغوية التأخير فمما لا يصلح للإصغاء إليه ، فإنه لم يعلم أنّ علة التأخير زوال العذر ، فلعلّها أمر آخر لا نعلمه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5588187_73709187"/>
      <w:bookmarkStart w:id="184" w:name="_Toc71"/>
      <w:bookmarkEnd w:id="183"/>
      <w:r>
        <w:rPr>
          <w:rtl w:val="true"/>
        </w:rPr>
        <w:t xml:space="preserve">فروع </w:t>
      </w:r>
      <w:r>
        <w:rPr>
          <w:rtl w:val="true"/>
        </w:rPr>
        <w:t>:</w:t>
      </w:r>
      <w:bookmarkEnd w:id="18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عموم وجوب التأخير لجميع الأعذار ، وعدم اختصاصه بعدم الماء وإن اختصّ أكثر أخبار المضايقة به ، لإطلاق موثّقة ابن بكير بل عمومها </w:t>
      </w:r>
      <w:r>
        <w:rPr>
          <w:rStyle w:val="FootnoteAnchor"/>
          <w:rtl w:val="true"/>
        </w:rPr>
        <w:footnoteReference w:id="2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وفوات الماء فيها لا ينحصر في عدمه ، بل يعم عدم إمكان استعماله ، وكذا الرضوي </w:t>
      </w:r>
      <w:r>
        <w:rPr>
          <w:rStyle w:val="FootnoteAnchor"/>
          <w:rtl w:val="true"/>
        </w:rPr>
        <w:footnoteReference w:id="2965"/>
      </w:r>
      <w:r>
        <w:rPr>
          <w:rFonts w:ascii="Amiri" w:hAnsi="Amiri" w:eastAsia="Amiri" w:cs="Amiri"/>
          <w:color w:val="111111"/>
          <w:sz w:val="28"/>
          <w:sz w:val="28"/>
          <w:szCs w:val="28"/>
          <w:rtl w:val="true"/>
          <w:lang w:bidi="ar-SA"/>
        </w:rPr>
        <w:t xml:space="preserve">، المنجبر ضعفه بعدم القول بالفصل المحقّق والمحكي في الروض </w:t>
      </w:r>
      <w:r>
        <w:rPr>
          <w:rStyle w:val="FootnoteAnchor"/>
          <w:rtl w:val="true"/>
        </w:rPr>
        <w:footnoteReference w:id="2966"/>
      </w:r>
      <w:r>
        <w:rPr>
          <w:rFonts w:ascii="IRNazanin" w:hAnsi="IRNazanin" w:eastAsia="IRNazanin"/>
          <w:color w:val="111111"/>
          <w:sz w:val="28"/>
          <w:sz w:val="28"/>
          <w:szCs w:val="28"/>
          <w:rtl w:val="true"/>
          <w:lang w:bidi="fa-IR"/>
        </w:rPr>
        <w:t>، واللوامع</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المعتبر التردّد </w:t>
      </w:r>
      <w:r>
        <w:rPr>
          <w:rStyle w:val="FootnoteAnchor"/>
          <w:rtl w:val="true"/>
        </w:rPr>
        <w:footnoteReference w:id="2967"/>
      </w:r>
      <w:r>
        <w:rPr>
          <w:rFonts w:ascii="Amiri" w:hAnsi="Amiri" w:eastAsia="Amiri" w:cs="Amiri"/>
          <w:color w:val="111111"/>
          <w:sz w:val="28"/>
          <w:sz w:val="28"/>
          <w:szCs w:val="28"/>
          <w:rtl w:val="true"/>
          <w:lang w:bidi="ar-SA"/>
        </w:rPr>
        <w:t xml:space="preserve">، كظاهر الحدائق </w:t>
      </w:r>
      <w:r>
        <w:rPr>
          <w:rStyle w:val="FootnoteAnchor"/>
          <w:rtl w:val="true"/>
        </w:rPr>
        <w:footnoteReference w:id="2968"/>
      </w:r>
      <w:r>
        <w:rPr>
          <w:rFonts w:ascii="Amiri" w:hAnsi="Amiri" w:eastAsia="Amiri" w:cs="Amiri"/>
          <w:color w:val="111111"/>
          <w:sz w:val="28"/>
          <w:sz w:val="28"/>
          <w:szCs w:val="28"/>
          <w:rtl w:val="true"/>
          <w:lang w:bidi="ar-SA"/>
        </w:rPr>
        <w:t xml:space="preserve">، بل مال في الأخير إلى المواسعة إذا كان العذر غير فقد الماء ، لاختصاص أكثر أخبار الباب ووجوب حمل البواقي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الضيق وتيمّم وصلّى ، ثمَّ بان خطؤه زائدا على ما يتسامح لم يعد ، وفاقا للمعتبر والدروس </w:t>
      </w:r>
      <w:r>
        <w:rPr>
          <w:rStyle w:val="FootnoteAnchor"/>
          <w:rtl w:val="true"/>
        </w:rPr>
        <w:footnoteReference w:id="2969"/>
      </w:r>
      <w:r>
        <w:rPr>
          <w:rFonts w:ascii="Amiri" w:hAnsi="Amiri" w:eastAsia="Amiri" w:cs="Amiri"/>
          <w:color w:val="111111"/>
          <w:sz w:val="28"/>
          <w:sz w:val="28"/>
          <w:szCs w:val="28"/>
          <w:rtl w:val="true"/>
          <w:lang w:bidi="ar-SA"/>
        </w:rPr>
        <w:t>، لأنّه تطهّر طهارة شرعية وصلّى صلاة مأمورا بها ، وللأخبار المتقدّمة الدالّة على عدم الإعادة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 في كتبه الأخبارية </w:t>
      </w:r>
      <w:r>
        <w:rPr>
          <w:rStyle w:val="FootnoteAnchor"/>
          <w:rtl w:val="true"/>
        </w:rPr>
        <w:footnoteReference w:id="2970"/>
      </w:r>
      <w:r>
        <w:rPr>
          <w:rFonts w:ascii="Amiri" w:hAnsi="Amiri" w:eastAsia="Amiri" w:cs="Amiri"/>
          <w:color w:val="111111"/>
          <w:sz w:val="28"/>
          <w:sz w:val="28"/>
          <w:szCs w:val="28"/>
          <w:rtl w:val="true"/>
          <w:lang w:bidi="ar-SA"/>
        </w:rPr>
        <w:t>، لأنّ شرط التيمّم التضيّق ، ولأنها صلاة واقعة قبل الوقت فتجب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التضيق بحسب علمه ، لأنّه المكلّف به وقد حصل ، بل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خاف فوت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ظنّ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هو إعادة ما وقع قبل الوقت المحدود المعهود ، دون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آخر الوقت آخره عرفا ، أي ما يسمّى في العرف آخرا ، لأنّه مقتضى حمل الألفاظ على المعنى ، وهو وإن صدق على زمان أكثر ممّا يخاف معه الفوت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لتصريح حسنة زرارة وروايته بخوف الفوات </w:t>
      </w:r>
      <w:r>
        <w:rPr>
          <w:rStyle w:val="FootnoteAnchor"/>
          <w:rtl w:val="true"/>
        </w:rPr>
        <w:footnoteReference w:id="2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مراعاته ، ويكفي فيه ظنّه بل احتماله أيضا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وقت صلاة وهو متيمّم ، جاز إيقاعها في أول وقتها ولو على المضايقة ، وفاقا للمعتبر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تردّد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والمدارك والذخيرة واللوامع وعن المبسوط والمختلف </w:t>
      </w:r>
      <w:r>
        <w:rPr>
          <w:rStyle w:val="FootnoteAnchor"/>
          <w:rtl w:val="true"/>
        </w:rPr>
        <w:footnoteReference w:id="2972"/>
      </w:r>
      <w:r>
        <w:rPr>
          <w:rFonts w:ascii="Amiri" w:hAnsi="Amiri" w:eastAsia="Amiri" w:cs="Amiri"/>
          <w:color w:val="111111"/>
          <w:sz w:val="28"/>
          <w:sz w:val="28"/>
          <w:szCs w:val="28"/>
          <w:rtl w:val="true"/>
          <w:lang w:bidi="ar-SA"/>
        </w:rPr>
        <w:t xml:space="preserve">، لأنّ المانع من تقديمها أوامر تأخير التيمّم ، وهي مختصة صريحة بالمحدث ، فتبقى عمومات الجواز في السعة في حقّ غيره سالمة عن </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يفيد قوله في 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 في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المستتر فيه راجع إلى المسافر المحدث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يستشهد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صحة الصلوات المتعدّدة بتيمّم واحد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إيقاعها في أول أوقاتها ، بل فيه ردّ على بعض العامة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صلاة تيمّما على حدة </w:t>
      </w:r>
      <w:r>
        <w:rPr>
          <w:rStyle w:val="FootnoteAnchor"/>
          <w:rtl w:val="true"/>
        </w:rPr>
        <w:footnoteReference w:id="2974"/>
      </w:r>
      <w:r>
        <w:rPr>
          <w:rFonts w:ascii="Amiri" w:hAnsi="Amiri" w:eastAsia="Amiri" w:cs="Amiri"/>
          <w:color w:val="111111"/>
          <w:sz w:val="28"/>
          <w:sz w:val="28"/>
          <w:szCs w:val="28"/>
          <w:rtl w:val="true"/>
          <w:lang w:bidi="ar-SA"/>
        </w:rPr>
        <w:t>، وهو خلاف إجماع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البيان وظاهر الدروس </w:t>
      </w:r>
      <w:r>
        <w:rPr>
          <w:rStyle w:val="FootnoteAnchor"/>
          <w:rtl w:val="true"/>
        </w:rPr>
        <w:footnoteReference w:id="2975"/>
      </w:r>
      <w:r>
        <w:rPr>
          <w:rFonts w:ascii="Amiri" w:hAnsi="Amiri" w:eastAsia="Amiri" w:cs="Amiri"/>
          <w:color w:val="111111"/>
          <w:sz w:val="28"/>
          <w:sz w:val="28"/>
          <w:szCs w:val="28"/>
          <w:rtl w:val="true"/>
          <w:lang w:bidi="ar-SA"/>
        </w:rPr>
        <w:t xml:space="preserve">، فأوجب تأخيرها على القول بالمضايقة والتفصيل مع الرجاء ، واختاره بعض مشايخنا المحقّقين </w:t>
      </w:r>
      <w:r>
        <w:rPr>
          <w:rStyle w:val="FootnoteAnchor"/>
          <w:rtl w:val="true"/>
        </w:rPr>
        <w:footnoteReference w:id="2976"/>
      </w:r>
      <w:r>
        <w:rPr>
          <w:rFonts w:ascii="Amiri" w:hAnsi="Amiri" w:eastAsia="Amiri" w:cs="Amiri"/>
          <w:color w:val="111111"/>
          <w:sz w:val="28"/>
          <w:sz w:val="28"/>
          <w:szCs w:val="28"/>
          <w:rtl w:val="true"/>
          <w:lang w:bidi="ar-SA"/>
        </w:rPr>
        <w:t>، لأنّ علّة التأخير إمكان زوال العذر ، وهو متحقّق في المقام ، ولأنه كان تأخير التيمّم والصلاة واجبا ، ولا يلزم من انتفاء التأخير بالنسبة إلى التيمّم لسبق فعله انتفاؤه بالنسبة إلى الصلاة ، فيستصحب الحكم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منع التعليل ، مع أنه لو سلّم فهو علّة لتأخير التيمّم والصلاة دون الصلاة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التيمّم ليس مقصودا بالذات ، والغرض حقيقة مراعاة حال الصلاة وإيقاعها على أتمّ ما يمكن ، يشبه القياسات والاستنباطات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وجوب تأخير الصلاة على غير من دخل الوقت متيمّما ، وأمّا بالنسبة إليه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يعلم جواز إيقاع الصلاة في أول الوقت مع ظنّ زوال العذر في آخره ، بل ومع القطع أيضا ، وأمر الاحتياط واضح</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للفائتة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كانت أو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وقت تذكّر وأراد فعلها ، أمّا على القول بالمضايقة في القضاء فظاهر ، وأمّا على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فلعمومات جواز </w:t>
      </w:r>
    </w:p>
    <w:p>
      <w:pPr>
        <w:pStyle w:val="BookText"/>
        <w:rPr/>
      </w:pPr>
      <w:r>
        <w:rPr>
          <w:rFonts w:ascii="Amiri" w:hAnsi="Amiri" w:eastAsia="Amiri" w:cs="Amiri"/>
          <w:color w:val="111111"/>
          <w:sz w:val="28"/>
          <w:sz w:val="28"/>
          <w:szCs w:val="28"/>
          <w:rtl w:val="true"/>
          <w:lang w:bidi="ar-SA"/>
        </w:rPr>
        <w:t>فعلها متى ذكرها ، وإطلاق الآيتين ، وأخبار التيمّم مع أصالة عدم التوقيت لها بوقت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يتيمّم للفائتة ، لأنّ وقتها العمر ، فتشملها أخبار التأخير إلى آخر الوقت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التحديد غير مستفاد من التوقيت ، بل هو من مقتضيات عدم الفورية ، ومثل ذلك ليس وقتا بل يجوز التيمّم في كلّ وقت لمن عليه فائتة ولو لم يرد فعلها ، لأنّ وجوبها عليه مستلزم لوجوب مقدمتها التي هي التيمّم مع العذر ، فلا مناص من القول إمّا بعدم وجوب الفائتة حين العذر ، أو بوجوب مقدمتها أيضا ، والأول ظاهر الفساد بالإجماع والعمومات ،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ما لا وقت لها محدود شرعا من الصلوات الواجبة كالنذر المطلق ، أو النافلة كذات الأسباب الغير الموقّتة أو المبتدأة ، لما ذكر مع إطلاق ما دلّ على وجوبها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الأخيرة للمعتبر والمنتهى والتذكرة </w:t>
      </w:r>
      <w:r>
        <w:rPr>
          <w:rStyle w:val="FootnoteAnchor"/>
          <w:rtl w:val="true"/>
        </w:rPr>
        <w:footnoteReference w:id="2978"/>
      </w:r>
      <w:r>
        <w:rPr>
          <w:rFonts w:ascii="Amiri" w:hAnsi="Amiri" w:eastAsia="Amiri" w:cs="Amiri"/>
          <w:color w:val="111111"/>
          <w:sz w:val="28"/>
          <w:sz w:val="28"/>
          <w:szCs w:val="28"/>
          <w:rtl w:val="true"/>
          <w:lang w:bidi="ar-SA"/>
        </w:rPr>
        <w:t>، فلم يجوّزوا التيمّم لها في الأوقات المكروهة لها ، بل الثاني لم يجوّزه فيها لقضاء الرواتب أيضا ، لأنّها ليست بوقت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وضعفها في غاية الوضوح ، فإنّها لو لم يكن وقت لها لكانت باطلة لو وقعت فيها ولو بالوضوء ، وهو خلاف الإجماع بل هي أوقات لها مرجوحة بالنسبة إلى سائر الأوقات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له وقت كالنذر الموقت والنوافل اليومية والآيات والعيدين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أخبار المضايقة في التيمّم عدم صحتها إلاّ في آخر أوقاتها ، ودعوى ظهورها في الفرائض اليومية غير مسموعة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في جواز التيمّم لكل منها في حال إيقاعها </w:t>
      </w:r>
      <w:r>
        <w:rPr>
          <w:rStyle w:val="FootnoteAnchor"/>
          <w:rtl w:val="true"/>
        </w:rPr>
        <w:footnoteReference w:id="2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الإجماع فهو ، وإلاّ فالوقوف على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لا يجوز التيمّم في شي‌ء ممّا ذكر ممّا له وقت قبل آخر وقتها ، لا يجوز قبل الوقت أيضا ، 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 xml:space="preserve">] </w:t>
      </w:r>
      <w:r>
        <w:rPr>
          <w:rStyle w:val="FootnoteAnchor"/>
          <w:rtl w:val="true"/>
        </w:rPr>
        <w:footnoteReference w:id="2980"/>
      </w:r>
      <w:r>
        <w:rPr>
          <w:rFonts w:ascii="Amiri" w:hAnsi="Amiri" w:eastAsia="Amiri" w:cs="Amiri"/>
          <w:color w:val="111111"/>
          <w:sz w:val="28"/>
          <w:sz w:val="28"/>
          <w:szCs w:val="28"/>
          <w:rtl w:val="true"/>
          <w:lang w:bidi="ar-SA"/>
        </w:rPr>
        <w:t>فلا يتيمّم للعيدين قبل الطلوع ، ولا للخسوف قبل الشروع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تيمّم لواحد مما يجوز التيمّم له جاز له أداء كلّ صلاة دخل وقتها ، بالإجماع ، والمستفيضة كصحيحة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يجد الماء ، أيتيمّم لكلّ 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هو بمنزلة الماء </w:t>
      </w:r>
      <w:r>
        <w:rPr>
          <w:rFonts w:eastAsia="Amiri" w:cs="Amiri" w:ascii="Amiri" w:hAnsi="Amiri"/>
          <w:color w:val="111111"/>
          <w:sz w:val="28"/>
          <w:szCs w:val="28"/>
          <w:rtl w:val="true"/>
          <w:lang w:bidi="ar-SA"/>
        </w:rPr>
        <w:t xml:space="preserve">»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تيمّم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يجزيه ذلك إلى أن يجد الماء </w:t>
      </w:r>
      <w:r>
        <w:rPr>
          <w:rFonts w:eastAsia="Amiri" w:cs="Amiri" w:ascii="Amiri" w:hAnsi="Amiri"/>
          <w:color w:val="111111"/>
          <w:sz w:val="28"/>
          <w:szCs w:val="28"/>
          <w:rtl w:val="true"/>
          <w:lang w:bidi="ar-SA"/>
        </w:rPr>
        <w:t xml:space="preserve">»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يصلّي صلاة الليل والنهار بتيمّم واحد ما لم يحدث أو يصب الماء </w:t>
      </w:r>
      <w:r>
        <w:rPr>
          <w:rFonts w:eastAsia="Amiri" w:cs="Amiri" w:ascii="Amiri" w:hAnsi="Amiri"/>
          <w:color w:val="111111"/>
          <w:sz w:val="28"/>
          <w:szCs w:val="28"/>
          <w:rtl w:val="true"/>
          <w:lang w:bidi="ar-SA"/>
        </w:rPr>
        <w:t xml:space="preserve">»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ما إذا أتى بما يتيمّم ، أو لم يأت إذا تيمّم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 الصلاة اللاحقة حينئذ تأخيرها إلى آخر وقتها إذا كانت موقّتة كما مرّ </w:t>
      </w:r>
      <w:r>
        <w:rPr>
          <w:rStyle w:val="FootnoteAnchor"/>
          <w:rtl w:val="true"/>
        </w:rPr>
        <w:footnoteReference w:id="2984"/>
      </w:r>
      <w:r>
        <w:rPr>
          <w:rFonts w:ascii="Amiri" w:hAnsi="Amiri" w:eastAsia="Amiri" w:cs="Amiri"/>
          <w:color w:val="111111"/>
          <w:sz w:val="28"/>
          <w:sz w:val="28"/>
          <w:szCs w:val="28"/>
          <w:rtl w:val="true"/>
          <w:lang w:bidi="ar-SA"/>
        </w:rPr>
        <w:t>، وبذلك ينتفي العسر الذي ادّعي على القول بالمضايقة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عليه الوضوء والغسل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كفاية الغسل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الماء لأحدهما فقط ، أتى به وتيمّم للآخر ، ولا يسقط ما يتمكّن منه بسقوط ما لا يتمكّن ، للاستصحاب ، وأصالة عدم المرابطة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وجد بقدر ما يغتسل ، فهل يجب الغسل أو يجوز له الوضوء أيضا؟ الظاهر الثاني ، لعدم دليل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يجد لشي‌ء منهما فظاهر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تيمّم واحد لهما ، وجعله في المدارك الأظهر </w:t>
      </w:r>
      <w:r>
        <w:rPr>
          <w:rStyle w:val="FootnoteAnchor"/>
          <w:rtl w:val="true"/>
        </w:rPr>
        <w:footnoteReference w:id="2986"/>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تيمّمين ، ونفى هو البأس عنه </w:t>
      </w:r>
      <w:r>
        <w:rPr>
          <w:rStyle w:val="FootnoteAnchor"/>
          <w:rtl w:val="true"/>
        </w:rPr>
        <w:footnoteReference w:id="2987"/>
      </w:r>
      <w:r>
        <w:rPr>
          <w:rFonts w:ascii="Amiri" w:hAnsi="Amiri" w:eastAsia="Amiri" w:cs="Amiri"/>
          <w:color w:val="111111"/>
          <w:sz w:val="28"/>
          <w:sz w:val="28"/>
          <w:szCs w:val="28"/>
          <w:rtl w:val="true"/>
          <w:lang w:bidi="ar-SA"/>
        </w:rPr>
        <w:t xml:space="preserve">، واختاره طائفة من مشايخنا مستدلّين بأصالة عدم تداخل الأسباب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ممنوعة مع أنّ بعض الإطلاقات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بالتيمّم الصحيح لا يعيد مطلقا ، وفاقا للمعظم ، بل عليه استفاضة نقل الإجماع في بعض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لإتيانه بالمأمور به على وجهه فيجزي عنه ، وهو بدل عن المأمور به مع المائية قطعا فيكفي عنه ، لكفاية البدل عن المبدل منه ، مع أنّ قضاءه بعد الوقت يتوقّف على أمر جديد ولا أمر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وللنصوص المستفيضة المتقدمة أكثرها في الأمر الأول من الفصل الأول ، الدالّة إمّا على إجزاء الصلاة وعدم استئنافها مطلقا ، كصحيحة ابن سنان </w:t>
      </w:r>
      <w:r>
        <w:rPr>
          <w:rStyle w:val="FootnoteAnchor"/>
          <w:rtl w:val="true"/>
        </w:rPr>
        <w:footnoteReference w:id="2989"/>
      </w:r>
      <w:r>
        <w:rPr>
          <w:rFonts w:ascii="Amiri" w:hAnsi="Amiri" w:eastAsia="Amiri" w:cs="Amiri"/>
          <w:color w:val="111111"/>
          <w:sz w:val="28"/>
          <w:sz w:val="28"/>
          <w:szCs w:val="28"/>
          <w:rtl w:val="true"/>
          <w:lang w:bidi="ar-SA"/>
        </w:rPr>
        <w:t xml:space="preserve">، وحسنة الحلبي </w:t>
      </w:r>
      <w:r>
        <w:rPr>
          <w:rStyle w:val="FootnoteAnchor"/>
          <w:rtl w:val="true"/>
        </w:rPr>
        <w:footnoteReference w:id="2990"/>
      </w:r>
      <w:r>
        <w:rPr>
          <w:rFonts w:ascii="Amiri" w:hAnsi="Amiri" w:eastAsia="Amiri" w:cs="Amiri"/>
          <w:color w:val="111111"/>
          <w:sz w:val="28"/>
          <w:sz w:val="28"/>
          <w:szCs w:val="28"/>
          <w:rtl w:val="true"/>
          <w:lang w:bidi="ar-SA"/>
        </w:rPr>
        <w:t xml:space="preserve">، ورواية الصيقل </w:t>
      </w:r>
      <w:r>
        <w:rPr>
          <w:rStyle w:val="FootnoteAnchor"/>
          <w:rtl w:val="true"/>
        </w:rPr>
        <w:footnoteReference w:id="2991"/>
      </w:r>
      <w:r>
        <w:rPr>
          <w:rFonts w:ascii="Amiri" w:hAnsi="Amiri" w:eastAsia="Amiri" w:cs="Amiri"/>
          <w:color w:val="111111"/>
          <w:sz w:val="28"/>
          <w:sz w:val="28"/>
          <w:szCs w:val="28"/>
          <w:rtl w:val="true"/>
          <w:lang w:bidi="ar-SA"/>
        </w:rPr>
        <w:t xml:space="preserve">، والصحاح الثلاث لمحمد وعبيد اللّه الحلبي </w:t>
      </w:r>
    </w:p>
    <w:p>
      <w:pPr>
        <w:pStyle w:val="BookText"/>
        <w:rPr/>
      </w:pPr>
      <w:r>
        <w:rPr>
          <w:rFonts w:ascii="Amiri" w:hAnsi="Amiri" w:eastAsia="Amiri" w:cs="Amiri"/>
          <w:color w:val="111111"/>
          <w:sz w:val="28"/>
          <w:sz w:val="28"/>
          <w:szCs w:val="28"/>
          <w:rtl w:val="true"/>
          <w:lang w:bidi="ar-SA"/>
        </w:rPr>
        <w:t xml:space="preserve">والعيص </w:t>
      </w:r>
      <w:r>
        <w:rPr>
          <w:rStyle w:val="FootnoteAnchor"/>
          <w:rtl w:val="true"/>
        </w:rPr>
        <w:footnoteReference w:id="2992"/>
      </w:r>
      <w:r>
        <w:rPr>
          <w:rFonts w:ascii="Amiri" w:hAnsi="Amiri" w:eastAsia="Amiri" w:cs="Amiri"/>
          <w:color w:val="111111"/>
          <w:sz w:val="28"/>
          <w:sz w:val="28"/>
          <w:szCs w:val="28"/>
          <w:rtl w:val="true"/>
          <w:lang w:bidi="ar-SA"/>
        </w:rPr>
        <w:t xml:space="preserve">، المصرّحة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أعم من القضاء لغة ، أو على عدم وجوب الإعادة في الوقت ، كصحيحة زرارة </w:t>
      </w:r>
      <w:r>
        <w:rPr>
          <w:rStyle w:val="FootnoteAnchor"/>
          <w:rtl w:val="true"/>
        </w:rPr>
        <w:footnoteReference w:id="2993"/>
      </w:r>
      <w:r>
        <w:rPr>
          <w:rFonts w:ascii="Amiri" w:hAnsi="Amiri" w:eastAsia="Amiri" w:cs="Amiri"/>
          <w:color w:val="111111"/>
          <w:sz w:val="28"/>
          <w:sz w:val="28"/>
          <w:szCs w:val="28"/>
          <w:rtl w:val="true"/>
          <w:lang w:bidi="ar-SA"/>
        </w:rPr>
        <w:t xml:space="preserve">وموثّقة ابن أسباط عن عمّه </w:t>
      </w:r>
      <w:r>
        <w:rPr>
          <w:rStyle w:val="FootnoteAnchor"/>
          <w:rtl w:val="true"/>
        </w:rPr>
        <w:footnoteReference w:id="2994"/>
      </w:r>
      <w:r>
        <w:rPr>
          <w:rFonts w:ascii="Amiri" w:hAnsi="Amiri" w:eastAsia="Amiri" w:cs="Amiri"/>
          <w:color w:val="111111"/>
          <w:sz w:val="28"/>
          <w:sz w:val="28"/>
          <w:szCs w:val="28"/>
          <w:rtl w:val="true"/>
          <w:lang w:bidi="ar-SA"/>
        </w:rPr>
        <w:t xml:space="preserve">، وروايات أبي بصير وابن سالم وابن ميسرة </w:t>
      </w:r>
      <w:r>
        <w:rPr>
          <w:rStyle w:val="FootnoteAnchor"/>
          <w:rtl w:val="true"/>
        </w:rPr>
        <w:footnoteReference w:id="2995"/>
      </w:r>
      <w:r>
        <w:rPr>
          <w:rFonts w:ascii="Amiri" w:hAnsi="Amiri" w:eastAsia="Amiri" w:cs="Amiri"/>
          <w:color w:val="111111"/>
          <w:sz w:val="28"/>
          <w:sz w:val="28"/>
          <w:szCs w:val="28"/>
          <w:rtl w:val="true"/>
          <w:lang w:bidi="ar-SA"/>
        </w:rPr>
        <w:t xml:space="preserve">، أو على عدم وجوب القضاء كحسنة زرارة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القديمين ، فأوجبا الإعادة إذا بلغ الماء في الوقت </w:t>
      </w:r>
      <w:r>
        <w:rPr>
          <w:rStyle w:val="FootnoteAnchor"/>
          <w:rtl w:val="true"/>
        </w:rPr>
        <w:footnoteReference w:id="2997"/>
      </w:r>
      <w:r>
        <w:rPr>
          <w:rFonts w:ascii="Amiri" w:hAnsi="Amiri" w:eastAsia="Amiri" w:cs="Amiri"/>
          <w:color w:val="111111"/>
          <w:sz w:val="28"/>
          <w:sz w:val="28"/>
          <w:szCs w:val="28"/>
          <w:rtl w:val="true"/>
          <w:lang w:bidi="ar-SA"/>
        </w:rPr>
        <w:t xml:space="preserve">، لصحيحة يعقوب </w:t>
      </w:r>
      <w:r>
        <w:rPr>
          <w:rStyle w:val="FootnoteAnchor"/>
          <w:rtl w:val="true"/>
        </w:rPr>
        <w:footnoteReference w:id="2998"/>
      </w:r>
      <w:r>
        <w:rPr>
          <w:rFonts w:ascii="Amiri" w:hAnsi="Amiri" w:eastAsia="Amiri" w:cs="Amiri"/>
          <w:color w:val="111111"/>
          <w:sz w:val="28"/>
          <w:sz w:val="28"/>
          <w:szCs w:val="28"/>
          <w:rtl w:val="true"/>
          <w:lang w:bidi="ar-SA"/>
        </w:rPr>
        <w:t xml:space="preserve">، وموثّقة ابن حازم </w:t>
      </w:r>
      <w:r>
        <w:rPr>
          <w:rStyle w:val="FootnoteAnchor"/>
          <w:rtl w:val="true"/>
        </w:rPr>
        <w:footnoteReference w:id="2999"/>
      </w:r>
      <w:r>
        <w:rPr>
          <w:rFonts w:ascii="Amiri" w:hAnsi="Amiri" w:eastAsia="Amiri" w:cs="Amiri"/>
          <w:color w:val="111111"/>
          <w:sz w:val="28"/>
          <w:sz w:val="28"/>
          <w:szCs w:val="28"/>
          <w:rtl w:val="true"/>
          <w:lang w:bidi="ar-SA"/>
        </w:rPr>
        <w:t>، المتقدّمتين في البحث المذكور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 عن الدالّ على الوجوب سيما الأخيرة ، مضافا إلى </w:t>
      </w:r>
    </w:p>
    <w:p>
      <w:pPr>
        <w:pStyle w:val="BookText"/>
        <w:rPr/>
      </w:pPr>
      <w:r>
        <w:rPr>
          <w:rFonts w:ascii="Amiri" w:hAnsi="Amiri" w:eastAsia="Amiri" w:cs="Amiri"/>
          <w:color w:val="111111"/>
          <w:sz w:val="28"/>
          <w:sz w:val="28"/>
          <w:szCs w:val="28"/>
          <w:rtl w:val="true"/>
          <w:lang w:bidi="ar-SA"/>
        </w:rPr>
        <w:t>إطلاقها الخالي عن القائل ، والمرجوحية عمّا تقدّم من المعارضات بأشهريتها فتوى ورواية لو سلّمت الدلالة ، والرجوع إلى الأصل لو لم تسلّم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السيد في شرح في الرسالة ، فأوجبها إذا تيمّم الحاضر لفقد الماء </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مستنده معارضة ما دلّ على عدم الإعادة مع بعض ما يظنّ دلالته على الإعادة مطلقا ، كموثّقة منصور ، وترجيح الأول في المريض والمسافر بموافقة الكتاب ، والثاني في غيرهما بالاحتياط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رفع اليد عن الأخبار مطلقا بناء على أصله ، والعمل في المريض والمسافر بالكتاب ، وفي غيرهما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التقديرين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والمبسوط والاستبصار والتهذيب والمهذّب والإصباح وروض الجنان </w:t>
      </w:r>
      <w:r>
        <w:rPr>
          <w:rStyle w:val="FootnoteAnchor"/>
          <w:rtl w:val="true"/>
        </w:rPr>
        <w:footnoteReference w:id="3001"/>
      </w:r>
      <w:r>
        <w:rPr>
          <w:rFonts w:ascii="Amiri" w:hAnsi="Amiri" w:eastAsia="Amiri" w:cs="Amiri"/>
          <w:color w:val="111111"/>
          <w:sz w:val="28"/>
          <w:sz w:val="28"/>
          <w:szCs w:val="28"/>
          <w:rtl w:val="true"/>
          <w:lang w:bidi="ar-SA"/>
        </w:rPr>
        <w:t xml:space="preserve">، فأوجبوا الإعادة على المتيمّم للخوف على النفس إذا تعمّد الجنابة ، واستقربه في المدارك </w:t>
      </w:r>
      <w:r>
        <w:rPr>
          <w:rStyle w:val="FootnoteAnchor"/>
          <w:rtl w:val="true"/>
        </w:rPr>
        <w:footnoteReference w:id="3002"/>
      </w:r>
      <w:r>
        <w:rPr>
          <w:rFonts w:ascii="Amiri" w:hAnsi="Amiri" w:eastAsia="Amiri" w:cs="Amiri"/>
          <w:color w:val="111111"/>
          <w:sz w:val="28"/>
          <w:sz w:val="28"/>
          <w:szCs w:val="28"/>
          <w:rtl w:val="true"/>
          <w:lang w:bidi="ar-SA"/>
        </w:rPr>
        <w:t xml:space="preserve">، لصحيحة ابن سنان ومرسلة جعفر ، المتقدّمتين في الأمر السادس من الفصل الأول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غير ناهضتين لإثبات الوجوب ، ولو سلّم فتخصيصهما بالمتعمّد ليس أولى من حملهما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الإسكافي </w:t>
      </w:r>
      <w:r>
        <w:rPr>
          <w:rStyle w:val="FootnoteAnchor"/>
          <w:rtl w:val="true"/>
        </w:rPr>
        <w:footnoteReference w:id="3004"/>
      </w:r>
      <w:r>
        <w:rPr>
          <w:rFonts w:ascii="Amiri" w:hAnsi="Amiri" w:eastAsia="Amiri" w:cs="Amiri"/>
          <w:color w:val="111111"/>
          <w:sz w:val="28"/>
          <w:sz w:val="28"/>
          <w:szCs w:val="28"/>
          <w:rtl w:val="true"/>
          <w:lang w:bidi="ar-SA"/>
        </w:rPr>
        <w:t xml:space="preserve">والشيخ </w:t>
      </w:r>
      <w:r>
        <w:rPr>
          <w:rStyle w:val="FootnoteAnchor"/>
          <w:rtl w:val="true"/>
        </w:rPr>
        <w:footnoteReference w:id="3005"/>
      </w:r>
      <w:r>
        <w:rPr>
          <w:rFonts w:ascii="Amiri" w:hAnsi="Amiri" w:eastAsia="Amiri" w:cs="Amiri"/>
          <w:color w:val="111111"/>
          <w:sz w:val="28"/>
          <w:sz w:val="28"/>
          <w:szCs w:val="28"/>
          <w:rtl w:val="true"/>
          <w:lang w:bidi="ar-SA"/>
        </w:rPr>
        <w:t xml:space="preserve">وجملة ممّن تبعهما </w:t>
      </w:r>
      <w:r>
        <w:rPr>
          <w:rStyle w:val="FootnoteAnchor"/>
          <w:rtl w:val="true"/>
        </w:rPr>
        <w:footnoteReference w:id="3006"/>
      </w:r>
      <w:r>
        <w:rPr>
          <w:rFonts w:ascii="Amiri" w:hAnsi="Amiri" w:eastAsia="Amiri" w:cs="Amiri"/>
          <w:color w:val="111111"/>
          <w:sz w:val="28"/>
          <w:sz w:val="28"/>
          <w:szCs w:val="28"/>
          <w:rtl w:val="true"/>
          <w:lang w:bidi="ar-SA"/>
        </w:rPr>
        <w:t>، فأوجبوها على من تيمّم في الجامع لمنع الزحام إيّاه عن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وسط الزحام يوم الجمعة ويوم عرفة لا يستطيع الخروج من المسجد من كثرة الناس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معهم ويعيد إذا انصرف </w:t>
      </w:r>
      <w:r>
        <w:rPr>
          <w:rFonts w:eastAsia="Amiri" w:cs="Amiri" w:ascii="Amiri" w:hAnsi="Amiri"/>
          <w:color w:val="111111"/>
          <w:sz w:val="28"/>
          <w:szCs w:val="28"/>
          <w:rtl w:val="true"/>
          <w:lang w:bidi="ar-SA"/>
        </w:rPr>
        <w:t xml:space="preserve">» </w:t>
      </w:r>
      <w:r>
        <w:rPr>
          <w:rStyle w:val="FootnoteAnchor"/>
          <w:rtl w:val="true"/>
        </w:rPr>
        <w:footnoteReference w:id="3007"/>
      </w:r>
      <w:r>
        <w:rPr>
          <w:rFonts w:ascii="Amiri" w:hAnsi="Amiri" w:eastAsia="Amiri" w:cs="Amiri"/>
          <w:color w:val="111111"/>
          <w:sz w:val="28"/>
          <w:sz w:val="28"/>
          <w:szCs w:val="28"/>
          <w:rtl w:val="true"/>
          <w:lang w:bidi="ar-SA"/>
        </w:rPr>
        <w:t xml:space="preserve">وقريبة منها موثّقة سماعة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من عدم الدلالة على وجوب الإعادة ولا على وجوب التيمّم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يتعيّن أن يكون التيمّم والصلاة هو الفريضة ، فيمكن أن يكون هذا أمرا مستحبا غيرها ندب إليه حفظا لسنة التقية ، حيث إنّ محل الزحام في ذلك العصر لم يكن إلاّ للمخالفين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والنهاية ، فيمن لم يكن له ماء وكان عليه نجاسة فتيمّم وصلّى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ليس عليه إلاّ ثوب ولا تحلّ الصلاة فيه وليس يجد ماء يغسله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 فإذا أصاب ماء ، غسله وأعاد الصلاة </w:t>
      </w:r>
      <w:r>
        <w:rPr>
          <w:rFonts w:eastAsia="Amiri" w:cs="Amiri" w:ascii="Amiri" w:hAnsi="Amiri"/>
          <w:color w:val="111111"/>
          <w:sz w:val="28"/>
          <w:szCs w:val="28"/>
          <w:rtl w:val="true"/>
          <w:lang w:bidi="ar-SA"/>
        </w:rPr>
        <w:t xml:space="preserve">»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عن إفادة الزائد عن الاستحباب قاصرة ، وهو مسلّم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استحباب الإعادة من جهة نجاسة الثوب أو التيمّم أو هما معا؟ قضية الأصل تقتضي الأخير ، فلا تستحب إلاّ باجتماعهما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غسله وأعاد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الظاهر منه أنّ الإعادة عند غسل النجاسة وإن لم يوجد الماء بقدر يكفي الطهارة ، فيستفاد منه أنّ السبب هو النجاسة ، لمنع الاستفادة ، لجواز أن يكونا معا سببين ، واستحب الإعادة برفعهما معا أو رفع هذا الجزء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تعذّر له استعمال الماء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للوضوء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متطهّرا ، جاز له تعمّد الجنابة إجماعا ، لعدم وجوب المائية عليه ، وعدم التفرقة بين التيمّمين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متطهّرا ، أو لم يتمكن من الغسل وتمكّن من الوضوء ، على الحق المشهور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3011"/>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تقدّم سابقا من وجوب إبقاء مقدمة الواجب المطلق لا يفيد هنا ، لأنّ الوضوء ليس واجبا مطلقا ، لأنّه مشروط بعدم الجنابة ، والغسل وإن كان واجبا مطلقا للجنب ، ولكنه غير مقدور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أهله في السفر لا يجد الماء أيأتي أهله؟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أن يفعل إلاّ أن يخاف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بذلك اللذة ، ويكون شبقا على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الشبق يخاف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بذلك اللذة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حلال </w:t>
      </w:r>
      <w:r>
        <w:rPr>
          <w:rFonts w:eastAsia="Amiri" w:cs="Amiri" w:ascii="Amiri" w:hAnsi="Amiri"/>
          <w:color w:val="111111"/>
          <w:sz w:val="28"/>
          <w:szCs w:val="28"/>
          <w:rtl w:val="true"/>
          <w:lang w:bidi="ar-SA"/>
        </w:rPr>
        <w:t xml:space="preserve">» </w:t>
      </w:r>
      <w:r>
        <w:rPr>
          <w:rStyle w:val="FootnoteAnchor"/>
          <w:rtl w:val="true"/>
        </w:rPr>
        <w:footnoteReference w:id="3012"/>
      </w:r>
      <w:r>
        <w:rPr>
          <w:rFonts w:ascii="Amiri" w:hAnsi="Amiri" w:eastAsia="Amiri" w:cs="Amiri"/>
          <w:color w:val="111111"/>
          <w:sz w:val="28"/>
          <w:sz w:val="28"/>
          <w:szCs w:val="28"/>
          <w:rtl w:val="true"/>
          <w:lang w:bidi="ar-SA"/>
        </w:rPr>
        <w:t xml:space="preserve">الحديث ، ونحوه المروي في مستطرفات السرائر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بحكاية أبي ذر ، حيث إنّ النبي صلی اللّه عليه وآله أقرّه على فعله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التقرير ، لأنه إنما هو حين الاشتغال بالفعل ، وأمّا بعده فليس تقريرا ، بل قرّره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الإسكافي </w:t>
      </w:r>
      <w:r>
        <w:rPr>
          <w:rStyle w:val="FootnoteAnchor"/>
          <w:rtl w:val="true"/>
        </w:rPr>
        <w:footnoteReference w:id="3015"/>
      </w:r>
      <w:r>
        <w:rPr>
          <w:rFonts w:ascii="Amiri" w:hAnsi="Amiri" w:eastAsia="Amiri" w:cs="Amiri"/>
          <w:color w:val="111111"/>
          <w:sz w:val="28"/>
          <w:sz w:val="28"/>
          <w:szCs w:val="28"/>
          <w:rtl w:val="true"/>
          <w:lang w:bidi="ar-SA"/>
        </w:rPr>
        <w:t xml:space="preserve">، ونقل عن المفيد أيضا وكلامه لا يدلّ عليه </w:t>
      </w:r>
      <w:r>
        <w:rPr>
          <w:rStyle w:val="FootnoteAnchor"/>
          <w:rtl w:val="true"/>
        </w:rPr>
        <w:footnoteReference w:id="3016"/>
      </w:r>
      <w:r>
        <w:rPr>
          <w:rFonts w:ascii="Amiri" w:hAnsi="Amiri" w:eastAsia="Amiri" w:cs="Amiri"/>
          <w:color w:val="111111"/>
          <w:sz w:val="28"/>
          <w:sz w:val="28"/>
          <w:szCs w:val="28"/>
          <w:rtl w:val="true"/>
          <w:lang w:bidi="ar-SA"/>
        </w:rPr>
        <w:t xml:space="preserve">، للمرفوعتين المتقدّمتين الدالّتين على وجوب الغسل على من أجنب متعمدا </w:t>
      </w:r>
      <w:r>
        <w:rPr>
          <w:rStyle w:val="FootnoteAnchor"/>
          <w:rtl w:val="true"/>
        </w:rPr>
        <w:footnoteReference w:id="3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عدم الماء وما يتيمّم به بالمرة ، سقط الأداء إجماعا ، كما صرّح به جماعة </w:t>
      </w:r>
      <w:r>
        <w:rPr>
          <w:rStyle w:val="FootnoteAnchor"/>
          <w:rtl w:val="true"/>
        </w:rPr>
        <w:footnoteReference w:id="3018"/>
      </w:r>
      <w:r>
        <w:rPr>
          <w:rFonts w:ascii="Amiri" w:hAnsi="Amiri" w:eastAsia="Amiri" w:cs="Amiri"/>
          <w:color w:val="111111"/>
          <w:sz w:val="28"/>
          <w:sz w:val="28"/>
          <w:szCs w:val="28"/>
          <w:rtl w:val="true"/>
          <w:lang w:bidi="ar-SA"/>
        </w:rPr>
        <w:t xml:space="preserve">، لقوله عليه 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3019"/>
      </w:r>
      <w:r>
        <w:rPr>
          <w:rFonts w:ascii="Amiri" w:hAnsi="Amiri" w:eastAsia="Amiri" w:cs="Amiri"/>
          <w:color w:val="111111"/>
          <w:sz w:val="28"/>
          <w:sz w:val="28"/>
          <w:szCs w:val="28"/>
          <w:rtl w:val="true"/>
          <w:lang w:bidi="ar-SA"/>
        </w:rPr>
        <w:t>وغيره مما يدل على انتفاء حقيقة الصلاة بانتفاء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نفي الصحة مع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نفي الجنس لا وجه له ، مع أنه أيضا يكفي ، إذ غير الصحيح ليس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ما قيل من أنّ الطهور شرط الصحة لا الوجوب ، فيتوقّف عليه المشروط مع إمكانه ، كما في القبلة والساتر ، دون ما إذا لم يمكن وإلاّ لانقلب واجبا مقيّدا بالنسبة إليه </w:t>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لمنع انحصار التوقّف بالإمكان ، بل مقتضى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والتخلّف في طائفة من الشرائط بدليل من خارج لا ينافي أصل الاقتضاء ، ولا يوجب ذلك صيرورته واجبا مطلقا بالنسبة إليه ، لأنّ الفرق بين مقدّمة المقيّد والمطلق إنما هو في وجوب التحصيل وعدمه مع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منع إرادة نفي الصحة من نحو الصحيحة ، واحتمل إرادة نفي الكمال ، لاتّجه أن يمنع شرطية الطهور للصلاة مطلقا ، إذ لا يثبت من الأخبار الاشتراط ، بل غايتها التكليف المقيّد بالإمكان قطعا ، فبدونه لا تكليف به ، ويجب امتثال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على الشرطية فهو لا يتجاوز عن صورة الإمكان في ذلك المقام ، والمناط هو الصحيحة وما يؤدّي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بعض من تأمّل في دلالة الصحيحة من المتأخّرين جعل الأولى وجوب الأداء من غير إعادة لو لم ينعقد الإجماع على خلافه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السيد في مسائل أملاها تكملة لكتاب الغرر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الأداء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القاضي والمحقّق قولا بوجوبها مع الإعادة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والقاضي تجويزهما معا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الأداء ، لحرمة الوقت والخروج عن الخلاف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القضاء ، فالحقّ وجوبه ، وفاقا لأكثر المتأخّرين ، وعن الناصريات والإصباح والمقنعة والمبسوط والجواهر والسرائر والمنتهى والشهيد </w:t>
      </w:r>
      <w:r>
        <w:rPr>
          <w:rStyle w:val="FootnoteAnchor"/>
          <w:rtl w:val="true"/>
        </w:rPr>
        <w:footnoteReference w:id="3025"/>
      </w:r>
      <w:r>
        <w:rPr>
          <w:rFonts w:ascii="IRNazanin" w:hAnsi="IRNazanin" w:eastAsia="IRNazanin"/>
          <w:color w:val="111111"/>
          <w:sz w:val="28"/>
          <w:sz w:val="28"/>
          <w:szCs w:val="28"/>
          <w:rtl w:val="true"/>
          <w:lang w:bidi="fa-IR"/>
        </w:rPr>
        <w:t>، لعموم موجبات قضاء الفوائت مطلقا ، أو من الفرائض</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الفوت لفقد الطهور من النوادر غير ضائر ، لأنّ الاحتجاج بالعموم دون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وظهور الفائدة فيما يجب أولا ممنوع ، كما يأتي بيانه في بحث القضاء ، مع أنّ أكثر العمومات يشمل الناسي الذي لا 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والمتبادر من الفريضة ما تعلّق به الوجوب في الجملة ، بل هو حقيقتها ، فلا يتوقّف صدقها على الوجوب على خصوص هذا الشخص وإن أوجب ذلك تخصيصا من بعض الوجوه ،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للمنقول عن المفيد في رسالته إلى ولده </w:t>
      </w:r>
      <w:r>
        <w:rPr>
          <w:rStyle w:val="FootnoteAnchor"/>
          <w:rtl w:val="true"/>
        </w:rPr>
        <w:footnoteReference w:id="3026"/>
      </w:r>
      <w:r>
        <w:rPr>
          <w:rFonts w:ascii="Amiri" w:hAnsi="Amiri" w:eastAsia="Amiri" w:cs="Amiri"/>
          <w:color w:val="111111"/>
          <w:sz w:val="28"/>
          <w:sz w:val="28"/>
          <w:szCs w:val="28"/>
          <w:rtl w:val="true"/>
          <w:lang w:bidi="ar-SA"/>
        </w:rPr>
        <w:t xml:space="preserve">، وللوسيلة والمعتبر والشرائع </w:t>
      </w:r>
      <w:r>
        <w:rPr>
          <w:rStyle w:val="FootnoteAnchor"/>
          <w:rtl w:val="true"/>
        </w:rPr>
        <w:footnoteReference w:id="3027"/>
      </w:r>
      <w:r>
        <w:rPr>
          <w:rFonts w:ascii="Amiri" w:hAnsi="Amiri" w:eastAsia="Amiri" w:cs="Amiri"/>
          <w:color w:val="111111"/>
          <w:sz w:val="28"/>
          <w:sz w:val="28"/>
          <w:szCs w:val="28"/>
          <w:rtl w:val="true"/>
          <w:lang w:bidi="ar-SA"/>
        </w:rPr>
        <w:t xml:space="preserve">، وبعض كتب الفاضل </w:t>
      </w:r>
      <w:r>
        <w:rPr>
          <w:rStyle w:val="FootnoteAnchor"/>
          <w:rtl w:val="true"/>
        </w:rPr>
        <w:footnoteReference w:id="3028"/>
      </w:r>
      <w:r>
        <w:rPr>
          <w:rFonts w:ascii="Amiri" w:hAnsi="Amiri" w:eastAsia="Amiri" w:cs="Amiri"/>
          <w:color w:val="111111"/>
          <w:sz w:val="28"/>
          <w:sz w:val="28"/>
          <w:szCs w:val="28"/>
          <w:rtl w:val="true"/>
          <w:lang w:bidi="ar-SA"/>
        </w:rPr>
        <w:t>، فلم يوجبوه ، للأصل المندفع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وتبعية القضاء للأداء ممنوعة جدّا ، وسواء أريد التبعية مفهوما أو حكما ، مع أنّ انتفاء التبعية حكما يكفي لنا وهو ثابت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في أخبار كثيرة من الصحاح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في بحث القضاء على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غلب اللّه عليه فهو أولى بالعذر ، وليس على صاحبه شي‌ء </w:t>
      </w:r>
      <w:r>
        <w:rPr>
          <w:rFonts w:eastAsia="Amiri" w:cs="Amiri" w:ascii="Amiri" w:hAnsi="Amiri"/>
          <w:color w:val="111111"/>
          <w:sz w:val="28"/>
          <w:szCs w:val="28"/>
          <w:rtl w:val="true"/>
          <w:lang w:bidi="ar-SA"/>
        </w:rPr>
        <w:t xml:space="preserve">» </w:t>
      </w:r>
      <w:r>
        <w:rPr>
          <w:rStyle w:val="FootnoteAnchor"/>
          <w:rtl w:val="true"/>
        </w:rPr>
        <w:footnoteReference w:id="3029"/>
      </w:r>
      <w:r>
        <w:rPr>
          <w:rFonts w:ascii="Amiri" w:hAnsi="Amiri" w:eastAsia="Amiri" w:cs="Amiri"/>
          <w:color w:val="111111"/>
          <w:sz w:val="28"/>
          <w:sz w:val="28"/>
          <w:szCs w:val="28"/>
          <w:rtl w:val="true"/>
          <w:lang w:bidi="ar-SA"/>
        </w:rPr>
        <w:t>حيث إنّه يعارض عمومات قضاء الفوائت بالعموم من وجه ، ولا ترجيح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فقد الطهور بكونه من فعل اللّه سبحانه ، بل قد يحصل بفعل المكلّف من الذهاب إلى مكان يفقد فيه الطهور ، أو إتلافه مع وجوده ، أو يحصل ذلك بفعل غيره من المكلّفين ، ويتمّ المطلوب في غيره بالإجماع المركّب ، ولا يصح ضمّه مع صورة كونه بفعله سبحانه ، لأنّ نفي القضاء يكون حينئذ بالأصل ، فيندفع بالإجماع المركّب المنضمّ مع الدليل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المتيمّم إن وجد الماء قبل شروعه في الصلاة ، ينتقض تيمّمه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وجده بعد الفراغ عنها ، مضت صلاته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 في الأثناء يرجع ما لم يركع الاولى ، ويتطهّر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ركع لها يتمّ صلاته ويمضي فيها ، وفاقا للصدوقين </w:t>
      </w:r>
      <w:r>
        <w:rPr>
          <w:rStyle w:val="FootnoteAnchor"/>
          <w:rtl w:val="true"/>
        </w:rPr>
        <w:footnoteReference w:id="3030"/>
      </w:r>
      <w:r>
        <w:rPr>
          <w:rFonts w:ascii="Amiri" w:hAnsi="Amiri" w:eastAsia="Amiri" w:cs="Amiri"/>
          <w:color w:val="111111"/>
          <w:sz w:val="28"/>
          <w:sz w:val="28"/>
          <w:szCs w:val="28"/>
          <w:rtl w:val="true"/>
          <w:lang w:bidi="ar-SA"/>
        </w:rPr>
        <w:t xml:space="preserve">والجعفي والعماني </w:t>
      </w:r>
      <w:r>
        <w:rPr>
          <w:rStyle w:val="FootnoteAnchor"/>
          <w:rtl w:val="true"/>
        </w:rPr>
        <w:footnoteReference w:id="3031"/>
      </w: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3032"/>
      </w:r>
      <w:r>
        <w:rPr>
          <w:rFonts w:ascii="Amiri" w:hAnsi="Amiri" w:eastAsia="Amiri" w:cs="Amiri"/>
          <w:color w:val="111111"/>
          <w:sz w:val="28"/>
          <w:sz w:val="28"/>
          <w:szCs w:val="28"/>
          <w:rtl w:val="true"/>
          <w:lang w:bidi="ar-SA"/>
        </w:rPr>
        <w:t xml:space="preserve">، والسيد في المصباح والجمل </w:t>
      </w:r>
      <w:r>
        <w:rPr>
          <w:rStyle w:val="FootnoteAnchor"/>
          <w:rtl w:val="true"/>
        </w:rPr>
        <w:footnoteReference w:id="3033"/>
      </w:r>
      <w:r>
        <w:rPr>
          <w:rFonts w:ascii="Amiri" w:hAnsi="Amiri" w:eastAsia="Amiri" w:cs="Amiri"/>
          <w:color w:val="111111"/>
          <w:sz w:val="28"/>
          <w:sz w:val="28"/>
          <w:szCs w:val="28"/>
          <w:rtl w:val="true"/>
          <w:lang w:bidi="ar-SA"/>
        </w:rPr>
        <w:t xml:space="preserve">بل في شرح الرسالة كما حكي عنه </w:t>
      </w:r>
      <w:r>
        <w:rPr>
          <w:rStyle w:val="FootnoteAnchor"/>
          <w:rtl w:val="true"/>
        </w:rPr>
        <w:footnoteReference w:id="3034"/>
      </w:r>
      <w:r>
        <w:rPr>
          <w:rFonts w:ascii="Amiri" w:hAnsi="Amiri" w:eastAsia="Amiri" w:cs="Amiri"/>
          <w:color w:val="111111"/>
          <w:sz w:val="28"/>
          <w:sz w:val="28"/>
          <w:szCs w:val="28"/>
          <w:rtl w:val="true"/>
          <w:lang w:bidi="ar-SA"/>
        </w:rPr>
        <w:t xml:space="preserve">، واختاره من المتأخّرين جماعة كالأردبيلي وصاحبي المنتقى والمفاتيح والحدائق </w:t>
      </w:r>
      <w:r>
        <w:rPr>
          <w:rStyle w:val="FootnoteAnchor"/>
          <w:rtl w:val="true"/>
        </w:rPr>
        <w:footnoteReference w:id="3035"/>
      </w:r>
      <w:r>
        <w:rPr>
          <w:rFonts w:ascii="Amiri" w:hAnsi="Amiri" w:eastAsia="Amiri" w:cs="Amiri"/>
          <w:color w:val="111111"/>
          <w:sz w:val="28"/>
          <w:sz w:val="28"/>
          <w:szCs w:val="28"/>
          <w:rtl w:val="true"/>
          <w:lang w:bidi="ar-SA"/>
        </w:rPr>
        <w:t xml:space="preserve">، وبعض سادة مشايخنا </w:t>
      </w:r>
      <w:r>
        <w:rPr>
          <w:rStyle w:val="FootnoteAnchor"/>
          <w:rtl w:val="true"/>
        </w:rPr>
        <w:footnoteReference w:id="3036"/>
      </w:r>
      <w:r>
        <w:rPr>
          <w:rFonts w:ascii="Amiri" w:hAnsi="Amiri" w:eastAsia="Amiri" w:cs="Amiri"/>
          <w:color w:val="111111"/>
          <w:sz w:val="28"/>
          <w:sz w:val="28"/>
          <w:szCs w:val="28"/>
          <w:rtl w:val="true"/>
          <w:lang w:bidi="ar-SA"/>
        </w:rPr>
        <w:t xml:space="preserve">، وبعض محقّقيهم </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الماء وقد دخل في الصلاة فلينصرف وليتوضّأ ما لم يركع ، فإن كان قد ركع فليمض في صلاته ، فإن التيمّم أحد الطهورين </w:t>
      </w:r>
      <w:r>
        <w:rPr>
          <w:rFonts w:eastAsia="Amiri" w:cs="Amiri" w:ascii="Amiri" w:hAnsi="Amiri"/>
          <w:color w:val="111111"/>
          <w:sz w:val="28"/>
          <w:szCs w:val="28"/>
          <w:rtl w:val="true"/>
          <w:lang w:bidi="ar-SA"/>
        </w:rPr>
        <w:t xml:space="preserve">»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يجد الماء فيتيمّم ويقوم في الصلاة فجاءه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الماء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لم يركع فلينصرف وليتوضأ ، وإن كان قد ركع فليمض في صلاته </w:t>
      </w:r>
      <w:r>
        <w:rPr>
          <w:rFonts w:eastAsia="Amiri" w:cs="Amiri" w:ascii="Amiri" w:hAnsi="Amiri"/>
          <w:color w:val="111111"/>
          <w:sz w:val="28"/>
          <w:szCs w:val="28"/>
          <w:rtl w:val="true"/>
          <w:lang w:bidi="ar-SA"/>
        </w:rPr>
        <w:t xml:space="preserve">» </w:t>
      </w:r>
      <w:r>
        <w:rPr>
          <w:rStyle w:val="FootnoteAnchor"/>
          <w:rtl w:val="true"/>
        </w:rPr>
        <w:footnoteReference w:id="3039"/>
      </w:r>
      <w:r>
        <w:rPr>
          <w:rFonts w:ascii="Amiri" w:hAnsi="Amiri" w:eastAsia="Amiri" w:cs="Amiri"/>
          <w:color w:val="111111"/>
          <w:sz w:val="28"/>
          <w:sz w:val="28"/>
          <w:szCs w:val="28"/>
          <w:rtl w:val="true"/>
          <w:lang w:bidi="ar-SA"/>
        </w:rPr>
        <w:t xml:space="preserve">ورواه ابن محبوب في كتابه ، والبزنطي في نوادره كما نقله الحلي في سرائره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دخل في الصلاة بتيمّم ثمَّ وجد الماء فلينصرف ويتوضّأ ويصلّي إن لم يكن ركع ، فإن ركع مضى في صلاته </w:t>
      </w:r>
      <w:r>
        <w:rPr>
          <w:rFonts w:eastAsia="Amiri" w:cs="Amiri" w:ascii="Amiri" w:hAnsi="Amiri"/>
          <w:color w:val="111111"/>
          <w:sz w:val="28"/>
          <w:szCs w:val="28"/>
          <w:rtl w:val="true"/>
          <w:lang w:bidi="ar-SA"/>
        </w:rPr>
        <w:t xml:space="preserve">» </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والمستفيضة الآتية المصرّحة بانتقاض التيمّم بوجدان الماء مطلقا ، خرج ما بعد الركوع بما مرّ وما يأتي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يركع الثانية ، ولكنه احتمل عدم جواز القطع بعد الأولى أيضا إن خاف الضيق وعدم جواز القطع مطلقا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للجمع بين ما ظاهره لزوم الرجوع ولو صلّى ركعة ، كخبر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تيمّم ثمَّ قام يصلّي فمرّ به نهر وقد صلّى ركعة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فليغتسل وليستقبل </w:t>
      </w:r>
      <w:r>
        <w:rPr>
          <w:rFonts w:eastAsia="Amiri" w:cs="Amiri" w:ascii="Amiri" w:hAnsi="Amiri"/>
          <w:color w:val="111111"/>
          <w:sz w:val="28"/>
          <w:szCs w:val="28"/>
          <w:rtl w:val="true"/>
          <w:lang w:bidi="ar-SA"/>
        </w:rPr>
        <w:t xml:space="preserve">»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ركعة على تيمّم ثمَّ جاء رجل ومعه قربتان من 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الصلاة ويتوضّأ ثمَّ يبني على واحدة </w:t>
      </w:r>
      <w:r>
        <w:rPr>
          <w:rFonts w:eastAsia="Amiri" w:cs="Amiri" w:ascii="Amiri" w:hAnsi="Amiri"/>
          <w:color w:val="111111"/>
          <w:sz w:val="28"/>
          <w:szCs w:val="28"/>
          <w:rtl w:val="true"/>
          <w:lang w:bidi="ar-SA"/>
        </w:rPr>
        <w:t xml:space="preserve">» </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ومنافاة جزئه الأخير للإجماع لا تضرّ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صريحه الإمضاء بعد ركعتين ، كصحيحة محمد 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يصب الماء وحضرت الصلاة فتيمّم وصلّى ركعتين ، ثمَّ أصاب الماء أينقض الركعتين ويقطعهما ويتوضّأ ويصلّي؟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ولكنه يمضي في صلاته ولا ينقضها لمكان أنه دخلها على طهور بتيمّم </w:t>
      </w:r>
      <w:r>
        <w:rPr>
          <w:rFonts w:eastAsia="Amiri" w:cs="Amiri" w:ascii="Amiri" w:hAnsi="Amiri"/>
          <w:color w:val="111111"/>
          <w:sz w:val="28"/>
          <w:szCs w:val="28"/>
          <w:rtl w:val="true"/>
          <w:lang w:bidi="ar-SA"/>
        </w:rPr>
        <w:t xml:space="preserve">»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وبالأولين نقيّد إطلاقات عدم القطع مطلقا أو بعد الركوع ، وبالثالثة إطلاقات الانتقاض بوجدان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الخبرين وشذوذهما ، لمخالفتهما الشهرة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وللديلمي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يقرأ </w:t>
      </w:r>
      <w:r>
        <w:rPr>
          <w:rStyle w:val="FootnoteAnchor"/>
          <w:rtl w:val="true"/>
        </w:rPr>
        <w:footnoteReference w:id="3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ولابن حمزة ، فقال بالرجوع مطلقا إذا ظنّ السعة ، واستحبابه ما لم يركع إن لم يظن ذلك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للنصوص الدالّة على الانتقاض بوجدان الماء وتقديم جانب الصلاة مع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تخصيص تلك النصوص بما تقدّم ، لخصوصيتها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المبسوط والخلاف </w:t>
      </w:r>
      <w:r>
        <w:rPr>
          <w:rStyle w:val="FootnoteAnchor"/>
          <w:rtl w:val="true"/>
        </w:rPr>
        <w:footnoteReference w:id="3048"/>
      </w:r>
      <w:r>
        <w:rPr>
          <w:rFonts w:ascii="Amiri" w:hAnsi="Amiri" w:eastAsia="Amiri" w:cs="Amiri"/>
          <w:color w:val="111111"/>
          <w:sz w:val="28"/>
          <w:sz w:val="28"/>
          <w:szCs w:val="28"/>
          <w:rtl w:val="true"/>
          <w:lang w:bidi="ar-SA"/>
        </w:rPr>
        <w:t xml:space="preserve">، والسيد في مسائل الخلاف </w:t>
      </w:r>
      <w:r>
        <w:rPr>
          <w:rStyle w:val="FootnoteAnchor"/>
          <w:rtl w:val="true"/>
        </w:rPr>
        <w:footnoteReference w:id="3049"/>
      </w:r>
      <w:r>
        <w:rPr>
          <w:rFonts w:ascii="Amiri" w:hAnsi="Amiri" w:eastAsia="Amiri" w:cs="Amiri"/>
          <w:color w:val="111111"/>
          <w:sz w:val="28"/>
          <w:sz w:val="28"/>
          <w:szCs w:val="28"/>
          <w:rtl w:val="true"/>
          <w:lang w:bidi="ar-SA"/>
        </w:rPr>
        <w:t xml:space="preserve">، والقاضي والحلّي والحلبي والجامع والمحقّق والفاضل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والكركي والتنقيح واللمعة والدروس والمدارك واللوامع </w:t>
      </w:r>
      <w:r>
        <w:rPr>
          <w:rStyle w:val="FootnoteAnchor"/>
          <w:rtl w:val="true"/>
        </w:rPr>
        <w:footnoteReference w:id="3050"/>
      </w:r>
      <w:r>
        <w:rPr>
          <w:rFonts w:ascii="Amiri" w:hAnsi="Amiri" w:eastAsia="Amiri" w:cs="Amiri"/>
          <w:color w:val="111111"/>
          <w:sz w:val="28"/>
          <w:sz w:val="28"/>
          <w:szCs w:val="28"/>
          <w:rtl w:val="true"/>
          <w:lang w:bidi="ar-SA"/>
        </w:rPr>
        <w:t xml:space="preserve">، بل الأكثر كما في الروضة والبحار </w:t>
      </w:r>
      <w:r>
        <w:rPr>
          <w:rStyle w:val="FootnoteAnchor"/>
          <w:rtl w:val="true"/>
        </w:rPr>
        <w:footnoteReference w:id="3051"/>
      </w:r>
      <w:r>
        <w:rPr>
          <w:rFonts w:ascii="Amiri" w:hAnsi="Amiri" w:eastAsia="Amiri" w:cs="Amiri"/>
          <w:color w:val="111111"/>
          <w:sz w:val="28"/>
          <w:sz w:val="28"/>
          <w:szCs w:val="28"/>
          <w:rtl w:val="true"/>
          <w:lang w:bidi="ar-SA"/>
        </w:rPr>
        <w:t xml:space="preserve">واللوامع ، بل عليه الإجماع في بحث الاستحاضة من السرائر </w:t>
      </w:r>
      <w:r>
        <w:rPr>
          <w:rStyle w:val="FootnoteAnchor"/>
          <w:rtl w:val="true"/>
        </w:rPr>
        <w:footnoteReference w:id="3052"/>
      </w:r>
      <w:r>
        <w:rPr>
          <w:rFonts w:ascii="Amiri" w:hAnsi="Amiri" w:eastAsia="Amiri" w:cs="Amiri"/>
          <w:color w:val="111111"/>
          <w:sz w:val="28"/>
          <w:sz w:val="28"/>
          <w:szCs w:val="28"/>
          <w:rtl w:val="true"/>
          <w:lang w:bidi="ar-SA"/>
        </w:rPr>
        <w:t>، فقالوا بعدم الرجوع ووجوب الإتمام ولو تلبّس بتكبيرة الإحرام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لأصالة بقاء التيمّم ، واستصحاب كون المصلّي جائزا له الصلاة ، وكون ما صلّى صحيحا أي لو ضمّ إليه الباقي يكون صحيحا ، وأصالة عدم وجوب الوضوء </w:t>
      </w:r>
    </w:p>
    <w:p>
      <w:pPr>
        <w:pStyle w:val="BookText"/>
        <w:rPr/>
      </w:pPr>
      <w:r>
        <w:rPr>
          <w:rFonts w:ascii="Amiri" w:hAnsi="Amiri" w:eastAsia="Amiri" w:cs="Amiri"/>
          <w:color w:val="111111"/>
          <w:sz w:val="28"/>
          <w:sz w:val="28"/>
          <w:szCs w:val="28"/>
          <w:rtl w:val="true"/>
          <w:lang w:bidi="ar-SA"/>
        </w:rPr>
        <w:t>وقطع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ولصحيحة زرارة ومحمد ، المتقدّمة ، حيث إنّ التعليل فيها يوجب المضي مع الدخول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تيمّم ثمَّ دخل في الصلاة وقد كان طلب الماء فلم يقدر عليه ثمَّ يؤتى بالماء حين يدخل في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في الصلاة </w:t>
      </w:r>
      <w:r>
        <w:rPr>
          <w:rFonts w:eastAsia="Amiri" w:cs="Amiri" w:ascii="Amiri" w:hAnsi="Amiri"/>
          <w:color w:val="111111"/>
          <w:sz w:val="28"/>
          <w:szCs w:val="28"/>
          <w:rtl w:val="true"/>
          <w:lang w:bidi="ar-SA"/>
        </w:rPr>
        <w:t xml:space="preserve">» </w:t>
      </w:r>
      <w:r>
        <w:rPr>
          <w:rStyle w:val="FootnoteAnchor"/>
          <w:rtl w:val="true"/>
        </w:rPr>
        <w:footnoteReference w:id="305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بما ذكر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كبّرت في صلاتك تكبيرة الافتتاح وأوتيت بالماء فلا تقطع الصلاة ولا تنقض تيمّمك وامض في صلاتك </w:t>
      </w:r>
      <w:r>
        <w:rPr>
          <w:rFonts w:eastAsia="Amiri" w:cs="Amiri" w:ascii="Amiri" w:hAnsi="Amiri"/>
          <w:color w:val="111111"/>
          <w:sz w:val="28"/>
          <w:szCs w:val="28"/>
          <w:rtl w:val="true"/>
          <w:lang w:bidi="ar-SA"/>
        </w:rPr>
        <w:t xml:space="preserve">»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باندفاعها بما ذكر ، وعن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مطلقة بالنسبة إلى أخبارنا ، وحمل المطلق على المقيد لازم ، والرجوع إلى وجوه التراجيح إنما هو مع التباين كليا أو من وجه ، مع أنه لا ترجيح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وترجيحها بالأصحّية سندا ، حيث إنّ محمد بن حمران أشهر في العلم والعدالة من عبد اللّه بن عاصم ، وبالأيسرية ، وبأنّ العمل بها يوجب الجمع بحمل أخبارنا على الاستحباب ، وبالموافقة للشهرة والإجماع المنقول ، وللنهي عن قطع العمل وإبطال الصلاة ، مردود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صلاحيته للترجيح ، كما بيّنّا في موضعه ، مع أنّ محمد بن حمران الأعدل هو النهدي ، ولا قرينة هنا على التعيين ، مع أنه غير كاف في الترجيح مع اشتراك محمد بن سماعة الراوي عنه ، وعدم قرينة على كونه الحضرمي ، وتعينهما للمحقّق </w:t>
      </w:r>
      <w:r>
        <w:rPr>
          <w:rStyle w:val="FootnoteAnchor"/>
          <w:rtl w:val="true"/>
        </w:rPr>
        <w:footnoteReference w:id="3055"/>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لنا ، وكون الراوي عن سماعة البزنطي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صرّح الشيخ بأنه لا يروي إلاّ عن الثقات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بأنّ في بعض طرق رواية ابن عاصم أبان المجمع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ترجيح رواية ابن حمران على رواية ابن عاصم سندا ، فلا ترجّح على صحيحة زرارة قطعا ، فإنّه لا يكافئه غيره من الرواة ، وكذا من تقدّم عليه لا يوازيهم من تقدّم على ابن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وإن رجّح اليسير على العسير ولكن لا دليل على ترجيح الأيسر على اليسير ، ولا نسلّم العسر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الجمع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منه بالتجوّز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كون الموافقة للشهرة المحكية في الفتوى موجبا للترجيح ، مع أنّ الشهرة المحقّقة القديمة على خلافه ، إذ المعروفون منهم ذهبوا إلى خلافه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الإجماع المنقول ، مع أنّ الظاهر أن مراد الحلّي هو الإجماع على المضيّ في الجملة لا مطلقا ، حيث صرّح في بحث التيمّم بأنّ في المسألة اختلافا ، ونقل أقوالا ثلاثة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إبطال العمل وقطع الصلاة المنهي عنهما إنما هو إذا كان العمل صحيحا والكلام فيه ، فإنّه لا كلام في الإبطال والقطع ، بل في البطلان والانقطاع</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ظهر أنه لا ترجيح لأخبارهم أصلا ، بل الترجيح من حيث السند وأظهرية الحمل مع أخبارنا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85" w:name="pg11616_94939"/>
    </w:p>
    <w:p>
      <w:pPr>
        <w:pStyle w:val="BookText"/>
        <w:rPr/>
      </w:pPr>
      <w:bookmarkEnd w:id="185"/>
      <w:r>
        <w:rPr>
          <w:rFonts w:ascii="Amiri" w:hAnsi="Amiri" w:eastAsia="Amiri" w:cs="Amiri"/>
          <w:color w:val="111111"/>
          <w:sz w:val="28"/>
          <w:sz w:val="28"/>
          <w:szCs w:val="28"/>
          <w:rtl w:val="true"/>
          <w:lang w:bidi="ar-SA"/>
        </w:rPr>
        <w:t xml:space="preserve">وترجّحها أيضا أظهرية الدلالة ، 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w:t>
      </w:r>
      <w:r>
        <w:rPr>
          <w:rFonts w:eastAsia="Amiri" w:cs="Amiri" w:ascii="Amiri" w:hAnsi="Amiri"/>
          <w:color w:val="111111"/>
          <w:sz w:val="28"/>
          <w:szCs w:val="28"/>
          <w:rtl w:val="true"/>
          <w:lang w:bidi="ar-SA"/>
        </w:rPr>
        <w:t xml:space="preserve">] </w:t>
      </w:r>
      <w:r>
        <w:rPr>
          <w:rStyle w:val="FootnoteAnchor"/>
          <w:rtl w:val="true"/>
        </w:rPr>
        <w:footnoteReference w:id="3058"/>
      </w:r>
      <w:r>
        <w:rPr>
          <w:rFonts w:ascii="Amiri" w:hAnsi="Amiri" w:eastAsia="Amiri" w:cs="Amiri"/>
          <w:color w:val="111111"/>
          <w:sz w:val="28"/>
          <w:sz w:val="28"/>
          <w:szCs w:val="28"/>
          <w:rtl w:val="true"/>
          <w:lang w:bidi="ar-SA"/>
        </w:rPr>
        <w:t xml:space="preserve">في دلالة رواية ابن حمران على كون الوجدان أيضا في الأثناء ، بل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وجده في آن الدخول ، وتخرج حينئذ عن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دلالة التعليل أنه وإن اقتضى التعميم </w:t>
      </w:r>
      <w:r>
        <w:rPr>
          <w:rStyle w:val="FootnoteAnchor"/>
          <w:rtl w:val="true"/>
        </w:rPr>
        <w:footnoteReference w:id="3059"/>
      </w:r>
      <w:r>
        <w:rPr>
          <w:rFonts w:ascii="Amiri" w:hAnsi="Amiri" w:eastAsia="Amiri" w:cs="Amiri"/>
          <w:color w:val="111111"/>
          <w:sz w:val="28"/>
          <w:sz w:val="28"/>
          <w:szCs w:val="28"/>
          <w:rtl w:val="true"/>
          <w:lang w:bidi="ar-SA"/>
        </w:rPr>
        <w:t xml:space="preserve">ولكن بملاحظة التعليل بمثل ذلك في صحيحة زرارة للإمضاء بعد الركوع خاصة ، مع التصريح بالإعادة قبله </w:t>
      </w:r>
      <w:r>
        <w:rPr>
          <w:rStyle w:val="FootnoteAnchor"/>
          <w:rtl w:val="true"/>
        </w:rPr>
        <w:footnoteReference w:id="3060"/>
      </w:r>
      <w:r>
        <w:rPr>
          <w:rFonts w:ascii="Amiri" w:hAnsi="Amiri" w:eastAsia="Amiri" w:cs="Amiri"/>
          <w:color w:val="111111"/>
          <w:sz w:val="28"/>
          <w:sz w:val="28"/>
          <w:szCs w:val="28"/>
          <w:rtl w:val="true"/>
          <w:lang w:bidi="ar-SA"/>
        </w:rPr>
        <w:t>يضعّف عمومه ، إذ لعلّه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 على فرض التكافؤ من جميع الوجوه يجب الرجوع إلى عمومات انتقاض التيمم بالماء</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588189_73709187"/>
      <w:bookmarkStart w:id="187" w:name="_Toc72"/>
      <w:bookmarkEnd w:id="186"/>
      <w:r>
        <w:rPr>
          <w:rtl w:val="true"/>
        </w:rPr>
        <w:t xml:space="preserve">فروع </w:t>
      </w:r>
      <w:r>
        <w:rPr>
          <w:rtl w:val="true"/>
        </w:rPr>
        <w:t>:</w:t>
      </w:r>
      <w:bookmarkEnd w:id="18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بالرجوع في الأثناء إنّما يتمشّى على القول بجواز التيمّم في السعة ، وأمّا على القول بوجوب التأخير فتجب الاستدامة ، لاستلزام تركها الإخلال بالعبادة في الوقت المضروب لها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إنما يصح إذا أريد التأخير إلى الآخر الحقيقي بحسب الواقع ، وأمّا إذا أريد العرفي أو بحسب الظن فلا ، بل الظاهر عدم وجوب الاستدامة على الأول أيضا ، لظواهر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المختار يرجع قبل الركعة ويتوضّأ ويقضي لو لم يف الوقت بالأداء وجوبا لا استحبابا كما قاله ابن حمزة </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الماء حين يجب المضيّ وفقد قبل الفراغ من الصلاة ، يعيد التيمّم لصلاة أخرى ، وفاقا للمبسوط والمنتهى والتذكرة </w:t>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لانتقاض تيمّمه مطلقا أو بالنسبة إلى غير هذه الصلاة ، ولا لأجل صدق الوجدان والتمكّن ، لكونهما محلّي نظر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لأنّ 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أو التيمّم عند إرادة كلّ صلاة ، خرج ما خرج بدليل شرعي ،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بتيمّم واحد صلاة الليل والنهار؟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لم يحدث أو يصب ماء </w:t>
      </w:r>
      <w:r>
        <w:rPr>
          <w:rFonts w:eastAsia="Amiri" w:cs="Amiri" w:ascii="Amiri" w:hAnsi="Amiri"/>
          <w:color w:val="111111"/>
          <w:sz w:val="28"/>
          <w:szCs w:val="28"/>
          <w:rtl w:val="true"/>
          <w:lang w:bidi="ar-SA"/>
        </w:rPr>
        <w:t xml:space="preserve">» </w:t>
      </w:r>
      <w:r>
        <w:rPr>
          <w:rStyle w:val="FootnoteAnchor"/>
          <w:rtl w:val="true"/>
        </w:rPr>
        <w:footnoteReference w:id="3065"/>
      </w:r>
      <w:r>
        <w:rPr>
          <w:rFonts w:ascii="Amiri" w:hAnsi="Amiri" w:eastAsia="Amiri" w:cs="Amiri"/>
          <w:color w:val="111111"/>
          <w:sz w:val="28"/>
          <w:sz w:val="28"/>
          <w:szCs w:val="28"/>
          <w:rtl w:val="true"/>
          <w:lang w:bidi="ar-SA"/>
        </w:rPr>
        <w:t xml:space="preserve">الحديث ، وقريبة منها رواية السكوني </w:t>
      </w:r>
      <w:r>
        <w:rPr>
          <w:rStyle w:val="FootnoteAnchor"/>
          <w:rtl w:val="true"/>
        </w:rPr>
        <w:footnoteReference w:id="3066"/>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بغير المورد </w:t>
      </w:r>
      <w:r>
        <w:rPr>
          <w:rStyle w:val="FootnoteAnchor"/>
          <w:rtl w:val="true"/>
        </w:rPr>
        <w:footnoteReference w:id="3067"/>
      </w:r>
      <w:r>
        <w:rPr>
          <w:rFonts w:ascii="Amiri" w:hAnsi="Amiri" w:eastAsia="Amiri" w:cs="Amiri"/>
          <w:color w:val="111111"/>
          <w:sz w:val="28"/>
          <w:sz w:val="28"/>
          <w:szCs w:val="28"/>
          <w:rtl w:val="true"/>
          <w:lang w:bidi="ar-SA"/>
        </w:rPr>
        <w:t xml:space="preserve">، بل يدلّ بضميمة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أصاب الماء لا يصلّي غير صلاة واحدة بتيمّم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للمعتبر والروض والمدارك </w:t>
      </w:r>
      <w:r>
        <w:rPr>
          <w:rStyle w:val="FootnoteAnchor"/>
          <w:rtl w:val="true"/>
        </w:rPr>
        <w:footnoteReference w:id="3068"/>
      </w:r>
      <w:r>
        <w:rPr>
          <w:rFonts w:ascii="Amiri" w:hAnsi="Amiri" w:eastAsia="Amiri" w:cs="Amiri"/>
          <w:color w:val="111111"/>
          <w:sz w:val="28"/>
          <w:sz w:val="28"/>
          <w:szCs w:val="28"/>
          <w:rtl w:val="true"/>
          <w:lang w:bidi="ar-SA"/>
        </w:rPr>
        <w:t>، بل أكثر المتأخّرين ، لعدم التمكّن من استعمال الماء ، لتحقّق المانع الشرعي ، ولأنّ تيمّمه إن انتقض فيلزم بطلان الصلاة التي فيها أيضا ، وإلاّ فلا وجه لإعادته ، ولا معنى للانتقاض بالنسبة إلى صلاة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وضعفهما ظاهر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جواز العدول إلى فائتة سابقة اخرى ، لما ذكر من الأصل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ذكرنا من القطع والإتمام بين الفريضة والنافلة ، لإطلاق </w:t>
      </w:r>
    </w:p>
    <w:p>
      <w:pPr>
        <w:pStyle w:val="BookText"/>
        <w:rPr/>
      </w:pPr>
      <w:r>
        <w:rPr>
          <w:rFonts w:ascii="Amiri" w:hAnsi="Amiri" w:eastAsia="Amiri" w:cs="Amiri"/>
          <w:color w:val="111111"/>
          <w:sz w:val="28"/>
          <w:sz w:val="28"/>
          <w:szCs w:val="28"/>
          <w:rtl w:val="true"/>
          <w:lang w:bidi="ar-SA"/>
        </w:rPr>
        <w:t xml:space="preserve">الأدلّة </w:t>
      </w:r>
      <w:r>
        <w:rPr>
          <w:rStyle w:val="FootnoteAnchor"/>
          <w:rtl w:val="true"/>
        </w:rPr>
        <w:footnoteReference w:id="30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التحريم بعد الركوع ، للأمر بالإمضاء المفيد للوجوب في صحيحة زرارة وخبر ابن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قبله فلا دليل على التحريم ، ورواية حمران وصحيحة زرارة ومحمد خاليتان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ورد في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وانجباره في هذا المورد غير معلوم ، لأنّ أكثر القائلين بالإمضاء بعد التلبّس حملوا أخبار القطع قبل الركوع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في المدارك نقل ذلك الحمل عن الفاضل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كلام الأصحاب التحريم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تيمّم الجنب ومن في حكمه ممّن عليه الغسل ، ثمَّ أحدث بالأصغر ، أعاد التيمّم بدلا عن الغسل ولو تمكّن من الوضوء ، على الأظهر الموافق لغير من شذّ وندر </w:t>
      </w:r>
      <w:r>
        <w:rPr>
          <w:rStyle w:val="FootnoteAnchor"/>
          <w:rtl w:val="true"/>
        </w:rPr>
        <w:footnoteReference w:id="3070"/>
      </w:r>
      <w:r>
        <w:rPr>
          <w:rFonts w:ascii="Amiri" w:hAnsi="Amiri" w:eastAsia="Amiri" w:cs="Amiri"/>
          <w:color w:val="111111"/>
          <w:sz w:val="28"/>
          <w:sz w:val="28"/>
          <w:szCs w:val="28"/>
          <w:rtl w:val="true"/>
          <w:lang w:bidi="ar-SA"/>
        </w:rPr>
        <w:t>، لأنّه جنب ووظيفة الجنب التيمّم عند عدم التمكّن من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فللاستصحاب ، والمروي في الغوالي عن النبي صلی اللّه عليه وآله أنه قال لبعض أصحابه الذي تيمّم من الجنابة وصلّى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صلّيت بأصحابك وأنت جنب </w:t>
      </w:r>
      <w:r>
        <w:rPr>
          <w:rFonts w:eastAsia="IRNazanin" w:cs="IRNazanin"/>
          <w:color w:val="111111"/>
          <w:sz w:val="28"/>
          <w:szCs w:val="28"/>
          <w:rtl w:val="true"/>
          <w:lang w:bidi="fa-IR"/>
        </w:rPr>
        <w:t xml:space="preserve">»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منجبر بالشهرة العظيمة ، والإجماع المحكي في المعتبر والتذكرة وغيرهما </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فبالإجماع ، إذ كلّ من قال بكونه جنبا أوجب عليه التيمّم ، والمخالف يدّعي رفع جنابته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أجنب في سفر ومعه ماء قدر ما يتوضّأ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ولا يتوضّأ </w:t>
      </w:r>
      <w:r>
        <w:rPr>
          <w:rFonts w:eastAsia="Amiri" w:cs="Amiri" w:ascii="Amiri" w:hAnsi="Amiri"/>
          <w:color w:val="111111"/>
          <w:sz w:val="28"/>
          <w:szCs w:val="28"/>
          <w:rtl w:val="true"/>
          <w:lang w:bidi="ar-SA"/>
        </w:rPr>
        <w:t xml:space="preserve">» </w:t>
      </w:r>
      <w:r>
        <w:rPr>
          <w:rStyle w:val="FootnoteAnchor"/>
          <w:rtl w:val="true"/>
        </w:rPr>
        <w:footnoteReference w:id="3073"/>
      </w:r>
      <w:r>
        <w:rPr>
          <w:rFonts w:ascii="Amiri" w:hAnsi="Amiri" w:eastAsia="Amiri" w:cs="Amiri"/>
          <w:color w:val="111111"/>
          <w:sz w:val="28"/>
          <w:sz w:val="28"/>
          <w:szCs w:val="28"/>
          <w:rtl w:val="true"/>
          <w:lang w:bidi="ar-SA"/>
        </w:rPr>
        <w:t>دلّت بترك الاستفصال على وجوب التيمّم على من أجنب ووجد ماء الوضوء ولو سبقه تيمّم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w:t>
      </w:r>
      <w:r>
        <w:rPr>
          <w:rStyle w:val="FootnoteAnchor"/>
          <w:rtl w:val="true"/>
        </w:rPr>
        <w:footnoteReference w:id="307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وجوب التيمّم عليه قبل التيمّم ولو مع وجود الماء بقدر الوضوء ، واستصحاب حرمة الوضوء ، وبأنه جنب ، إذ لولاه لكان وجوب الغسل عليه عند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الماء خاصة وهو ليس بحدث إجماعا ، مع أنّ حدثيته توجب استواء المتيمّمين في موجبه ، ضرورة استوائهم فيه ، ولكنه باطل قطعا ، لأنّ المحدث لا يغتسل والجنب 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جنبا لا يجوز له الوضوء ، 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أصبت الماء فعليك الغسل إن كنت جنبا والوضوء إن لم تكن جنبا </w:t>
      </w:r>
      <w:r>
        <w:rPr>
          <w:rFonts w:eastAsia="Amiri" w:cs="Amiri" w:ascii="Amiri" w:hAnsi="Amiri"/>
          <w:color w:val="111111"/>
          <w:sz w:val="28"/>
          <w:szCs w:val="28"/>
          <w:rtl w:val="true"/>
          <w:lang w:bidi="ar-SA"/>
        </w:rPr>
        <w:t xml:space="preserve">»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الاستصحابان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 الوجوب والحرمة المقيّدان ، ومع ذلك يعارضهما استصحاب العدم قبل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للخصم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عليه للجنابة السابقة دون المتصلة بالغسل ، إذ لا مانع من أن يوجب الشارع الغسل على من أجنب في وقت ولو زالت جنابته بسبب آخر ، وبأنه لا بد من حمل الماء في الصحيحة على ما يكفي الغسل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عدم جواز الوضوء حينئذ إن كان جنبا ، ويكون خارجا عن محل النزاع</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السيد في شرح الرسالة ، فقال بوجوب الوضوء لو تمكّن منه خاصة </w:t>
      </w:r>
      <w:r>
        <w:rPr>
          <w:rStyle w:val="FootnoteAnchor"/>
          <w:rtl w:val="true"/>
        </w:rPr>
        <w:footnoteReference w:id="3076"/>
      </w:r>
      <w:r>
        <w:rPr>
          <w:rFonts w:ascii="Amiri" w:hAnsi="Amiri" w:eastAsia="Amiri" w:cs="Amiri"/>
          <w:color w:val="111111"/>
          <w:sz w:val="28"/>
          <w:sz w:val="28"/>
          <w:szCs w:val="28"/>
          <w:rtl w:val="true"/>
          <w:lang w:bidi="ar-SA"/>
        </w:rPr>
        <w:t xml:space="preserve">، والتيمّم بدلا عنه لو لم يتمكّن ، واختاره من الطبقة الثالثة في المفاتيح والذخيرة والحدائق </w:t>
      </w:r>
      <w:r>
        <w:rPr>
          <w:rStyle w:val="FootnoteAnchor"/>
          <w:rtl w:val="true"/>
        </w:rPr>
        <w:footnoteReference w:id="3077"/>
      </w:r>
      <w:r>
        <w:rPr>
          <w:rFonts w:ascii="Amiri" w:hAnsi="Amiri" w:eastAsia="Amiri" w:cs="Amiri"/>
          <w:color w:val="111111"/>
          <w:sz w:val="28"/>
          <w:sz w:val="28"/>
          <w:szCs w:val="28"/>
          <w:rtl w:val="true"/>
          <w:lang w:bidi="ar-SA"/>
        </w:rPr>
        <w:t xml:space="preserve">، لارتفاع الجنابة ، وقدّمنا جوابه ، واستصحاب الإباحة </w:t>
      </w:r>
    </w:p>
    <w:p>
      <w:pPr>
        <w:pStyle w:val="BookText"/>
        <w:rPr/>
      </w:pPr>
      <w:r>
        <w:rPr>
          <w:rFonts w:ascii="Amiri" w:hAnsi="Amiri" w:eastAsia="Amiri" w:cs="Amiri"/>
          <w:color w:val="111111"/>
          <w:sz w:val="28"/>
          <w:sz w:val="28"/>
          <w:szCs w:val="28"/>
          <w:rtl w:val="true"/>
          <w:lang w:bidi="ar-SA"/>
        </w:rPr>
        <w:t>بالتيمّم الأول ، وكأنّ المراد بها ارتفاع الممنوعية من جهة الجنابة ، وأمّا بمعنى مطلق الممنوعية فقد زالت بالحدث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الإباحة المقيدة بما دام متيمّما بهذا المعنى ، مع أنّ ما تقدّم من بقاء جنابته وعموم النهي عن الصلاة جنبا يدفع ذلك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 بما ينتقض به المائية ، بالإجماع ، والمستفيضة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وبوجود الماء ، بإجماعنا المصرّح به في كلام جماعة منّا </w:t>
      </w:r>
      <w:r>
        <w:rPr>
          <w:rStyle w:val="FootnoteAnchor"/>
          <w:rtl w:val="true"/>
        </w:rPr>
        <w:footnoteReference w:id="3078"/>
      </w:r>
      <w:r>
        <w:rPr>
          <w:rFonts w:ascii="Amiri" w:hAnsi="Amiri" w:eastAsia="Amiri" w:cs="Amiri"/>
          <w:color w:val="111111"/>
          <w:sz w:val="28"/>
          <w:sz w:val="28"/>
          <w:szCs w:val="28"/>
          <w:rtl w:val="true"/>
          <w:lang w:bidi="ar-SA"/>
        </w:rPr>
        <w:t xml:space="preserve">، واستفاضت به أخبارنا ، كمرسلة العامري ، المتقدّمة في الأمر الأول من الفصل الأول </w:t>
      </w:r>
      <w:r>
        <w:rPr>
          <w:rStyle w:val="FootnoteAnchor"/>
          <w:rtl w:val="true"/>
        </w:rPr>
        <w:footnoteReference w:id="3079"/>
      </w:r>
      <w:r>
        <w:rPr>
          <w:rFonts w:ascii="Amiri" w:hAnsi="Amiri" w:eastAsia="Amiri" w:cs="Amiri"/>
          <w:color w:val="111111"/>
          <w:sz w:val="28"/>
          <w:sz w:val="28"/>
          <w:szCs w:val="28"/>
          <w:rtl w:val="true"/>
          <w:lang w:bidi="ar-SA"/>
        </w:rPr>
        <w:t xml:space="preserve">، ورواية السكوني ، السابقة في المسألة الثانية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بتيمّم واحد صلاة الليل والنهار؟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لم يحدث أو يصب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الماء ورجا أن يقدر ماء آخر وظنّ أنه يقدر عليه ، فلمّا أراد تعسّر ذلك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ينقض ذلك تيمّمه ، وعليه أن يعيد التيمّم </w:t>
      </w:r>
      <w:r>
        <w:rPr>
          <w:rFonts w:eastAsia="Amiri" w:cs="Amiri" w:ascii="Amiri" w:hAnsi="Amiri"/>
          <w:color w:val="111111"/>
          <w:sz w:val="28"/>
          <w:szCs w:val="28"/>
          <w:rtl w:val="true"/>
          <w:lang w:bidi="ar-SA"/>
        </w:rPr>
        <w:t xml:space="preserve">» </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ممرّه بالماء نقض تيمّمه </w:t>
      </w:r>
      <w:r>
        <w:rPr>
          <w:rFonts w:eastAsia="Amiri" w:cs="Amiri" w:ascii="Amiri" w:hAnsi="Amiri"/>
          <w:color w:val="111111"/>
          <w:sz w:val="28"/>
          <w:szCs w:val="28"/>
          <w:rtl w:val="true"/>
          <w:lang w:bidi="ar-SA"/>
        </w:rPr>
        <w:t xml:space="preserve">»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الانتقاض به التمكّن من استعمال الماء ، بأن لا يكون له مانع حتى من متغلّب على الماء أو كونه في بئر ولا وسيلة إليه ، أو في يد من لا يبذله مطلقا أو إلاّ بثمن لا يمكنه ، ونحو ذلك ، ولا شرعي من مرض أو خوف عطش أو نحوهما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إجماعي ، وهو المقيد للإطلاقات ، مضافا إلى مفهوم الشرط في رواية </w:t>
      </w:r>
    </w:p>
    <w:p>
      <w:pPr>
        <w:pStyle w:val="BookText"/>
        <w:rPr/>
      </w:pPr>
      <w:r>
        <w:rPr>
          <w:rFonts w:ascii="Amiri" w:hAnsi="Amiri" w:eastAsia="Amiri" w:cs="Amiri"/>
          <w:color w:val="111111"/>
          <w:sz w:val="28"/>
          <w:sz w:val="28"/>
          <w:szCs w:val="28"/>
          <w:rtl w:val="true"/>
          <w:lang w:bidi="ar-SA"/>
        </w:rPr>
        <w:t xml:space="preserve">أبي أيوب ، المروية في تفسير العياشي ، المنجبر ضعفه بما ذكر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الماء وكان يقدر عليه انتقض التيمّم </w:t>
      </w:r>
      <w:r>
        <w:rPr>
          <w:rFonts w:eastAsia="Amiri" w:cs="Amiri" w:ascii="Amiri" w:hAnsi="Amiri"/>
          <w:color w:val="111111"/>
          <w:sz w:val="28"/>
          <w:szCs w:val="28"/>
          <w:rtl w:val="true"/>
          <w:lang w:bidi="ar-SA"/>
        </w:rPr>
        <w:t xml:space="preserve">»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وتخصيص عدم القدرة بالمانع الحسّي لا وجه له ، لأنّ منع الشارع من الاستعمال ينفي الاقتدار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ومضيّ زمان يسع الطهارة ، عند بعضهم </w:t>
      </w:r>
      <w:r>
        <w:rPr>
          <w:rStyle w:val="FootnoteAnchor"/>
          <w:rtl w:val="true"/>
        </w:rPr>
        <w:footnoteReference w:id="3084"/>
      </w:r>
      <w:r>
        <w:rPr>
          <w:rFonts w:ascii="Amiri" w:hAnsi="Amiri" w:eastAsia="Amiri" w:cs="Amiri"/>
          <w:color w:val="111111"/>
          <w:sz w:val="28"/>
          <w:sz w:val="28"/>
          <w:szCs w:val="28"/>
          <w:rtl w:val="true"/>
          <w:lang w:bidi="ar-SA"/>
        </w:rPr>
        <w:t>، لامتناع التكليف بفعل في وقت لا يسعه ، ولذا لو علم أولا عدم تمكّنه من الإكمال ، لم ينتقض 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بين عدم التكليف بالاستعمال وبين بقاء التيمّم ، لجواز كون نفس وجود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فيه استصحاب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ناقضا ، ولذا لا يجوز للمتيمّم الواجد للماء الشروع في الصلاة ، ومسّ المصحف بالتيمّم قبل مضيّ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الكلام فيما لم يظن بقاؤه بل يحتمل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ويمنع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لإطلاق الأخبار ، حيث ترتّب فيها النقض على مجرّد الإصابة أو المرور أو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اشتراط مضيّه ، لما ذكر ، كما هو ظاهر الصدوق </w:t>
      </w:r>
      <w:r>
        <w:rPr>
          <w:rStyle w:val="FootnoteAnchor"/>
          <w:rtl w:val="true"/>
        </w:rPr>
        <w:footnoteReference w:id="3085"/>
      </w:r>
      <w:r>
        <w:rPr>
          <w:rFonts w:ascii="Amiri" w:hAnsi="Amiri" w:eastAsia="Amiri" w:cs="Amiri"/>
          <w:color w:val="111111"/>
          <w:sz w:val="28"/>
          <w:sz w:val="28"/>
          <w:szCs w:val="28"/>
          <w:rtl w:val="true"/>
          <w:lang w:bidi="ar-SA"/>
        </w:rPr>
        <w:t xml:space="preserve">وشيخنا البهائي </w:t>
      </w:r>
      <w:r>
        <w:rPr>
          <w:rStyle w:val="FootnoteAnchor"/>
          <w:rtl w:val="true"/>
        </w:rPr>
        <w:footnoteReference w:id="3086"/>
      </w:r>
      <w:r>
        <w:rPr>
          <w:rFonts w:ascii="Amiri" w:hAnsi="Amiri" w:eastAsia="Amiri" w:cs="Amiri"/>
          <w:color w:val="111111"/>
          <w:sz w:val="28"/>
          <w:sz w:val="28"/>
          <w:szCs w:val="28"/>
          <w:rtl w:val="true"/>
          <w:lang w:bidi="ar-SA"/>
        </w:rPr>
        <w:t>ووالدي العلاّمة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يشترط وجدان الماء في الوقت ، فلا ينتقض بوجدانه في غيره كما قيل ، مستدلا بتوجّه الخطاب بالمائية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 وهو ينافي بقاء التيمّم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توجّه الخطاب في غير الوقت لا يستلزم بقاء التيمّم ، مع أنّ الخطاب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أيضا ينافي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في غير الوقت أيضا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يشترط صدق الإصابة والمرور عرفا أيضا ، فلو رأى ماء من بعد وكان </w:t>
      </w:r>
    </w:p>
    <w:p>
      <w:pPr>
        <w:pStyle w:val="BookText"/>
        <w:rPr/>
      </w:pPr>
      <w:r>
        <w:rPr>
          <w:rFonts w:ascii="Amiri" w:hAnsi="Amiri" w:eastAsia="Amiri" w:cs="Amiri"/>
          <w:color w:val="111111"/>
          <w:sz w:val="28"/>
          <w:sz w:val="28"/>
          <w:szCs w:val="28"/>
          <w:rtl w:val="true"/>
          <w:lang w:bidi="ar-SA"/>
        </w:rPr>
        <w:t>متوجّها إليه لا ينتقض تيمّمه وإن علم الوصول إليه في الوقت ما لم يصدق المعيار ، فيجوز له مسّ المصحف ونحوه ما لم ينته إلى حدّ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أن يقال بعدم جواز الصلاة بالتيمّم حينئذ ، لعموم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صدق عدم الوجدان ، حيث إنه أعم من الإصابة والمرور عرفا ، فإنّ من رأى الماء من بعيد وتوجه إليه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الماء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ومرّ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تيمّمه باقيا تجوز الصلاة معه لو تلف الماء قبل وصوله إليه وإن لم تجز قبل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الماء في مسجد تمكّن من استعماله عبورا ، انتقض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منه إلاّ مع اللبث في المسجد لا ينتقض ، لوجود المانع الشرعي ولو قلنا بإباحة الدخول واللبث بالتيمّم ، لأنّ إباحتهما موقوفة على بقاء التيمّم ، وهو على عدم</w:t>
      </w:r>
    </w:p>
    <w:p>
      <w:pPr>
        <w:pStyle w:val="BookText"/>
        <w:rPr/>
      </w:pPr>
      <w:r>
        <w:rPr>
          <w:rFonts w:ascii="Amiri" w:hAnsi="Amiri" w:eastAsia="Amiri" w:cs="Amiri"/>
          <w:color w:val="111111"/>
          <w:sz w:val="28"/>
          <w:sz w:val="28"/>
          <w:szCs w:val="28"/>
          <w:rtl w:val="true"/>
          <w:lang w:bidi="ar-SA"/>
        </w:rPr>
        <w:t>القدرة على الماء ، وهو على المنع من دخول المسجد ، وهو على انتقاض التيمّم ، فإباحتهما موقوفة على بقاء التيمّم وانتقاضه ، وهو محال ، والموقوف على المحال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إباحتهما أيضا موقوف على عدم بقاء التيمّم ، وهو على القدرة على الماء ، وهو على جواز دخول المسجد ، وهو على بقاء التيمّم ، فعدم الإباحة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التيمّم موقوف على عدم القدرة ، وهو على عدم البقاء ، فالبقاء يستلزم عدم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والانتقاض يستلزم القدرة وهي فرع عدم الانتقاض ، فالانتقاض يلازم عدم 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مقام تردّد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جماعة متيمّمون ماء يكفي لأحدهم ، واقتدر كلّ منهم على استعماله ، انتقض تيمّم الكلّ ، للإطلاق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أعضاء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جبيرة أو حائل آخر تعذّر حلّها ، مسحها كما في الوضوء ، بلا خلاف أجده ، وفي الحدائق واللوامع </w:t>
      </w:r>
    </w:p>
    <w:p>
      <w:pPr>
        <w:pStyle w:val="BookText"/>
        <w:rPr/>
      </w:pPr>
      <w:r>
        <w:rPr>
          <w:rFonts w:ascii="Amiri" w:hAnsi="Amiri" w:eastAsia="Amiri" w:cs="Amiri"/>
          <w:color w:val="111111"/>
          <w:sz w:val="28"/>
          <w:sz w:val="28"/>
          <w:szCs w:val="28"/>
          <w:rtl w:val="true"/>
          <w:lang w:bidi="ar-SA"/>
        </w:rPr>
        <w:t xml:space="preserve">كأنه لا خلاف فيه </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صحيحة الوشّاء وحسنة كليب ، أو عمومهما بترك الاستفصال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الدواء إذا كان على يدي الرجل أيجزيه أن يمسح على طلي الدواء؟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يجزيه أن يمسح عليه </w:t>
      </w:r>
      <w:r>
        <w:rPr>
          <w:rFonts w:eastAsia="Amiri" w:cs="Amiri" w:ascii="Amiri" w:hAnsi="Amiri"/>
          <w:color w:val="111111"/>
          <w:sz w:val="28"/>
          <w:szCs w:val="28"/>
          <w:rtl w:val="true"/>
          <w:lang w:bidi="ar-SA"/>
        </w:rPr>
        <w:t xml:space="preserve">» </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كان كسيرا كيف يصنع بالصلاة؟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يتخوّف على نفسه فليمسح على جبائره وليصلّ </w:t>
      </w:r>
      <w:r>
        <w:rPr>
          <w:rFonts w:eastAsia="Amiri" w:cs="Amiri" w:ascii="Amiri" w:hAnsi="Amiri"/>
          <w:color w:val="111111"/>
          <w:sz w:val="28"/>
          <w:szCs w:val="28"/>
          <w:rtl w:val="true"/>
          <w:lang w:bidi="ar-SA"/>
        </w:rPr>
        <w:t xml:space="preserve">»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في جميع المواضع التي يشرع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من المواضع المخيّر فيها بينه وبين الجبيرة بالمائية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المائية إن أمكن ، ولو أتى بها كان باطلا ، للأمر به في الآية والأخبار ، ولأنّ التيمّم في كلّ موضع يوجد فيه الماء كان لدفع الضرر أو العسر أو الحرج ، وما يستلزم أحدها منفي من الإسلام والدين ، أو لا يريده اللّه سبحانه ، وما جعله في الدين ، وكلّ ما كان كذلك لا 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التيمّم لأجل العسر في تحصيل الماء ، فتحمّله وحصّله ، تجوز المائية ، بل تجب بعده ، لانتفاء العسر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بحث التيمّم ، وبتمامه تمَّ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طهّرنا اللّه من ذنوبنا وعيوبنا بمحمد وآله أهل بيت العصمة والطهارة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في يوم الثلاثاء آخر شهر صفر المظفر سنة ألف ومائتين وواحد وثلاثين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والحمد لله والصلاة على رسول اللّه صلی اللّه عليه وآله </w:t>
      </w:r>
      <w:r>
        <w:rPr>
          <w:rStyle w:val="FootnoteAnchor"/>
          <w:rtl w:val="true"/>
        </w:rPr>
        <w:footnoteReference w:id="309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إني قد فرغت من استنساخه غروب يوم الاثنين سادس عشر من شهر صفر المظفر من سنة ألف ومائتين وثلاث وخمسين من الهجرة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الأقل الجاني الخادم للعلماء مهدي ابن محمّد حسين الأراني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راقم الحروف أقل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رضا ، نصر اللّه الخوزاني الأصفهاني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1616_94949"/>
      <w:bookmarkStart w:id="189" w:name="pg11616_94949"/>
      <w:bookmarkEnd w:id="189"/>
    </w:p>
    <w:p>
      <w:pPr>
        <w:pStyle w:val="Heading2"/>
        <w:numPr>
          <w:ilvl w:val="1"/>
          <w:numId w:val="1"/>
        </w:numPr>
        <w:rPr/>
      </w:pPr>
      <w:bookmarkStart w:id="190" w:name="pg11616_94949"/>
      <w:bookmarkStart w:id="191" w:name="__RefHeading___Toc5588191_73709187"/>
      <w:bookmarkStart w:id="192" w:name="_Toc73"/>
      <w:bookmarkEnd w:id="190"/>
      <w:bookmarkEnd w:id="191"/>
      <w:r>
        <w:rPr>
          <w:rtl w:val="true"/>
        </w:rPr>
        <w:t>فهرس مستند الشيعة</w:t>
      </w:r>
      <w:bookmarkEnd w:id="192"/>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غسل الاستحاضة</w:t>
      </w:r>
    </w:p>
    <w:p>
      <w:pPr>
        <w:pStyle w:val="BookText"/>
        <w:rPr/>
      </w:pPr>
      <w:r>
        <w:rPr>
          <w:rFonts w:ascii="Amiri" w:hAnsi="Amiri" w:eastAsia="Amiri" w:cs="Amiri"/>
          <w:color w:val="111111"/>
          <w:sz w:val="28"/>
          <w:sz w:val="28"/>
          <w:szCs w:val="28"/>
          <w:rtl w:val="true"/>
          <w:lang w:bidi="ar-SA"/>
        </w:rPr>
        <w:t>معرفة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أحكام الاستحاضة القليلة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هل يجب ابدال القطنة أو غسلها؟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عدم الفرق في وجوب الوضوء بين صلاة الفريضة والنافلة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أحكام الاستحاضة المتوسطة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أحكام الاستحاضة الكثيرة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هل يجب الوضوء لكل صلاة أو مع كل غسل أو لا يجب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هل يجوز إفراد كل صلاة بغسل؟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يجب كون الغسل والوضوء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هل تجب مقارنة الغسل والوضوء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يجب الغسل أو الوضوء بحصول السبب وان لم يتصل بوقت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عدم جواز الجمع بين الفرض والنفل بوضوء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جواز الجمع بين الفرض والنفل بغسل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كراهة قراءة العزائم ومس المصحف واللبث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وطء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حكم صوم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حكم انقطاع الدم بعد الغسل أو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وجوب الاستظهار في منع الدم من التعدي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غسل النفاس</w:t>
      </w:r>
    </w:p>
    <w:p>
      <w:pPr>
        <w:pStyle w:val="BookText"/>
        <w:rPr/>
      </w:pPr>
      <w:r>
        <w:rPr>
          <w:rFonts w:ascii="Amiri" w:hAnsi="Amiri" w:eastAsia="Amiri" w:cs="Amiri"/>
          <w:color w:val="111111"/>
          <w:sz w:val="28"/>
          <w:sz w:val="28"/>
          <w:szCs w:val="28"/>
          <w:rtl w:val="true"/>
          <w:lang w:bidi="ar-SA"/>
        </w:rPr>
        <w:t>حكم الدم الخارج تبل خروج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حكم الدم الخارج مع خروج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أقل حد النفاس وأكثره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حكم تجاوز الدم عن أيام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حكم رؤية الدم بعد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حكم رؤية الدم بعد أيام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حكم ذات التوأمين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أحكام النفساء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غسل مس الميت</w:t>
      </w:r>
    </w:p>
    <w:p>
      <w:pPr>
        <w:pStyle w:val="BookText"/>
        <w:rPr/>
      </w:pPr>
      <w:r>
        <w:rPr>
          <w:rFonts w:ascii="IRNazanin" w:hAnsi="IRNazanin" w:eastAsia="IRNazanin"/>
          <w:color w:val="111111"/>
          <w:sz w:val="28"/>
          <w:sz w:val="28"/>
          <w:szCs w:val="28"/>
          <w:rtl w:val="true"/>
          <w:lang w:bidi="fa-IR"/>
        </w:rPr>
        <w:t>وجوب غسل المس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أدلة عدم وجوبه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وجوبه بعد البرد وقبل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حكم مس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هل يجب الغسل بمس من تقدم غسله على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وجوب الغسل بمس العضو المغسول قبل إكمال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حكم مس القطعة المبانة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المس ناقض للوضوء؟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حكام الاحتضار</w:t>
      </w:r>
    </w:p>
    <w:p>
      <w:pPr>
        <w:pStyle w:val="BookText"/>
        <w:rPr/>
      </w:pPr>
      <w:r>
        <w:rPr>
          <w:rFonts w:ascii="Amiri" w:hAnsi="Amiri" w:eastAsia="Amiri" w:cs="Amiri"/>
          <w:color w:val="111111"/>
          <w:sz w:val="28"/>
          <w:sz w:val="28"/>
          <w:szCs w:val="28"/>
          <w:rtl w:val="true"/>
          <w:lang w:bidi="ar-SA"/>
        </w:rPr>
        <w:t>وجوب توجيه المحتضر إلى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مستحبات حالة الاحتضار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تلقين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القرآن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أمره بحسن الظن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تغميض عينه وشد لحييه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نقله إلى مصلاه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الاسراج عنده ان مات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تعجيل تجهيزه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وجوب الصبر في المشتبه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أمارات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استحباب إعلام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كراهة حضور الجنب والحائض عند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كراهة ترك الميت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كفائية أحكام الاحتضار والتجهيز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غسل الميت</w:t>
      </w:r>
    </w:p>
    <w:p>
      <w:pPr>
        <w:pStyle w:val="BookText"/>
        <w:rPr/>
      </w:pPr>
      <w:r>
        <w:rPr>
          <w:rFonts w:ascii="Amiri" w:hAnsi="Amiri" w:eastAsia="Amiri" w:cs="Amiri"/>
          <w:color w:val="111111"/>
          <w:sz w:val="28"/>
          <w:sz w:val="28"/>
          <w:szCs w:val="28"/>
          <w:rtl w:val="true"/>
          <w:lang w:bidi="ar-SA"/>
        </w:rPr>
        <w:t>الكلام في الغاسل</w:t>
      </w:r>
    </w:p>
    <w:p>
      <w:pPr>
        <w:pStyle w:val="BookText"/>
        <w:rPr/>
      </w:pPr>
      <w:r>
        <w:rPr>
          <w:rFonts w:ascii="Amiri" w:hAnsi="Amiri" w:eastAsia="Amiri" w:cs="Amiri"/>
          <w:color w:val="111111"/>
          <w:sz w:val="28"/>
          <w:sz w:val="28"/>
          <w:szCs w:val="28"/>
          <w:rtl w:val="true"/>
          <w:lang w:bidi="ar-SA"/>
        </w:rPr>
        <w:t>غسل الميت واجب 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أولى الناس بالتغسيل أولاهم بالميت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أولوية الزوج من جميع الأقارب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اشتراط المماثلة بين الغاسل والمغسول في غير المحارم والصبي والصبية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سقوط الغسل عند فقد المماثل والمحرم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التيمم أيضا عند فقد المماثل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تغسيل أحد الزوجين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وجوب تغسيل كل من الزوجين من وراء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حكم تغسيل المحارم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حكم تغسيل الأجنبية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حكم تغسيل الأجنبي 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حكم فقد المماثل المسلم ووجود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هل يصح التغسيل من غير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الكلام في المغسول</w:t>
      </w:r>
    </w:p>
    <w:p>
      <w:pPr>
        <w:pStyle w:val="BookText"/>
        <w:rPr/>
      </w:pPr>
      <w:r>
        <w:rPr>
          <w:rFonts w:ascii="Amiri" w:hAnsi="Amiri" w:eastAsia="Amiri" w:cs="Amiri"/>
          <w:color w:val="111111"/>
          <w:sz w:val="28"/>
          <w:sz w:val="28"/>
          <w:szCs w:val="28"/>
          <w:rtl w:val="true"/>
          <w:lang w:bidi="ar-SA"/>
        </w:rPr>
        <w:t>حكم تغسيل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حكم الكافر ومشكوك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حكم تغسيل أطفال المسلمين ومجانينهم والسقط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حكم الجنين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سقوط الغسل عن الشهيد في معركة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تعيين معنى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حكم ما إذا وجد بعض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حكم من وجب عليه الرجم أو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الكلام في الغسل</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النجاسة عن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هل يجب تعدد النية بتعدد الغسلات؟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التغسيل ثلاثا بماء السدر وماء الكافور والقراح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المقدار المعتبر في الخليط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ليس في كافور الخليط حد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عدم جواز تغسيل المحرم بماء الكافور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سائر واجبات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مستحبات غسل الميت</w:t>
      </w:r>
    </w:p>
    <w:p>
      <w:pPr>
        <w:pStyle w:val="BookText"/>
        <w:rPr/>
      </w:pPr>
      <w:r>
        <w:rPr>
          <w:rFonts w:ascii="Amiri" w:hAnsi="Amiri" w:eastAsia="Amiri" w:cs="Amiri"/>
          <w:color w:val="111111"/>
          <w:sz w:val="28"/>
          <w:sz w:val="28"/>
          <w:szCs w:val="28"/>
          <w:rtl w:val="true"/>
          <w:lang w:bidi="ar-SA"/>
        </w:rPr>
        <w:t>وضع الميت على شئ مرتفع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توجيهه إلى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تغسيله عاريا مستور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كيفية ستر عورته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تطهير القميص أو الخرقة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تليين الأصابع والمفاصل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غسل كفيه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غسل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إعادة غسل اليدين والفرجين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توضئته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غسل رأسه برغوة السدر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البدأة في غسل الرأس بشقه الأيمن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الثليث في الغسلات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مسح بطنه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كراهة مسح بطن الحامل التي مات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حشو دبره بالقطن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إدخال الماء في حفيرة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كراهة ادخال الماء في الكنيف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نشف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وقوف الغاسل عن يمين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الدعاء بالمأثور وغسل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مكروهات غسل الميت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إقعاد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 ظفره وتسريح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ختانه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تغسيله بالماء المسخن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أحكام غسل الميت</w:t>
      </w:r>
    </w:p>
    <w:p>
      <w:pPr>
        <w:pStyle w:val="BookText"/>
        <w:rPr/>
      </w:pPr>
      <w:r>
        <w:rPr>
          <w:rFonts w:ascii="Amiri" w:hAnsi="Amiri" w:eastAsia="Amiri" w:cs="Amiri"/>
          <w:color w:val="111111"/>
          <w:sz w:val="28"/>
          <w:sz w:val="28"/>
          <w:szCs w:val="28"/>
          <w:rtl w:val="true"/>
          <w:lang w:bidi="ar-SA"/>
        </w:rPr>
        <w:t>كفاية غسلة واحدة فيما إذا عد م الخبيط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أدلة وجوب الغسلات لو عدم الخليطان وتضعيفها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وجوب التيمم إذا لم يوجد الماء المطلق الطاهر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وجوب التيمم إذا خيف التناثر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كفاية تيمم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كفاية غسل الميت إذا مات الجنب أو الحائض أو النفساء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حكم خروج النجاسة من الميت في أثناء الغسل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التكفين</w:t>
      </w:r>
    </w:p>
    <w:p>
      <w:pPr>
        <w:pStyle w:val="BookText"/>
        <w:rPr/>
      </w:pPr>
      <w:r>
        <w:rPr>
          <w:rFonts w:ascii="Amiri" w:hAnsi="Amiri" w:eastAsia="Amiri" w:cs="Amiri"/>
          <w:color w:val="111111"/>
          <w:sz w:val="28"/>
          <w:sz w:val="28"/>
          <w:szCs w:val="28"/>
          <w:rtl w:val="true"/>
          <w:lang w:bidi="ar-SA"/>
        </w:rPr>
        <w:t>الواجب من الكفن ثلاث 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عدم الفرق بين الرجل والمرأة في الواجب من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احدى القطع الثلاث الإزار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القطعة الثانية القميص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القطعة الثالثة المئزر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أدلة وجوب المئزر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أدلة عدم جواز المئزر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الخدشة في أدلة جواز المئزر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إقامة الدليل على وجوب لفافة أخرى عوضا عن المئزر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القدر المعتبر في قطع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الأقوال في اعتبار ستر البشرة في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استحباب الخرقة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العمامة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تستحب زيادة الحبرة؟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هل تستحب زيادة اللفافتين؟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زيادة النمط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ترتيب التكفين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هل يشترط في الكفن أن يكون مما تجوز فيه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عدم جواز التكفين بالمغصوب والنجس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وجوب النية في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مستحبات الكفن</w:t>
      </w:r>
    </w:p>
    <w:p>
      <w:pPr>
        <w:pStyle w:val="BookText"/>
        <w:rPr/>
      </w:pPr>
      <w:r>
        <w:rPr>
          <w:rFonts w:ascii="Amiri" w:hAnsi="Amiri" w:eastAsia="Amiri" w:cs="Amiri"/>
          <w:color w:val="111111"/>
          <w:sz w:val="28"/>
          <w:sz w:val="28"/>
          <w:szCs w:val="28"/>
          <w:rtl w:val="true"/>
          <w:lang w:bidi="ar-SA"/>
        </w:rPr>
        <w:t>كونه من طهور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كونه قطنا 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كونه جديدا جيدا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التكفين في ثوب صلى فيه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نثر الذريرة على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كتابة اسم الميت وشهادته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كتابة أسماء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كتابة الجوشن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هل تستحب كتابة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الكتابة بالتربة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اشتراط التأثير في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هل تجوز الكتابة بالإصبع من غير التأثير؟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غسل الغاسل يديه قبل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غسل الغاسل رجليه قبل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تأخير غسل المس عن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مكروهات التكفين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التكفين في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التكفين في الممتزج بالحرير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التكفين في الكتان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بل الخيوط بالريق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اتخاذ الأكمام للقميص المبتدأ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تجمير الأكفان بالدخنة الطيبة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كراهة اتباع الجنازة بالمجمرة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تطييب الأكفان بغير الكافور والذريرة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الكتابة على الأكفان بالسواد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قطع الأكفان بالحديد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استحباب جعل الجريدتين مع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بيان صفات الجريدتين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الترتيب بين عود السدر والخلاف ومطلق الشجر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بيان مقدار الجريدتين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كيفية وضعهما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استحباب كتابة الشهادتين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هل يختص استحبابهما بالمكلف؟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استحباب وضع صحيفة في يمين الميت يكتب فيها اقراره وشهادة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مسائل في التكفين</w:t>
      </w:r>
    </w:p>
    <w:p>
      <w:pPr>
        <w:pStyle w:val="BookText"/>
        <w:rPr/>
      </w:pPr>
      <w:r>
        <w:rPr>
          <w:rFonts w:ascii="Amiri" w:hAnsi="Amiri" w:eastAsia="Amiri" w:cs="Amiri"/>
          <w:color w:val="111111"/>
          <w:sz w:val="28"/>
          <w:sz w:val="28"/>
          <w:szCs w:val="28"/>
          <w:rtl w:val="true"/>
          <w:lang w:bidi="ar-SA"/>
        </w:rPr>
        <w:t>الكفن الواجب للرجل من أصل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الكفن الواجب للمرأة على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لا يلحق بالزوجة من وجبت نفقته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وجوب التكفين من الزكاة لو لم يكن للميت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هل يجب على المسلمين بدل الكفن لو لم توجد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لو وفت التركة ببعض قطع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لو وجد الكفن الممنوع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هناك كفن وميتان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جعل ما سقط من الميت في كفنه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هل يجب غسل ما سقط من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إذا تنجس الكفن بالنجاسة الخارجة من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تكفين المحرم كالمحل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التحنيط</w:t>
      </w:r>
    </w:p>
    <w:p>
      <w:pPr>
        <w:pStyle w:val="BookText"/>
        <w:rPr/>
      </w:pPr>
      <w:r>
        <w:rPr>
          <w:rFonts w:ascii="Amiri" w:hAnsi="Amiri" w:eastAsia="Amiri" w:cs="Amiri"/>
          <w:color w:val="111111"/>
          <w:sz w:val="28"/>
          <w:sz w:val="28"/>
          <w:szCs w:val="28"/>
          <w:rtl w:val="true"/>
          <w:lang w:bidi="ar-SA"/>
        </w:rPr>
        <w:t>هل يجب التحنيط قبل التكفين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وجوب مسح المساجد بالحنوط</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استحباب مسح طرف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الحنوط هو الكافور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القدر الواجب من الحنوط مسماه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بيان مقدار الحنوط من حيث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لا يجب استيعاب المواضع بالمسح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رجحان سحق كافور الحنوط باليد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لا يجوز تحنيط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الدفن</w:t>
      </w:r>
    </w:p>
    <w:p>
      <w:pPr>
        <w:pStyle w:val="BookText"/>
        <w:rPr/>
      </w:pPr>
      <w:r>
        <w:rPr>
          <w:rFonts w:ascii="Amiri" w:hAnsi="Amiri" w:eastAsia="Amiri" w:cs="Amiri"/>
          <w:color w:val="111111"/>
          <w:sz w:val="28"/>
          <w:sz w:val="28"/>
          <w:szCs w:val="28"/>
          <w:rtl w:val="true"/>
          <w:lang w:bidi="ar-SA"/>
        </w:rPr>
        <w:t>استحباب حمل الرجال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الدعاء عند مشاهدة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استحباب الاسراع بالجنازة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كراهة الامر بايقاف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كراهة حمل ميتين على سرير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كراهة اتباع الجنازة بالنار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استحباب تربيع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كيفية التربيع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تشيع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مستحبات التشييع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المشيع في مآله والاتعاظ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السير وراء الجنازة أو من أحد جانبيها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المشي في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مكروهات التشييع</w:t>
      </w:r>
    </w:p>
    <w:p>
      <w:pPr>
        <w:pStyle w:val="BookText"/>
        <w:rPr/>
      </w:pPr>
      <w:r>
        <w:rPr>
          <w:rFonts w:ascii="Amiri" w:hAnsi="Amiri" w:eastAsia="Amiri" w:cs="Amiri"/>
          <w:color w:val="111111"/>
          <w:sz w:val="28"/>
          <w:sz w:val="28"/>
          <w:szCs w:val="28"/>
          <w:rtl w:val="true"/>
          <w:lang w:bidi="ar-SA"/>
        </w:rPr>
        <w:t>المشي أمام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رجوع المشيع قبل الدفن أو اذن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جلوس المشيع قبل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ضحك المشيع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اتباع النساء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ما يتعلق بالمدفن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ما يستحب في المدفن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حفر القبر إلى الترقوة أو إلى قدر 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تشريج اللحد باللبن والطين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تسطيح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تربيع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رفع القبر أربع 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وضع حجر عند الرأس مكتوب فيه اسم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مكروهات الدفن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 القبر بالساج</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جعل تراب غير القبر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تجصيصه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البناء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البناء على قبور الأنبياء والأئمة وأولادهم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تجديد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كراهة الجلوس على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حكم المشي على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كراهة جعل المدفن في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عدم جواز دفن الكافر في مقبرة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كراهة نقل الميت من بلد مات فيه إلى بلد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استحباب نقل الموتى إلى المشاهد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حرمة نبش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ما يتعلق بالدفن</w:t>
      </w:r>
    </w:p>
    <w:p>
      <w:pPr>
        <w:pStyle w:val="BookText"/>
        <w:rPr/>
      </w:pPr>
      <w:r>
        <w:rPr>
          <w:rFonts w:ascii="Amiri" w:hAnsi="Amiri" w:eastAsia="Amiri" w:cs="Amiri"/>
          <w:color w:val="111111"/>
          <w:sz w:val="28"/>
          <w:sz w:val="28"/>
          <w:szCs w:val="28"/>
          <w:rtl w:val="true"/>
          <w:lang w:bidi="ar-SA"/>
        </w:rPr>
        <w:t>وجوب دفن الميت مستقبلا بوجهه إلى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وجوب اضجاع الميت على جنبه الأيمن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كيفية دفن من مات في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كيفية دفن الكافرة الحاملة من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مستحبات الدفن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الجنازة قرب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نقل الميت إلى القبر في ثلاث دفعات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كيفية انزال الميت إلى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أولوية نزول المحارم في قبر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الأظهر عدم أولوية نزول الأجنبي في قبر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حل عقد الأكفان بعد وضعه في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جعل شئ من تربة الحسين عليه السلام مع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تغطية قبر المرأة بثوب حين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تلقين الميت قبل شرج اللحد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كيفية التلقن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الخروج من قبل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كراهة دفن اثنين في قبر واحد ابتداء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مستحبات ما بعد الدفن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إهالة التراب للحاضرين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رش الماء على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وضع اليد على القبر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تلقين الولي للميت بعد انصراف الناس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التعزية وأقلها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صنع الطعام لأهل المصيبة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مسائل في أحكام الأموات</w:t>
      </w:r>
    </w:p>
    <w:p>
      <w:pPr>
        <w:pStyle w:val="BookText"/>
        <w:rPr/>
      </w:pPr>
      <w:r>
        <w:rPr>
          <w:rFonts w:ascii="Amiri" w:hAnsi="Amiri" w:eastAsia="Amiri" w:cs="Amiri"/>
          <w:color w:val="111111"/>
          <w:sz w:val="28"/>
          <w:sz w:val="28"/>
          <w:szCs w:val="28"/>
          <w:rtl w:val="true"/>
          <w:lang w:bidi="ar-SA"/>
        </w:rPr>
        <w:t>حكم ما لو مات ولد الحامل في بطنها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حكم ما لو ماتت الحامل وولدها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جواز البكاء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جواز النياحة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استحباب زيارة القبور للنساء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تأكد استحباب زيارة القبور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كيفية 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الأغسال المسنونة</w:t>
      </w:r>
    </w:p>
    <w:p>
      <w:pPr>
        <w:pStyle w:val="BookText"/>
        <w:rPr/>
      </w:pP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أدلة القائلين لوجوبه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جواز تقديمه يوم الخميس لمن خاف اعواز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هل يعاد إذا تمكن من الماء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استحباب قضائه بعد الزوال ويوم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استحباب أحد وعشرين غسلا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غسل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يوم دحو الأرض وعرفة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التروية والغدير والمباهلة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يوم المولود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يوم أول رجب ووسطه وآخر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يوم المبعث والنيروز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ليلة الجمعة والفطر النصف من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الأغسال المتعلقة بالأمكنة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الأغسال المتعلقة بافعال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الغسل للاستسقاء</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لقضاء صلاة الكسوف والخسوف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للسعي إلى رؤية المصلوب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لقتل الوزغة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للخروج عن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لطلب الحاجة والاستخارة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لصلاة الحاجة وصلاة 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لصلاة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لاخذ الترية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لمس الميت بعد تغسيله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لمن أراد تغسيل الميت وتكفينه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لمن أريق عليه ماء غالب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للشك في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لتطيب المرأة لغير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المولود حين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التيمم</w:t>
      </w:r>
    </w:p>
    <w:p>
      <w:pPr>
        <w:pStyle w:val="BookText"/>
        <w:rPr/>
      </w:pPr>
      <w:r>
        <w:rPr>
          <w:rFonts w:ascii="Amiri" w:hAnsi="Amiri" w:eastAsia="Amiri" w:cs="Amiri"/>
          <w:color w:val="111111"/>
          <w:sz w:val="28"/>
          <w:sz w:val="28"/>
          <w:szCs w:val="28"/>
          <w:rtl w:val="true"/>
          <w:lang w:bidi="ar-SA"/>
        </w:rPr>
        <w:t>مسوغات التيمم</w:t>
      </w:r>
    </w:p>
    <w:p>
      <w:pPr>
        <w:pStyle w:val="BookText"/>
        <w:rPr/>
      </w:pPr>
      <w:r>
        <w:rPr>
          <w:rFonts w:ascii="Amiri" w:hAnsi="Amiri" w:eastAsia="Amiri" w:cs="Amiri"/>
          <w:color w:val="111111"/>
          <w:sz w:val="28"/>
          <w:sz w:val="28"/>
          <w:szCs w:val="28"/>
          <w:rtl w:val="true"/>
          <w:lang w:bidi="ar-SA"/>
        </w:rPr>
        <w:t>جواز التيمم عند عدم وجدان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وجوب طلب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تحديد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معنى الغلوة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وجوب الطلب من كل جانب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سقوط الطلب مع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سقوط الطلب مع العلم بعدم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وجوب الاستنابة في الطلب مع عدم إمكان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بطلان التيمم والصلاة لو أخل بالطلب وصلى في سعة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عدم وجوب القضاء لو انكشف وجود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عدم وجوب الإعادة لو اتلف الماء وصلى متيمما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حرمة اتلاف الماء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وجوب التيمم على من كان عنده من الماء ما لا يكفيه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هل يجوز التيمم لو ضاق الوقت عن الطهارة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جواز التيمم عند عدم الوصلة إلى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وجوب شراء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جواز التيمم إذا احتاج تحصيل الماء إلى مشقة شديدة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جواز التيمم عند الخوف من تحصيل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جواز التيمم عند الخوف من استعمال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وجوب الغسل على متعمد الجنابة إذا لم يخف تلف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القائلين بجواز التيمم لمتعمد الجنابة ،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المدار في المرض المسوغ للتيمم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المرجع في معرفة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جواز التيمم مع خوف 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جواز التيمم عند المشقة الشديدة الحاصلة من استعمال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جواز التيمم عند خوف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ما يجوز به التيمم</w:t>
      </w:r>
    </w:p>
    <w:p>
      <w:pPr>
        <w:pStyle w:val="BookText"/>
        <w:rPr/>
      </w:pPr>
      <w:r>
        <w:rPr>
          <w:rFonts w:ascii="Amiri" w:hAnsi="Amiri" w:eastAsia="Amiri" w:cs="Amiri"/>
          <w:color w:val="111111"/>
          <w:sz w:val="28"/>
          <w:sz w:val="28"/>
          <w:szCs w:val="28"/>
          <w:rtl w:val="true"/>
          <w:lang w:bidi="ar-SA"/>
        </w:rPr>
        <w:t>جواز التيمم بالتراب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هل يجوز التيمم بكل ما يصدق عليه اسم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عدم جواز التيمم بالحجر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جواز التيمم بالحجر عند فقد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عدم جواز التيمم بالمعادن والرماد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عدم جواز التيمم بالخزف والآجر والوحل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جواز التيمم بالتراب الندي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جواز التيمم بأرض الجص والنورة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جواز التيمم بالأرض السبخة واللبن والرمل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عدم جواز التيمم بالمغبر مع وجود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حكم من لم يجد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وجوب تقديم المغبر والحجر على 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عدم الترتيب بين المغبر والحجر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وجوب جمع الغبار بنفض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جواز التيمم بالغبار المتصاعد من الأرض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كيفية التيمم بالطين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حكم من لم يجد إلا الثلج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عدم صحة التيمم في المكان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صحة التيمم بالنجس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إذا وجد في التراب خليط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استحباب التيمم بعوالي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كراهة التيمم بالسبخة وبالرمل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ما يشرع له التيمم</w:t>
      </w:r>
    </w:p>
    <w:p>
      <w:pPr>
        <w:pStyle w:val="BookText"/>
        <w:rPr/>
      </w:pPr>
      <w:r>
        <w:rPr>
          <w:rFonts w:ascii="Amiri" w:hAnsi="Amiri" w:eastAsia="Amiri" w:cs="Amiri"/>
          <w:color w:val="111111"/>
          <w:sz w:val="28"/>
          <w:sz w:val="28"/>
          <w:szCs w:val="28"/>
          <w:rtl w:val="true"/>
          <w:lang w:bidi="ar-SA"/>
        </w:rPr>
        <w:t>التيمم مبيح لما تبيحه الطهارة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استحباب التيمم لكل ما تستحب له الطهارة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استحباب التيمم لصلاة الجنازة مع وجد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هل يستحب التيمم للنوم مع وجود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كيفية التيمم</w:t>
      </w:r>
    </w:p>
    <w:p>
      <w:pPr>
        <w:pStyle w:val="BookText"/>
        <w:rPr/>
      </w:pPr>
      <w:r>
        <w:rPr>
          <w:rFonts w:ascii="Amiri" w:hAnsi="Amiri" w:eastAsia="Amiri" w:cs="Amiri"/>
          <w:color w:val="111111"/>
          <w:sz w:val="28"/>
          <w:sz w:val="28"/>
          <w:szCs w:val="28"/>
          <w:rtl w:val="true"/>
          <w:lang w:bidi="ar-SA"/>
        </w:rPr>
        <w:t>وجوب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وقت النية عند ضرب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وجوب وضع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هل الواجب هو الوضع أو الضرب؟</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وجوب الضرب بباطن الكفين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حكم تعذر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وحدة الضرب وتعدده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دليل القول بتعدد الضرب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دليل القول بالتفصيل بين بدل الوضوء وبدل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دليل القول بالضربات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هل يعتبر العلوق؟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وجوب رفع الحائل بين الكف وما يتيمم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وجوب مسح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نقل الأقوال في موضع مسح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وجوب مسح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وجوب استيعاب الجبهة وتحديدها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الابتداء في مسح الوجه بالأعلى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مسح الجبهة بباطن الكفين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وجوب المسح باليدين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عدم وجوب استيعاب الماسح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وجوب مسح ظاهر الكفين من الزند إلى رؤوس الأصابع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وجوب الابتداء بالزند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وجوب تقديم اليد اليمنى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وجوب استيعاب الممسوح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حكم الإصبع واليد الزائدتين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لو كان بعض مواضع المسح مقطوعا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وجوب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وجوب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وجوب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هل تشترط طهارة الماسح والممسوح؟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أحكام التيمم</w:t>
      </w:r>
    </w:p>
    <w:p>
      <w:pPr>
        <w:pStyle w:val="BookText"/>
        <w:rPr/>
      </w:pPr>
      <w:r>
        <w:rPr>
          <w:rFonts w:ascii="Amiri" w:hAnsi="Amiri" w:eastAsia="Amiri" w:cs="Amiri"/>
          <w:color w:val="111111"/>
          <w:sz w:val="28"/>
          <w:sz w:val="28"/>
          <w:szCs w:val="28"/>
          <w:rtl w:val="true"/>
          <w:lang w:bidi="ar-SA"/>
        </w:rPr>
        <w:t>عدم صحة التيمم مع سعة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أدلة القائلين بجواز التيمم مع سعة الوقت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دلل القول بالتفصيل بين رجاء زوال العذر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وجوب تأخير التيمم لجميع الاعذار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لو تيمم وصلى مع ظن الضيق فانكشف خطأه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المراد من آخر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هل تجوز للمتيمم الصلاة أول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جواز التيمم للفائتة والنافلة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جواز أداء صلوات متعددة بالتيمم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كفاية تيمم واحد لمن عليه الغسل والوضوء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وجوب الإعادة والقضاء على من صلى متيمما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تعمد الجنابة لمن تعذر له استعمال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حكم فاقد الطهورين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حكم من وجد الماء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فروع في وجدان الماء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حكم الجنب إذا أحدث بعد التيمم وتمكن من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انتقاض التيمم بوجود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حكم الجبيرة على أعضاء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التيمم 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الأغلب أصفر بارد رقيق يخرج بفتور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السرائر وجمل العلم والعمل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رسالة والده إليه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ولعلّ الصواب مولى أبي المغراء ، تقدم مصدرها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بكير وجرير ، وتقدمت الإشارة إلى موثقة إسحاق بن جرير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صحيحة ليونس والموجود موثقة يونس بن يعقوب كما أشار إليها ، ولعله أراد بها ما رواه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عمرو عن يونس قال سألت أبا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بالتأمل أنّ المراد به ابن يعقوب فهي موثقة أيضا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الروايات سابقا سوى صحيحة صفوان ومرفوعة إبراهيم بن هاشم فراجع المجلد الثاني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وصحيحة صفوان رويت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ومرفوعة ابن هاشم رواها فيه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ويستفاد من كلام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العاذل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موثقة زرارة المتقدمة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زرارة المتقدمة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عندنا في الوجوب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بأيدينا من كتب الشهيد الأول ، نعم هو موجود في روض الجنان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 إياه على عدم العفو عن دم الاستحاضة فيما دون الدرهم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الأحكام الأربعة المستفادة من كلامه وهي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الرسالة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العماني والإسكافي نقل عنهما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والمطبوع منه لا يشتمل على مباحث الأغسال</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نفس العنوان المتقدم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نفس العنوان المتقدم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كالشهيدين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والده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موثقة ابن بكير ، 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حمل الغسل في المرسلة على غسل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الوضوء أيضا غير واجب في الكثيرة وهذا بعيد أن يهمل حكمه الواجب واكتفى بالمستحبّ ، لأن الحكم بالاستحباب إنما هو لأجل الأصل فيمكن أن يكون واجبا وذكر الواجب في الثلاثة وأهمل حكم المنفرد كما لم يذكر الغسل الواحد للمتوسطة مع شمول الكلام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 في ذلك خلافا بين علمائنا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أبي المعزى ورواية 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تعقبها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للجواب عن الدليل الخامس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كالوحيد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والده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بين المعقوفين أثبتناه من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الكافي والتهذيب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رسول اللّه صلی اللّه عليه وآله كان يأمر فاطمة عليها السلام والمؤمنات من نسائه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الطبعة الجديدة من الفقيه ، ولكن المنقول من الفقيه في الوسائل وروضة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مشتملا على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فعلت ما يجب عليها من الأغسال وتجديد الوضوء لم يحرم عليها شي‌ء مما يحرم على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تفعل ما يجب عليها وصامت فقد روى أصحابنا أن عليها القضاء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نسبة التوقف إلى المبسوط ، أنه أسند الحكم إلى رواية الأصحاب ولم يصرّح فيه بإثبات ونفي ولكنه في كتاب الصوم من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بأنه متى لم تفعل ما تفعله المستحاضة وجب عليها قضاء الصلاة والصوم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113:78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والإستدلال للمختار بثبوت العفو ليس بجيد، إذ الخصم يمنع بثبوته ويخصه بصورة الإستمرار ويدعی تبادرها أيضاً من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العصابة ، والاحتشاء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الامتلاء والمراد منه في المقام استدخال شي‌ء للمنع من سيلان الدم ، والاستيثاق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الوثاق وهو ما يشدّ به من قيد وحبل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اللجام والمراد في المقام أن يجعل موضع خروج الدم عصابة تمنع منه تشبيها باللجام في فم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الاستثفار فذكر في النهاية الأثيرية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تشد فرجها بخرقة عريضة بعد أن تحتشي قطنا وتوثق طرفيها في شي‌ء تشده على وسطها فتمنع بذلك سيل الدم وهو مأخوذ من ثفر الدابة الذي يجعل تحت 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الاستذفار فقد ورد في نسخة من صحيحة الحلبي المروية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في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تغتسل وتستدخل قطنة وتستثفر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تستذفر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بثوب ثمَّ تصلي حتى يخرج الدم من وراء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بعد تمام الرواية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والاستذفار أن تطيب وتستجمر بالدخنة وغير ذلك ، والاستثفار أن تجعل مثل ثفر الدابة قال في 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أنها نسخة الجمع لا البدل بقرينة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في الكتاب الذي أخذ المصنف الخبر منه النسختان معا ففسرهما أو ذكر أحدهما استطرادا والظاهر أنه كان في هذا الخبر بالذال وفي الخبر السابق بالثاء ففسرهما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ربما يقال باتحاد معنييهما وأنه قلب الثاء ذالا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كيفما كان فما ذكروه في اللغة في مادة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له مناسبة للمقام من منع المرأة عن سيلان الدم ففي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ذكاء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المحتمل أن يكون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الاستزفار بالزاء فانّ الزّفر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يدعم به الشجر ، والأزفر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العظيم الجنبين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مناسبته للمعنى المراد في المقام وهو شدّ الوسط والاستقواء به على منع الدم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المجلّد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ليست بمرسلة ، فإن للصدوق طريقا إلى عمار ذكره في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خاتمة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الخلقاني ورواية السكوني المتقدمتين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 جمل العلم والعمل للمرتضى ، ونقل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عمار ومرسلة الفقيه المتقدمتين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كفاية المضغة ، وقال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المضغة دون العلقة إلاّ أن تشهد أربع نساء عدول بأنها مبدأ الولد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حكي أن امرأة ولدت على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 دما فسميت الجفوف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أحد وجهي الشافعية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طاوس القول برجوع النفساء إلى عادتها في الحيض ، وهو يدل على قولهما بعدم زيادة النفاس عن العشرة ، بالتقريب الذي سيذكره في المتن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أيام النفاس ثمانية عشر يوما ، فإن رأت الدم النفساء اليوم التاسع عشر من وضعها الحمل فليس ذلك من النفاس إنما هو استحاضة فلتعمل بما رسمناه للمستحاضة وتصلي وتصوم ، وقد جاءت الأخبار معتمدة في أن أقصى مدة النفاس هو عشرة أيام وعليها أعمل لوضوحها عندي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 في كتبهم ، والمنسوب إليهم هو القول بالأربعين وهو المشهور بينهم ولهم أقوال أخر من الخمسين والستين والسبعين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المتن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تقدم ذكرهم على الجعفي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الصدوقان والمفيد وغيرهم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الصدوق والإسكافي والسيد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قويّة ابن أعين المتقدمة في الصفحة السابقة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مصدرها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أيضا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للشك في صدق دم الولادة عليه مع كون وظيفتها الرجوع إلى أيّام العادة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موثقة عمّار المتقدمة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يقوي في نفسي أن النفاس يكون من مولد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جملة من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ذات التوأمين فصاعدا يتعدد نفاسها عملا بالعلة لانفصال كل من الولادتين عن الأخرى فلكل نفاس حكم نفسه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قوية مالك بن أعين المتقدم مصدرها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الحامل من الزنا إذا طلقها زوجها ، فإنه لو تقدمها قرءان سابقان على الوضع بناء على مجامعة الحيض للحمل ثمَّ رأت بعد الوضع نفاسا عدّ في الأقراء وانقضت به العدة ، ولو لم يتقدمه قرءان عد في الأقراء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يغمض عين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من نحّاه إلاّ غسل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حزم في 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حنيفة ومالك والشافعي وداود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كالمروي في الخصال عن الصادق عليه السلام في تعداد الأغسال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وغسل من مس الميت بعد ما يبرد وغسل من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أيضا عن أبي جعفر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غسلت ميتا أو كفنته أو مسسته بعد ما يبرد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غسل المس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فحمله في التهذيبين على الاستحباب ، وفيه بعد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صحيحة الصفار المتقدمة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ليس الدليل في الأول هو صدق الغسل والمراد من الأول هو مس المغسول مع تعذّر الخليط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الوجوه التي استدل بها على عدم وجوب الغسل بمس الشهيد ، 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للنفي المتقدم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الثاني لظهور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هي وصحيحة الحلبي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قلنا بالاستحباب كان تفصيا من إطراح قول الشيخ رحمه اللّه والرواية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كالإصباح على ما 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فالمس بالعظم الموضح والسن والظفر يوجب الغسل للصدق ، وكذا بالشعر ما لم يطل على إشكال فيه ، وبما طال منه لا يجب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علي ، والمدارك ، والكفاية والبحار ، واللوامع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والظاهر أنه مصحف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يسقط الاستقبال بالموت أو يجب دوام الاستقبال به حيث يمكن؟ كلّ محتمل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جماعة من الأصحاب منهم الشيخ في الخلاف والمبسوط والمفيد والمحقق في المعتبر والسيد إلى الاستحباب ، ولم يسند فيه القول إلى التهذيب كما لم نعثر عليه فيه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 فيه بالاستحباب وقد يستفاد من سياق كلامه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فيه كما ذكر في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مرسلة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لتحصيل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حضر أحدهم الوفاة فاحضروا عنده بالقرآن وذكر اللّه والصلاة على رسول اللّه صلی اللّه عليه وآله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الإحتضار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الاحتضار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تقرأ آية السخرة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رَبَّكُمُ اللّهُ الَّذِي خَلَقَ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رَحْمَتَ اللّهِ قَرِيبٌ مِنَ الْمُحْسِنِينَ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الاحتضار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عثرنا عليه من صحيحة سليمان ورواية الجعفري لا يتعلق بالحكم الأول أي تغميض العينين وإنما هو متعلق بالحكم الأخير أي تغطيته بثوب وعبر عنها في الروايتين بالتسجية ، فالصواب تبديل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سليمان مروية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الجعفري مروية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مصدرها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نجده فيه ،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مات ليلا أسرج في البيت مصباح إلى الصباح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اشتبه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الأمارات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والمذكور فيه ليس بعنوان الرواية فلاحظ</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الغريق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الجنائز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الجنائز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الجنازة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الجنائز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الجنازة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الدفن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يكره في حال الاحتضار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أنسب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وبكراهة ذلك قال أهل العلم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السبعين وما فوقه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رحمه اللّه في رسالته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الميت وحده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البحراني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إليه المحقق في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فرض على الكفاية إذا قام به سقط عن الباقين بلا خلاف بين أهل العلم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رواية إسحاق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الرواية متفق عليه ، وقال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خلاف بين الأصحاب في أن الزوج أولى بزوجته في جميع الأحكام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قدامة في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حنيفة ومالك والشافعي وسعيد بن المسيب والزهري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العصبة على الزوج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 بعض الأصحاب إلى مساواتهما لشمول اسم الزوج لهما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وَأَصْلَحْنا لَهُ زَوْجَهُ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لنقله الروايات الدالة على سقوط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أن الزيادة موجودة في رواية الكناني أيضا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ابن فرقد المتقدمة آنفا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الموجود في الأول هو الجواز نعم صرّح في الثاني بالاستحباب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رويت في أنه يجوز لهم أن يغسلوا محاسنها يديها ووجهها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الوجه في هذين الخبرين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خبر زيد وجابر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ضرب من الاستحباب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ويحتمله كلام الحلبيين ولم نعثر عليه في الكافي لأبي الصلاح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وإسحاق وفي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المقنعة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بجوازه عند الاضطرار ،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حنيفة والثوري والأوزاعي لا يجوز للرجل أن يغسل 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أحمد روايتان انظر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ماتت لا يغسلها أي لا يغسلها مجردة من ثيابها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قال به الشهيدان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القول بالفصل موجودا في العكس ، وهو تغسيل الزوج للزوجة ، كما سينقله 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الفرق بين الرجل والمرأة في ذلك أن المرأة يجوز لها أن تغسل الرجل مجردا وإن كان الأفضل والأولى أن تستره ثمَّ تغسله وليس كذلك الرجل لأنه لا يجوز له أن يغسلها إلاّ من وراء الثياب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 الموجود عدم الفرق بينهما فلاحظ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نقل عنه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أتى بعين عبارة الاستبصار بعنوان عبارة التهذيب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في كتابه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وعندي الأحوط أن لا يغسل الرجل زوجته إلاّ من وراء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العكس فالأصل يجوز التجريد ولم أظفر بما يعارضه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في اللوامع نسب إلى المبسوط جواز التجرد فيهما ، ونسب الهندي إليه المنع فيهما ، ونسب المنع في اللوامع إلى أكثر المتأخرين ، وبعض مشايخنا نسب الجواز إليهم ، ونسب في الحدائق التفصيل إلى التهذيب ، والهندي نسب إليه الجواز ونسب التفصيل إلى الاستبصار ، ونسب المنع بعض مشايخنا إلى ابن زهرة وظاهر الهندي خلافه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وتمسكا في الثاني وهو اشتراط كونه من وراء الثياب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يصرح بالجواز بل احتاط بعدمه كما نقل عنه أيضا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التلخيص أيضا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كشف اللثام عن الكافي ولم نعثر عليه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وإن لم يصرح بعدم الاشتراط ولكنه أطلق التغسيل ولم يقيده بكونه من وراء الثياب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يخلو عن القوة لو لا الشهرة العظيمة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التفرقة في مراتب الرجحان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النمير وكذا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شيخه ابن الوليد ولكن مورد كلامه الابنة دون الابن ، ولعله يستفاد بالأولوية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 والمراسم في الصفحة المشار إليها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والرواية مرسلة ومتنها مضطرب فلا عبرة بها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الثالث عشر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الحجري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في صدر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فيغسّل بنت أقل من ثلاث سنين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المعنى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وبضميمة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حذف الواو</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أقوالهم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ابن الوليد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الجامع لنسبة الحكم فيه إلى رواية ضعيفة ، انظر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إليهما عدم الذكر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والصدقات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ناظرا إلى قول المحدث الفيض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كيفية الجمع بين الأخبار المختلفة في البلوغ ، من أن التوفيق بين الأخبار يقتضي اختلاف معنى البلوغ بحسب السن بالإضافة إلى أنواع التكاليف ، كما يظهر مما روي في باب الصيام أنه لا يجب على الأنثى قبل إكمالها الثلاث عشرة سنة إلا إذا حاضت قبل ذلك ، وما روي في باب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الأنثى تؤاخذ بها وهي تؤخذ لها تامة إذا أكملت تسع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مما ورد في الوصية والعتق ونحوهما أنها تصح من ذي العشر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مظهر للشهادتين يجوز تغسيله الا الخوارج والغلاة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بعض الروايات مثل موثقة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 كل الموتى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وضعناه لاستقامة المعنى ، قال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والمشهور بين الأصحاب كراهية التعرض إليه إلاّ أن يتعيّن فيجب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تغسيل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ضربين أحدهما الغسل فيه واجب على الميت نفسه قبل موته ، والآخر يجب على غيره بعد موته إذا كان الميت معتقدا للحق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مؤدى القاعدة المعروفة بقاعدة الإلزام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العقيقة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غسل الميت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 إذا كمل له أربعة أشهر وجب أن يغسل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له أقل من أربعة أشهر لم يغسل ولم يكفن ولم يصل عليه بل يلف في خرقة ويدفن إجماعا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رشد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الجمهور على ترك 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الحسن وسعيد ابن المسيب يقولان يغسل كل مسلم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وسند الصدوق إلى أبي مريم صحيح في المشيخة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 عن سعد بن عبد اللّه ، عن أحمد بن محمد بن عيسى ، عن الحسين بن سعيد ، عن فضالة بن أيوب ، عن أبان ابن عثمان ، عن أبي مريم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 للحلبي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وَالْمَساكِينِ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سَبِيلِ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مضمرة أبي خالد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عنها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يظهر لي أنه لا تجب الصلاة إلا أن يوجد ما فيه القلب أو الصدر أو اليدان أو عظام الميت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واستدلوا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الإشارة إلى عدم دلالته ، وأوكل التفصيل إلى محله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اتفاق الأصحاب قديما وحديثا على الحكم المذكور لأمكن المناقشة فيه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واقتصر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الخبرين من المرجوم والمقتول قودا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والموجود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 فإنهما تعرضا للتحنيط فراجع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مرتبطة بقوله في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للإجماع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مصريات السيد ، ولم نعثر على الحاكي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في غسل الميت النية ولا التسمية ، وعن أحمد روايتان ، والأصح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غسل واجب فهو عبادة وكل عبادة تجب فيها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بأن الأصل عدم الوجوب والنقل لا يثبت إلا بالشرع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أحمد بأنه غسل يجب تعبدا عن غير نجاسة فوجهه باقية كالجنابة ولمّا تعذرت النية والتسمية من الميت اعتبرت في الغاسل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المعارضة بأن نقول غسل وجب تعبدا عن غير نجاسة فلا تجب النية على الغير كالجنابة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فيهما تصريح بكفاية الواحدة ، نعم قد يستفاد من إطلاق كلامهما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مصدرهما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مصدرهما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تغسيله مرة بماء القراح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فتات قصب الطيب ، وهو قصب يجاء به من الهند كقصب النشاب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الديلمي كما تقدم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يغسل بماء السدر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ما يلقى في الماء من السدر ما يقع عليه الاسم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منه فيه ما يصدق معه ماء السدر على الأشهر الأظهر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بالأصابع كسرا صغيرة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حكي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 ولم نعثر على شخصه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نقعه في الماء ومرثه باليد حتى تتحلل أجزاؤه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لاستقامة المعنى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وينبغي كونه مطحونا أو ممروسا في الماء بحيث تظهر به الفائدة المطلوبة منه ، وفي وجوب ذلك نظر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عدم خروج الماء عن الإطلاق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 الجامع وحكى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 أكثر الأخبار أنه محسوب من غسل السدر الواجب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 من الأباريق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في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ومعقد الإجماع في كلامه هو التحنيط بالكافور دون التغسيل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تغسيلة ثلاث مرات أوّلا بماء السدر ثمَّ بماء الكافور ثمَّ بالماء القراح ولا يجوز الاقتصار على الواحدة إلا عند عوز الماء ، وهو مذهب الأصحاب خلا سلار فإنه اقتصر على الوجوب على المرة بالماء القراح وما زاد على الاستحباب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مصدرهما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الثلاث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يتعلق بالغسل فأربعة أضرب واجب ومندوب ومحظور ومكروه ، فالواجب ستة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وتغسيله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والمندوب سبعة وعشرون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غسله أولا بماء السدر وثانيا بماء جلال الكافور وثالثا بالماء القراح</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استظهر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ابن حمزة القول باستحباب الخليط لا استحباب الترتيب مع وجود الخليط</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يونس المتقدم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افتى به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المرتضى 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للصهرشتي ، 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المشهور بين الأصحاب ، وفي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الأكثر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ينبغي أن ينزع القميص عن الميت ثمَّ يترك على عورته ما يسترها واجبا ثمَّ يغسله الغاسل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في غسل الميت أن يغسل في قميص نظيف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بالتأمل في الكلام الذي نقله عنه في المختلف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 الأوليين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رواها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تقدم نقله فراجع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صاحب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مصباح الأنوار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ضعف الرواية من حيث الدلالة ويحتمل وقوع تصحيف في العبارة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ولضعف الدلالة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الميت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أبي خيثمة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والده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حميديات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رسالة علي بن بابويه إلى ابنه الصدوق ، كما نقل عنها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مستندهما سوى رواية الكاهلي ، وليس فيها إلاّ غسله بالسدر خاصة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وضوء الميت تردد والأشبه أنه لا يجب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قال بوجوبه وهو الصحيح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وصفته أن يبدأ الغاسل فينجي الميت ويوضئه وضوء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عدم صراحته في الوجوب ، نعم هو ظاهر فيه ، وقد نسبه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ظاهر الكافي كما نسبه إلى صريح النزهة ، فالمحتمل أن تكون العبارة الأصلية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الحلبي وسقط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جماعة عن الاستبصار والموجود فيه خلافه ، وانظر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قال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حكي عن المحقق الطوسي ، ولم نعثر على مصدره ولا الحاكي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يوضئ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ويوضئ الميت ، قال في كشف اللثام بعد نقلهما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يحتمل الوجوب والاستحباب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وأطبق الجمهور على الوضوء ، وفي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يوضأ الميت وقال الشافعي يوضأ وقال مالك إن وضئ فحسن ، وفي بدائع الصنائع للكاساني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يوضأ وضوءه للصلاة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أصحابنا من قال يوضأ الميت وما كان شيخنا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يرى ذلك وجوبا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مصدرهما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المنجبر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مضمونه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فيه توجيه الميت إلى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وغسل رأسه برغوة السدر والبدأة بشقه الأيمن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وغمز بطن الحبلى ،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إسقاط المرأة ولدها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مسح بطنه في الغسلتين الأولتين قبلهما رفيقا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المعتبر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ويحشو القطن على حلقة الدبر وبعض أصحابنا يقول في كتاب له ويحشو القطن في دبره ، والأول أظهر لأنه يجنب الميت كل ما يجنبه الأحياء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شيئا من القطن فيضع عليه شيئا من الذريرة ويجعله في مخرج النجو</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نفس الرواية المتقدمة التي عبر عنها بالمضمرة فلاحظ</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الرضوي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مستحبات الوضوء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روايتين نبويتين دالتين على هذا المضمون فراجع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ويغسل الغاسل يديه مع كل غسلة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ويبدأ الغاسل فيحني الميت حنيا رفيقا لا يبلغ به قريبا من الجلوس لأن في الجلوس أذية له ، وفي المهذب في فقه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والمستحب أن يجلسه إجلاسا رفيقا ويمسح بطنه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عدم الخليط فظاهر الكلام الشيخ الإجزاء بالمرة وابن إدريس اعتبر ثلاثا والأول أوجه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والميت إذا لم يوجد له كافور ولا سدر فلا بأس أن يغسل بالماء القراح ويقتصر عليه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تعذر السدر أو الكافور أو هما فالأقوى عدم سقوط الغسلة لأن وجوب الخاص يستلزم وجوب المطلق ،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يترك الميسور بالمعسور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قائله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من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الغسل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الغسل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أن صاحب الوسائل نقل الرواية عن الفقيه مع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بتيمم ، ثمَّ رواها عن الشيخ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حدثه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عليه السلام وذكر 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فالنسبة المذكورة إلى الوسائل خطأ</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فيه على دعوى الإجماع ، ونسبه إليه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ييمم ثلاثا أو مرة؟ الأقرب الأول لأنه بدل عن ثلاثة أغسال ، ويحتمل الثاني لاتحاد غسل الميت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منه على دعوى الإجماع صريحا ، نعم قال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مذهب أكثر أهل العلم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أشار إليه في هامشها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فاكتفى بواحد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أثواب أو ثوب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الكفن المفروض ثلاثة أثواب تام لا أقل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 في هذا الحديث مختلفة ففي بعض نسخ التهذيب كما نقلناه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ثلاثة أثواب وثوب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ويوافقه كثير من نسخ الكافي وهو المطابق لما نقله شيخنا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المفروض ثلاثة أثواب تام لا أقل منه وهذه النسخة هي الموافقة لما نقله المحقق في المعتبر والعلامة في كتبه الاستدلالية ، ولفظة تام فيها خبر مبتدأ محذوف أي وهو تام ، وفي بعض النسخ المعتبرة من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ثوب 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أو بدل الواو</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المرأة قميصها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شقة تلبسها المرأة وتشد وسطها ثمَّ ترسل أعلاها على أسفلها إلى الركبة والأسفل إلى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وفسره في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بالإزار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الحبرة وزان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يماني من قطن أو كتان مخطط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يظهر منه تعيين القميص</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ويرد فضلها </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قال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والكفن المفروض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وإزار ولفافة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مرسلة يونس المتقدمة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مصدرها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ويلقى فضلها على وجهه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روايتا الدعائم والرضوي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موثقة الساباطي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ابن وهب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الوادي ويفتح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شاطئه وناحيته ، وظفار كقطام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باليمن قرب 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اليوم لساوى أربعمائة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موجودة في المصادر أيضا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شخصه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المتقدم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والكفن المفروض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 وإزار ولفافة وقال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يكفن في قميص غير مزرور ولا مكفوف وإزار يلف على جسده بعد القميص ثمَّ يلف في حبر يماني عبري أو ظفاري نظيف ونقل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في رسالته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اقطع كفنه تبدأ بالنمط وتبسطه وتبسط عليه الحبرة وتبسط الإزار على الحبرة وتبسط القميص وتكتب على قميصه وإزاره وحبرته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العماني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 إزار وقميص ولفافة وعن الجعفي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الخمسة لفافتان وقميص وعمامة ومئزر فتدبر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ابن وهب المتقدم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تلفف العمامة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على الترتيب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والمنقول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أثواب أو ثوب تام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التصريح به في الروضة نعم صرّح به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جوّزها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عبر عنها هناك بالحسنة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 الخاصرة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النهاية والمبسوط والخلاف وجمل العلم والعمل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أن يزاد الرجل حبرة يمنية عبرية غير مطرزة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الحبرة من التحبير وهو التحسين والتزيين ، ويمنية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العبر وهو جانب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أنه سهو من قلمه الشريف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مرسلة الجعفي المتقدمة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 ، ويحتمل أن يكون مصحّفا عن المهذب لأن القول موجود فيه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ذنبيها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كفلس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يصبغ غزله ثمَّ ينسج ، وقال السهيلي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صبغ لا ينبت إلاّ 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إزار ورداء برد أو غيره ولا يكون إلاّ من ثوبين أو ثوب له بطانة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يستفاد من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وجدنا التصريح به في بعض الأخبار أن العمامة والخرقة ليستا من الكفن ، ولم نعثر على رواية تصرح بأن الخمار ليس من الكفن فانظر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أنه ولو اقتصر في أوّل كلامه على المنع عن الحرير إلاّ أنه قال بعد 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ويشترط أن يكون مما يجوز فيه الصلاة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رقيق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نسبة إلى كور سابور كورة من فارس ومدينتها شهرستان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الإسكافي بالنسبة إلى الوبر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استدل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والتجمّل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العلل ، وهو مروي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مدينة العلم للصدوق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الأنوار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الغيبة للشيخ ، نعم هو مروي في الغيبة للصدوق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مروية في هامش الكتاب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صورة مفصلة لما عثرنا عليه في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وعن الإسكافي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ساقط من المنتهى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ادعاها في المختلف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أربعمائة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كالمنتهى والروض</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النزهة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أراد تغسيل الميت يستحب له أن يغتسل قبل تغسيله وكذلك إذا أراد تكفينه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الكفن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من الصوف تلبسها الأعراب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الإصباح</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ابن القداح المتقدمة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أفتى به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مضمرة ابن راشد المتقدمة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 كتب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أن يجمر أو يتبع بمجمرة ولكن يجمر 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إيراد أحكام وروايات في التكفين والتحنيط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أنه صلی اللّه عليه وآله حنط بمثقال مسك سوى الكافور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بعد نقل روايات المرسلة المذكورة ، ولم يرو خبر غياث ولم يستدل به كما يظهر من المتن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جوزه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المراسم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كالمقنعة والنهاية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التخضير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أن الرواية نقلها الصدوق عن علي بن بلال وله إليه طريق مذكور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فتوصيفها بالمرسلة ليس على ما ينبغي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الجعفي ونقل عنه 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التخيير بين النخل وكل شجر رطب ، نعم قال به الشهيد الثاني في 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سعيد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نفي عنه البعد في بحار الأنوار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والمرجئة بغير تشديد من الإرجاء بمعنى التأخير ، وفي معنى الكلمة أقوال مختلفة ولا يبعد أن يكون الخبر ما فسّره في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علي عليه السلام التقت الفرقة التي كانت معه والفرقة التي كانت مع طلحة والزبير وعائشة فصاروا فرقة واحدة مع معاوية بن أبي سفيان إلا القليل منهم من شيعته ومن قال بإمامته بعد النبي صلی اللّه عليه وآله ، وهم السواد الأعظم وأهل الحشو وأتباع الملوك وأعوان كل من غلب أعني الذين التقوا مع معاوية فسموا جميعا 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مقباس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شخصه ، وقال 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واستحباب الشق كما ذكره بعض الأصحاب غير ثابت</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المنتهى</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الوصايا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الوصايا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ألحقها أكثر الفقهاء</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فيظهر من كلامه الاستحباب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الاستحباب</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الوجوب فمحل إشكال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الكفن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كلامه هذا ولا على من حكى عنه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عقيل وعن السيد المرتضى في شرح الرسالة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الاستحباب عن ظاهر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يأخذ الكافور فيسحقه سحقا بيده ويضعه على مساجده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كما ترى غير ظاهرة في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أتبعها بذكر مستحبات ربّما تصير قرينة على إرادة الاستحباب من العبارة المذكورة ، فتأمل ولاحظ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وينبغي الابتداء به قبل الأخذ في التكفين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الكفن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الكفن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عمار المتقدمة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 وموضع القلادة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المنخفضة في الجسم كالآباط</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عثرنا عليه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تقوية القول بعدم الوجوب فلاحظ</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طرف الأنف</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خلافا للمحكي عن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 أي الصدر ، فلاحظ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خلافا للمحكي عن الصدوق والأخير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والرابع أي في المفاصل واليدين ، ولعل وجه نسبة هذا القول إلى المختلف نقله رواية يونس المشتملة على المغابن من اليدين والرجلين ، فانظر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من كتب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المعهود من الماتن من هذا التعبير هو إرادة الفاضل الهندي ولكن لم نعثر على نفي الخلاف في كشف اللثام وهو موجود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المرتبة الثانية أربعة دراهم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مصدرهما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أفضلية ثلاثة عشر درهما وثلث ، نعم نسب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البراج القول بثلاثة عشر درهما ونصف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غريب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الثالث عشر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القديم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إحداهما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والأخرى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الموضع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الموضع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الموضع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غسل الميت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وباللّه وصلى اللّه على محمد وآل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وهكذا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وقهر العباد </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وهو خطو فسيح دون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بها أفضل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حكى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حكى عنها القول بالحرمة ، والموجود فيها الكراهة كما تقدم في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يحمل ميتان على نعش واحد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نادر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نادر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يونس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الدفن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في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أنه يدور عليها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ادعاها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الشهيدان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حكى عنه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الخلاف الثاني ، راجع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الشهيد الثاني في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الدفن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أحب أن يمشي ممشى الكرام الكاتبين </w:t>
      </w:r>
      <w:r>
        <w:rPr>
          <w:rFonts w:eastAsia="IRNazanin" w:cs="IRNazanin"/>
          <w:b w:val="false"/>
          <w:bCs w:val="false"/>
          <w:i w:val="false"/>
          <w:iCs w:val="false"/>
          <w:color w:val="333333"/>
          <w:sz w:val="20"/>
          <w:szCs w:val="20"/>
          <w:rtl w:val="true"/>
        </w:rPr>
        <w:t>...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الفقيه مرسلة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خلف الجنازة أو إلى أحد جانبيها أفضل من التقدم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أهل العلم يرون الفضيلة للماشي أن يكون إمام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الأوزاعي وأصحاب الرأي المشي خلفها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الإسكافي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مجموعة ورّام ونقل عنها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ذيل خبر غياث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هذه الرواية ضرب من الكراهية دون الحظر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والأبواب التي أشير إليها في هامشه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مظانّه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تعرّض للمسألة بدون دعوى الإجماع ،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شرجت اللبن شرجا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نضدته أي ضممت بعضه إلى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الإشعار أنه قد ورد في المعتبرة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وضعت عليه اللبن فقل اللّهم صل وحدته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مشعر باستقرار البناء في تلك الأزمنة على وضع اللبن حيث اقتصر عليه السلام الأمر بالدعاء عنده ولم يأمره بوضع اللبن ، وهو مما يستفاد من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الراوندي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أبواب التاريخ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المصادر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مفروجات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مرسلا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في النسخ الثلاث تقديم وتأخير في العبارة ، وهي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الرخصة ، والمراد بتطبيق الساج عليه جعله حواليه كأنه وضع في 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كراهة مع الضرورة اتفاقا ، ومنها النداوة ، لمكاتبة ابن بلال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ربما مات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مرّ في كتابة الكفن من عمل العمري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الساجة ، ومرسلة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الحسن الثالث إطلاق في أن يفرش القبر بالساج ويطبق على الميت الساج ، بل المكاتبة الآتية حيث إن التقييد فيها في السؤال عندنا وتكون الأرض ندية فيفرش القبر بالساج أو يطبق عليه ، هل يجوز ذلك؟ 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جائز</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التباني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كلمة مبهمة ، وما أثبتناه موافق للتهذيب المطبوع راجع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على ادعاء الإجماع فيه ، وقد حكى عنه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المحاسن ، كنز الكراجكي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تتخذوا قبري مسجدا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 الشرائع ، ويحتمل وقوع التصحيف في ضبط الرمز ، فضبطه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فرحة الغري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المسائل العزية ،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سليمان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قصص الأنبياء للراوندي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 وما أثبتناه هو الصحيح</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 ونقله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الحدود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بتفاوت يسير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به 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ظاهر المقنعة والمعتبر ، ولكن قال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الإنسان في البحر ولم يوجد له أرض يدفن فيها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المرويان في الدعائم ودعوات الراوندي وقد تقدما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كلامهما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الدفن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ينزله وليه أو من يأمر الولي بذلك ،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روايتا عبد اللّه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عبد اللّه بن 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عبد اللّه العنبري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الطين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المتن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التكفين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العزّية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المفيد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خبر ابن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والمراد منه حسنة ابن يقطين ، ولكن لم يذكر فيها كون القارئ أولى الناس بالميت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أذنيه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بن زرارة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وقوع تقديم وتأخير في بعض الألفاظ ، فإن المستفاد من المصدر أن أبا الحسن الرضا عليه السلام أمر برشّ الماء على قبر يونس بن يعقوب وهو زميل محمد بن الحباب</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 الحديث</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 وما أثبتناه موافق للمصادر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صوته بالتلقين ،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المنتهی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اللئام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جابر المتقدم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فروع الكافي على ما يدل على التحديد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نقلت فيه الروايات التي تدل على اتخاذ الطعام وصنع المأتم ثلاثة أيام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أن العبارة في الأصل قد كانت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الكافي للحلبي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وما يناسبه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وهب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جميع المصادر 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يتحرك</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والمقنعة والنهاية والمبسوط والسرائر والجامع ، ولكن لم نعثر عليه في الفقيه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المعيشة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المعيشة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منازع</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العلامة فلم نجد في كتبه ما يدل على قوله بكراهة الزيارة للنساء ، بل صرح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كراهتها لهن ، نعم قد حكاه عنه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استظهرها من ابتداء كلامه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اختص الاستحباب بالرجال ، ولكنه أثبت عدم الكراهة للنساء بعد أسطر ، فراجع</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للفيروزآبادي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العروس ، وقد نقل عنه 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العروس في خصائص يوم الجمعة وفضائله ، للشيخ المتقدم أبي محمد جعفر بن أحمد بن علي القمي </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 الصدوق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غسل الجمعة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 وما أثبتناه هو الأنسب</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ابن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حسنة ابن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ابن عبيد اللّه ،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مرفوعة ، ورواها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وطريق الصدوق إليه مذكور في المشيخة ، فهي مسندة في الحقيقة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العزيز ، ولم نجد رواية منقولة عنه بهذا المضمون ، والظاهر وقوع السهو أو التصحيف فيه ، وما أثبتناه موافق للمصادر والكتب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مرسلا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بتفاوت يسير</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بتفاوت</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عن رسالة ابن بابويه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حكى عن الإصباح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الرقم</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المصباح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المسائل المصرية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ما حكي عن الغنية من وجوب هذا الغسل فالظاهر خلافه ، بل هو قائل باستحبابه ، أنظر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صحيحة محمد والمروي في الخصال وقد تقدما 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نهاية الشيخ ولا على من نقله عنها</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الألفاظ ،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البلد الأمين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زال عقله أنزل ، فإذا أفاق اغتسل احتياطا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عنوان الباب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تعارضها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والمعتمد اعتبار الطلب من كل جهة يرجو فيها الإصابة بحيث يتحقق عرفا عدم وجدان الماء</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 ابن شجاع في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تيممه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وبطلت صلاته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مرسلة العامري والمروي في قرب الاسناد ، وقد تقدما 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شخصه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قال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أراق الماء في الوقت عصى مع علمه باستمرار الفقد ويقضي</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استدل به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 وما بين المعقوفين من المصدر</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يسوؤني </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صفوان المتقدمة في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ابن 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الباب </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كان عليه ،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يحدث في ظاهر الجلد من الخشونة يحصل به تشويه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في البدن من القروح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الزجاج في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في كتاب الخليل ، والصعيد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المستوية ،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أو وجه الأرض ،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شرح المفاتيح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حاشية تفسير الطبري </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فَامْسَحُوا بِوُجُوهِكُمْ وَأَيْدِيكُمْ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المرويان 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 وقد تقدما في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أيضا في 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مقام بيان احتجاج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من قوله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احتج به في 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شرح الرسالة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حكى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البالية</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سماعة الآتية 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صحيحتا رفاعة وابن المغيرة ، راجع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فيه على ادعاء الإجماع ،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البرذعة والبردعة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يلقى تحت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 وما أثبتناه موافق للمصدر ، والإكاف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مصباح السيد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 السكوني والخبر المروي في النوادر ، راجع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دريد عن أبي عبيدة</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الديك والفرس والدابة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الشعر والريش من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السند</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صحيحتا رفاعة وابن المغيرة ، راجع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موثقتي زرارة ، راجع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صحيحتا رفاعة وابن المغيرة ، وموثقتا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والسيد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ضروريات الجسم ، غايته أنه مقدمة للتيمم ، والتوصل بالمقدمة الحرام لا يبطل ذي المقدمة كما بين في الأصول</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الإسكافي 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المصنف أن أحدا أفتى به ، بل ظاهره أنه لم يفت به أحد ، والظاهر أنه كذلك ، إلاّ أن الظاهر من المصنف ولعل غيره أيضا من جملة متأخري المتأخرين أفتوا بالاستحباب مع وجود الماء مطلقا</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 والصواب ما أثبتناه</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العزية بالعين المهملة والزاء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كتبها لعز الدولة</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عن شرح الرسالة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اختار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ضربتين في البدل من الغسل</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 قال بوجوب المرة في بدل الوضوء خاصة ، وسيأتي قريبا ذكره في جملة القائلين بالتفصيل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 زهرة فقال بأن مقتضى الاحتياط ضربتان في بدل الغسل راجع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يبعد أن كلمة الحلبيين زيادة من الناسخ</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الفاضلين نقلا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رسالة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الضربتين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عبارتها واستفاد منها اعتبار ثلاث ضربات فراجع</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أراد الرجل أن يتيمم ضرب بيديه على الأرض مرة واحدة ، ثمَّ ينفضهما فيمسح بهما وجهه ، ثمَّ يضرب بيده اليسرى الأرض فيمسح بها يده اليمنى من المرفق إلى أطراف الأصابع ، ثمَّ يضرب بيمينه الأرض فيمسح بها يساره من المرفق إلى أطراف الأصابع</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الالتباس وإرشاد الجعفرية</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نقل ذلك عنهما</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في النافع تلك الرواية ، وإنما المذكور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 الضربات أقوال أجودها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للوضوء ضربة وللغسل 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قال بعد جمع الأخبار بالتفصيل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أنا قد أوردنا خبرين مفسرين لهذه الأخبار أحدهما عن حريز عن زرارة عن أبي جعفر عليه السلام ، والآخر عن ابن أبي عمير عن ابن أذينة عن محمد بن مسلم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التيمم من الوضوء مرة واحدة ومن الجنابة مرتان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والخبر المروي عن ابن مسلم هو الخبر الآتي المتضمن بضربات ثلاث مطلقا ، وكأنه نقل حاصل ما فهمه منه ، فظن الفاضل أنه حديث آخر</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التبيان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مذهبنا في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وشيخه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مقام ذكر القائلين بالمرة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الكليني لاقتصاره بذكر أخبار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فيه عن والده أيضا</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بعوض</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تعلّق حينئذ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دلالة له على معنى من ، غايته أنه يدل على أن علة تبعيض الوجه عدم إمكان إجراء العلوق على جميعه ، وحيث لا يجب الاطراد في العلة يكفي فيها كونه كذلك في الجملة ، كما قالوا في علة ضرب الدية على العاقلة إنها مما يفهم من القاتل في الجاهلية</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والده</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دليل على العلوق سوى الآية التي هي أيضا دليل كفاية مطلق الأرض عند القائلين بها باعتبار أنه معنى الصعيد ، وبعد تسليم كون الصعيد فيها مطلق 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مثل الحجر الخالي عن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المرجع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ذلك الوجه ولو لم يكن عليه غبار ، فلا يمكن المسح ببعضه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فيتردد الأمر بين التجوز في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الصعيد إما بإرادة التراب أو الشي‌ء المغبر ولا مرجح لشي‌ء منهما ، فيسقط الاستدلال بها رأسا</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الحلبی في 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الانتصار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مسح الوجه بالتراب في التيمم إنما هو إلى طرف الأنف من غير استيعاب له</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فيمسح بهما وجهه ، وحكى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العماني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المصادر</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مما يضعف نسبة الاستيعاب إلى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تعالى </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عرنين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مجتمع الحاجبين ، وهو أول الأنف حيث يكون فيه 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والمنقول من عبارة الأمالي في شرح المفاتيح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ويمسح بهما وجهه من قصاص شعر الرأس إلى طرف الأنف الأعلى ، وإلى الأسفل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ولكنا لم نعثر على ذلك في الأمالي المطبوعة التي بأيدينا ، والموجود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فيمسح بهما وجهه ، ثمَّ يضرب بيده اليسرى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وجود اختلاف في نسخ الأمالي</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موثقة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المسح بمجموع الكفين عملا بجميع الأخبار ،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شخصه</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في فقه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عنهما في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سليمان ، وهو تصحيف</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مرسلة ،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ادعاء الإجماع في كتبه الفقهية ، نعم قال في تفسير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يجوز التيمم عندنا إلا عند تضيق الوقت</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مجمع البيان</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ادعاء الإجماع في شرح الجمل ، ولكن قد حكى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قال في المقنع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أنه لا تيمم للرجل حتى يكون في آخر الوقت</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العيص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ابن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عنهما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 ، والصحيح ما في المتن</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وبحر العلوم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عبيد اللّه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صحيحة العيص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ابن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ابن 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فيه على قوله بوجوب الإعادة ، بل الموجود فيه نسبة ذلك إلى الشيخ ، فراجع</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مرسلة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وآدابه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عند أكثر الأصحاب</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نعمة اللّه الجزائري</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القاضي من الجواهر والمهذب وشرح الجمل ، وحكاه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كتب القاضي</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والده فقد حكي عنه القول بالاستمرار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في الدرة النجفية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في 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الواسطة</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 وهو تصحيف</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محمد وزرارة</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انتقاض المطلق يوجب بطلان الصلاة التي فيها ، والانتقاض بالنسبة لا معنى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الوجدان لو أوجب النقض لانتقض حين وجوده وبطلت هذه الصلاة التي فيها</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يصب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قال في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الأخبار وكلام الأصحاب تحريم الرجوع بعد فوات محله سواء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التبس بالصلاة أو الركوع أو غيرهما</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في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أكثر الأصحاب</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المفاتيح ، وصاحب 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صورة خط المصنف أعلى اللّه في الخلد مقامه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142727</Words>
  <Characters>522923</Characters>
  <CharactersWithSpaces>661590</CharactersWithSpaces>
  <Paragraphs>7659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2026-08-22T03:01:15Z</dcterms:created>
  <dc:creator>ghaemiyeh.com</dc:creator>
  <dc:description/>
  <dc:language>en-US</dc:language>
  <cp:lastModifiedBy/>
  <dcterms:modified xsi:type="dcterms:W3CDTF">2026-08-22T06:31:44Z</dcterms:modified>
  <cp:revision>1</cp:revision>
  <dc:subject/>
  <dc:title>مستند الشیعه جلد 3</dc:title>
</cp:coreProperties>
</file>

<file path=docProps/custom.xml><?xml version="1.0" encoding="utf-8"?>
<Properties xmlns="http://schemas.openxmlformats.org/officeDocument/2006/custom-properties" xmlns:vt="http://schemas.openxmlformats.org/officeDocument/2006/docPropsVTypes"/>
</file>