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5890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75892_73709187">
            <w:r>
              <w:rPr>
                <w:webHidden/>
                <w:rStyle w:val="IndexLink"/>
                <w:rtl w:val="true"/>
              </w:rPr>
              <w:t>العَوْل في الفرائض</w:t>
            </w:r>
            <w:r>
              <w:rPr>
                <w:rStyle w:val="IndexLink"/>
                <w:rtl w:val="true"/>
              </w:rPr>
              <w:tab/>
            </w:r>
            <w:r>
              <w:rPr>
                <w:rStyle w:val="IndexLink"/>
              </w:rPr>
              <w:t>4</w:t>
            </w:r>
          </w:hyperlink>
        </w:p>
        <w:p>
          <w:pPr>
            <w:pStyle w:val="Contents2"/>
            <w:tabs>
              <w:tab w:val="clear" w:pos="8743"/>
              <w:tab w:val="right" w:pos="9026" w:leader="dot"/>
            </w:tabs>
            <w:rPr/>
          </w:pPr>
          <w:hyperlink w:anchor="__RefHeading___Toc3175894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175896_73709187">
            <w:r>
              <w:rPr>
                <w:webHidden/>
                <w:rStyle w:val="IndexLink"/>
                <w:rtl w:val="true"/>
              </w:rPr>
              <w:t>قبل الخوض في المقصود، نقدّم أُموراً</w:t>
            </w:r>
            <w:r>
              <w:rPr>
                <w:rStyle w:val="IndexLink"/>
                <w:rtl w:val="true"/>
              </w:rPr>
              <w:t>:</w:t>
              <w:tab/>
            </w:r>
            <w:r>
              <w:rPr>
                <w:rStyle w:val="IndexLink"/>
              </w:rPr>
              <w:t>7</w:t>
            </w:r>
          </w:hyperlink>
        </w:p>
        <w:p>
          <w:pPr>
            <w:pStyle w:val="Contents3"/>
            <w:tabs>
              <w:tab w:val="clear" w:pos="8459"/>
              <w:tab w:val="right" w:pos="9026" w:leader="dot"/>
            </w:tabs>
            <w:rPr/>
          </w:pPr>
          <w:hyperlink w:anchor="__RefHeading___Toc3175898_73709187">
            <w:r>
              <w:rPr>
                <w:webHidden/>
                <w:rStyle w:val="IndexLink"/>
                <w:rtl w:val="true"/>
              </w:rPr>
              <w:t>الأوّل</w:t>
            </w:r>
            <w:r>
              <w:rPr>
                <w:rStyle w:val="IndexLink"/>
                <w:rtl w:val="true"/>
              </w:rPr>
              <w:t xml:space="preserve">: </w:t>
            </w:r>
            <w:r>
              <w:rPr>
                <w:rStyle w:val="IndexLink"/>
                <w:rtl w:val="true"/>
              </w:rPr>
              <w:t>العول لغة و اصطلاحاً</w:t>
            </w:r>
            <w:r>
              <w:rPr>
                <w:rStyle w:val="IndexLink"/>
                <w:rtl w:val="true"/>
              </w:rPr>
              <w:tab/>
            </w:r>
            <w:r>
              <w:rPr>
                <w:rStyle w:val="IndexLink"/>
              </w:rPr>
              <w:t>7</w:t>
            </w:r>
          </w:hyperlink>
        </w:p>
        <w:p>
          <w:pPr>
            <w:pStyle w:val="Contents3"/>
            <w:tabs>
              <w:tab w:val="clear" w:pos="8459"/>
              <w:tab w:val="right" w:pos="9026" w:leader="dot"/>
            </w:tabs>
            <w:rPr/>
          </w:pPr>
          <w:hyperlink w:anchor="__RefHeading___Toc3175900_73709187">
            <w:r>
              <w:rPr>
                <w:webHidden/>
                <w:rStyle w:val="IndexLink"/>
                <w:rtl w:val="true"/>
              </w:rPr>
              <w:t>الثاني</w:t>
            </w:r>
            <w:r>
              <w:rPr>
                <w:rStyle w:val="IndexLink"/>
                <w:rtl w:val="true"/>
              </w:rPr>
              <w:t xml:space="preserve">: </w:t>
            </w:r>
            <w:r>
              <w:rPr>
                <w:rStyle w:val="IndexLink"/>
                <w:rtl w:val="true"/>
              </w:rPr>
              <w:t>العول، تاريخيّاً</w:t>
            </w:r>
            <w:r>
              <w:rPr>
                <w:rStyle w:val="IndexLink"/>
                <w:rtl w:val="true"/>
              </w:rPr>
              <w:tab/>
            </w:r>
            <w:r>
              <w:rPr>
                <w:rStyle w:val="IndexLink"/>
              </w:rPr>
              <w:t>10</w:t>
            </w:r>
          </w:hyperlink>
        </w:p>
        <w:p>
          <w:pPr>
            <w:pStyle w:val="Contents3"/>
            <w:tabs>
              <w:tab w:val="clear" w:pos="8459"/>
              <w:tab w:val="right" w:pos="9026" w:leader="dot"/>
            </w:tabs>
            <w:rPr/>
          </w:pPr>
          <w:hyperlink w:anchor="__RefHeading___Toc3175902_73709187">
            <w:r>
              <w:rPr>
                <w:webHidden/>
                <w:rStyle w:val="IndexLink"/>
                <w:rtl w:val="true"/>
              </w:rPr>
              <w:t>الثالث</w:t>
            </w:r>
            <w:r>
              <w:rPr>
                <w:rStyle w:val="IndexLink"/>
                <w:rtl w:val="true"/>
              </w:rPr>
              <w:t xml:space="preserve">: </w:t>
            </w:r>
            <w:r>
              <w:rPr>
                <w:rStyle w:val="IndexLink"/>
                <w:rtl w:val="true"/>
              </w:rPr>
              <w:t>الأقوال المطروحة في العول</w:t>
            </w:r>
            <w:r>
              <w:rPr>
                <w:rStyle w:val="IndexLink"/>
                <w:rtl w:val="true"/>
              </w:rPr>
              <w:tab/>
            </w:r>
            <w:r>
              <w:rPr>
                <w:rStyle w:val="IndexLink"/>
              </w:rPr>
              <w:t>14</w:t>
            </w:r>
          </w:hyperlink>
        </w:p>
        <w:p>
          <w:pPr>
            <w:pStyle w:val="Contents3"/>
            <w:tabs>
              <w:tab w:val="clear" w:pos="8459"/>
              <w:tab w:val="right" w:pos="9026" w:leader="dot"/>
            </w:tabs>
            <w:rPr/>
          </w:pPr>
          <w:hyperlink w:anchor="__RefHeading___Toc3175904_73709187">
            <w:r>
              <w:rPr>
                <w:webHidden/>
                <w:rStyle w:val="IndexLink"/>
                <w:rtl w:val="true"/>
              </w:rPr>
              <w:t>الرابع</w:t>
            </w:r>
            <w:r>
              <w:rPr>
                <w:rStyle w:val="IndexLink"/>
                <w:rtl w:val="true"/>
              </w:rPr>
              <w:t xml:space="preserve">: </w:t>
            </w:r>
            <w:r>
              <w:rPr>
                <w:rStyle w:val="IndexLink"/>
                <w:rtl w:val="true"/>
              </w:rPr>
              <w:t>ذكر نماذج من صور العول</w:t>
            </w:r>
            <w:r>
              <w:rPr>
                <w:rStyle w:val="IndexLink"/>
                <w:rtl w:val="true"/>
              </w:rPr>
              <w:tab/>
            </w:r>
            <w:r>
              <w:rPr>
                <w:rStyle w:val="IndexLink"/>
              </w:rPr>
              <w:t>17</w:t>
            </w:r>
          </w:hyperlink>
        </w:p>
        <w:p>
          <w:pPr>
            <w:pStyle w:val="Contents2"/>
            <w:tabs>
              <w:tab w:val="clear" w:pos="8743"/>
              <w:tab w:val="right" w:pos="9026" w:leader="dot"/>
            </w:tabs>
            <w:rPr/>
          </w:pPr>
          <w:hyperlink w:anchor="__RefHeading___Toc3175906_73709187">
            <w:r>
              <w:rPr>
                <w:webHidden/>
                <w:rStyle w:val="IndexLink"/>
                <w:rtl w:val="true"/>
              </w:rPr>
              <w:t>أدلّة القائلين بالعول</w:t>
            </w:r>
            <w:r>
              <w:rPr>
                <w:rStyle w:val="IndexLink"/>
                <w:rtl w:val="true"/>
              </w:rPr>
              <w:tab/>
            </w:r>
            <w:r>
              <w:rPr>
                <w:rStyle w:val="IndexLink"/>
              </w:rPr>
              <w:t>22</w:t>
            </w:r>
          </w:hyperlink>
        </w:p>
        <w:p>
          <w:pPr>
            <w:pStyle w:val="Contents3"/>
            <w:tabs>
              <w:tab w:val="clear" w:pos="8459"/>
              <w:tab w:val="right" w:pos="9026" w:leader="dot"/>
            </w:tabs>
            <w:rPr/>
          </w:pPr>
          <w:hyperlink w:anchor="__RefHeading___Toc3175908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175910_73709187">
            <w:r>
              <w:rPr>
                <w:webHidden/>
                <w:rStyle w:val="IndexLink"/>
              </w:rPr>
              <w:t>1</w:t>
            </w:r>
            <w:r>
              <w:rPr>
                <w:rStyle w:val="IndexLink"/>
                <w:rtl w:val="true"/>
              </w:rPr>
              <w:t xml:space="preserve">. </w:t>
            </w:r>
            <w:r>
              <w:rPr>
                <w:rStyle w:val="IndexLink"/>
                <w:rtl w:val="true"/>
              </w:rPr>
              <w:t>قياس الحقّ بالدين</w:t>
            </w:r>
            <w:r>
              <w:rPr>
                <w:rStyle w:val="IndexLink"/>
                <w:rtl w:val="true"/>
              </w:rPr>
              <w:tab/>
            </w:r>
            <w:r>
              <w:rPr>
                <w:rStyle w:val="IndexLink"/>
              </w:rPr>
              <w:t>22</w:t>
            </w:r>
          </w:hyperlink>
        </w:p>
        <w:p>
          <w:pPr>
            <w:pStyle w:val="Contents3"/>
            <w:tabs>
              <w:tab w:val="clear" w:pos="8459"/>
              <w:tab w:val="right" w:pos="9026" w:leader="dot"/>
            </w:tabs>
            <w:rPr/>
          </w:pPr>
          <w:hyperlink w:anchor="__RefHeading___Toc3175912_73709187">
            <w:r>
              <w:rPr>
                <w:webHidden/>
                <w:rStyle w:val="IndexLink"/>
              </w:rPr>
              <w:t>2</w:t>
            </w:r>
            <w:r>
              <w:rPr>
                <w:rStyle w:val="IndexLink"/>
                <w:rtl w:val="true"/>
              </w:rPr>
              <w:t xml:space="preserve">. </w:t>
            </w:r>
            <w:r>
              <w:rPr>
                <w:rStyle w:val="IndexLink"/>
                <w:rtl w:val="true"/>
              </w:rPr>
              <w:t>قياس الإرث بالوصية</w:t>
            </w:r>
            <w:r>
              <w:rPr>
                <w:rStyle w:val="IndexLink"/>
                <w:rtl w:val="true"/>
              </w:rPr>
              <w:tab/>
            </w:r>
            <w:r>
              <w:rPr>
                <w:rStyle w:val="IndexLink"/>
              </w:rPr>
              <w:t>24</w:t>
            </w:r>
          </w:hyperlink>
        </w:p>
        <w:p>
          <w:pPr>
            <w:pStyle w:val="Contents3"/>
            <w:tabs>
              <w:tab w:val="clear" w:pos="8459"/>
              <w:tab w:val="right" w:pos="9026" w:leader="dot"/>
            </w:tabs>
            <w:rPr/>
          </w:pPr>
          <w:hyperlink w:anchor="__RefHeading___Toc3175914_73709187">
            <w:r>
              <w:rPr>
                <w:webHidden/>
                <w:rStyle w:val="IndexLink"/>
              </w:rPr>
              <w:t>3</w:t>
            </w:r>
            <w:r>
              <w:rPr>
                <w:rStyle w:val="IndexLink"/>
                <w:rtl w:val="true"/>
              </w:rPr>
              <w:t xml:space="preserve">. </w:t>
            </w:r>
            <w:r>
              <w:rPr>
                <w:rStyle w:val="IndexLink"/>
                <w:rtl w:val="true"/>
              </w:rPr>
              <w:t>تقديم البعض على البعض ترجيح بلا مرجّح</w:t>
            </w:r>
            <w:r>
              <w:rPr>
                <w:rStyle w:val="IndexLink"/>
                <w:rtl w:val="true"/>
              </w:rPr>
              <w:tab/>
            </w:r>
            <w:r>
              <w:rPr>
                <w:rStyle w:val="IndexLink"/>
              </w:rPr>
              <w:t>25</w:t>
            </w:r>
          </w:hyperlink>
        </w:p>
        <w:p>
          <w:pPr>
            <w:pStyle w:val="Contents3"/>
            <w:tabs>
              <w:tab w:val="clear" w:pos="8459"/>
              <w:tab w:val="right" w:pos="9026" w:leader="dot"/>
            </w:tabs>
            <w:rPr/>
          </w:pPr>
          <w:hyperlink w:anchor="__RefHeading___Toc3175916_73709187">
            <w:r>
              <w:rPr>
                <w:webHidden/>
                <w:rStyle w:val="IndexLink"/>
              </w:rPr>
              <w:t>4</w:t>
            </w:r>
            <w:r>
              <w:rPr>
                <w:rStyle w:val="IndexLink"/>
                <w:rtl w:val="true"/>
              </w:rPr>
              <w:t xml:space="preserve">. </w:t>
            </w:r>
            <w:r>
              <w:rPr>
                <w:rStyle w:val="IndexLink"/>
                <w:rtl w:val="true"/>
              </w:rPr>
              <w:t>قول علي عليه السَّلام في المسألة المنبرية</w:t>
            </w:r>
            <w:r>
              <w:rPr>
                <w:rStyle w:val="IndexLink"/>
                <w:rtl w:val="true"/>
              </w:rPr>
              <w:tab/>
            </w:r>
            <w:r>
              <w:rPr>
                <w:rStyle w:val="IndexLink"/>
              </w:rPr>
              <w:t>26</w:t>
            </w:r>
          </w:hyperlink>
        </w:p>
        <w:p>
          <w:pPr>
            <w:pStyle w:val="Contents2"/>
            <w:tabs>
              <w:tab w:val="clear" w:pos="8743"/>
              <w:tab w:val="right" w:pos="9026" w:leader="dot"/>
            </w:tabs>
            <w:rPr/>
          </w:pPr>
          <w:hyperlink w:anchor="__RefHeading___Toc3175918_73709187">
            <w:r>
              <w:rPr>
                <w:webHidden/>
                <w:rStyle w:val="IndexLink"/>
                <w:rtl w:val="true"/>
              </w:rPr>
              <w:t>أدلّة القائلين ببطلان العول</w:t>
            </w:r>
            <w:r>
              <w:rPr>
                <w:rStyle w:val="IndexLink"/>
                <w:rtl w:val="true"/>
              </w:rPr>
              <w:tab/>
            </w:r>
            <w:r>
              <w:rPr>
                <w:rStyle w:val="IndexLink"/>
              </w:rPr>
              <w:t>32</w:t>
            </w:r>
          </w:hyperlink>
        </w:p>
        <w:p>
          <w:pPr>
            <w:pStyle w:val="Contents3"/>
            <w:tabs>
              <w:tab w:val="clear" w:pos="8459"/>
              <w:tab w:val="right" w:pos="9026" w:leader="dot"/>
            </w:tabs>
            <w:rPr/>
          </w:pPr>
          <w:hyperlink w:anchor="__RefHeading___Toc3175920_73709187">
            <w:r>
              <w:rPr>
                <w:webHidden/>
                <w:rStyle w:val="IndexLink"/>
              </w:rPr>
              <w:t>1</w:t>
            </w:r>
            <w:r>
              <w:rPr>
                <w:rStyle w:val="IndexLink"/>
                <w:rtl w:val="true"/>
              </w:rPr>
              <w:t xml:space="preserve">. </w:t>
            </w:r>
            <w:r>
              <w:rPr>
                <w:rStyle w:val="IndexLink"/>
                <w:rtl w:val="true"/>
              </w:rPr>
              <w:t>استلزام العول نسبة الجهل أو العبث إلى اللّه</w:t>
            </w:r>
            <w:r>
              <w:rPr>
                <w:rStyle w:val="IndexLink"/>
                <w:rtl w:val="true"/>
              </w:rPr>
              <w:tab/>
            </w:r>
            <w:r>
              <w:rPr>
                <w:rStyle w:val="IndexLink"/>
              </w:rPr>
              <w:t>32</w:t>
            </w:r>
          </w:hyperlink>
        </w:p>
        <w:p>
          <w:pPr>
            <w:pStyle w:val="Contents3"/>
            <w:tabs>
              <w:tab w:val="clear" w:pos="8459"/>
              <w:tab w:val="right" w:pos="9026" w:leader="dot"/>
            </w:tabs>
            <w:rPr/>
          </w:pPr>
          <w:hyperlink w:anchor="__RefHeading___Toc3175922_73709187">
            <w:r>
              <w:rPr>
                <w:webHidden/>
                <w:rStyle w:val="IndexLink"/>
              </w:rPr>
              <w:t>2</w:t>
            </w:r>
            <w:r>
              <w:rPr>
                <w:rStyle w:val="IndexLink"/>
                <w:rtl w:val="true"/>
              </w:rPr>
              <w:t xml:space="preserve">. </w:t>
            </w:r>
            <w:r>
              <w:rPr>
                <w:rStyle w:val="IndexLink"/>
                <w:rtl w:val="true"/>
              </w:rPr>
              <w:t>استلزامه التناقض و الإغراء بالجهل</w:t>
            </w:r>
            <w:r>
              <w:rPr>
                <w:rStyle w:val="IndexLink"/>
                <w:rtl w:val="true"/>
              </w:rPr>
              <w:tab/>
            </w:r>
            <w:r>
              <w:rPr>
                <w:rStyle w:val="IndexLink"/>
              </w:rPr>
              <w:t>34</w:t>
            </w:r>
          </w:hyperlink>
        </w:p>
        <w:p>
          <w:pPr>
            <w:pStyle w:val="Contents3"/>
            <w:tabs>
              <w:tab w:val="clear" w:pos="8459"/>
              <w:tab w:val="right" w:pos="9026" w:leader="dot"/>
            </w:tabs>
            <w:rPr/>
          </w:pPr>
          <w:hyperlink w:anchor="__RefHeading___Toc3175924_73709187">
            <w:r>
              <w:rPr>
                <w:webHidden/>
                <w:rStyle w:val="IndexLink"/>
              </w:rPr>
              <w:t>3</w:t>
            </w:r>
            <w:r>
              <w:rPr>
                <w:rStyle w:val="IndexLink"/>
                <w:rtl w:val="true"/>
              </w:rPr>
              <w:t xml:space="preserve">. </w:t>
            </w:r>
            <w:r>
              <w:rPr>
                <w:rStyle w:val="IndexLink"/>
                <w:rtl w:val="true"/>
              </w:rPr>
              <w:t>يلزم تفضيل النساء على الرجال</w:t>
            </w:r>
            <w:r>
              <w:rPr>
                <w:rStyle w:val="IndexLink"/>
                <w:rtl w:val="true"/>
              </w:rPr>
              <w:tab/>
            </w:r>
            <w:r>
              <w:rPr>
                <w:rStyle w:val="IndexLink"/>
              </w:rPr>
              <w:t>35</w:t>
            </w:r>
          </w:hyperlink>
        </w:p>
        <w:p>
          <w:pPr>
            <w:pStyle w:val="Contents3"/>
            <w:tabs>
              <w:tab w:val="clear" w:pos="8459"/>
              <w:tab w:val="right" w:pos="9026" w:leader="dot"/>
            </w:tabs>
            <w:rPr/>
          </w:pPr>
          <w:hyperlink w:anchor="__RefHeading___Toc3175926_73709187">
            <w:r>
              <w:rPr>
                <w:webHidden/>
                <w:rStyle w:val="IndexLink"/>
              </w:rPr>
              <w:t>4</w:t>
            </w:r>
            <w:r>
              <w:rPr>
                <w:rStyle w:val="IndexLink"/>
                <w:rtl w:val="true"/>
              </w:rPr>
              <w:t xml:space="preserve">. </w:t>
            </w:r>
            <w:r>
              <w:rPr>
                <w:rStyle w:val="IndexLink"/>
                <w:rtl w:val="true"/>
              </w:rPr>
              <w:t>تصريح أئمّة أهل البيت ببطلان العول</w:t>
            </w:r>
            <w:r>
              <w:rPr>
                <w:rStyle w:val="IndexLink"/>
                <w:rtl w:val="true"/>
              </w:rPr>
              <w:tab/>
            </w:r>
            <w:r>
              <w:rPr>
                <w:rStyle w:val="IndexLink"/>
              </w:rPr>
              <w:t>37</w:t>
            </w:r>
          </w:hyperlink>
        </w:p>
        <w:p>
          <w:pPr>
            <w:pStyle w:val="Contents2"/>
            <w:tabs>
              <w:tab w:val="clear" w:pos="8743"/>
              <w:tab w:val="right" w:pos="9026" w:leader="dot"/>
            </w:tabs>
            <w:rPr/>
          </w:pPr>
          <w:hyperlink w:anchor="__RefHeading___Toc3175928_73709187">
            <w:r>
              <w:rPr>
                <w:webHidden/>
                <w:rStyle w:val="IndexLink"/>
                <w:rtl w:val="true"/>
              </w:rPr>
              <w:t>أُسلوب علاج العول من منظار روائي</w:t>
            </w:r>
            <w:r>
              <w:rPr>
                <w:rStyle w:val="IndexLink"/>
                <w:rtl w:val="true"/>
              </w:rPr>
              <w:tab/>
            </w:r>
            <w:r>
              <w:rPr>
                <w:rStyle w:val="IndexLink"/>
              </w:rPr>
              <w:t>38</w:t>
            </w:r>
          </w:hyperlink>
        </w:p>
        <w:p>
          <w:pPr>
            <w:pStyle w:val="Contents2"/>
            <w:tabs>
              <w:tab w:val="clear" w:pos="8743"/>
              <w:tab w:val="right" w:pos="9026" w:leader="dot"/>
            </w:tabs>
            <w:rPr/>
          </w:pPr>
          <w:hyperlink w:anchor="__RefHeading___Toc3175930_73709187">
            <w:r>
              <w:rPr>
                <w:webHidden/>
                <w:rStyle w:val="IndexLink"/>
                <w:rtl w:val="true"/>
              </w:rPr>
              <w:t>ما الفرق بين البنت و كلالة الأُم؟</w:t>
            </w:r>
            <w:r>
              <w:rPr>
                <w:rStyle w:val="IndexLink"/>
                <w:rtl w:val="true"/>
              </w:rPr>
              <w:tab/>
            </w:r>
            <w:r>
              <w:rPr>
                <w:rStyle w:val="IndexLink"/>
              </w:rPr>
              <w:t>42</w:t>
            </w:r>
          </w:hyperlink>
        </w:p>
        <w:p>
          <w:pPr>
            <w:pStyle w:val="Contents2"/>
            <w:tabs>
              <w:tab w:val="clear" w:pos="8743"/>
              <w:tab w:val="right" w:pos="9026" w:leader="dot"/>
            </w:tabs>
            <w:rPr/>
          </w:pPr>
          <w:hyperlink w:anchor="__RefHeading___Toc3175932_73709187">
            <w:r>
              <w:rPr>
                <w:webHidden/>
                <w:rStyle w:val="IndexLink"/>
                <w:rtl w:val="true"/>
              </w:rPr>
              <w:t>بقيت هنا نكات نذكرها</w:t>
            </w:r>
            <w:r>
              <w:rPr>
                <w:rStyle w:val="IndexLink"/>
                <w:rtl w:val="true"/>
              </w:rPr>
              <w:t>:</w:t>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5_113336"/>
      <w:bookmarkStart w:id="1" w:name="pg11495_113336"/>
      <w:bookmarkEnd w:id="1"/>
    </w:p>
    <w:p>
      <w:pPr>
        <w:pStyle w:val="Heading2"/>
        <w:numPr>
          <w:ilvl w:val="1"/>
          <w:numId w:val="1"/>
        </w:numPr>
        <w:rPr/>
      </w:pPr>
      <w:bookmarkStart w:id="2" w:name="pg11495_113336"/>
      <w:bookmarkStart w:id="3" w:name="__RefHeading___Toc317589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5892_73709187"/>
      <w:bookmarkStart w:id="6" w:name="_Toc2"/>
      <w:bookmarkEnd w:id="5"/>
      <w:r>
        <w:rPr>
          <w:rtl w:val="true"/>
        </w:rPr>
        <w:t>العَوْل في الفرائض</w:t>
      </w:r>
      <w:bookmarkStart w:id="7" w:name="pg11495_113338"/>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في الفرائض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175894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95_113340"/>
    </w:p>
    <w:p>
      <w:pPr>
        <w:pStyle w:val="BookText"/>
        <w:rPr/>
      </w:pPr>
      <w:bookmarkEnd w:id="10"/>
      <w:r>
        <w:rPr>
          <w:rFonts w:ascii="Amiri" w:hAnsi="Amiri" w:eastAsia="Amiri" w:cs="Amiri"/>
          <w:color w:val="111111"/>
          <w:sz w:val="28"/>
          <w:sz w:val="28"/>
          <w:szCs w:val="28"/>
          <w:rtl w:val="true"/>
          <w:lang w:bidi="ar-SA"/>
        </w:rPr>
        <w:t>العول في الإرث أو حكم الفرائض إذا عالت</w:t>
      </w:r>
    </w:p>
    <w:p>
      <w:pPr>
        <w:pStyle w:val="Heading2"/>
        <w:numPr>
          <w:ilvl w:val="1"/>
          <w:numId w:val="1"/>
        </w:numPr>
        <w:rPr/>
      </w:pPr>
      <w:bookmarkStart w:id="11" w:name="__RefHeading___Toc3175896_73709187"/>
      <w:bookmarkStart w:id="12" w:name="_Toc4"/>
      <w:bookmarkEnd w:id="11"/>
      <w:r>
        <w:rPr>
          <w:rtl w:val="true"/>
        </w:rPr>
        <w:t>قبل الخوض في المقصود، نقدّم أُموراً</w:t>
      </w:r>
      <w:r>
        <w:rPr>
          <w:rtl w:val="true"/>
        </w:rPr>
        <w:t>:</w:t>
      </w:r>
      <w:bookmarkEnd w:id="12"/>
    </w:p>
    <w:p>
      <w:pPr>
        <w:pStyle w:val="Heading3"/>
        <w:numPr>
          <w:ilvl w:val="2"/>
          <w:numId w:val="1"/>
        </w:numPr>
        <w:rPr/>
      </w:pPr>
      <w:bookmarkStart w:id="13" w:name="__RefHeading___Toc3175898_73709187"/>
      <w:bookmarkStart w:id="14" w:name="_Toc5"/>
      <w:bookmarkEnd w:id="13"/>
      <w:r>
        <w:rPr>
          <w:rtl w:val="true"/>
        </w:rPr>
        <w:t>الأوّل</w:t>
      </w:r>
      <w:r>
        <w:rPr>
          <w:rtl w:val="true"/>
        </w:rPr>
        <w:t xml:space="preserve">: </w:t>
      </w:r>
      <w:r>
        <w:rPr>
          <w:rtl w:val="true"/>
        </w:rPr>
        <w:t>العول لغة و اصطلاحاً</w:t>
      </w:r>
      <w:bookmarkEnd w:id="14"/>
    </w:p>
    <w:p>
      <w:pPr>
        <w:pStyle w:val="BookText"/>
        <w:rPr/>
      </w:pPr>
      <w:r>
        <w:rPr>
          <w:rFonts w:ascii="Amiri" w:hAnsi="Amiri" w:eastAsia="Amiri" w:cs="Amiri"/>
          <w:color w:val="111111"/>
          <w:sz w:val="28"/>
          <w:sz w:val="28"/>
          <w:szCs w:val="28"/>
          <w:rtl w:val="true"/>
          <w:lang w:bidi="ar-SA"/>
        </w:rPr>
        <w:t>للعول في اللغة معاني متعددة أو معنى واحد، له مصاديق مختلفة، فيُستعمل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الفاقة و الحاجة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يعيل، 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خِفْتُمْ عَيْلَةً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مقتصد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الميل إلى الجور،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أَدْنى أَلاّ تَعُولُوا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الميزان عولاً فهو عائل إذا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الناقة بذنبها إذا رفعته، و منه العويل و هو ارتفاع الصوت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ذكره أصحاب المعاجم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أمّا اصطلاحاً فهو عبارة عن زيادة السهام المفروضة في الكتاب على مبلغ المال، أو نقصان المال عن السهام المفروضة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العول يجري مجرى الأضداد، و إنّما دخل هذا الاسم في الفرائض في الموضع الذي ينقص فيه المال عن السهام المفروضة فيه، فدخل هاهنا النقصان، و يمكن أن يكون دخوله لأجل الزيادة، لأنّ السهام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زادت على مبلغ المال و بالجملة إذا أضيف إلى المال كان نقصاناً و إذا أُضيف إلى السهام كان زيادة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حصيلة الكلام هو انّ العول عبارة عن زيادة سهام الفروض عن أصل المسألة بزيادة كسورها عن الواحد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ترك الميت زوجة و أبوين و بنتين فللزوجة الثُّمن، و للأبوين الثلث، و للبنتين الثلثان، و التركة لا تتسع للثمن و الثلث و الثلثين، بل يستغرق الأخيران مجموعَ التركة و لم يتَّسع للثمن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ماتت امرأة و تركت زوجاً و ابنتين شقيقتين، فللزوج النصف لعدم الولد للميت و للبنتين الثلثان، و المال المتروك لا يتسع للنصف و الثلثين، و لا يتحقّق العول إلاّ بوجود الزوج أو الزوجة مع سائر الورثة، فلو فقد الزوج و الزوجة بين الورثة لما يتحقّق العول عندنا، و أمّا عند غيرنا فيتحقّق عند فقدهما أيضاً كما سيوافيك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5" w:name="pg11495_113343"/>
    </w:p>
    <w:p>
      <w:pPr>
        <w:pStyle w:val="Heading3"/>
        <w:numPr>
          <w:ilvl w:val="2"/>
          <w:numId w:val="1"/>
        </w:numPr>
        <w:rPr/>
      </w:pPr>
      <w:bookmarkStart w:id="16" w:name="__RefHeading___Toc3175900_73709187"/>
      <w:bookmarkStart w:id="17" w:name="_Toc6"/>
      <w:bookmarkEnd w:id="15"/>
      <w:bookmarkEnd w:id="16"/>
      <w:r>
        <w:rPr>
          <w:rtl w:val="true"/>
        </w:rPr>
        <w:t>الثاني</w:t>
      </w:r>
      <w:r>
        <w:rPr>
          <w:rtl w:val="true"/>
        </w:rPr>
        <w:t xml:space="preserve">: </w:t>
      </w:r>
      <w:r>
        <w:rPr>
          <w:rtl w:val="true"/>
        </w:rPr>
        <w:t>العول، تاريخيّاً</w:t>
      </w:r>
      <w:bookmarkEnd w:id="17"/>
    </w:p>
    <w:p>
      <w:pPr>
        <w:pStyle w:val="BookText"/>
        <w:rPr/>
      </w:pPr>
      <w:r>
        <w:rPr>
          <w:rFonts w:ascii="Amiri" w:hAnsi="Amiri" w:eastAsia="Amiri" w:cs="Amiri"/>
          <w:color w:val="111111"/>
          <w:sz w:val="28"/>
          <w:sz w:val="28"/>
          <w:szCs w:val="28"/>
          <w:rtl w:val="true"/>
          <w:lang w:bidi="ar-SA"/>
        </w:rPr>
        <w:t xml:space="preserve">إنّ مسألة العول من المسائل التي لم يرد فيها نصّ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ابتلى بها عمر بن الخطاب عند ما ماتت امرأة في عهده و كان لها زوج و أُختان، فجمع الصحابة،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للزوج النصف، و للأُختين الثلثان، فإن بدأت للزوج لم يبق للأُختين حقهما، و إن بدأت للأُختين لم يبق للزوج حقّه، فأشيروا عليَّ، فاتّفق رأيه مع عبد اللّه بن مسعود، على العول، أي إيراد النقص على الجميع بنسبة فرضهم من دون تقديم ذي فرض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ابن عباس، في عصر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الزوجين يأخذان تمام حقّهما و يدخل النقص على البنات فهو يقدّم من له فرضان في الكتاب على من له فرض واحد كما سنبيّن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منذ ذلك العصر صار الفقهاء على فرقتين، فالمذاهب الأربعة و ما تقدّمها من سائر المذاهب الفقهية قالوا بالعول، و الشيعة الإمامية، تبعاً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تلميذه ابن عباس على خلافه، فهم على إيراد النقص على البعض دون بعض من</w:t>
      </w:r>
    </w:p>
    <w:p>
      <w:pPr>
        <w:pStyle w:val="BookText"/>
        <w:rPr/>
      </w:pPr>
      <w:r>
        <w:rPr>
          <w:rFonts w:ascii="Amiri" w:hAnsi="Amiri" w:eastAsia="Amiri" w:cs="Amiri"/>
          <w:color w:val="111111"/>
          <w:sz w:val="28"/>
          <w:sz w:val="28"/>
          <w:szCs w:val="28"/>
          <w:rtl w:val="true"/>
          <w:lang w:bidi="ar-SA"/>
        </w:rPr>
        <w:t>دون أن يكون عملهم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اللّه 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أعال الفرائض عمر لما التوت عليه الفرائض و دافع بعضها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أيّكم قدَّمه اللّه و لا أيّكم أخّره،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 أوسع لي من أن أقسِّم التركة عليكم بالحصص، و أدخل على كلّ ذي حقّ ما دخل عليه من عول الفريضة، و لم يخالف في ذلك أحد حتى انتهى أمر الخلافة إلى عثمان، فأظهر ابن عباس خلافه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قدَّموا من قدَّم اللّه و أخّروا من أخّر اللّه ما علت فريضة قط،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قدّمه اللّه و من أخّره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الزوج و الزوجة، و الأُمّ و الجدة، و أمّا من أخّره اللّه فالبنات و بنات الابن و الأخوات الشقيقات و الأخوات لأب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أهبطه اللّه من فرض إلى فرض فهو الذي قدّمه، و من أهبطه اللّه من فرض إلى غير فرض فهو الذي أخّره</w:t>
      </w:r>
      <w:r>
        <w:rPr>
          <w:rFonts w:eastAsia="Amiri" w:cs="Amiri" w:ascii="Amiri" w:hAnsi="Amiri"/>
          <w:color w:val="111111"/>
          <w:sz w:val="28"/>
          <w:szCs w:val="28"/>
          <w:rtl w:val="true"/>
          <w:lang w:bidi="ar-SA"/>
        </w:rPr>
        <w:t>.</w:t>
      </w:r>
      <w:r>
        <w:rPr>
          <w:rStyle w:val="FootnoteAnchor"/>
        </w:rPr>
        <w:footnoteReference w:id="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بعض الروايات انّ ابن عباس كان يصرّ على رأيه و يدعو المخالف إلى المباهلة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الشربيني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صغيراً فلما كبر أظهر الخلاف بعد موت عمر و جعل للزوج النصف، و للأُمّ الثلث و للأُخت ما بقي</w:t>
      </w:r>
      <w:r>
        <w:rPr>
          <w:rStyle w:val="FootnoteAnchor"/>
          <w:rtl w:val="true"/>
        </w:rPr>
        <w:footnoteReference w:id="8"/>
      </w:r>
      <w:r>
        <w:rPr>
          <w:rFonts w:ascii="Amiri" w:hAnsi="Amiri" w:eastAsia="Amiri" w:cs="Amiri"/>
          <w:color w:val="111111"/>
          <w:sz w:val="28"/>
          <w:sz w:val="28"/>
          <w:szCs w:val="28"/>
          <w:rtl w:val="true"/>
          <w:lang w:bidi="ar-SA"/>
        </w:rPr>
        <w:t>و لا عول حينئذ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تقل هذا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مهاباً فهبتُه،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أحصى رمل عالج عدداً لم يجعل في المال نصفاً و نصفاً و ثلثاً، ذهب النصفان بالمال فأين موضع الثلث؟ ثمّ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يغني عنك شيئاً لو متُّ أو مت لقُسِّم ميراثنا على ما عليه الناس من خلاف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شاءوا فلندع أبناءنا و أبناءهم، و نساءنا و نساءهم، و أنفسنا و أنفسهم ثمّ نبتهل فنجعل لعنة اللّه على الكاذبين، فسمّيت المباهلة لذلك</w:t>
      </w:r>
      <w:r>
        <w:rPr>
          <w:rFonts w:eastAsia="Amiri" w:cs="Amiri" w:ascii="Amiri" w:hAnsi="Amiri"/>
          <w:color w:val="111111"/>
          <w:sz w:val="28"/>
          <w:szCs w:val="28"/>
          <w:rtl w:val="true"/>
          <w:lang w:bidi="ar-SA"/>
        </w:rPr>
        <w:t>.</w:t>
      </w:r>
      <w:r>
        <w:rPr>
          <w:rStyle w:val="FootnoteAnchor"/>
        </w:rPr>
        <w:footnoteReference w:id="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الجصاص في تفسيره عن عبيد اللّه بن عبد اللّه بن عتبة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زفر بن أوس بن الحدثان على ابن عباس بعد ما ذهب بصره فتذاكرنا فرائض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الذي أحصى رمل عالج عدداً لم يحص في مال نصفاً و نصفاً و ثلثاً، إذا ذهب نصف و نصف فأين موضع الثلث؟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تدافعت عليه و ركب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كيف أصنع بكم؟ و اللّه ما أدري أيّكم قدّم اللّه و لا أيّكم 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أجد في هذا المال شيئاً أحسن من أن أُقسمه عليكم بالحصص، 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لو قدّم من قدّم اللّه، و أخّر من أخر اللّه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قدّم و أيهم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لا تزول إلاّ إلى فريضة فتلك التي قدّم اللّه و تلك فريضة الزوج، له النصف فإن زال فإلى الربع لا ينقص منه، و المرأة لها الربع فإن زالت عنه صارت إلى الثمن لا تنقص منه، و الأخوات لهن الثلثان و الواحدة لها</w:t>
      </w:r>
      <w:bookmarkStart w:id="18" w:name="pg11495_113347"/>
    </w:p>
    <w:p>
      <w:pPr>
        <w:pStyle w:val="BookText"/>
        <w:rPr/>
      </w:pPr>
      <w:bookmarkEnd w:id="18"/>
      <w:r>
        <w:rPr>
          <w:rFonts w:ascii="Amiri" w:hAnsi="Amiri" w:eastAsia="Amiri" w:cs="Amiri"/>
          <w:color w:val="111111"/>
          <w:sz w:val="28"/>
          <w:sz w:val="28"/>
          <w:szCs w:val="28"/>
          <w:rtl w:val="true"/>
          <w:lang w:bidi="ar-SA"/>
        </w:rPr>
        <w:t>النصف، فإن دخل عليهم كان لهنّ ما بقي فهؤلاء الذين أخّر اللّه، فلو أعطى من قدّم اللّه فريضة كاملة ثمّ قُسِّم ما يبقى بين من أخّر اللّه بالحصص ما عالت فريضة، 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تشير بهذا الرأي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 اللّه</w:t>
      </w:r>
      <w:r>
        <w:rPr>
          <w:rFonts w:eastAsia="Amiri" w:cs="Amiri" w:ascii="Amiri" w:hAnsi="Amiri"/>
          <w:color w:val="111111"/>
          <w:sz w:val="28"/>
          <w:szCs w:val="28"/>
          <w:rtl w:val="true"/>
          <w:lang w:bidi="ar-SA"/>
        </w:rPr>
        <w:t>.</w:t>
      </w:r>
      <w:r>
        <w:rPr>
          <w:rStyle w:val="FootnoteAnchor"/>
          <w:rtl w:val="true"/>
        </w:rPr>
        <w:footnoteReference w:id="10"/>
      </w:r>
    </w:p>
    <w:p>
      <w:pPr>
        <w:pStyle w:val="Heading3"/>
        <w:numPr>
          <w:ilvl w:val="2"/>
          <w:numId w:val="1"/>
        </w:numPr>
        <w:rPr/>
      </w:pPr>
      <w:bookmarkStart w:id="19" w:name="__RefHeading___Toc3175902_73709187"/>
      <w:bookmarkStart w:id="20" w:name="_Toc7"/>
      <w:bookmarkEnd w:id="19"/>
      <w:r>
        <w:rPr>
          <w:rtl w:val="true"/>
        </w:rPr>
        <w:t>الثالث</w:t>
      </w:r>
      <w:r>
        <w:rPr>
          <w:rtl w:val="true"/>
        </w:rPr>
        <w:t xml:space="preserve">: </w:t>
      </w:r>
      <w:r>
        <w:rPr>
          <w:rtl w:val="true"/>
        </w:rPr>
        <w:t>الأقوال المطروحة في العول</w:t>
      </w:r>
      <w:bookmarkEnd w:id="20"/>
    </w:p>
    <w:p>
      <w:pPr>
        <w:pStyle w:val="BookText"/>
        <w:rPr/>
      </w:pPr>
      <w:r>
        <w:rPr>
          <w:rFonts w:ascii="Amiri" w:hAnsi="Amiri" w:eastAsia="Amiri" w:cs="Amiri"/>
          <w:color w:val="111111"/>
          <w:sz w:val="28"/>
          <w:sz w:val="28"/>
          <w:szCs w:val="28"/>
          <w:rtl w:val="true"/>
          <w:lang w:bidi="ar-SA"/>
        </w:rPr>
        <w:t>اتّفقت الشيعة و وافقهم الظاهرية و ثلّة من الصحابة و التابعين على بطلان العول بمعنى إدخال النقص على جميع الورثة بنسبة فروضهم، بل يقدّم من له الفرضان على من له فرض واحد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تذهب إليه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إذا ضاق عن سهام الورثة قدم ذو السهام المؤكدة من الأبوين و الزوجين على البنات و الأخوات من الأُم و على الأخوات من الأب و الأُمّ أو من الأب، و جعل الفاضل عن سهامهم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ابن عباس إلى مثل ذلك و قال به أيضاً عطاء بن أبي رباح و حكى الفقهاء من العامة هذا المذهب عن محمد بن علي بن الحسين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الحنفية، و هو مذهب داود بن علي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إذا ضاق عن سهام الورثة قُسِّم بينهم على قدر سهامهم كما يفعل في الديون و الوصايا إذا ضاقت التركة عنها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في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أصحابنا بلا خلاف انّ الفرائض لا تعول، و وافقنا على ذلك ابن عباس، و داود بن علي الاصفهاني، و خالفنا باقي الفقهاء</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 عندنا باطل فكلّ مسألة تعول على مذهب المخالفين فالقول عندنا فيها بخلاف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عباس فانّه لم يُعْول المسائل و أدخل النقص على البنات و بنات الابن و الأخوات للأب و الأُمّ أو للأب، و به قال محمد بن الحنفية، و محمد بن علي بن الحسين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بن علي، و أعالها جميع الفقهاء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ممّن خالف العول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أعيان مذهب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أوّل من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 وافقه عليه عمر بن الخطاب و صحّ عنه هذا، و روي عن علي و ابن مسعود غير مسند، و ذكر عن العباس و لم يصحّ، و صحّ عن شريح و نفر من التابعين يسير، و به يقول أبو حنيفة و مالك و الشافعي و أحمد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هؤلاء القوم إذا اجتمع رأيهم على شيء كان أسهل شيء عليهم دعوى الإجماع، فإن لم يمكنهم ذلك، لم تكن عليهم مئونة من دعوى أنّه قول الجمهور و انّ خلافه شذوذ و انّ خصومهم ليرثون لهم من تورطهم في هذه الدعاوى الكاذبة نعوذ باللّه من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ابن عباس هذا، يقول عطاء و محمد بن علي بن أبي طالب و محمد بن علي بن الحسين و أبو سليمان و جميع أصحابنا و غيرهم</w:t>
      </w:r>
      <w:r>
        <w:rPr>
          <w:rFonts w:eastAsia="Amiri" w:cs="Amiri" w:ascii="Amiri" w:hAnsi="Amiri"/>
          <w:color w:val="111111"/>
          <w:sz w:val="28"/>
          <w:szCs w:val="28"/>
          <w:rtl w:val="true"/>
          <w:lang w:bidi="ar-SA"/>
        </w:rPr>
        <w:t>.</w:t>
      </w:r>
      <w:r>
        <w:rPr>
          <w:rStyle w:val="FootnoteAnchor"/>
        </w:rPr>
        <w:footnoteReference w:id="1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1" w:name="pg11495_113350"/>
    </w:p>
    <w:p>
      <w:pPr>
        <w:pStyle w:val="Heading3"/>
        <w:numPr>
          <w:ilvl w:val="2"/>
          <w:numId w:val="1"/>
        </w:numPr>
        <w:rPr/>
      </w:pPr>
      <w:bookmarkStart w:id="22" w:name="__RefHeading___Toc3175904_73709187"/>
      <w:bookmarkStart w:id="23" w:name="_Toc8"/>
      <w:bookmarkEnd w:id="21"/>
      <w:bookmarkEnd w:id="22"/>
      <w:r>
        <w:rPr>
          <w:rtl w:val="true"/>
        </w:rPr>
        <w:t>الرابع</w:t>
      </w:r>
      <w:r>
        <w:rPr>
          <w:rtl w:val="true"/>
        </w:rPr>
        <w:t xml:space="preserve">: </w:t>
      </w:r>
      <w:r>
        <w:rPr>
          <w:rtl w:val="true"/>
        </w:rPr>
        <w:t>ذكر نماذج من صور العول</w:t>
      </w:r>
      <w:bookmarkEnd w:id="23"/>
    </w:p>
    <w:p>
      <w:pPr>
        <w:pStyle w:val="BookText"/>
        <w:rPr/>
      </w:pPr>
      <w:r>
        <w:rPr>
          <w:rFonts w:ascii="Amiri" w:hAnsi="Amiri" w:eastAsia="Amiri" w:cs="Amiri"/>
          <w:color w:val="111111"/>
          <w:sz w:val="28"/>
          <w:sz w:val="28"/>
          <w:szCs w:val="28"/>
          <w:rtl w:val="true"/>
          <w:lang w:bidi="ar-SA"/>
        </w:rPr>
        <w:t>ذكر الفقهاء للعول صوراً مختلفة نذكر بعضها روماً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 و أُختان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أي الثلاثة من ستة، و للاُختين الثلثان أي الأربعة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المال ليس فيه نصف و ثلثان فلو أُخذ من الست، النصفُ، لا يفي الباقي بالثلثين و هكذا العكس، فتعول السهام إلى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المذهب الإمامي يقدّم الزوج فيعطى له النصف و الباقي للأُختين، و أمّا القائل بالعول فهو يقسّم التركة إلى سبعة سهام، مكان الستة فيعطي للزوج ثلاثة سهام، و للاُختين أربعة سهام لكن من السبعة، و بذلك يُدخل النقص على الجميع، فلا الزوج ورث النصف الحقيقي و لا الأُختان، الثلثين، بل أخذ كل أقل من سهامه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الصورة و معهما أُخت واحدة من الأُم فريضتها السدس، و من المعلوم أنّ التركة لا تفي بالنصف و الثلثين</w:t>
      </w:r>
    </w:p>
    <w:p>
      <w:pPr>
        <w:pStyle w:val="BookText"/>
        <w:rPr/>
      </w:pPr>
      <w:r>
        <w:rPr>
          <w:rFonts w:ascii="Amiri" w:hAnsi="Amiri" w:eastAsia="Amiri" w:cs="Amiri"/>
          <w:color w:val="111111"/>
          <w:sz w:val="28"/>
          <w:sz w:val="28"/>
          <w:szCs w:val="28"/>
          <w:rtl w:val="true"/>
          <w:lang w:bidi="ar-SA"/>
        </w:rPr>
        <w:t xml:space="preserve">و السدس، فتعول التركة إلى ثمانية سهام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الفقه الإمامي يقدّم الزوج و الأُخت لكونهما ذو فرضين فيعطى للزوج النصف و للأُخت السدس و الباقي للأُختين، و أمّا القائل بالعول فهو يورد النقص على الجميع، فيقسّم المال إلى ثمانية سهام، فيعطي للزوج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للأُختين أربعة، و للاُخت من الأُم واحداً، و لكنّ الكلّ من ثمانية أجزاء، فلا الزوج نال النصف، و لا الأُختان الثلثين، و لا الأُخت من الأُم،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الصورة و معهم أخ من أُم و فريضتها أيضاً السدس فتعول الفريضة إلى تسعة،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الفقه الإمامي يقدّم الزوج و الأُخت من الأُم، و الأخ من الأب، و يختص الباقي بالأُختين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القائل بالعول فيعطي للزوج ثلاثة، و للاُختين أربعة، و لكلّ من الأُخت و الأخ من الأُم واحداً لكن من تسعة أسهم، لا من ستة سهام، و بالتالي لا يُمتَّع الزوج بالنصف، و لا الأُختان</w:t>
      </w:r>
    </w:p>
    <w:p>
      <w:pPr>
        <w:pStyle w:val="BookText"/>
        <w:rPr/>
      </w:pPr>
      <w:r>
        <w:rPr>
          <w:rFonts w:ascii="Amiri" w:hAnsi="Amiri" w:eastAsia="Amiri" w:cs="Amiri"/>
          <w:color w:val="111111"/>
          <w:sz w:val="28"/>
          <w:sz w:val="28"/>
          <w:szCs w:val="28"/>
          <w:rtl w:val="true"/>
          <w:lang w:bidi="ar-SA"/>
        </w:rPr>
        <w:t>بالثلثين، و لا الأُخت و الأخ من الأُم بالثلث إلاّ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زوجة و أبوان و بنتان و هي المسألة المعروفة باسم المسألة المنبرية، و هي التي سُئل عنها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 ترك ابنتيه و أبويه و زوجة؟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الرأي الرائج، إدخال النقص على الجميع صار سهمها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المخرج المشترك للثلثين و السدس و الثمن هو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سدساه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ذلك تعول الفريضة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ذلك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فالقائل بالعول، يورد النقص على جميع أصحاب الفروض، فيعطي لأصحاب الثلثين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للأبوين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و 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إعطائهم بهذا المقدار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الزوجة و إن أخذت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لكن 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حتى يكون ثمناً واقعياً، بل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تُسْع التركة، و هي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المذهب الإمامي فهو يقدّم الزوجة و الأبوين و الباقي لابنتيه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نظرية العول و بيانها بوجه سهل غير مبتن على المحاسبات الدقيقة و إن كان البيان على ضوئها أتقن و أدق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السيد المرتضى أنّ القائلين بالعول ربّما يوافقون الإمامية في بعض الصور، كامرأة ماتت و خلّفت بنتين و أبوين و زوجاً، و المال يضيق عن الثلثين و السدسين و الربع، فنحن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ندخل النقص على كل واحد من هذه السهام أو ندخله على بعضها، و قد أجمعت الأُمّة على أنّ البنتين هاهنا منقوصتان بلا خلاف، فيجب أن نعطي الأبوين السدس و الزوج الربع، و يجعل ما بقي للابنتين، و نخصّهما بالنقص لأنّهما منقوصتان بالاجماع</w:t>
      </w:r>
      <w:r>
        <w:rPr>
          <w:rFonts w:eastAsia="Amiri" w:cs="Amiri" w:ascii="Amiri" w:hAnsi="Amiri"/>
          <w:color w:val="111111"/>
          <w:sz w:val="28"/>
          <w:szCs w:val="28"/>
          <w:rtl w:val="true"/>
          <w:lang w:bidi="ar-SA"/>
        </w:rPr>
        <w:t>.</w:t>
      </w:r>
      <w:r>
        <w:rPr>
          <w:rStyle w:val="FootnoteAnchor"/>
        </w:rPr>
        <w:footnoteReference w:id="1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فلندرس أدلّة القائلين بالعول أوّلاً، ثمّ أدلّة القائلين بتقديم ذي الفرضين على من له فرض واحد</w:t>
      </w:r>
      <w:r>
        <w:rPr>
          <w:rFonts w:eastAsia="Amiri" w:cs="Amiri" w:ascii="Amiri" w:hAnsi="Amiri"/>
          <w:color w:val="111111"/>
          <w:sz w:val="28"/>
          <w:szCs w:val="28"/>
          <w:rtl w:val="true"/>
          <w:lang w:bidi="ar-SA"/>
        </w:rPr>
        <w:t>.</w:t>
      </w:r>
      <w:bookmarkStart w:id="24" w:name="pg11495_113355"/>
    </w:p>
    <w:p>
      <w:pPr>
        <w:pStyle w:val="Heading2"/>
        <w:numPr>
          <w:ilvl w:val="1"/>
          <w:numId w:val="1"/>
        </w:numPr>
        <w:rPr/>
      </w:pPr>
      <w:bookmarkStart w:id="25" w:name="__RefHeading___Toc3175906_73709187"/>
      <w:bookmarkStart w:id="26" w:name="_Toc9"/>
      <w:bookmarkEnd w:id="24"/>
      <w:bookmarkEnd w:id="25"/>
      <w:r>
        <w:rPr>
          <w:rtl w:val="true"/>
        </w:rPr>
        <w:t>أدلّة القائلين بالعول</w:t>
      </w:r>
      <w:bookmarkEnd w:id="26"/>
    </w:p>
    <w:p>
      <w:pPr>
        <w:pStyle w:val="Heading3"/>
        <w:numPr>
          <w:ilvl w:val="2"/>
          <w:numId w:val="1"/>
        </w:numPr>
        <w:rPr/>
      </w:pPr>
      <w:bookmarkStart w:id="27" w:name="__RefHeading___Toc3175908_73709187"/>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استدلّ القائلون بالعول بوجوه</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9" w:name="__RefHeading___Toc3175910_73709187"/>
      <w:bookmarkStart w:id="30" w:name="_Toc11"/>
      <w:bookmarkEnd w:id="29"/>
      <w:r>
        <w:rPr/>
        <w:t>1</w:t>
      </w:r>
      <w:r>
        <w:rPr>
          <w:rtl w:val="true"/>
        </w:rPr>
        <w:t xml:space="preserve">. </w:t>
      </w:r>
      <w:r>
        <w:rPr>
          <w:rtl w:val="true"/>
        </w:rPr>
        <w:t>قياس الحقّ بالدين</w:t>
      </w:r>
      <w:bookmarkEnd w:id="30"/>
    </w:p>
    <w:p>
      <w:pPr>
        <w:pStyle w:val="BookText"/>
        <w:rPr/>
      </w:pPr>
      <w:r>
        <w:rPr>
          <w:rFonts w:ascii="Amiri" w:hAnsi="Amiri" w:eastAsia="Amiri" w:cs="Amiri"/>
          <w:color w:val="111111"/>
          <w:sz w:val="28"/>
          <w:sz w:val="28"/>
          <w:szCs w:val="28"/>
          <w:rtl w:val="true"/>
          <w:lang w:bidi="ar-SA"/>
        </w:rPr>
        <w:t>إنّ الدُّيّان يقتسمون المال على تقدير قصوره عن دينهم بالحصص، و كذلك الورّاث، و الجامع، الاستحقاق للمال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فانّ الدَّيْن يتعلّق بالذمة، و التركة كالرهن عند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الدين بعين المال تعلّقُ استحقاق لا تعلّق انحصار، فلو لم يؤدّوا حقّ الغرماء فلهم مصادرة التركة و استيفاء طلبهم من باب التقاص، و لو قاموا بالتأدية من غير التركة فليس لهم أيّ اعتراض، و لأجل ذلك ليس بمحال أن يكون لرجل على رجل</w:t>
      </w:r>
    </w:p>
    <w:p>
      <w:pPr>
        <w:pStyle w:val="BookText"/>
        <w:rPr/>
      </w:pPr>
      <w:r>
        <w:rPr>
          <w:rFonts w:ascii="Amiri" w:hAnsi="Amiri" w:eastAsia="Amiri" w:cs="Amiri"/>
          <w:color w:val="111111"/>
          <w:sz w:val="28"/>
          <w:sz w:val="28"/>
          <w:szCs w:val="28"/>
          <w:rtl w:val="true"/>
          <w:lang w:bidi="ar-SA"/>
        </w:rPr>
        <w:t>ألف، و لآخر ألفان، و لثالث عشرة آلاف و إن صار الدَّين أضعاف التركة، لأنّ المديون أتلف مال الغير بالاستقراض و الصرف، فصار مديوناً بما أتلف، كان بمقدار ماله أو أزيد أو أنقص فلا إشكال في تعلّق أضعاف التركة بالذمة لأنّها تسع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سهام الإرث فانّها انّما تتعلّق بالتركة و الأعيان الموروثة، و من المحال أن يكون للمال نصف، و نصف و 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ماتت الزوجة عن زوج و أُخت للأبوين و أُختين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فامتلاك الورثة من التركة بقدر هذه الفروض أمر غير معقول، فلا بدّ أن يكون تعلّقها بشكل آخر تسعها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لبعض أدلّة الفروض إطلاق يعمّ حالي الانفراد و الاجتماع حتى لا يستلزم المحال، و سيوافيك بيان ماله إطلاق لحال الاجتماع مع سائر الفروض و ما ليس 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أصحابنا في نقد هذا الدليل بوجوه، و ما ذكرناه أتقن، و إليك ما ذكره المرتضى في نقد هذا الدليل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يقولونه في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الديون إذا كانت على</w:t>
      </w:r>
      <w:bookmarkStart w:id="31" w:name="pg11495_113357"/>
    </w:p>
    <w:p>
      <w:pPr>
        <w:pStyle w:val="BookText"/>
        <w:rPr/>
      </w:pPr>
      <w:bookmarkEnd w:id="31"/>
      <w:r>
        <w:rPr>
          <w:rFonts w:ascii="Amiri" w:hAnsi="Amiri" w:eastAsia="Amiri" w:cs="Amiri"/>
          <w:color w:val="111111"/>
          <w:sz w:val="28"/>
          <w:sz w:val="28"/>
          <w:szCs w:val="28"/>
          <w:rtl w:val="true"/>
          <w:lang w:bidi="ar-SA"/>
        </w:rPr>
        <w:t>الميّت و لم تف تركته بالوفاء بها، فإنّ الواجب القسمة للمال على أصحاب الديون بحسب ديونهم من غير إدخال النقص على بعضهم، و ذلك أنّ أصحاب الديون مستوون في وجوب استيفاء أموالهم من تركة الميّت، و ليس لأحد مزية على الآخر في ذلك، فإن اتّسع المال لحقوقهم استوفوها، فإن ضاق تساهموه و ليس كذلك مسائل العول، لأنّا قد بيّنّا أنّ بعض الورثة أولى بالنقص من بعض، و أنّهم غير مستويين كاستواء أصحاب الديون فافترق الأمران</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32" w:name="__RefHeading___Toc3175912_73709187"/>
      <w:bookmarkStart w:id="33" w:name="_Toc12"/>
      <w:bookmarkEnd w:id="32"/>
      <w:r>
        <w:rPr/>
        <w:t>2</w:t>
      </w:r>
      <w:r>
        <w:rPr>
          <w:rtl w:val="true"/>
        </w:rPr>
        <w:t xml:space="preserve">. </w:t>
      </w:r>
      <w:r>
        <w:rPr>
          <w:rtl w:val="true"/>
        </w:rPr>
        <w:t>قياس الإرث بالوصية</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التقسيط مع القصور واجب في الوصية للجماعة و الميراث كذلك، و الجامع بينهما استحقاق الجميع التركة، فلو أوصى لزيد بألف، و لعمرو بعشرة آلاف، و لبكر بعشرين ألف، و ضاق ثلثه عن القيام بالجميع، يُورد النقص على الجميع حسب سهامهم</w:t>
      </w:r>
      <w:r>
        <w:rPr>
          <w:rFonts w:eastAsia="Amiri" w:cs="Amiri" w:ascii="Amiri" w:hAnsi="Amiri"/>
          <w:color w:val="111111"/>
          <w:sz w:val="28"/>
          <w:szCs w:val="28"/>
          <w:rtl w:val="true"/>
          <w:lang w:bidi="ar-SA"/>
        </w:rPr>
        <w:t>.</w:t>
      </w:r>
      <w:bookmarkStart w:id="34" w:name="pg11495_113358"/>
    </w:p>
    <w:p>
      <w:pPr>
        <w:pStyle w:val="BookText"/>
        <w:rPr/>
      </w:pPr>
      <w:bookmarkEnd w:id="34"/>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ليس بمسلّم في المقيس عليه حتى يستظهر حال المقيس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فيه أنّه يعطى الأوّل فالأوّل عند الإيصاء إلى أن يبقى من المال شيء و يسقط من لم يسعه الثلث، لأنّه أوصى بشيء لم يملكه فتكون وصيّته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ذكر جماعة ثمّ سمّى،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عمر و بكر لكل واحد ألف، فعجز عنه مقدار ما ترك، فلا شك أنّه يدخل النقص على الجميع و الفارق بينه و بين المقام هو تصريح الموصي بالعول، و لو ورد التصريح به في الشريعة و أغضينا عمّا سيوافيك يجب اتباعه فكيف يقاس، ما لم يرد فيه التصريح بالتقسيط بما ورد فيه التصريح به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175914_73709187"/>
      <w:bookmarkStart w:id="36" w:name="_Toc13"/>
      <w:bookmarkEnd w:id="35"/>
      <w:r>
        <w:rPr/>
        <w:t>3</w:t>
      </w:r>
      <w:r>
        <w:rPr>
          <w:rtl w:val="true"/>
        </w:rPr>
        <w:t xml:space="preserve">. </w:t>
      </w:r>
      <w:r>
        <w:rPr>
          <w:rtl w:val="true"/>
        </w:rPr>
        <w:t>تقديم البعض على البعض ترجيح بلا مرجّح</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النقص لا بدّ من دخوله على الورثة على تقدير زيادة السهام، أمّا عند العائل فعلى الجميع و أمّا عند غيره فعلى البعض، لكن هذا ترجيح من دون مرجّح</w:t>
      </w:r>
      <w:r>
        <w:rPr>
          <w:rFonts w:eastAsia="Amiri" w:cs="Amiri" w:ascii="Amiri" w:hAnsi="Amiri"/>
          <w:color w:val="111111"/>
          <w:sz w:val="28"/>
          <w:szCs w:val="28"/>
          <w:rtl w:val="true"/>
          <w:lang w:bidi="ar-SA"/>
        </w:rPr>
        <w:t>.</w:t>
      </w:r>
      <w:bookmarkStart w:id="37" w:name="pg11495_113359"/>
    </w:p>
    <w:p>
      <w:pPr>
        <w:pStyle w:val="BookText"/>
        <w:rPr/>
      </w:pPr>
      <w:bookmarkEnd w:id="37"/>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الأمر المحال بإيراد النقص على الجميع فرع إحراز صحّة أصل تشريعه، و أنّه يصحّ أن يتملّك شخص، نصفَ المال، و آخر نصفَه الآخر، و ثالث ثلثَه، و قد عرفت أنّه غير صحيح و أنّ المال لا يتحمّل تلك الفروض، و مع عدم صحّة تشريعه لا تصل النوبة إلى احتمال ورود النقص على الجميع، فانّ تصويره بصورة العول، و إيراد النقص على الجميع رجوع عن الفرض، و اعتراف بأنّه ليس فيه نصفان و ثُلث كما سيظهر عند بيان أدلّة القائلين ببطلانه، لأنّ من سهمه النصفان أو الثُّلث، يأخذ أقل من سهمهما، و بالتالي يعترف بأنّه ليس في المال نصفان و 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وجود المرجّح الذي أشار إليه الإمام أمير المؤمنين و تلميذه ابن عباس سابقاً، و سيأتي كلامهما و كلام عترته الطاهرة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175916_73709187"/>
      <w:bookmarkStart w:id="39" w:name="_Toc14"/>
      <w:bookmarkEnd w:id="38"/>
      <w:r>
        <w:rPr/>
        <w:t>4</w:t>
      </w:r>
      <w:r>
        <w:rPr>
          <w:rtl w:val="true"/>
        </w:rPr>
        <w:t xml:space="preserve">. </w:t>
      </w:r>
      <w:r>
        <w:rPr>
          <w:rtl w:val="true"/>
        </w:rPr>
        <w:t>قول علي عليه السَّلام في المسألة المنبرية</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البيهقي قال أخبرنا أبو سعيد، أنبأنا أبو عبد اللّه،</w:t>
      </w:r>
    </w:p>
    <w:p>
      <w:pPr>
        <w:pStyle w:val="BookText"/>
        <w:rPr/>
      </w:pPr>
      <w:r>
        <w:rPr>
          <w:rFonts w:ascii="Amiri" w:hAnsi="Amiri" w:eastAsia="Amiri" w:cs="Amiri"/>
          <w:color w:val="111111"/>
          <w:sz w:val="28"/>
          <w:sz w:val="28"/>
          <w:szCs w:val="28"/>
          <w:rtl w:val="true"/>
          <w:lang w:bidi="ar-SA"/>
        </w:rPr>
        <w:t>حدثنا محمد بن نصر، حدثنا إسحاق، حدثنا يحيى بن آدم، حدثنا شريك، عن أبي إسحاق، عن الحارث عن علي رضي اللّه عنه في امرأة و أبوين و بنتين، صار ثمنها تسعاً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المسألة تسمّى المنبرية، لأنّه سئل عنها الإمام و هو على المنبر، يخطب، و يظهر من أحمد المرتضى انّ السائل كان هو ابن الكوّا، أحد المناوئين فأجاب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في خطبته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في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كان لها الثمن ثلاثة من أربعة و عشرين صار لها بالعول ثلاثة من سبعة و عشرين و هي التُّسع</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الثلاثة إذا نسبت إلى أربعة و عشرين فهو ثُمن التركة و إذا نسبت إلى سبعة و عشرين فهو تُسْع التركة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صريح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العول، إذ على 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تنقص سهمها عن الثمن، و قد جعل الإمام ثمنها 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و الدلالة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 اللّه بن أبي شريك، أبو عبد اللّه الكوفي القاضي فقد ترجمه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سيّئ الحفظ، مضطرب الحديث 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 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الخطأ، صاحب حديث و هو يغلط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سعيد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أربعمائة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يحيى و لا عبد الرحمن حدثنا عنه بشيء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عبد اللّه بن أحمد عن أبيه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صالح أثبت من شريك، كان شريك لا يبالي كيف</w:t>
      </w:r>
    </w:p>
    <w:p>
      <w:pPr>
        <w:pStyle w:val="BookText"/>
        <w:rPr/>
      </w:pP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يروي شريك ذلك الحديث عن أبي إسحاق و هو عمرو بن عبد اللّه السبيعي، و قد وصفه ابن حيان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مدلّساً، كما وصفه به حسين الكرابيسي و أبو جعفر الطبري</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مع كلّ ذلك كيف يحتجّ به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الإمام ذكر ذلك تعجّباً،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ذلك، مع أنّه سبحانه جعل فرضها الثمن، و في ما سألت صار فرضها تُسعاً حسب الظاهر، و أمّا ما هو علاج المسألة و صيانة ثمنها الوارد في القرآن، فقد سكت عنه الإمام و مضى في خطبته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ذكره إخبار عما جرى عليه الناس بعد إفتاء الخليفة بإدخال النقص على الجميع، دون أن يفتي على وفقه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ذكر ذلك مجاراة للرأي السائد في ذلك و إخماداً للفتنة، حيث إنّ السائل كان أحد المناوئين للإمام، و قد حاول بسؤاله، أن يجعل الإمام في مأزق، و كان عارفاً برأي الإمام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ما ذكر ممّا نقله شيخ الطائفة عن أبي طالب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أيوب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بكر، عن شعبة، عن سماك، 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 ترك ابنتيه و أبويه و زوجة،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 المرأة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وقعت في إمارته هذه الفريضة، فلم يدر ما يصنع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للبنتين الثلثان، و للأبوين السدسان، و للزوجة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الثمن باق بعد الأبوين و البنتين، فقال 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هؤلاء فريضتهم، للأبوين السدس، و للزوجة الثمن، و للبنتين ما يبقى،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فريضتهما الثلثان؟ فقال</w:t>
      </w:r>
    </w:p>
    <w:p>
      <w:pPr>
        <w:pStyle w:val="BookText"/>
        <w:rPr/>
      </w:pPr>
      <w:r>
        <w:rPr>
          <w:rFonts w:ascii="Amiri" w:hAnsi="Amiri" w:eastAsia="Amiri" w:cs="Amiri"/>
          <w:color w:val="111111"/>
          <w:sz w:val="28"/>
          <w:sz w:val="28"/>
          <w:szCs w:val="28"/>
          <w:rtl w:val="true"/>
          <w:lang w:bidi="ar-SA"/>
        </w:rPr>
        <w:t xml:space="preserve">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عمر و ابن مسعود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جماعة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مثلها أنّه أعطى للزوج الربع، مع الابنتين، و للأبوين السدسين و الباقي ردّ على البنتين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هو الحق و إن أباه قومنا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يستفاد من 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 أصحاب النبيّ إلاّ القليل منهم كانوا يرون خلاف العول، و أنّ سيادة القول العول لأجل أنّ الخليفة كان يدعم ذلك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عمل في واقعة برأيه و أورد النقص على البنتين فقط، و على ذلك يكون المراد من قوله،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رأى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المجاراة و المماشاة، و إلاّ يصير ذيل الحديث مناقضاً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دراسة أدلّة القائلين بالعول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أدلّة المنكرين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0" w:name="pg11495_113365"/>
    </w:p>
    <w:p>
      <w:pPr>
        <w:pStyle w:val="Heading2"/>
        <w:numPr>
          <w:ilvl w:val="1"/>
          <w:numId w:val="1"/>
        </w:numPr>
        <w:rPr/>
      </w:pPr>
      <w:bookmarkStart w:id="41" w:name="__RefHeading___Toc3175918_73709187"/>
      <w:bookmarkStart w:id="42" w:name="_Toc15"/>
      <w:bookmarkEnd w:id="40"/>
      <w:bookmarkEnd w:id="41"/>
      <w:r>
        <w:rPr>
          <w:rtl w:val="true"/>
        </w:rPr>
        <w:t>أدلّة القائلين ببطلان العول</w:t>
      </w:r>
      <w:bookmarkEnd w:id="42"/>
    </w:p>
    <w:p>
      <w:pPr>
        <w:pStyle w:val="Heading3"/>
        <w:numPr>
          <w:ilvl w:val="2"/>
          <w:numId w:val="1"/>
        </w:numPr>
        <w:rPr/>
      </w:pPr>
      <w:bookmarkStart w:id="43" w:name="__RefHeading___Toc3175920_73709187"/>
      <w:bookmarkStart w:id="44" w:name="_Toc16"/>
      <w:bookmarkEnd w:id="43"/>
      <w:r>
        <w:rPr/>
        <w:t>1</w:t>
      </w:r>
      <w:r>
        <w:rPr>
          <w:rtl w:val="true"/>
        </w:rPr>
        <w:t xml:space="preserve">. </w:t>
      </w:r>
      <w:r>
        <w:rPr>
          <w:rtl w:val="true"/>
        </w:rPr>
        <w:t>استلزام العول نسبة الجهل أو العبث إلى اللّه</w:t>
      </w:r>
      <w:bookmarkEnd w:id="44"/>
    </w:p>
    <w:p>
      <w:pPr>
        <w:pStyle w:val="BookText"/>
        <w:rPr/>
      </w:pPr>
      <w:r>
        <w:rPr>
          <w:rFonts w:ascii="Amiri" w:hAnsi="Amiri" w:eastAsia="Amiri" w:cs="Amiri"/>
          <w:color w:val="111111"/>
          <w:sz w:val="28"/>
          <w:sz w:val="28"/>
          <w:szCs w:val="28"/>
          <w:rtl w:val="true"/>
          <w:lang w:bidi="ar-SA"/>
        </w:rPr>
        <w:t>يستحيل أن يجعل اللّه تعالى في المال نصفين و ثلثاً، أو ثلثين و نصفاً و نحو ذلك ممّا لا يفي به و إلاّ كان جاهلاً أو عابثاً،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السهام المنصوصة في الذكر الحكيم ستة،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صنفين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البنتان فصاعداً،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الأُختان الشقيقتان فصاعداً أو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أصناف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عدم الولد،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البنت المنفردة،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الأُخت منفردة من الأبوين، أو من الأب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صنفين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مع عدم الولد،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أو الأُختان أو أخ و أُخت فصاعداً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صنفين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الولد،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مع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أصناف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مع الولد،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مع الحاجب،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و الأُخت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صنف واحد و هو الزوجة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فعندئذ يقع الكلام في أنّ الأدلة المتكفّلة لبيان فروض هذه الأصناف هل هي مطلقة، بمعنى ثبوت الفرض في كافة الصور، كاجتماع أبوين و البنت مع الزوج، أو ليس لها ذلك الإطلاق؟ فعلى الأوّل يلزم عبثية التشريع و لغويته لاستغراق فرض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البنت المنفردة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مجموع التركة و عدم اتساعها لفرض الأبوين و هو الثلث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يلزم الوقوف على من قدّمه اللّه سبحانه و من أخّره لئلاّ يلزم المحذور و هذا هو المطلوب</w:t>
      </w:r>
      <w:r>
        <w:rPr>
          <w:rFonts w:eastAsia="Amiri" w:cs="Amiri" w:ascii="Amiri" w:hAnsi="Amiri"/>
          <w:color w:val="111111"/>
          <w:sz w:val="28"/>
          <w:szCs w:val="28"/>
          <w:rtl w:val="true"/>
          <w:lang w:bidi="ar-SA"/>
        </w:rPr>
        <w:t>.</w:t>
      </w:r>
      <w:bookmarkStart w:id="45" w:name="pg11495_113367"/>
    </w:p>
    <w:p>
      <w:pPr>
        <w:pStyle w:val="Heading3"/>
        <w:numPr>
          <w:ilvl w:val="2"/>
          <w:numId w:val="1"/>
        </w:numPr>
        <w:rPr/>
      </w:pPr>
      <w:bookmarkStart w:id="46" w:name="__RefHeading___Toc3175922_73709187"/>
      <w:bookmarkStart w:id="47" w:name="_Toc17"/>
      <w:bookmarkEnd w:id="45"/>
      <w:bookmarkEnd w:id="46"/>
      <w:r>
        <w:rPr/>
        <w:t>2</w:t>
      </w:r>
      <w:r>
        <w:rPr>
          <w:rtl w:val="true"/>
        </w:rPr>
        <w:t xml:space="preserve">. </w:t>
      </w:r>
      <w:r>
        <w:rPr>
          <w:rtl w:val="true"/>
        </w:rPr>
        <w:t>استلزامه التناقض و الإغراء بالجهل</w:t>
      </w:r>
      <w:bookmarkEnd w:id="47"/>
    </w:p>
    <w:p>
      <w:pPr>
        <w:pStyle w:val="BookText"/>
        <w:rPr/>
      </w:pPr>
      <w:r>
        <w:rPr>
          <w:rFonts w:ascii="Amiri" w:hAnsi="Amiri" w:eastAsia="Amiri" w:cs="Amiri"/>
          <w:color w:val="111111"/>
          <w:sz w:val="28"/>
          <w:sz w:val="28"/>
          <w:szCs w:val="28"/>
          <w:rtl w:val="true"/>
          <w:lang w:bidi="ar-SA"/>
        </w:rPr>
        <w:t>إنّ القول بالعول يؤدّي إلى التناقض و الإغراء بالجهل، أمّا التناقض فقد بيّنا عند تفصيل القول بالعول أنّه إذا مات و ترك أبوين و بنتين و زوجاً،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فريضتهم من اثني عشر، فمعنى ذلك أنّ للأوّلين أربعة من اثني عشر، و للثانيتين، ثمانية من اثني عشر، و للزوج ثلاثة من اثني عشر، فإذا أعلناها إلى خمسة عشر فأعطينا الأبوين أربعة من خمسة عشر و للبنتين ثمانية من خمسة عشر، و للأبوين أربعة من خمسة عشر، فقد دفعنا للأبوين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ثلُثه، و إلى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إلى الابنتين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و خمساً، و ذلك نفس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الإغراء بالجهل، فقد سمّى اللّه سبحانه، الخمس و ثلثه باسم الثلث، و الخُمس باسم الربع، و ثلثاً و خمساً باسم الثلثين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جعل الدليل الأوّل و الثاني، دليلاً واحداً بأن</w:t>
      </w:r>
      <w:bookmarkStart w:id="48" w:name="pg11495_113368"/>
    </w:p>
    <w:p>
      <w:pPr>
        <w:pStyle w:val="BookText"/>
        <w:rPr/>
      </w:pPr>
      <w:bookmarkEnd w:id="48"/>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اللّه سبحانه في المال نصفين و ثلثاً، فأمّا أن يجعلها بلا ضم حلول مثل العول إليه، يلزم كونه سبحانه جاهلاً أو عابثاً تعالى عن ذلك، و أمّا أن يجعل مع النظر إلى حلول مثل العول، يلزم التناقض بين القول و العمل، و الإغراء مع كونه قبيحاً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175924_73709187"/>
      <w:bookmarkStart w:id="50" w:name="_Toc18"/>
      <w:bookmarkEnd w:id="49"/>
      <w:r>
        <w:rPr/>
        <w:t>3</w:t>
      </w:r>
      <w:r>
        <w:rPr>
          <w:rtl w:val="true"/>
        </w:rPr>
        <w:t xml:space="preserve">. </w:t>
      </w:r>
      <w:r>
        <w:rPr>
          <w:rtl w:val="true"/>
        </w:rPr>
        <w:t>يلزم تفضيل النساء على الرجال</w:t>
      </w:r>
      <w:bookmarkEnd w:id="50"/>
    </w:p>
    <w:p>
      <w:pPr>
        <w:pStyle w:val="BookText"/>
        <w:rPr/>
      </w:pPr>
      <w:r>
        <w:rPr>
          <w:rFonts w:ascii="Amiri" w:hAnsi="Amiri" w:eastAsia="Amiri" w:cs="Amiri"/>
          <w:color w:val="111111"/>
          <w:sz w:val="28"/>
          <w:sz w:val="28"/>
          <w:szCs w:val="28"/>
          <w:rtl w:val="true"/>
          <w:lang w:bidi="ar-SA"/>
        </w:rPr>
        <w:t>لو قلنا بالعول يلزم تفضيل النساء على الرجال في موارد، و من المعلوم أنّه يخالف روح الشريعة الإسلامية، و لنذكر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ماتت المرأة عن زوج و أبوين و بنتاً، فالتركة لا تتسع لنصفين و ثلثاً، فلو قلنا بالعول ارتفعت السهام 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فللبنت منها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للأبوين منها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للزوج منها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فهذه صورة المسألة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البنت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على القول بالعول صار سهم البنت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الابن مكان البنت، أُعطي الأبوان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من أصل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الزوج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من أصل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و الباقي و هو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للابن فصار سهم الابن أقلّ من سهم البنت، و هذا التالي الفاسد جاء من القول بالعول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ذلك الدليل في رواية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الكليني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ماتت و تركت زوجها و أبويها و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ثلاثة أسهم من اثني عشر سهماً، و للأبوين لكلّ واحد منهما السدس سهمين من اثني عشر سهماً، و بقي خمسة أسهم فهي للابنة، لأنّه لو كان ذكراً لم يكن له أكثر من خمسة أسهم من اثني عشر سهماً، لأنّ الأبوين لا ينقصان كلّ واحد منهما في السدس شيئاً و انّ الزوج لا ينقص من الربع شيئاً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الإشارة إلى بعض هذه الصور التي يلزم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1" w:name="pg11495_113370"/>
    </w:p>
    <w:p>
      <w:pPr>
        <w:pStyle w:val="BookText"/>
        <w:rPr/>
      </w:pPr>
      <w:bookmarkEnd w:id="51"/>
      <w:r>
        <w:rPr>
          <w:rFonts w:ascii="Amiri" w:hAnsi="Amiri" w:eastAsia="Amiri" w:cs="Amiri"/>
          <w:color w:val="111111"/>
          <w:sz w:val="28"/>
          <w:sz w:val="28"/>
          <w:szCs w:val="28"/>
          <w:rtl w:val="true"/>
          <w:lang w:bidi="ar-SA"/>
        </w:rPr>
        <w:t>على القول بالعول زيادة نصيب النساء على الرجال في الروايات</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52" w:name="__RefHeading___Toc3175926_73709187"/>
      <w:bookmarkStart w:id="53" w:name="_Toc19"/>
      <w:bookmarkEnd w:id="52"/>
      <w:r>
        <w:rPr/>
        <w:t>4</w:t>
      </w:r>
      <w:r>
        <w:rPr>
          <w:rtl w:val="true"/>
        </w:rPr>
        <w:t xml:space="preserve">. </w:t>
      </w:r>
      <w:r>
        <w:rPr>
          <w:rtl w:val="true"/>
        </w:rPr>
        <w:t>تصريح أئمّة أهل البيت ببطلان العول</w:t>
      </w:r>
      <w:bookmarkEnd w:id="5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أئمّة أهل البيت ببطلان العول قد تضافرت الروايات عن أئمّة أهل البيت مضافاً إلى ما عرفت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العول، و إليك طائفة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الكليني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الكليني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كتاب الفرائض التي هي إملاء رسول اللّه و خط علي بيده فإذا فيها انّ السهام لا تعول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الطوسي بسنده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w:t>
      </w:r>
      <w:bookmarkStart w:id="54" w:name="pg11495_113371"/>
    </w:p>
    <w:p>
      <w:pPr>
        <w:pStyle w:val="BookText"/>
        <w:rPr/>
      </w:pPr>
      <w:bookmarkEnd w:id="5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يحصي رمل عالج ليعلم أنّ السهام لا تعول من ستة، فمن شاء لاعنته عند الحجر انّ السهام لا تعول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تعول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إن زادت و لكن لا تزيد أُصولها على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التي رواها 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8"/>
      </w:r>
    </w:p>
    <w:p>
      <w:pPr>
        <w:pStyle w:val="Heading2"/>
        <w:numPr>
          <w:ilvl w:val="1"/>
          <w:numId w:val="1"/>
        </w:numPr>
        <w:rPr/>
      </w:pPr>
      <w:bookmarkStart w:id="55" w:name="__RefHeading___Toc3175928_73709187"/>
      <w:bookmarkStart w:id="56" w:name="_Toc20"/>
      <w:bookmarkEnd w:id="55"/>
      <w:r>
        <w:rPr>
          <w:rtl w:val="true"/>
        </w:rPr>
        <w:t>أُسلوب علاج العول من منظار روائي</w:t>
      </w:r>
      <w:bookmarkEnd w:id="56"/>
    </w:p>
    <w:p>
      <w:pPr>
        <w:pStyle w:val="BookText"/>
        <w:rPr/>
      </w:pPr>
      <w:r>
        <w:rPr>
          <w:rFonts w:ascii="Amiri" w:hAnsi="Amiri" w:eastAsia="Amiri" w:cs="Amiri"/>
          <w:color w:val="111111"/>
          <w:sz w:val="28"/>
          <w:sz w:val="28"/>
          <w:szCs w:val="28"/>
          <w:rtl w:val="true"/>
          <w:lang w:bidi="ar-SA"/>
        </w:rPr>
        <w:t>قد عرفت أنّ أئمّة أهل البيت أنكروا العول، و لم يكتفوا بالإنكار فحسب، بل وضعوا الحلول المناسبة لعلاجه و التي وردت في روايات كثيرة، نختار منها طائفة، و من أراد التفصيل، فليرجع إلى الجوامع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ابن عباس و قد أخذه عن إمامه و أُستاذه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ذكره فلنقتصر على محل</w:t>
      </w:r>
    </w:p>
    <w:p>
      <w:pPr>
        <w:pStyle w:val="BookText"/>
        <w:rPr/>
      </w:pPr>
      <w:r>
        <w:rPr>
          <w:rFonts w:ascii="IRNazanin" w:hAnsi="IRNazanin" w:eastAsia="IRNazanin"/>
          <w:color w:val="111111"/>
          <w:sz w:val="28"/>
          <w:sz w:val="28"/>
          <w:szCs w:val="28"/>
          <w:rtl w:val="true"/>
          <w:lang w:bidi="fa-IR"/>
        </w:rPr>
        <w:t>الشاهد،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أيم اللّه لو قدّم من قدّم اللّه و أخّر من أخّر اللّه ما عالت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أيّها قدّم و أيّها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عن فريضة إلاّ إلى فريضة فهذا ما قدّم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فريضة إذا زالت عن فرضها لم يبق لها إلاّ ما بقي، فتلك التي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 له النصف فإذا دخل عليه ما يزيله عنه رجع إلى الربع لا يزيله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الزوجة لها الربع، فإذا دخل عليها ما يزيلها عنه صارت إلى الثمن لا يزيلها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لها الثلث فإذا زالت عنه صارت إلى السدس، و لا يزيلها عنه شيء، فهذه الفرائض التي قدّم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ففريضة البنات و الأخوات لها النصف و الثلثان، فإذا أزالتهنّ الفرائض عن ذلك لم يكن لهنّ إلاّ ما بقي، فتلك التي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ما قدّم اللّه و ما أخّر بدئ بما قدّم اللّه فأُعطي حقّه كاملاً، فإن بقي شيء كان لمن أخّر، و إن</w:t>
      </w:r>
    </w:p>
    <w:p>
      <w:pPr>
        <w:pStyle w:val="BookText"/>
        <w:rPr/>
      </w:pPr>
      <w:r>
        <w:rPr>
          <w:rFonts w:ascii="Amiri" w:hAnsi="Amiri" w:eastAsia="Amiri" w:cs="Amiri"/>
          <w:color w:val="111111"/>
          <w:sz w:val="28"/>
          <w:sz w:val="28"/>
          <w:szCs w:val="28"/>
          <w:rtl w:val="true"/>
          <w:lang w:bidi="ar-SA"/>
        </w:rPr>
        <w:t>لم يبق شيء فلا شيء 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فقد جاء في كلام ابن عباس الطوائف الذين لا يدخل عليهم النقص و هم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هؤلاء يشتركون في أنّهم لا يهبطون عن فريضة إلاّ إلى فريضة أُخرى، و هذا دليل على أنّ سهامهم محدودة 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أن يذكر الأخ و الأُخت من أُمّ، لأنّهم أيضاً لا يهبطون من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سهم آخر و هو السدس، و قد جاء الجميع في كلام الإمام أمير المؤمنين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عمر العبدي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من ستة أسهم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الثلثان أربعة أسهم، و النصف ثلاثة أسهم، و الثلث سهمان، و الربع سهم و نصف، و الثمن ثلاثة أرباع سهم، و لا يرث مع الولد إلاّه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الأبوان و الزوج و المرأة، و لا يحجب الأُم عن الثلث إلاّ الولد و الإخوة، و لا يزاد الزوج عن النصف و لا ينقص من الربع، و لا تزاد المرأة على الربع و لا تنقص عن الثمن، و إن كنّ أربعاً أو دون ذلك فهنّ فيه سواء، و لا تزاد الإخوة من الأُم على الثلث و لا ينقصون من السدس و هم فيه سواء الذكر و الأُنثى، و لا يحجبهم عن الثلث إلاّ الولد، و الوالد، و الدية تقسم على من أحرز الميراث</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 عليهم ضرر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الزوج، و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المراد من المرأة هي الزوجة فلا بدّ من تقييد الرواية بإدخال كلالة الأُم فيها، لأنّها أيضاً لا يدخل عليها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من قدّمهم اللّه و لا يزيد عليهم النقص، فيكون من أخّره اللّه عبارة عن البنت أو البنتين أو من يتقرّب بالأب و الأُم أو بالأب من الأُخت أو 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7" w:name="pg11495_113375"/>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امرأة تركت زوجها و إخوتها لأُمّها و إخوة و أخوات لأبيها؟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للزوج النصف ثلاثة أسهم، و لإخوتها من أُمّها الثلث سهمان الذكر و الأُنثى فيه سواء، و ما بقي سهم للإخوة و الأخوات من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السهام لا تعول، و لأنّ الزوج لا ينقص من النصف، و لا الإخوة من الأُم من ثلثهم فإن كانوا أكثر من ذلك فهم شركاء في الثلث</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تعبير لطيف في 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ذو السهم أحقّ ممّن لا سهم له</w:t>
      </w:r>
      <w:r>
        <w:rPr>
          <w:rFonts w:eastAsia="Amiri" w:cs="Amiri" w:ascii="Amiri" w:hAnsi="Amiri"/>
          <w:color w:val="111111"/>
          <w:sz w:val="28"/>
          <w:szCs w:val="28"/>
          <w:rtl w:val="true"/>
          <w:lang w:bidi="ar-SA"/>
        </w:rPr>
        <w:t>».</w:t>
      </w:r>
      <w:r>
        <w:rPr>
          <w:rStyle w:val="FootnoteAnchor"/>
          <w:rtl w:val="true"/>
        </w:rPr>
        <w:footnoteReference w:id="32"/>
      </w:r>
    </w:p>
    <w:p>
      <w:pPr>
        <w:pStyle w:val="Heading2"/>
        <w:numPr>
          <w:ilvl w:val="1"/>
          <w:numId w:val="1"/>
        </w:numPr>
        <w:rPr/>
      </w:pPr>
      <w:bookmarkStart w:id="58" w:name="__RefHeading___Toc3175930_73709187"/>
      <w:bookmarkStart w:id="59" w:name="_Toc21"/>
      <w:bookmarkEnd w:id="58"/>
      <w:r>
        <w:rPr>
          <w:rtl w:val="true"/>
        </w:rPr>
        <w:t>ما الفرق بين البنت و كلالة الأُم؟</w:t>
      </w:r>
      <w:bookmarkEnd w:id="5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عدّ البنت و البنات و الأُخت و الأخوات، ممّن يدخل عليهم النقص دون الأُخت و الأخ من الأُم، مع أنّ</w:t>
      </w:r>
    </w:p>
    <w:p>
      <w:pPr>
        <w:pStyle w:val="BookText"/>
        <w:rPr/>
      </w:pPr>
      <w:r>
        <w:rPr>
          <w:rFonts w:ascii="Amiri" w:hAnsi="Amiri" w:eastAsia="Amiri" w:cs="Amiri"/>
          <w:color w:val="111111"/>
          <w:sz w:val="28"/>
          <w:sz w:val="28"/>
          <w:szCs w:val="28"/>
          <w:rtl w:val="true"/>
          <w:lang w:bidi="ar-SA"/>
        </w:rPr>
        <w:t>الطوائف الثلاث على وتيرة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و النصف، و للأُخت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و النصف، و لكلالة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الفارق بين الطائفة الثالثة و الأُوليين؟ يتّضح الجواب ببيان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دخول الأخ في كلالة الأُم، لا يخرجها عن كونها وارثة بالفرض، فالواحد منها سواء كان ذكراً أم أُنثى له السدس، و غير الواحد، سواء كان ذكراً أم أُنثى، أو ذكراً و أُنثى لهم الثلث يقتسمون بالمناصفة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الطائفتين الأُوليين فللبنت و الأُخت الواحدتين النصف، و لأزيد من الواحد الثلثان، و لو انضمّ إليهما الأخ فللذكر مثل حظّ الأُنثيين في الطائفتين، أي لا يرثن بالفرض بل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فكلالة الأُم مطلقاً وارثة بالفرض لا ترث إلاّ به، بخلاف البنت و أزيد، أو الأُخت و أزيد، فربّما يرثن بالقرابة و ذلك فيما إذا انضمّ إليهنّ الأخ</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كلالة الأُم، ترث بالفرض مطلقاً كان معهم ذكر أو لا، تفرّدت من الطبقة بالإرث أو لا، فلو لم يكن وارث سواها و كانت واحدة ترث السدس، و إن كانت غير واحدة ترث الثلث فرضاً و 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 حظّهم في صورة من الصور لو لم يزد عند الرد، و هذا آية عدم ورود النقص عند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فيهم أيّ إزالة من الفرض في حال من الحالات إلاّ إلى فرض آخر و لا ورود نقص عليهم عند تطوّر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البنت و الأُخت فلو دخل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يتغيّر الفرض من النصف أو الثلثين، إلى مجموع ما ترك بعد دفع سهام الآخرين كالوالدين، أو كلالة الأُم، ثمّ يقتسمون بالتثليث و تنقص حظوظ البنت أو البنات أو الأُخت و الأخوات عن النصف و الثلثين بكثير، و هذا آية جواز دخول النقص عليهم عند التزاحم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كلالة الأُم ترث دائماً بالفرض حتى فيما إذا تفرّدت، و أمّا الطائفتان الأُوليان فإنّما ترثان</w:t>
      </w:r>
    </w:p>
    <w:p>
      <w:pPr>
        <w:pStyle w:val="BookText"/>
        <w:rPr/>
      </w:pPr>
      <w:r>
        <w:rPr>
          <w:rFonts w:ascii="Amiri" w:hAnsi="Amiri" w:eastAsia="Amiri" w:cs="Amiri"/>
          <w:color w:val="111111"/>
          <w:sz w:val="28"/>
          <w:sz w:val="28"/>
          <w:szCs w:val="28"/>
          <w:rtl w:val="true"/>
          <w:lang w:bidi="ar-SA"/>
        </w:rPr>
        <w:t>بالفرض تارة كما إذا لم يكن بينهم أخ، و أُخرى بالقرابة فقط كما إذا انضمّ الأخ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كلالة الأُم لا يرد عليها النقص و لا ينقص حظهم عن الثلث و السدس، بخلاف الأخيرتين فينقص حظّهما عن النصف و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ذكرنا من التوضيح يشير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يتقرّب بالأُم الذي لا يرث إلاّ بفرض، بخلاف غيره فإنّه يرث به تارة و بالقرابة أُخرى كالبنت و البنتين، اللَّتين ينقص إذا اجتمعن مع البنين عن النصف أو الثلثين بنصّ الآية، لأنّ للذكر حينئذ مثل حظّ الأُنثيين</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النقص على البنت و البنات، لأنّهنّ إذا اجتمعن مع البنين ربّما نقص عن العشر أو نصفه لنصّ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في الإخوة و الأخوات من قبل الأب أو من قبلهما</w:t>
      </w:r>
      <w:r>
        <w:rPr>
          <w:rFonts w:eastAsia="Amiri" w:cs="Amiri" w:ascii="Amiri" w:hAnsi="Amiri"/>
          <w:color w:val="111111"/>
          <w:sz w:val="28"/>
          <w:szCs w:val="28"/>
          <w:rtl w:val="true"/>
          <w:lang w:bidi="ar-SA"/>
        </w:rPr>
        <w:t>.</w:t>
      </w:r>
      <w:r>
        <w:rPr>
          <w:rStyle w:val="FootnoteAnchor"/>
        </w:rPr>
        <w:footnoteReference w:id="3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النقص داخلاً على الأب أو البنت أو البنتين، أو من يتقرّب بالأب و الأُم أو بالأب من الأُخت و الأخوات دون من يتقرّب بالأُم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ليعلم أنّ عامل العول هو الزوج أو الزوجة إذا اجتمع أحدهما مع البنت أو البنات، أو مع الأُخت أو الأخوات من قبل الأبوين أو لأب، و إلاّ لم يلزم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خلفت زوجاً و أبوين و بنتاً، يختصّ النقص بالبنت بعد الربع و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خلّفت زوجاً و أحد الأبوين و بنتين، يختصّ النقص بهما بعد الربع و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خلّف زوجة و أبوين و بنتين، يختصّ النقص بهما بعد الثمن و السدسين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خلّفت زوجاً مع كلالة الأُم و أُختاً أو أخوات لأب و أُم أو لأب، يدخل النقص بالأُخت أو الأخوات بعدل</w:t>
      </w:r>
      <w:r>
        <w:rPr>
          <w:rFonts w:eastAsia="Amiri" w:cs="Amiri" w:ascii="Amiri" w:hAnsi="Amiri"/>
          <w:color w:val="111111"/>
          <w:sz w:val="28"/>
          <w:szCs w:val="28"/>
          <w:rtl w:val="true"/>
          <w:lang w:bidi="ar-SA"/>
        </w:rPr>
        <w:t>.</w:t>
      </w:r>
      <w:bookmarkStart w:id="60" w:name="pg11495_113380"/>
    </w:p>
    <w:p>
      <w:pPr>
        <w:pStyle w:val="BookText"/>
        <w:rPr/>
      </w:pPr>
      <w:bookmarkEnd w:id="60"/>
      <w:r>
        <w:rPr>
          <w:rFonts w:ascii="Amiri" w:hAnsi="Amiri" w:eastAsia="Amiri" w:cs="Amiri"/>
          <w:color w:val="111111"/>
          <w:sz w:val="28"/>
          <w:sz w:val="28"/>
          <w:szCs w:val="28"/>
          <w:rtl w:val="true"/>
          <w:lang w:bidi="ar-SA"/>
        </w:rPr>
        <w:t>النصف و السدس إن كانت الكلالة واحدة أو الثلث إن كانت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ذكرناه من أنّ عامل العول هو الزوج و الزوجة إنّما يتم على أُصولنا في الإرث، و أمّا على أُصول غيرنا فيأتي العول من غير جهة الزوج و الزوجة، كما إذا مات عن أبوين مع الأُختين، فانّهما لا يرثان على أُصولنا مع وجود الأبوين، لأنّهما أقرب من الأُختين بخلافه على أُصول غيرنا حيث ترث الأُختين بالتعصيب، فعندئذ يلزم العول، لأنّ فرض الأُم عند عدم الولد للميت هو الثلث و فرض الأُختين هو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من التركة للأب شيء إذا بدأنا بالأُم و الأُختين</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3175932_73709187"/>
      <w:bookmarkStart w:id="62" w:name="_Toc22"/>
      <w:bookmarkEnd w:id="61"/>
      <w:r>
        <w:rPr>
          <w:rtl w:val="true"/>
        </w:rPr>
        <w:t>بقيت هنا نكات نذكرها</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الآثار المروية عن ابن عباس تشهد على أنّ حبر الأُمّة كان صارماً في رأيه ببطلان العول إلى حد كان معه مستعدّاً للمباهلة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w:t>
      </w:r>
    </w:p>
    <w:p>
      <w:pPr>
        <w:pStyle w:val="BookText"/>
        <w:rPr/>
      </w:pPr>
      <w:r>
        <w:rPr>
          <w:rFonts w:ascii="Amiri" w:hAnsi="Amiri" w:eastAsia="Amiri" w:cs="Amiri"/>
          <w:color w:val="111111"/>
          <w:sz w:val="28"/>
          <w:sz w:val="28"/>
          <w:szCs w:val="28"/>
          <w:rtl w:val="true"/>
          <w:lang w:bidi="ar-SA"/>
        </w:rPr>
        <w:t>قال في زوج و أُخت و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أنّ المسائل لا تعول، إنّ الذي أحصى رمل عالج عدداً، أعدل من أن يجعل في مال نصفاً و نصفاً و ثلثاً، هذان نصفان ذهبا بالمال فأين موضع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هذه المسألة، مسألة المباهلة لذلك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من الغريب انّ العول أسفر عن طرح مسائل اشتهرت بألقاب خاصة نذكر منها ما يلي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 إذا ماتت المرأة عن زوج و أُمّ و أُخت و جدّ، فللزوج النصف و للأُمّ الثلث و للأُخت النصف و للجد السدس، و تسمّى هذه المسألة الأكدريّة، قيل لأنّ عبد الملك بن مروان سأل عنها رجلاً اسمه الأكدر، و قد اختلفت فتاوى فقهاء السنة بل التابعين في المسألة، و المسألة من فروع العول حتّى و لو لم نقل انّ للجدّ سهماً في المقام، لأنّ للزوج النصف و للأُخت النصف و للأُمّ الثلث فلا تتسع التركة لهذه الفروض فكيف إذا قلنا بوجوب السدس للجد؟ة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 ست أخوات متفرقات و زوج، للزوج النصف و للأُختين لأبوين الثلثان و للأُختين لأُم الثلث، سميت المروانيّة لوقوعها في فرض مروان بن الحكم، و تسمّى العراء لاشتهارها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ألقاب أُخرى لبعض المسائل في الموسوعة الفقهية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إن كان بعض هذه الصور خارجاً عن مسألة العول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عرفت أنّ القول بالعول لا يصمد أمام الأدلّة الدالّة على خلافه، و الذي يصدّ الفقهاء الأربعة و التابعين عن العدول عن العول هو إفتاء عمر بن الخطاب بالعول، و قد عرفت أنّ الرجل كان مهاباً لا يجرأ أحد على مخالفته، و لم يكن الخليفة ملمّاً بأحكام الفرائض، و لذلك كان يفتي بحكم في واقعة يخالفها في واقعة أُخرى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البيهقي في سننه عن عبيدة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لأحفظ عن عمر في الجد مائة قضية كلّها ينقض بعضها بعضاً</w:t>
      </w:r>
      <w:r>
        <w:rPr>
          <w:rFonts w:eastAsia="Amiri" w:cs="Amiri" w:ascii="Amiri" w:hAnsi="Amiri"/>
          <w:color w:val="111111"/>
          <w:sz w:val="28"/>
          <w:szCs w:val="28"/>
          <w:rtl w:val="true"/>
          <w:lang w:bidi="ar-SA"/>
        </w:rPr>
        <w:t>.</w:t>
      </w:r>
      <w:r>
        <w:rPr>
          <w:rStyle w:val="FootnoteAnchor"/>
        </w:rPr>
        <w:footnoteReference w:id="3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بنقل ما قضى به في مسألة سمّيت بالحمارية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بسنده عن الحكم بن مسعود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الخطاب أشرك الإخوة من الأب و الأُم مع الإخوة من الأُم في الثلث،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في هذا عام أوّل بغير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قضيت؟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للإخوة من الأُم و لم تجعل للإخوة من الأب و الأُم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على ما قضينا و هذا على ما قضينا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في رواية السرخسي انّ الإخوة لأب و أُم سألوا عمر عن هذه المسألة، فأفتى بنفي التشريك كما كان يقوله أوّلاً،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انّ أبانا كان حماراً، ألسنا من أُمّ واحدة؟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 رجع إلى القول بالتشريك</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من أجل ذلك سمّيت هذه المسألة بالحمارية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فقيه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كان يستحسن فتوى ابن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الحجّة لو لا أنّه تقدّم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و زفر بن أوس البصري أنّهما سألا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أعال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أشرت به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و كان أمره مهيباً،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تقدّم ابن عباس، إمام عدل و حكم به و أمضاه و تابعه الناس على ذلك، لما اختلف على ابن عباس اثنان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أطنب موسى جار اللّه في الكلام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مملّ جداً و أخذ يجترّ كلاماً واحداً، و حصيلة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على ظنّي أنّ القول بأنّ لا عول عند الشيعة، قول ظاهري، فإنّ العول هو النقص، فإن كان النقص في جميع السهام بنسبة متناسبة، فهو العول العادل أخذت به الأُمّة و قد حافظت على نصوص الكتاب، و إن كان النقص في سهم المؤخّر، فهو العول الجائر أخذت به الشيعة و خالفت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الكتاب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المناسب للعول في المقام هو الارتفاع أو الميل إلى الجور، و تفسيره بالنقص و إن كان صحيحاً كما مرّ في صدر المسألة لكن الأنسب في المقام هو الزيادة، لظهور ارتفاع الفرائض عن سهام التركة، و ارتفاعها و إن كان ملازماً لنقص التركة عن الإجابة لجميع الفروض، لكن ينظر إلى المسألة من زاوية ارتفاع الفرائض دون نقصان سهام التركة، و لأجل ذلك يقول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 اللّه لو قدّموا من قدّم اللّه، و أخّروا من أخّر اللّه ما عالت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عدم صحّة تفسيره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نقصت الفريضة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العول بمعنى النقص لكن رمي الشيعة بأنّهم يقولون به حيث إنّهم يوردون النقص على المؤخّر، غفلة من نظره، فانّ النقص إنّما يتصوّر إذا كان المؤخّر ذا فرض، و لكنّه عندهم ليس بذي فرض، بل يرث بالقرابةم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كسائر من يرثون بها، و عندئذ لا يصدق النقص أبداً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بذلك كلام ابن عباس حيث يفسّر المقدّم بأنّه ممّن له فرضان، و المؤخّر بأنّه ممّن ليس له إلاّ فرض واحد و هو في غير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سأله عمّن قدّمه و من أخّره؟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أهبطه من فرض إلى فرض فذلك الذي قدّمه، و الذي أهبطه من فرض إلى ما بقي فذلك الذي أخّره اللّه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أخّره اللّه لم يجعل له حقّاً مفروضاً في حالة التزاحم و الاجتماع فيرث ما بقي، و ليس هو بذي فرض في هذا الفرض لكونه وارثاً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تبيّن أنّه لا عول عند الشيعة بالمعنى المصطلح عند الفقهاء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السنّة حافظت على نصوص الكتاب و لكن الشيعة بإدخال النقص على المؤخّر خالفت نصوصه، من أعاجيب الكلام، فإذا كان في دخول النقص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لظاهر الكتاب، ففي دخولها على الجميع مخالفة مضاعفة، فقد عرفت في ما سبق أنّ من فرض اللّه له النصف أعطوه أقلّ منه، و من فرض له الثلثان أعطوه أقلّ منهما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يكون فيه مخالفة</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16229/161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المسألة نفس ما ابتلى به عمر بن الخطاب، غير أنّه أُضيفت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29/161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الزوجة مجموع السهام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الدلائل الثلاثة الأُول من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تفصيل منّا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العول و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في ذيل متن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في ذيل متن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2964/295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الغفاري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 الأجداد،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 و الحديث صحيح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الذهبي في تلخيصه إذعاناً بصحّته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جمال الدين على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الاستقلال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و نقله عن ابن عباس أكثر من تعرّض للمسألة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15529/154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الوشيعة في نقض عقائد الشيعة، و قد نقلنا كلامه مجرّداً عن الطعن بأئمّة أهل البيت عليهم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كفانا في نقد ما اختلقه من الشبهات أو أخذها ممّن تقدم عليه العلمان الجليلان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الحسين العاملي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موسى جار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السيد محسن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الوشيعة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أسرارهما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7168</Words>
  <Characters>28549</Characters>
  <CharactersWithSpaces>35410</CharactersWithSpaces>
  <Paragraphs>375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2026-08-21T23:54:50Z</dcterms:created>
  <dc:creator>ghaemiyeh.com</dc:creator>
  <dc:description/>
  <dc:language>en-US</dc:language>
  <cp:lastModifiedBy/>
  <dcterms:modified xsi:type="dcterms:W3CDTF">2026-08-22T03:24:52Z</dcterms:modified>
  <cp:revision>1</cp:revision>
  <dc:subject/>
  <dc:title>سلسله المسائل الفقهیه جلد 21</dc:title>
</cp:coreProperties>
</file>

<file path=docProps/custom.xml><?xml version="1.0" encoding="utf-8"?>
<Properties xmlns="http://schemas.openxmlformats.org/officeDocument/2006/custom-properties" xmlns:vt="http://schemas.openxmlformats.org/officeDocument/2006/docPropsVTypes"/>
</file>