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6832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176834_73709187">
            <w:r>
              <w:rPr>
                <w:webHidden/>
                <w:rStyle w:val="IndexLink"/>
                <w:rtl w:val="true"/>
              </w:rPr>
              <w:t>متعة الحجّ على ضوء الكتاب و السنّة</w:t>
            </w:r>
            <w:r>
              <w:rPr>
                <w:rStyle w:val="IndexLink"/>
                <w:rtl w:val="true"/>
              </w:rPr>
              <w:tab/>
            </w:r>
            <w:r>
              <w:rPr>
                <w:rStyle w:val="IndexLink"/>
              </w:rPr>
              <w:t>4</w:t>
            </w:r>
          </w:hyperlink>
        </w:p>
        <w:p>
          <w:pPr>
            <w:pStyle w:val="Contents2"/>
            <w:tabs>
              <w:tab w:val="clear" w:pos="8743"/>
              <w:tab w:val="right" w:pos="9026" w:leader="dot"/>
            </w:tabs>
            <w:rPr/>
          </w:pPr>
          <w:hyperlink w:anchor="__RefHeading___Toc2176836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2176838_73709187">
            <w:r>
              <w:rPr>
                <w:webHidden/>
                <w:rStyle w:val="IndexLink"/>
                <w:rtl w:val="true"/>
              </w:rPr>
              <w:t>متعة الحجّ</w:t>
            </w:r>
            <w:r>
              <w:rPr>
                <w:rStyle w:val="IndexLink"/>
                <w:rtl w:val="true"/>
              </w:rPr>
              <w:tab/>
            </w:r>
            <w:r>
              <w:rPr>
                <w:rStyle w:val="IndexLink"/>
              </w:rPr>
              <w:t>7</w:t>
            </w:r>
          </w:hyperlink>
        </w:p>
        <w:p>
          <w:pPr>
            <w:pStyle w:val="Contents2"/>
            <w:tabs>
              <w:tab w:val="clear" w:pos="8743"/>
              <w:tab w:val="right" w:pos="9026" w:leader="dot"/>
            </w:tabs>
            <w:rPr/>
          </w:pPr>
          <w:hyperlink w:anchor="__RefHeading___Toc2176840_73709187">
            <w:r>
              <w:rPr>
                <w:webHidden/>
                <w:rStyle w:val="IndexLink"/>
                <w:rtl w:val="true"/>
              </w:rPr>
              <w:t>أقسام الحج الثلاثة</w:t>
            </w:r>
            <w:r>
              <w:rPr>
                <w:rStyle w:val="IndexLink"/>
                <w:rtl w:val="true"/>
              </w:rPr>
              <w:tab/>
            </w:r>
            <w:r>
              <w:rPr>
                <w:rStyle w:val="IndexLink"/>
              </w:rPr>
              <w:t>10</w:t>
            </w:r>
          </w:hyperlink>
        </w:p>
        <w:p>
          <w:pPr>
            <w:pStyle w:val="Contents2"/>
            <w:tabs>
              <w:tab w:val="clear" w:pos="8743"/>
              <w:tab w:val="right" w:pos="9026" w:leader="dot"/>
            </w:tabs>
            <w:rPr/>
          </w:pPr>
          <w:hyperlink w:anchor="__RefHeading___Toc2176842_73709187">
            <w:r>
              <w:rPr>
                <w:webHidden/>
                <w:rStyle w:val="IndexLink"/>
                <w:rtl w:val="true"/>
              </w:rPr>
              <w:t>البحث في أُمور</w:t>
            </w:r>
            <w:r>
              <w:rPr>
                <w:rStyle w:val="IndexLink"/>
                <w:rtl w:val="true"/>
              </w:rPr>
              <w:tab/>
            </w:r>
            <w:r>
              <w:rPr>
                <w:rStyle w:val="IndexLink"/>
              </w:rPr>
              <w:t>19</w:t>
            </w:r>
          </w:hyperlink>
        </w:p>
        <w:p>
          <w:pPr>
            <w:pStyle w:val="Contents3"/>
            <w:tabs>
              <w:tab w:val="clear" w:pos="8459"/>
              <w:tab w:val="right" w:pos="9026" w:leader="dot"/>
            </w:tabs>
            <w:rPr/>
          </w:pPr>
          <w:hyperlink w:anchor="__RefHeading___Toc2176844_73709187">
            <w:r>
              <w:rPr>
                <w:webHidden/>
                <w:rStyle w:val="IndexLink"/>
                <w:rtl w:val="true"/>
              </w:rPr>
              <w:t>الأوّل</w:t>
            </w:r>
            <w:r>
              <w:rPr>
                <w:rStyle w:val="IndexLink"/>
                <w:rtl w:val="true"/>
              </w:rPr>
              <w:t xml:space="preserve">: </w:t>
            </w:r>
            <w:r>
              <w:rPr>
                <w:rStyle w:val="IndexLink"/>
                <w:rtl w:val="true"/>
              </w:rPr>
              <w:t>في بيان الأحكام الواردة في الآية</w:t>
            </w:r>
            <w:r>
              <w:rPr>
                <w:rStyle w:val="IndexLink"/>
                <w:rtl w:val="true"/>
              </w:rPr>
              <w:tab/>
            </w:r>
            <w:r>
              <w:rPr>
                <w:rStyle w:val="IndexLink"/>
              </w:rPr>
              <w:t>19</w:t>
            </w:r>
          </w:hyperlink>
        </w:p>
        <w:p>
          <w:pPr>
            <w:pStyle w:val="Contents4"/>
            <w:tabs>
              <w:tab w:val="clear" w:pos="8176"/>
              <w:tab w:val="right" w:pos="9026" w:leader="dot"/>
            </w:tabs>
            <w:rPr/>
          </w:pPr>
          <w:hyperlink w:anchor="__RefHeading___Toc2176846_7370918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2176848_73709187">
            <w:r>
              <w:rPr>
                <w:webHidden/>
                <w:rStyle w:val="IndexLink"/>
              </w:rPr>
              <w:t>1</w:t>
            </w:r>
            <w:r>
              <w:rPr>
                <w:rStyle w:val="IndexLink"/>
                <w:rtl w:val="true"/>
              </w:rPr>
              <w:t xml:space="preserve">. </w:t>
            </w:r>
            <w:r>
              <w:rPr>
                <w:rStyle w:val="IndexLink"/>
                <w:rtl w:val="true"/>
              </w:rPr>
              <w:t>إتمام الحج و العمرة للّه</w:t>
            </w:r>
            <w:r>
              <w:rPr>
                <w:rStyle w:val="IndexLink"/>
                <w:rtl w:val="true"/>
              </w:rPr>
              <w:tab/>
            </w:r>
            <w:r>
              <w:rPr>
                <w:rStyle w:val="IndexLink"/>
              </w:rPr>
              <w:t>20</w:t>
            </w:r>
          </w:hyperlink>
        </w:p>
        <w:p>
          <w:pPr>
            <w:pStyle w:val="Contents4"/>
            <w:tabs>
              <w:tab w:val="clear" w:pos="8176"/>
              <w:tab w:val="right" w:pos="9026" w:leader="dot"/>
            </w:tabs>
            <w:rPr/>
          </w:pPr>
          <w:hyperlink w:anchor="__RefHeading___Toc2176850_73709187">
            <w:r>
              <w:rPr>
                <w:webHidden/>
                <w:rStyle w:val="IndexLink"/>
              </w:rPr>
              <w:t>2</w:t>
            </w:r>
            <w:r>
              <w:rPr>
                <w:rStyle w:val="IndexLink"/>
                <w:rtl w:val="true"/>
              </w:rPr>
              <w:t xml:space="preserve">. </w:t>
            </w:r>
            <w:r>
              <w:rPr>
                <w:rStyle w:val="IndexLink"/>
                <w:rtl w:val="true"/>
              </w:rPr>
              <w:t>إذا أُحصر بالعدو أو المرض</w:t>
            </w:r>
            <w:r>
              <w:rPr>
                <w:rStyle w:val="IndexLink"/>
                <w:rtl w:val="true"/>
              </w:rPr>
              <w:tab/>
            </w:r>
            <w:r>
              <w:rPr>
                <w:rStyle w:val="IndexLink"/>
              </w:rPr>
              <w:t>24</w:t>
            </w:r>
          </w:hyperlink>
        </w:p>
        <w:p>
          <w:pPr>
            <w:pStyle w:val="Contents4"/>
            <w:tabs>
              <w:tab w:val="clear" w:pos="8176"/>
              <w:tab w:val="right" w:pos="9026" w:leader="dot"/>
            </w:tabs>
            <w:rPr/>
          </w:pPr>
          <w:hyperlink w:anchor="__RefHeading___Toc2176852_73709187">
            <w:r>
              <w:rPr>
                <w:webHidden/>
                <w:rStyle w:val="IndexLink"/>
              </w:rPr>
              <w:t>3</w:t>
            </w:r>
            <w:r>
              <w:rPr>
                <w:rStyle w:val="IndexLink"/>
                <w:rtl w:val="true"/>
              </w:rPr>
              <w:t xml:space="preserve">. </w:t>
            </w:r>
            <w:r>
              <w:rPr>
                <w:rStyle w:val="IndexLink"/>
                <w:rtl w:val="true"/>
              </w:rPr>
              <w:t>لا يتحلّل قبل الذبح</w:t>
            </w:r>
            <w:r>
              <w:rPr>
                <w:rStyle w:val="IndexLink"/>
                <w:rtl w:val="true"/>
              </w:rPr>
              <w:tab/>
            </w:r>
            <w:r>
              <w:rPr>
                <w:rStyle w:val="IndexLink"/>
              </w:rPr>
              <w:t>25</w:t>
            </w:r>
          </w:hyperlink>
        </w:p>
        <w:p>
          <w:pPr>
            <w:pStyle w:val="Contents4"/>
            <w:tabs>
              <w:tab w:val="clear" w:pos="8176"/>
              <w:tab w:val="right" w:pos="9026" w:leader="dot"/>
            </w:tabs>
            <w:rPr/>
          </w:pPr>
          <w:hyperlink w:anchor="__RefHeading___Toc2176854_73709187">
            <w:r>
              <w:rPr>
                <w:webHidden/>
                <w:rStyle w:val="IndexLink"/>
              </w:rPr>
              <w:t>4</w:t>
            </w:r>
            <w:r>
              <w:rPr>
                <w:rStyle w:val="IndexLink"/>
                <w:rtl w:val="true"/>
              </w:rPr>
              <w:t xml:space="preserve">. </w:t>
            </w:r>
            <w:r>
              <w:rPr>
                <w:rStyle w:val="IndexLink"/>
                <w:rtl w:val="true"/>
              </w:rPr>
              <w:t>حكم المريض و من برأسه أذى</w:t>
            </w:r>
            <w:r>
              <w:rPr>
                <w:rStyle w:val="IndexLink"/>
                <w:rtl w:val="true"/>
              </w:rPr>
              <w:tab/>
            </w:r>
            <w:r>
              <w:rPr>
                <w:rStyle w:val="IndexLink"/>
              </w:rPr>
              <w:t>25</w:t>
            </w:r>
          </w:hyperlink>
        </w:p>
        <w:p>
          <w:pPr>
            <w:pStyle w:val="Contents4"/>
            <w:tabs>
              <w:tab w:val="clear" w:pos="8176"/>
              <w:tab w:val="right" w:pos="9026" w:leader="dot"/>
            </w:tabs>
            <w:rPr/>
          </w:pPr>
          <w:hyperlink w:anchor="__RefHeading___Toc2176856_73709187">
            <w:r>
              <w:rPr>
                <w:webHidden/>
                <w:rStyle w:val="IndexLink"/>
              </w:rPr>
              <w:t>5</w:t>
            </w:r>
            <w:r>
              <w:rPr>
                <w:rStyle w:val="IndexLink"/>
                <w:rtl w:val="true"/>
              </w:rPr>
              <w:t xml:space="preserve">. </w:t>
            </w:r>
            <w:r>
              <w:rPr>
                <w:rStyle w:val="IndexLink"/>
                <w:rtl w:val="true"/>
              </w:rPr>
              <w:t>التمتّع بالعمرة إلى الحجّ</w:t>
            </w:r>
            <w:r>
              <w:rPr>
                <w:rStyle w:val="IndexLink"/>
                <w:rtl w:val="true"/>
              </w:rPr>
              <w:tab/>
            </w:r>
            <w:r>
              <w:rPr>
                <w:rStyle w:val="IndexLink"/>
              </w:rPr>
              <w:t>26</w:t>
            </w:r>
          </w:hyperlink>
        </w:p>
        <w:p>
          <w:pPr>
            <w:pStyle w:val="Contents4"/>
            <w:tabs>
              <w:tab w:val="clear" w:pos="8176"/>
              <w:tab w:val="right" w:pos="9026" w:leader="dot"/>
            </w:tabs>
            <w:rPr/>
          </w:pPr>
          <w:hyperlink w:anchor="__RefHeading___Toc2176858_73709187">
            <w:r>
              <w:rPr>
                <w:webHidden/>
                <w:rStyle w:val="IndexLink"/>
              </w:rPr>
              <w:t>6</w:t>
            </w:r>
            <w:r>
              <w:rPr>
                <w:rStyle w:val="IndexLink"/>
                <w:rtl w:val="true"/>
              </w:rPr>
              <w:t xml:space="preserve">. </w:t>
            </w:r>
            <w:r>
              <w:rPr>
                <w:rStyle w:val="IndexLink"/>
                <w:rtl w:val="true"/>
              </w:rPr>
              <w:t>الفاقد للهدي</w:t>
            </w:r>
            <w:r>
              <w:rPr>
                <w:rStyle w:val="IndexLink"/>
                <w:rtl w:val="true"/>
              </w:rPr>
              <w:tab/>
            </w:r>
            <w:r>
              <w:rPr>
                <w:rStyle w:val="IndexLink"/>
              </w:rPr>
              <w:t>28</w:t>
            </w:r>
          </w:hyperlink>
        </w:p>
        <w:p>
          <w:pPr>
            <w:pStyle w:val="Contents4"/>
            <w:tabs>
              <w:tab w:val="clear" w:pos="8176"/>
              <w:tab w:val="right" w:pos="9026" w:leader="dot"/>
            </w:tabs>
            <w:rPr/>
          </w:pPr>
          <w:hyperlink w:anchor="__RefHeading___Toc2176860_73709187">
            <w:r>
              <w:rPr>
                <w:webHidden/>
                <w:rStyle w:val="IndexLink"/>
              </w:rPr>
              <w:t>7</w:t>
            </w:r>
            <w:r>
              <w:rPr>
                <w:rStyle w:val="IndexLink"/>
                <w:rtl w:val="true"/>
              </w:rPr>
              <w:t xml:space="preserve">. </w:t>
            </w:r>
            <w:r>
              <w:rPr>
                <w:rStyle w:val="IndexLink"/>
                <w:rtl w:val="true"/>
              </w:rPr>
              <w:t>التمتع بالعمرة إلى الحجّ وظيفة الآفاقي</w:t>
            </w:r>
            <w:r>
              <w:rPr>
                <w:rStyle w:val="IndexLink"/>
                <w:rtl w:val="true"/>
              </w:rPr>
              <w:tab/>
            </w:r>
            <w:r>
              <w:rPr>
                <w:rStyle w:val="IndexLink"/>
              </w:rPr>
              <w:t>29</w:t>
            </w:r>
          </w:hyperlink>
        </w:p>
        <w:p>
          <w:pPr>
            <w:pStyle w:val="Contents3"/>
            <w:tabs>
              <w:tab w:val="clear" w:pos="8459"/>
              <w:tab w:val="right" w:pos="9026" w:leader="dot"/>
            </w:tabs>
            <w:rPr/>
          </w:pPr>
          <w:hyperlink w:anchor="__RefHeading___Toc2176862_73709187">
            <w:r>
              <w:rPr>
                <w:webHidden/>
                <w:rStyle w:val="IndexLink"/>
                <w:rtl w:val="true"/>
              </w:rPr>
              <w:t>الثاني</w:t>
            </w:r>
            <w:r>
              <w:rPr>
                <w:rStyle w:val="IndexLink"/>
                <w:rtl w:val="true"/>
              </w:rPr>
              <w:t xml:space="preserve">: </w:t>
            </w:r>
            <w:r>
              <w:rPr>
                <w:rStyle w:val="IndexLink"/>
                <w:rtl w:val="true"/>
              </w:rPr>
              <w:t>متعة الحجّ سنّة أبدية</w:t>
            </w:r>
            <w:r>
              <w:rPr>
                <w:rStyle w:val="IndexLink"/>
                <w:rtl w:val="true"/>
              </w:rPr>
              <w:tab/>
            </w:r>
            <w:r>
              <w:rPr>
                <w:rStyle w:val="IndexLink"/>
              </w:rPr>
              <w:t>31</w:t>
            </w:r>
          </w:hyperlink>
        </w:p>
        <w:p>
          <w:pPr>
            <w:pStyle w:val="Contents3"/>
            <w:tabs>
              <w:tab w:val="clear" w:pos="8459"/>
              <w:tab w:val="right" w:pos="9026" w:leader="dot"/>
            </w:tabs>
            <w:rPr/>
          </w:pPr>
          <w:hyperlink w:anchor="__RefHeading___Toc2176864_73709187">
            <w:r>
              <w:rPr>
                <w:webHidden/>
                <w:rStyle w:val="IndexLink"/>
                <w:rtl w:val="true"/>
              </w:rPr>
              <w:t>الثالث</w:t>
            </w:r>
            <w:r>
              <w:rPr>
                <w:rStyle w:val="IndexLink"/>
                <w:rtl w:val="true"/>
              </w:rPr>
              <w:t xml:space="preserve">: </w:t>
            </w:r>
            <w:r>
              <w:rPr>
                <w:rStyle w:val="IndexLink"/>
                <w:rtl w:val="true"/>
              </w:rPr>
              <w:t>سيرة العرب قبل الإسلام في الحجّ</w:t>
            </w:r>
            <w:r>
              <w:rPr>
                <w:rStyle w:val="IndexLink"/>
                <w:rtl w:val="true"/>
              </w:rPr>
              <w:tab/>
            </w:r>
            <w:r>
              <w:rPr>
                <w:rStyle w:val="IndexLink"/>
              </w:rPr>
              <w:t>38</w:t>
            </w:r>
          </w:hyperlink>
        </w:p>
        <w:p>
          <w:pPr>
            <w:pStyle w:val="Contents3"/>
            <w:tabs>
              <w:tab w:val="clear" w:pos="8459"/>
              <w:tab w:val="right" w:pos="9026" w:leader="dot"/>
            </w:tabs>
            <w:rPr/>
          </w:pPr>
          <w:hyperlink w:anchor="__RefHeading___Toc2176866_73709187">
            <w:r>
              <w:rPr>
                <w:webHidden/>
                <w:rStyle w:val="IndexLink"/>
                <w:rtl w:val="true"/>
              </w:rPr>
              <w:t>الرابع</w:t>
            </w:r>
            <w:r>
              <w:rPr>
                <w:rStyle w:val="IndexLink"/>
                <w:rtl w:val="true"/>
              </w:rPr>
              <w:t xml:space="preserve">: </w:t>
            </w:r>
            <w:r>
              <w:rPr>
                <w:rStyle w:val="IndexLink"/>
                <w:rtl w:val="true"/>
              </w:rPr>
              <w:t xml:space="preserve">احتدام النزاع بين الصحابة في حياة النبي </w:t>
            </w:r>
            <w:r>
              <w:rPr>
                <w:rStyle w:val="IndexLink"/>
                <w:rtl w:val="true"/>
              </w:rPr>
              <w:t>(</w:t>
            </w:r>
            <w:r>
              <w:rPr>
                <w:rStyle w:val="IndexLink"/>
                <w:rtl w:val="true"/>
              </w:rPr>
              <w:t>صلى الله عليه و آله و سلم</w:t>
            </w:r>
            <w:r>
              <w:rPr>
                <w:rStyle w:val="IndexLink"/>
                <w:rtl w:val="true"/>
              </w:rPr>
              <w:t>)</w:t>
              <w:tab/>
            </w:r>
            <w:r>
              <w:rPr>
                <w:rStyle w:val="IndexLink"/>
              </w:rPr>
              <w:t>41</w:t>
            </w:r>
          </w:hyperlink>
        </w:p>
        <w:p>
          <w:pPr>
            <w:pStyle w:val="Contents3"/>
            <w:tabs>
              <w:tab w:val="clear" w:pos="8459"/>
              <w:tab w:val="right" w:pos="9026" w:leader="dot"/>
            </w:tabs>
            <w:rPr/>
          </w:pPr>
          <w:hyperlink w:anchor="__RefHeading___Toc2176868_73709187">
            <w:r>
              <w:rPr>
                <w:webHidden/>
                <w:rStyle w:val="IndexLink"/>
                <w:rtl w:val="true"/>
              </w:rPr>
              <w:t>الخامس</w:t>
            </w:r>
            <w:r>
              <w:rPr>
                <w:rStyle w:val="IndexLink"/>
                <w:rtl w:val="true"/>
              </w:rPr>
              <w:t xml:space="preserve">: </w:t>
            </w:r>
            <w:r>
              <w:rPr>
                <w:rStyle w:val="IndexLink"/>
                <w:rtl w:val="true"/>
              </w:rPr>
              <w:t>عودة التقاليد الجاهلية</w:t>
            </w:r>
            <w:r>
              <w:rPr>
                <w:rStyle w:val="IndexLink"/>
                <w:rtl w:val="true"/>
              </w:rPr>
              <w:tab/>
            </w:r>
            <w:r>
              <w:rPr>
                <w:rStyle w:val="IndexLink"/>
              </w:rPr>
              <w:t>45</w:t>
            </w:r>
          </w:hyperlink>
        </w:p>
        <w:p>
          <w:pPr>
            <w:pStyle w:val="Contents4"/>
            <w:tabs>
              <w:tab w:val="clear" w:pos="8176"/>
              <w:tab w:val="right" w:pos="9026" w:leader="dot"/>
            </w:tabs>
            <w:rPr/>
          </w:pPr>
          <w:hyperlink w:anchor="__RefHeading___Toc2176870_73709187">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2176872_73709187">
            <w:r>
              <w:rPr>
                <w:webHidden/>
                <w:rStyle w:val="IndexLink"/>
                <w:rtl w:val="true"/>
              </w:rPr>
              <w:t>صورة ثانية</w:t>
            </w:r>
            <w:r>
              <w:rPr>
                <w:rStyle w:val="IndexLink"/>
                <w:rtl w:val="true"/>
              </w:rPr>
              <w:tab/>
            </w:r>
            <w:r>
              <w:rPr>
                <w:rStyle w:val="IndexLink"/>
              </w:rPr>
              <w:t>50</w:t>
            </w:r>
          </w:hyperlink>
        </w:p>
        <w:p>
          <w:pPr>
            <w:pStyle w:val="Contents4"/>
            <w:tabs>
              <w:tab w:val="clear" w:pos="8176"/>
              <w:tab w:val="right" w:pos="9026" w:leader="dot"/>
            </w:tabs>
            <w:rPr/>
          </w:pPr>
          <w:hyperlink w:anchor="__RefHeading___Toc2176874_73709187">
            <w:r>
              <w:rPr>
                <w:webHidden/>
                <w:rStyle w:val="IndexLink"/>
                <w:rtl w:val="true"/>
              </w:rPr>
              <w:t>صورة ثالثة</w:t>
            </w:r>
            <w:r>
              <w:rPr>
                <w:rStyle w:val="IndexLink"/>
                <w:rtl w:val="true"/>
              </w:rPr>
              <w:tab/>
            </w:r>
            <w:r>
              <w:rPr>
                <w:rStyle w:val="IndexLink"/>
              </w:rPr>
              <w:t>51</w:t>
            </w:r>
          </w:hyperlink>
        </w:p>
        <w:p>
          <w:pPr>
            <w:pStyle w:val="Contents4"/>
            <w:tabs>
              <w:tab w:val="clear" w:pos="8176"/>
              <w:tab w:val="right" w:pos="9026" w:leader="dot"/>
            </w:tabs>
            <w:rPr/>
          </w:pPr>
          <w:hyperlink w:anchor="__RefHeading___Toc2176876_73709187">
            <w:r>
              <w:rPr>
                <w:webHidden/>
                <w:rStyle w:val="IndexLink"/>
                <w:rtl w:val="true"/>
              </w:rPr>
              <w:t>صورة رابعة</w:t>
            </w:r>
            <w:r>
              <w:rPr>
                <w:rStyle w:val="IndexLink"/>
                <w:rtl w:val="true"/>
              </w:rPr>
              <w:tab/>
            </w:r>
            <w:r>
              <w:rPr>
                <w:rStyle w:val="IndexLink"/>
              </w:rPr>
              <w:t>51</w:t>
            </w:r>
          </w:hyperlink>
        </w:p>
        <w:p>
          <w:pPr>
            <w:pStyle w:val="Contents4"/>
            <w:tabs>
              <w:tab w:val="clear" w:pos="8176"/>
              <w:tab w:val="right" w:pos="9026" w:leader="dot"/>
            </w:tabs>
            <w:rPr/>
          </w:pPr>
          <w:hyperlink w:anchor="__RefHeading___Toc2176878_73709187">
            <w:r>
              <w:rPr>
                <w:webHidden/>
                <w:rStyle w:val="IndexLink"/>
                <w:rtl w:val="true"/>
              </w:rPr>
              <w:t>حجّ التمتع على عهد عثمان</w:t>
            </w:r>
            <w:r>
              <w:rPr>
                <w:rStyle w:val="IndexLink"/>
                <w:rtl w:val="true"/>
              </w:rPr>
              <w:tab/>
            </w:r>
            <w:r>
              <w:rPr>
                <w:rStyle w:val="IndexLink"/>
              </w:rPr>
              <w:t>56</w:t>
            </w:r>
          </w:hyperlink>
        </w:p>
        <w:p>
          <w:pPr>
            <w:pStyle w:val="Contents3"/>
            <w:tabs>
              <w:tab w:val="clear" w:pos="8459"/>
              <w:tab w:val="right" w:pos="9026" w:leader="dot"/>
            </w:tabs>
            <w:rPr/>
          </w:pPr>
          <w:hyperlink w:anchor="__RefHeading___Toc2176880_73709187">
            <w:r>
              <w:rPr>
                <w:webHidden/>
                <w:rStyle w:val="IndexLink"/>
                <w:rtl w:val="true"/>
              </w:rPr>
              <w:t>السادس</w:t>
            </w:r>
            <w:r>
              <w:rPr>
                <w:rStyle w:val="IndexLink"/>
                <w:rtl w:val="true"/>
              </w:rPr>
              <w:t xml:space="preserve">: </w:t>
            </w:r>
            <w:r>
              <w:rPr>
                <w:rStyle w:val="IndexLink"/>
                <w:rtl w:val="true"/>
              </w:rPr>
              <w:t>الصحابة و تحريم متعة الحج</w:t>
            </w:r>
            <w:r>
              <w:rPr>
                <w:rStyle w:val="IndexLink"/>
                <w:rtl w:val="true"/>
              </w:rPr>
              <w:tab/>
            </w:r>
            <w:r>
              <w:rPr>
                <w:rStyle w:val="IndexLink"/>
              </w:rPr>
              <w:t>57</w:t>
            </w:r>
          </w:hyperlink>
        </w:p>
        <w:p>
          <w:pPr>
            <w:pStyle w:val="Contents4"/>
            <w:tabs>
              <w:tab w:val="clear" w:pos="8176"/>
              <w:tab w:val="right" w:pos="9026" w:leader="dot"/>
            </w:tabs>
            <w:rPr/>
          </w:pPr>
          <w:hyperlink w:anchor="__RefHeading___Toc2176882_7370918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176884_73709187">
            <w:r>
              <w:rPr>
                <w:webHidden/>
                <w:rStyle w:val="IndexLink"/>
              </w:rPr>
              <w:t>1</w:t>
            </w:r>
            <w:r>
              <w:rPr>
                <w:rStyle w:val="IndexLink"/>
                <w:rtl w:val="true"/>
              </w:rPr>
              <w:t xml:space="preserve">. </w:t>
            </w:r>
            <w:r>
              <w:rPr>
                <w:rStyle w:val="IndexLink"/>
                <w:rtl w:val="true"/>
              </w:rPr>
              <w:t xml:space="preserve">الإمام علي بن أبي طالب </w:t>
            </w:r>
            <w:r>
              <w:rPr>
                <w:rStyle w:val="IndexLink"/>
                <w:rtl w:val="true"/>
              </w:rPr>
              <w:t>(</w:t>
            </w:r>
            <w:r>
              <w:rPr>
                <w:rStyle w:val="IndexLink"/>
                <w:rtl w:val="true"/>
              </w:rPr>
              <w:t>عليه السلام</w:t>
            </w:r>
            <w:r>
              <w:rPr>
                <w:rStyle w:val="IndexLink"/>
                <w:rtl w:val="true"/>
              </w:rPr>
              <w:t>)</w:t>
              <w:tab/>
            </w:r>
            <w:r>
              <w:rPr>
                <w:rStyle w:val="IndexLink"/>
              </w:rPr>
              <w:t>57</w:t>
            </w:r>
          </w:hyperlink>
        </w:p>
        <w:p>
          <w:pPr>
            <w:pStyle w:val="Contents4"/>
            <w:tabs>
              <w:tab w:val="clear" w:pos="8176"/>
              <w:tab w:val="right" w:pos="9026" w:leader="dot"/>
            </w:tabs>
            <w:rPr/>
          </w:pPr>
          <w:hyperlink w:anchor="__RefHeading___Toc2176886_73709187">
            <w:r>
              <w:rPr>
                <w:webHidden/>
                <w:rStyle w:val="IndexLink"/>
              </w:rPr>
              <w:t>2</w:t>
            </w:r>
            <w:r>
              <w:rPr>
                <w:rStyle w:val="IndexLink"/>
                <w:rtl w:val="true"/>
              </w:rPr>
              <w:t xml:space="preserve">. </w:t>
            </w:r>
            <w:r>
              <w:rPr>
                <w:rStyle w:val="IndexLink"/>
                <w:rtl w:val="true"/>
              </w:rPr>
              <w:t>عبد اللّه بن عمر</w:t>
            </w:r>
            <w:r>
              <w:rPr>
                <w:rStyle w:val="IndexLink"/>
                <w:rtl w:val="true"/>
              </w:rPr>
              <w:tab/>
            </w:r>
            <w:r>
              <w:rPr>
                <w:rStyle w:val="IndexLink"/>
              </w:rPr>
              <w:t>60</w:t>
            </w:r>
          </w:hyperlink>
        </w:p>
        <w:p>
          <w:pPr>
            <w:pStyle w:val="Contents5"/>
            <w:tabs>
              <w:tab w:val="clear" w:pos="7892"/>
              <w:tab w:val="right" w:pos="9026" w:leader="dot"/>
            </w:tabs>
            <w:rPr/>
          </w:pPr>
          <w:hyperlink w:anchor="__RefHeading___Toc2176888_7370918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2176890_73709187">
            <w:r>
              <w:rPr>
                <w:webHidden/>
                <w:rStyle w:val="IndexLink"/>
                <w:rtl w:val="true"/>
              </w:rPr>
              <w:t>صورة ثانية</w:t>
            </w:r>
            <w:r>
              <w:rPr>
                <w:rStyle w:val="IndexLink"/>
                <w:rtl w:val="true"/>
              </w:rPr>
              <w:tab/>
            </w:r>
            <w:r>
              <w:rPr>
                <w:rStyle w:val="IndexLink"/>
              </w:rPr>
              <w:t>61</w:t>
            </w:r>
          </w:hyperlink>
        </w:p>
        <w:p>
          <w:pPr>
            <w:pStyle w:val="Contents5"/>
            <w:tabs>
              <w:tab w:val="clear" w:pos="7892"/>
              <w:tab w:val="right" w:pos="9026" w:leader="dot"/>
            </w:tabs>
            <w:rPr/>
          </w:pPr>
          <w:hyperlink w:anchor="__RefHeading___Toc2176892_73709187">
            <w:r>
              <w:rPr>
                <w:webHidden/>
                <w:rStyle w:val="IndexLink"/>
                <w:rtl w:val="true"/>
              </w:rPr>
              <w:t>صورة ثالثة</w:t>
            </w:r>
            <w:r>
              <w:rPr>
                <w:rStyle w:val="IndexLink"/>
                <w:rtl w:val="true"/>
              </w:rPr>
              <w:tab/>
            </w:r>
            <w:r>
              <w:rPr>
                <w:rStyle w:val="IndexLink"/>
              </w:rPr>
              <w:t>62</w:t>
            </w:r>
          </w:hyperlink>
        </w:p>
        <w:p>
          <w:pPr>
            <w:pStyle w:val="Contents4"/>
            <w:tabs>
              <w:tab w:val="clear" w:pos="8176"/>
              <w:tab w:val="right" w:pos="9026" w:leader="dot"/>
            </w:tabs>
            <w:rPr/>
          </w:pPr>
          <w:hyperlink w:anchor="__RefHeading___Toc2176894_73709187">
            <w:r>
              <w:rPr>
                <w:webHidden/>
                <w:rStyle w:val="IndexLink"/>
              </w:rPr>
              <w:t>3</w:t>
            </w:r>
            <w:r>
              <w:rPr>
                <w:rStyle w:val="IndexLink"/>
                <w:rtl w:val="true"/>
              </w:rPr>
              <w:t xml:space="preserve">. </w:t>
            </w:r>
            <w:r>
              <w:rPr>
                <w:rStyle w:val="IndexLink"/>
                <w:rtl w:val="true"/>
              </w:rPr>
              <w:t>استنكار ابن عباس</w:t>
            </w:r>
            <w:r>
              <w:rPr>
                <w:rStyle w:val="IndexLink"/>
                <w:rtl w:val="true"/>
              </w:rPr>
              <w:tab/>
            </w:r>
            <w:r>
              <w:rPr>
                <w:rStyle w:val="IndexLink"/>
              </w:rPr>
              <w:t>63</w:t>
            </w:r>
          </w:hyperlink>
        </w:p>
        <w:p>
          <w:pPr>
            <w:pStyle w:val="Contents4"/>
            <w:tabs>
              <w:tab w:val="clear" w:pos="8176"/>
              <w:tab w:val="right" w:pos="9026" w:leader="dot"/>
            </w:tabs>
            <w:rPr/>
          </w:pPr>
          <w:hyperlink w:anchor="__RefHeading___Toc2176896_73709187">
            <w:r>
              <w:rPr>
                <w:webHidden/>
                <w:rStyle w:val="IndexLink"/>
              </w:rPr>
              <w:t>4</w:t>
            </w:r>
            <w:r>
              <w:rPr>
                <w:rStyle w:val="IndexLink"/>
                <w:rtl w:val="true"/>
              </w:rPr>
              <w:t xml:space="preserve">. </w:t>
            </w:r>
            <w:r>
              <w:rPr>
                <w:rStyle w:val="IndexLink"/>
                <w:rtl w:val="true"/>
              </w:rPr>
              <w:t>استنكار أُبي بن كعب</w:t>
            </w:r>
            <w:r>
              <w:rPr>
                <w:rStyle w:val="IndexLink"/>
                <w:rtl w:val="true"/>
              </w:rPr>
              <w:tab/>
            </w:r>
            <w:r>
              <w:rPr>
                <w:rStyle w:val="IndexLink"/>
              </w:rPr>
              <w:t>63</w:t>
            </w:r>
          </w:hyperlink>
        </w:p>
        <w:p>
          <w:pPr>
            <w:pStyle w:val="Contents4"/>
            <w:tabs>
              <w:tab w:val="clear" w:pos="8176"/>
              <w:tab w:val="right" w:pos="9026" w:leader="dot"/>
            </w:tabs>
            <w:rPr/>
          </w:pPr>
          <w:hyperlink w:anchor="__RefHeading___Toc2176898_73709187">
            <w:r>
              <w:rPr>
                <w:webHidden/>
                <w:rStyle w:val="IndexLink"/>
              </w:rPr>
              <w:t>5</w:t>
            </w:r>
            <w:r>
              <w:rPr>
                <w:rStyle w:val="IndexLink"/>
                <w:rtl w:val="true"/>
              </w:rPr>
              <w:t xml:space="preserve">. </w:t>
            </w:r>
            <w:r>
              <w:rPr>
                <w:rStyle w:val="IndexLink"/>
                <w:rtl w:val="true"/>
              </w:rPr>
              <w:t>استنكار سعد بن أبي وقاص</w:t>
            </w:r>
            <w:r>
              <w:rPr>
                <w:rStyle w:val="IndexLink"/>
                <w:rtl w:val="true"/>
              </w:rPr>
              <w:tab/>
            </w:r>
            <w:r>
              <w:rPr>
                <w:rStyle w:val="IndexLink"/>
              </w:rPr>
              <w:t>64</w:t>
            </w:r>
          </w:hyperlink>
        </w:p>
        <w:p>
          <w:pPr>
            <w:pStyle w:val="Contents4"/>
            <w:tabs>
              <w:tab w:val="clear" w:pos="8176"/>
              <w:tab w:val="right" w:pos="9026" w:leader="dot"/>
            </w:tabs>
            <w:rPr/>
          </w:pPr>
          <w:hyperlink w:anchor="__RefHeading___Toc2176900_73709187">
            <w:r>
              <w:rPr>
                <w:webHidden/>
                <w:rStyle w:val="IndexLink"/>
              </w:rPr>
              <w:t>6</w:t>
            </w:r>
            <w:r>
              <w:rPr>
                <w:rStyle w:val="IndexLink"/>
                <w:rtl w:val="true"/>
              </w:rPr>
              <w:t xml:space="preserve">. </w:t>
            </w:r>
            <w:r>
              <w:rPr>
                <w:rStyle w:val="IndexLink"/>
                <w:rtl w:val="true"/>
              </w:rPr>
              <w:t>عمران بن حصين</w:t>
            </w:r>
            <w:r>
              <w:rPr>
                <w:rStyle w:val="IndexLink"/>
                <w:rtl w:val="true"/>
              </w:rPr>
              <w:tab/>
            </w:r>
            <w:r>
              <w:rPr>
                <w:rStyle w:val="IndexLink"/>
              </w:rPr>
              <w:t>65</w:t>
            </w:r>
          </w:hyperlink>
        </w:p>
        <w:p>
          <w:pPr>
            <w:pStyle w:val="Contents4"/>
            <w:tabs>
              <w:tab w:val="clear" w:pos="8176"/>
              <w:tab w:val="right" w:pos="9026" w:leader="dot"/>
            </w:tabs>
            <w:rPr/>
          </w:pPr>
          <w:hyperlink w:anchor="__RefHeading___Toc2176902_73709187">
            <w:r>
              <w:rPr>
                <w:webHidden/>
                <w:rStyle w:val="IndexLink"/>
                <w:rtl w:val="true"/>
              </w:rPr>
              <w:t>التمتّع بالعمرة إلى الحج و شروطه</w:t>
            </w:r>
            <w:r>
              <w:rPr>
                <w:rStyle w:val="IndexLink"/>
                <w:rtl w:val="true"/>
              </w:rPr>
              <w:tab/>
            </w:r>
            <w:r>
              <w:rPr>
                <w:rStyle w:val="IndexLink"/>
              </w:rPr>
              <w:t>66</w:t>
            </w:r>
          </w:hyperlink>
        </w:p>
        <w:p>
          <w:pPr>
            <w:pStyle w:val="Contents3"/>
            <w:tabs>
              <w:tab w:val="clear" w:pos="8459"/>
              <w:tab w:val="right" w:pos="9026" w:leader="dot"/>
            </w:tabs>
            <w:rPr/>
          </w:pPr>
          <w:hyperlink w:anchor="__RefHeading___Toc2176904_73709187">
            <w:r>
              <w:rPr>
                <w:webHidden/>
                <w:rStyle w:val="IndexLink"/>
                <w:rtl w:val="true"/>
              </w:rPr>
              <w:t>السابع</w:t>
            </w:r>
            <w:r>
              <w:rPr>
                <w:rStyle w:val="IndexLink"/>
                <w:rtl w:val="true"/>
              </w:rPr>
              <w:t xml:space="preserve">: </w:t>
            </w:r>
            <w:r>
              <w:rPr>
                <w:rStyle w:val="IndexLink"/>
                <w:rtl w:val="true"/>
              </w:rPr>
              <w:t>التبريرات المختلقة للحظر المفروض</w:t>
            </w:r>
            <w:r>
              <w:rPr>
                <w:rStyle w:val="IndexLink"/>
                <w:rtl w:val="true"/>
              </w:rPr>
              <w:tab/>
            </w:r>
            <w:r>
              <w:rPr>
                <w:rStyle w:val="IndexLink"/>
              </w:rPr>
              <w:t>69</w:t>
            </w:r>
          </w:hyperlink>
        </w:p>
        <w:p>
          <w:pPr>
            <w:pStyle w:val="Contents4"/>
            <w:tabs>
              <w:tab w:val="clear" w:pos="8176"/>
              <w:tab w:val="right" w:pos="9026" w:leader="dot"/>
            </w:tabs>
            <w:rPr/>
          </w:pPr>
          <w:hyperlink w:anchor="__RefHeading___Toc2176906_7370918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2176908_73709187">
            <w:r>
              <w:rPr>
                <w:webHidden/>
                <w:rStyle w:val="IndexLink"/>
              </w:rPr>
              <w:t>1</w:t>
            </w:r>
            <w:r>
              <w:rPr>
                <w:rStyle w:val="IndexLink"/>
                <w:rtl w:val="true"/>
              </w:rPr>
              <w:t xml:space="preserve">. </w:t>
            </w:r>
            <w:r>
              <w:rPr>
                <w:rStyle w:val="IndexLink"/>
                <w:rtl w:val="true"/>
              </w:rPr>
              <w:t>فسخ الحجّ إلى العمرة</w:t>
            </w:r>
            <w:r>
              <w:rPr>
                <w:rStyle w:val="IndexLink"/>
                <w:rtl w:val="true"/>
              </w:rPr>
              <w:tab/>
            </w:r>
            <w:r>
              <w:rPr>
                <w:rStyle w:val="IndexLink"/>
              </w:rPr>
              <w:t>69</w:t>
            </w:r>
          </w:hyperlink>
        </w:p>
        <w:p>
          <w:pPr>
            <w:pStyle w:val="Contents4"/>
            <w:tabs>
              <w:tab w:val="clear" w:pos="8176"/>
              <w:tab w:val="right" w:pos="9026" w:leader="dot"/>
            </w:tabs>
            <w:rPr/>
          </w:pPr>
          <w:hyperlink w:anchor="__RefHeading___Toc2176910_73709187">
            <w:r>
              <w:rPr>
                <w:webHidden/>
                <w:rStyle w:val="IndexLink"/>
              </w:rPr>
              <w:t>2</w:t>
            </w:r>
            <w:r>
              <w:rPr>
                <w:rStyle w:val="IndexLink"/>
                <w:rtl w:val="true"/>
              </w:rPr>
              <w:t xml:space="preserve">. </w:t>
            </w:r>
            <w:r>
              <w:rPr>
                <w:rStyle w:val="IndexLink"/>
                <w:rtl w:val="true"/>
              </w:rPr>
              <w:t>اختصاص التمتّع بالصحابة</w:t>
            </w:r>
            <w:r>
              <w:rPr>
                <w:rStyle w:val="IndexLink"/>
                <w:rtl w:val="true"/>
              </w:rPr>
              <w:tab/>
            </w:r>
            <w:r>
              <w:rPr>
                <w:rStyle w:val="IndexLink"/>
              </w:rPr>
              <w:t>71</w:t>
            </w:r>
          </w:hyperlink>
        </w:p>
        <w:p>
          <w:pPr>
            <w:pStyle w:val="Contents2"/>
            <w:tabs>
              <w:tab w:val="clear" w:pos="8743"/>
              <w:tab w:val="right" w:pos="9026" w:leader="dot"/>
            </w:tabs>
            <w:rPr/>
          </w:pPr>
          <w:hyperlink w:anchor="__RefHeading___Toc2176912_73709187">
            <w:r>
              <w:rPr>
                <w:webHidden/>
                <w:rStyle w:val="IndexLink"/>
                <w:rtl w:val="true"/>
              </w:rPr>
              <w:t>خاتمة المطاف</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60_162923"/>
      <w:bookmarkStart w:id="1" w:name="pg11460_162923"/>
      <w:bookmarkEnd w:id="1"/>
    </w:p>
    <w:p>
      <w:pPr>
        <w:pStyle w:val="Heading2"/>
        <w:numPr>
          <w:ilvl w:val="1"/>
          <w:numId w:val="1"/>
        </w:numPr>
        <w:rPr/>
      </w:pPr>
      <w:bookmarkStart w:id="2" w:name="pg11460_162923"/>
      <w:bookmarkStart w:id="3" w:name="__RefHeading___Toc217683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6834_73709187"/>
      <w:bookmarkStart w:id="6" w:name="_Toc2"/>
      <w:bookmarkEnd w:id="5"/>
      <w:r>
        <w:rPr>
          <w:rtl w:val="true"/>
        </w:rPr>
        <w:t>متعة الحجّ على ضوء الكتاب و السنّة</w:t>
      </w:r>
      <w:bookmarkStart w:id="7" w:name="pg11460_162925"/>
      <w:bookmarkEnd w:id="6"/>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على ضوء الكتاب و السنّة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2176836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460_162927"/>
    </w:p>
    <w:p>
      <w:pPr>
        <w:pStyle w:val="Heading2"/>
        <w:numPr>
          <w:ilvl w:val="1"/>
          <w:numId w:val="1"/>
        </w:numPr>
        <w:rPr/>
      </w:pPr>
      <w:bookmarkStart w:id="11" w:name="__RefHeading___Toc2176838_73709187"/>
      <w:bookmarkStart w:id="12" w:name="_Toc4"/>
      <w:bookmarkEnd w:id="10"/>
      <w:bookmarkEnd w:id="11"/>
      <w:r>
        <w:rPr>
          <w:rtl w:val="true"/>
        </w:rPr>
        <w:t>متعة الحجّ</w:t>
      </w:r>
      <w:bookmarkEnd w:id="12"/>
    </w:p>
    <w:p>
      <w:pPr>
        <w:pStyle w:val="BookText"/>
        <w:rPr/>
      </w:pPr>
      <w:r>
        <w:rPr>
          <w:rFonts w:ascii="Amiri" w:hAnsi="Amiri" w:eastAsia="Amiri" w:cs="Amiri"/>
          <w:color w:val="111111"/>
          <w:sz w:val="28"/>
          <w:sz w:val="28"/>
          <w:szCs w:val="28"/>
          <w:rtl w:val="true"/>
          <w:lang w:bidi="ar-SA"/>
        </w:rPr>
        <w:t>التمتّع بمعنى التلذّذ،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 استمتع بكذا و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 و تلذّذ به زماناً طويلاً، و المتعة في مصطلح الفقهاء يستعمل في موارد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متعة الحجّ الواردة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تَمَتَّعَ بِالْعُمْرَةِ إِلَى الْحَجِّ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 سيوافيك توضيحها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متعة الطلاق، و هي ما تصل إلى المرأة بعد الطلاق من قميص و إزار و ملحفة، و إليه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 مَتِّعُوهُنَّ عَلَى الْمُوسِعِ قَدَرُهُ وَ عَلَى الْمُقْتِرِ قَدَرُهُ مَتاعاً بِالْمَعْرُوفِ حَقًّا عَلَى الْمُحْسِنِينَ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هل هذه المتعة لخصوص من لم يسمّ لها صداق؟ أو لكلّ مطلقة سوى المختلعة و المباراة و الملاعنة؟ أو لكلّ مطلقة سوى المفروض لها إذا طلقت قبل الدخول فانّ لها نصف الصداق و لا متعة لها خلاف</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متعة النساء و يسمّى بالزواج المؤقت، و هي عبارة عن تزويج المرأة الحرّة الكاملة نفسها إذا لم يكن بينها و بين الزوج مانع من نسب أو سبب أو رضاع أو إحصان أو عدّة أو غير ذلك من الموانع الشرعية بمهر مسمّى إلى أجل مسمّى بالرضا و الاتّفاق، فإذا انتهى الأجل تبين منه من غير طلاق، و يجب عليها مع الدخول بها إذا لم تكن يائسة أن تعتد عدّة الطلاق إذا كانت ممّن تحيض، و إلاّ فبخمسة و أربعين يوماً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إِلاّ ما مَلَكَتْ أَيْمانُكُمْ كِتابَ اللّهِ عَلَيْكُمْ وَ أُحِلَّ لَكُمْ ما وَراءَ ذلِكُمْ أَنْ تَبْتَغُوا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بِأَمْوالِكُمْ مُحْصِنِينَ غَيْرَ مُسافِحِينَ فَمَا اسْتَمْتَعْتُمْ بِهِ مِنْهُنَّ فَآتُوهُنَّ أُجُورَهُنَّ فَرِيضَةً وَ لا جُناحَ عَلَيْكُمْ فِيما تَراضَيْتُمْ بِهِ مِنْ بَعْدِ الْفَرِيضَةِ إِنَّ اللّهَ كانَ عَلِيماً حَكِيماً </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المتعة بالمعنى الأوّل و الثاني مورد اتّفاق بين الفقهاء، و اختلفوا في المتعة بالمعنى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الإمامية على حلّيّتها و عدم منسوخيتها، و أكثر الجمهور على التحريم، و التفصيل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3" w:name="pg11460_162930"/>
    </w:p>
    <w:p>
      <w:pPr>
        <w:pStyle w:val="Heading2"/>
        <w:numPr>
          <w:ilvl w:val="1"/>
          <w:numId w:val="1"/>
        </w:numPr>
        <w:rPr/>
      </w:pPr>
      <w:bookmarkStart w:id="14" w:name="__RefHeading___Toc2176840_73709187"/>
      <w:bookmarkStart w:id="15" w:name="_Toc5"/>
      <w:bookmarkEnd w:id="13"/>
      <w:bookmarkEnd w:id="14"/>
      <w:r>
        <w:rPr>
          <w:rtl w:val="true"/>
        </w:rPr>
        <w:t>أقسام الحج الثلاثة</w:t>
      </w:r>
      <w:bookmarkEnd w:id="15"/>
    </w:p>
    <w:p>
      <w:pPr>
        <w:pStyle w:val="BookText"/>
        <w:rPr/>
      </w:pPr>
      <w:r>
        <w:rPr>
          <w:rFonts w:ascii="Amiri" w:hAnsi="Amiri" w:eastAsia="Amiri" w:cs="Amiri"/>
          <w:color w:val="111111"/>
          <w:sz w:val="28"/>
          <w:sz w:val="28"/>
          <w:szCs w:val="28"/>
          <w:rtl w:val="true"/>
          <w:lang w:bidi="ar-SA"/>
        </w:rPr>
        <w:t>ينقسم الحجّ 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 قران، و 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فلنبيّن هذه الأقسام على ضوء المذهب الإمامي ثمّ نردفه بتوضيحها وفقاً لمذهب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التمتع في الفقه الإمامي فهو عبارة عن إحرام المكلّف من الميقات بالعمرة المتمتع بها إلى الحجّ، ثمّ يدخل مكة فيطوف سبعة أشواط بالبيت، و يصلّي ركعتي الطواف بالمقام، و يسعى بين الصفا و المروة سبعة أشواط، ثمّ يقصّر، فإذا فعل ذلك فقد أحلّ من كلّ شيء أحرم منه، فله التمتّع بأي شيء شاء من الأُمور المحلّلة بالذات إلى أن ينشئ إحراماً آخر للحجّ</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ينشئ إحراماً آخر للحج من مكة يوم التروية و إلاّ فيما يعلم معه إدراك الوقوف، ثمّ يمضي إلى عرفات</w:t>
      </w:r>
    </w:p>
    <w:p>
      <w:pPr>
        <w:pStyle w:val="BookText"/>
        <w:rPr/>
      </w:pPr>
      <w:r>
        <w:rPr>
          <w:rFonts w:ascii="Amiri" w:hAnsi="Amiri" w:eastAsia="Amiri" w:cs="Amiri"/>
          <w:color w:val="111111"/>
          <w:sz w:val="28"/>
          <w:sz w:val="28"/>
          <w:szCs w:val="28"/>
          <w:rtl w:val="true"/>
          <w:lang w:bidi="ar-SA"/>
        </w:rPr>
        <w:t>فيقف بها إلى الغروب، ثمّ يفيض إلى المشعر الحرام فيقف به بعد طلوع الفجر، ثمّ يفيض إلى منى و يرمي جمرة العقبة، ثمّ يذبح هديه، ثمّ يحلق رأسه، ثمّ يأتي مكة ليومه أو من غده، فيطوف للحج و يصلّي ركعتين، ثمّ يسعى سعي الحجّ، ثمّ يطوف طواف النساء و يصلّي ركعتيه، ثمّ يعود إلى منى ليرمي ما تخلّف عليه من الجمار الثلاث، يوم الحادي عشر، و الثاني عشر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أمّا الإفراد فهو أن يحرم من الميقات أو من حيث يصحّ له الإحرام منه بالحجّ، ثمّ يمضي إلى عرفات فيقف بها، ثمّ يقف بالمشعر الحرام، ثمّ يأتي منى فيقضي مناسكه بها، ثمّ يأتي إلى مكة يطوف بالبيت للحج و يصلّي ركعتين و يسعى للحجّ و يطوف طواف النساء و يصلي ركعتين، فيخرج من الإحرام فيحل له كلّ المحرمات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بعمرة مفردة من أدنى الحلّ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القِران فهو نفس حجّ الإفراد إلاّ أنّه يضيف إلى إحرامه سياقَ الهدي، و إنّما يسمّى بالقِران لسوقه الهدي فيقرن حجّه بسوقه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فالقران و الإفراد شيء لا يفترقان إلاّ في حال واحدة، و هي انّ القارن يسوق الهدي عند إحرامه، و أمّا من حجّ حجّة الإفراد فليس عليه هدي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التمتع فرض من نأى عن المسجد الحرام و ليس من حاضريه، و لا يجزئه غيره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القران و الإفراد فهو فرض أهل مكة و حاضريها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حاضري المسجد الحرام الذين لا متعة عليهم من كان بين منزله و مكة دون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كلّ جانب، و يعادل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نأى عن مكة أكثر من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لا يجوز له إلاّ التمتع</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القران و الإفراد فهما فرض أهل مكة و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بينه و بينها دون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أو دون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لا يجوز لهما غير هذين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وظيفته التمتع لا يجوز أن يعدل إلى غيره، إلاّ لضيق وقت أو حيض، فيجوز العدول حينئذ إلى الإفراد على أن يأتي بالعمرة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الضيق هو انّه إذا اعتمر لا يتمكّن من الوقوف بعرفة عند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لمن فرضه القران أو الإفراد كأهل مكة و ضواحيها أن يعدل إلى التمتع إلاّ مع الاضطرار، كخوف الحيض المتوقّع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صور أقسام الحجّ الثلاثة، و يتلخص الكلّ في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حجّ التمتع للنائي عن مكة و حجّ الإفراد و القران لغير النائي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للمتمتع أن يعدل إلى غيره إلاّ عند الضرورة، و هكذا للمفرد و القارن إلاّ عند 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حجّ الإفراد و القران شيء واحد يفترقان في</w:t>
      </w:r>
    </w:p>
    <w:p>
      <w:pPr>
        <w:pStyle w:val="BookText"/>
        <w:rPr/>
      </w:pPr>
      <w:r>
        <w:rPr>
          <w:rFonts w:ascii="Amiri" w:hAnsi="Amiri" w:eastAsia="Amiri" w:cs="Amiri"/>
          <w:color w:val="111111"/>
          <w:sz w:val="28"/>
          <w:sz w:val="28"/>
          <w:szCs w:val="28"/>
          <w:rtl w:val="true"/>
          <w:lang w:bidi="ar-SA"/>
        </w:rPr>
        <w:t>سوق الهدي 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التداخل بين إحرامين، فلا يجوز لمن أحرم أن ينشئ إحراماً آخر حتّى يكمل أفعال ما أحرم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يشترط في حجّ التمتع وقوعه في أشهر الحجّ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و أن يأتي بالحجّ و العمرة في سنة واحدة، و لو أحرم بالعمرة المتمتع بها في غير أشهر الحجّ لم يجز له التمتع بها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إلى هنا تمّ بيان صور الأقسام الثلاثة على مذهب الإمامية، و إليك بيان أقسام الحجّ وفق مذهب أهل السنّة،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الحجّ و العمرة جاز له في الإحرام بهما ثلاث كيفيات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الإفراد، و هو أن يحرم بالحجّ وحده، فإذا فرغة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أعماله أحرم بالعمرة و طاف و سعى لها و يأتي بأعمال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و هو الجمع بين الحج و العمرة في إحرام واحد حقيقة أو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سيوافيك تفصيلهما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و هو أن يعتمر أوّلاً ثمّ يحجّ من 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الأقسام الثلاثة عند مذهب أهل السنّة، و في تفاصيلها اختلاف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يهمنا أمران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القِران، فالقِران عند أهل السنّة هو الجمع بين الحجّ و العمرة في إحرام واحد، و صفة القران عندهم أن يُهل بالعمرة و الحج معاً من الميقات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الحجّ و العمرة فيسِّرهما لي و تقبّلهما مني، فهي عندهم كحجّ التمتع إلاّ أنّه يهلّ بالعمرة و الحجّ بنيّة واحدة و لا يتحلّل بين العمرة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الإحرام يقع بالنسك من 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تمتع، و إفراد، و قران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فالتمتع أن يُهلَّ بعمرة مفردة من الميقات في أشهر الحجّ، فإذا فرغ منها أحرم بالحجّ من 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الإفراد أن يهل بالحجّ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القران أن يجمع بينهما في الإحرام بهما أو يحرم بالعمرة ثمّ يدخل عليها الحجّ قبل الطواف، فأي ذلك أحرم به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الأفضل، فاختارت الحنابلة انّ الأفضل هو التمتع ثمّ الافراد ثمّ القران، و ممّن روي عنه اختيار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 ابن عباس و ابن الزبير و عائشة و حسن و عطاء و طاووس و مجاهد و جابر بن زيد و القاسم و سالم و عكرمة و هو أحد قولي الشافعي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المروزي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ساق الهدي فالقران أفضل، و إن لم يسقه فالتمتع أفضل،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p>
    <w:p>
      <w:pPr>
        <w:pStyle w:val="BookText"/>
        <w:rPr/>
      </w:pPr>
      <w:r>
        <w:rPr>
          <w:rFonts w:ascii="Amiri" w:hAnsi="Amiri" w:eastAsia="Amiri" w:cs="Amiri"/>
          <w:color w:val="111111"/>
          <w:sz w:val="28"/>
          <w:sz w:val="28"/>
          <w:szCs w:val="28"/>
          <w:rtl w:val="true"/>
          <w:lang w:bidi="ar-SA"/>
        </w:rPr>
        <w:t>حين ساق الهدي و منع كلّ من ساق الهدي من الحل حتّى ينحر هديه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هذا إجمال ما عليه المذاهب الأربعة، و لعلّ الاختلاف بين المذهب الإمامي و سائر المذاهب في ماهية النسك الثلاثة، قليل، و لو كان هناك اختلاف فإنّما هو في موضعين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القران، فحجّ القران عند الإمامية هو نفس حجّ الافراد، غير انّ المفرد لا يسوق الهدي و القارن يسوق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سوق الهدي شأن غير النائي عن مكة بالمقدار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انّهم بتفسير القران بالجمع بين العمرة و الحج، جوّزوا ذلك بالصورتين التاليتين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يهلّ بالعمرة و الحجّ معاً من الميقات بنيّة الأمرين معاً، و هو الجمع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يهلّ بالعمرة فقط ثمّ بالحجّ قبل أن يطوف للعمرة أكثر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القران فهو أن يهلّ بالنسكين معاً أو يهلّ بالعمرة في أشهر الحجّ ثمّ يردف ذلك بالحجّ قبل أن يحل من العمرة و القارن يلزمه الهدي إن كان آفاقيّاً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و يصحّ العكس عند أكثر الفقهاء بأن يحرم بالحجّ ثمّ يدخل العمرة عليه، لكنّه مكروه عند الحنفية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أمّا الشيعة الإمامية فلا تجوّز القران بين الحجّ و العمرة بنيّة واحدة، و لا إدخال أحدهما على الآخر، و لا بنيّة حجّتين و لا عمرتين في سنة واحدة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فتحقيق المقام رهن البحث في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6" w:name="pg11460_162939"/>
    </w:p>
    <w:p>
      <w:pPr>
        <w:pStyle w:val="Heading2"/>
        <w:numPr>
          <w:ilvl w:val="1"/>
          <w:numId w:val="1"/>
        </w:numPr>
        <w:rPr/>
      </w:pPr>
      <w:bookmarkStart w:id="17" w:name="__RefHeading___Toc2176842_73709187"/>
      <w:bookmarkStart w:id="18" w:name="_Toc6"/>
      <w:bookmarkEnd w:id="16"/>
      <w:bookmarkEnd w:id="17"/>
      <w:r>
        <w:rPr>
          <w:rtl w:val="true"/>
        </w:rPr>
        <w:t>البحث في أُمور</w:t>
      </w:r>
      <w:bookmarkEnd w:id="18"/>
    </w:p>
    <w:p>
      <w:pPr>
        <w:pStyle w:val="Heading3"/>
        <w:numPr>
          <w:ilvl w:val="2"/>
          <w:numId w:val="1"/>
        </w:numPr>
        <w:rPr/>
      </w:pPr>
      <w:bookmarkStart w:id="19" w:name="__RefHeading___Toc2176844_73709187"/>
      <w:bookmarkStart w:id="20" w:name="_Toc7"/>
      <w:bookmarkEnd w:id="19"/>
      <w:r>
        <w:rPr>
          <w:rtl w:val="true"/>
        </w:rPr>
        <w:t>الأوّل</w:t>
      </w:r>
      <w:r>
        <w:rPr>
          <w:rtl w:val="true"/>
        </w:rPr>
        <w:t xml:space="preserve">: </w:t>
      </w:r>
      <w:r>
        <w:rPr>
          <w:rtl w:val="true"/>
        </w:rPr>
        <w:t>في بيان الأحكام الواردة في الآية</w:t>
      </w:r>
      <w:bookmarkEnd w:id="20"/>
    </w:p>
    <w:p>
      <w:pPr>
        <w:pStyle w:val="Heading4"/>
        <w:numPr>
          <w:ilvl w:val="3"/>
          <w:numId w:val="1"/>
        </w:numPr>
        <w:rPr/>
      </w:pPr>
      <w:bookmarkStart w:id="21" w:name="__RefHeading___Toc2176846_73709187"/>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 </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المباركة تتضمن أحكاماً نشرحها حسب مقاطع الجمل</w:t>
      </w:r>
      <w:r>
        <w:rPr>
          <w:rFonts w:eastAsia="Amiri" w:cs="Amiri" w:ascii="Amiri" w:hAnsi="Amiri"/>
          <w:color w:val="111111"/>
          <w:sz w:val="28"/>
          <w:szCs w:val="28"/>
          <w:rtl w:val="true"/>
          <w:lang w:bidi="ar-SA"/>
        </w:rPr>
        <w:t>.</w:t>
      </w:r>
      <w:bookmarkStart w:id="23" w:name="pg11460_162940"/>
    </w:p>
    <w:p>
      <w:pPr>
        <w:pStyle w:val="Heading4"/>
        <w:numPr>
          <w:ilvl w:val="3"/>
          <w:numId w:val="1"/>
        </w:numPr>
        <w:rPr/>
      </w:pPr>
      <w:bookmarkStart w:id="24" w:name="__RefHeading___Toc2176848_73709187"/>
      <w:bookmarkStart w:id="25" w:name="_Toc9"/>
      <w:bookmarkEnd w:id="23"/>
      <w:bookmarkEnd w:id="24"/>
      <w:r>
        <w:rPr/>
        <w:t>1</w:t>
      </w:r>
      <w:r>
        <w:rPr>
          <w:rtl w:val="true"/>
        </w:rPr>
        <w:t xml:space="preserve">. </w:t>
      </w:r>
      <w:r>
        <w:rPr>
          <w:rtl w:val="true"/>
        </w:rPr>
        <w:t>إتمام الحج و العمرة للّه</w:t>
      </w:r>
      <w:bookmarkEnd w:id="25"/>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المراد من الإتمام؟ إنّه سبحانه يأمر بإتمام الحجّ و العمرة، و المراد من الإتمام في المقام و غيره هو إنجاز العمل كاملاً لا ناقصاً، كما أنّ المراد من كون الإتمام للّه، كون العمل بعيداً عن الرياء و السمعة، و الذي يعرب عن كون المراد من الإتمام هو الإكمال، أمران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الإتمام في القرآن الكريم و أُريد به الإكمال،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ابْتَلى إِبْراهِيمَ رَبُّهُ بِكَلِماتٍ فَأَتَمَّهُنَّ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يَأْبَى اللّهُ إِلاّ أَنْ يُتِمَّ نُورَهُ وَ لَوْ كَرِهَ الْكافِرُونَ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يُتِمُّ نِعْمَتَهُ عَلَيْكَ</w:t>
      </w:r>
    </w:p>
    <w:p>
      <w:pPr>
        <w:pStyle w:val="BookText"/>
        <w:rPr/>
      </w:pPr>
      <w:r>
        <w:rPr>
          <w:rFonts w:ascii="Amiri" w:hAnsi="Amiri" w:eastAsia="Amiri" w:cs="Amiri"/>
          <w:color w:val="111111"/>
          <w:sz w:val="28"/>
          <w:sz w:val="28"/>
          <w:szCs w:val="28"/>
          <w:rtl w:val="true"/>
          <w:lang w:bidi="ar-SA"/>
        </w:rPr>
        <w:t xml:space="preserve">وَ عَلى آلِ يَعْقُوبَ كَما أَتَمَّها عَلى أَبَوَيْكَ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أُحْصِرْتُمْ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منعكم حابس قاصر عن إتمام الحجّ فعليكم بما استيسر من الهدي، فالجملة قرينة على أنّ المراد من الإتمام،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جرى المفسرون في تفسير الجملة الآنفة الذكر،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يبلغ آخر أعمالها بعد الدخول فيها، ثمّ عزاه إلى مجاهد و المبرد و أبي علي الجبائي</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الإتمام يراد به فعل الشيء كاملاً و تامّاً، فالمراد الإتيان به بما جاء في ذيل الآية من حكم الحصر</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المفهوم من الآية، و أمّا تفسير الآية بإفراد كلّ واحد منهما بإنشاء سفر مستقل، فممّا لا تدلّ عليه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العرب في عصر الجاهلية كانوا يفرّقون بين الحجّ و العمرة، فكانوا يأتون بالعمرة في غير أشهر الحج و بالحجّ في أشهره، و كانوا يفردون كلاًّ عن الآخر، و كانت سيرتهم على ذلك إلى أن أدخل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في الحجّ حتّى أمر من لبّى بالحج في أشهر الحجّ و أحرم له، أن يجعله عمرة ثمّ يتحلّل و يحرم للحج ثانياً،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سيوافيك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روي ذلك مرفوعاً عن أبي هريرة، كما روي أنّ عمر كان يترك القران و التمتع و يذكر أنّ ذلك أتمّ للحجّ و العمرة و أن يعتمر في غير شهور الحجّ، فانّ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نافع عن ابن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فرّقوا بين حجِّكم و عمرتكم</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روي ذلك القول عن قتادة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الاعتمار في غير أشهر الحج</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 لعلّه أراد العمرة المفردة لا عمرة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التمتّع التي لا تنفكّ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انّ المراد بإتمام الحجّ و العمرة للّه هو إكمالهما على النحو المقدور، فإن لم يمنع حابس يكمله بإتيان عامّة الأجزاء و إن حُصِر، يخرج من الإحرام على النحو الذي سيوافيك، و هو أيضاً نوع من الإتمام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تفسير الإتمام بإنشاء السفر لكلّ من العمرة و الحجّ، فغير مفهوم من الآية و مخالف لسيرة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أمر أصحابه بإدخال العمرة في الحجّ و تبديل النيّة من الحجّ إلى العمرة، و قد كان ذلك شاقّاً على أصحابه، لأنّهم كانوا قد احرموا للحجّ على النحو الرائج في العصر السابق، فمن حاول تفسير الآية بتفكيك العمرة عن الحجّ بإنشاء سفرين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أشهر الحجّ و الآخر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في غيره، فقد فسَّر الآية برأيه أوّلاً، و خالف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bookmarkStart w:id="26" w:name="pg11460_162944"/>
    </w:p>
    <w:p>
      <w:pPr>
        <w:pStyle w:val="Heading4"/>
        <w:numPr>
          <w:ilvl w:val="3"/>
          <w:numId w:val="1"/>
        </w:numPr>
        <w:rPr/>
      </w:pPr>
      <w:bookmarkStart w:id="27" w:name="__RefHeading___Toc2176850_73709187"/>
      <w:bookmarkStart w:id="28" w:name="_Toc10"/>
      <w:bookmarkEnd w:id="26"/>
      <w:bookmarkEnd w:id="27"/>
      <w:r>
        <w:rPr/>
        <w:t>2</w:t>
      </w:r>
      <w:r>
        <w:rPr>
          <w:rtl w:val="true"/>
        </w:rPr>
        <w:t xml:space="preserve">. </w:t>
      </w:r>
      <w:r>
        <w:rPr>
          <w:rtl w:val="true"/>
        </w:rPr>
        <w:t>إذا أُحصر بالعدو أو المرض</w:t>
      </w:r>
      <w:bookmarkEnd w:id="28"/>
    </w:p>
    <w:p>
      <w:pPr>
        <w:pStyle w:val="BookText"/>
        <w:rPr/>
      </w:pPr>
      <w:r>
        <w:rPr>
          <w:rFonts w:ascii="Amiri" w:hAnsi="Amiri" w:eastAsia="Amiri" w:cs="Amiri"/>
          <w:color w:val="111111"/>
          <w:sz w:val="28"/>
          <w:sz w:val="28"/>
          <w:szCs w:val="28"/>
          <w:rtl w:val="true"/>
          <w:lang w:bidi="ar-SA"/>
        </w:rPr>
        <w:t>لمّا أمر سبحانه حجاج بيته بإتمام الحجّ و العمرة و إكمالهما، حاول بيان وظيفة المحصر الذي يمنعه حابس عن إكمال الحجّ و العمرة،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الحصر، الحبس، و منه يقال للّذي لا يبوح بسرّه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حبس نفسه عن البوح، و المعروف انّ لفظ الحصر مخصوص بمنع العدو إذا منعه عن مراده و ضيّق عليه، و ربما يستعمل في مطلق المانع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 بالمرض و حُصر بالعدو</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فالمحصِر عليه التحلّل بالذبح، و لا يتحلّل قبل الذبح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تيسّر منه، و قيل الهدي جمع الهدية كالتمر جمع التمرة، و المراد من الهدي ما يهدى إلى بيت اللّه عزّ و جلّ تقرّباً إليه، أعلاه بدنة، و أوسطه بقرة، و أيسره شاة</w:t>
      </w:r>
      <w:r>
        <w:rPr>
          <w:rFonts w:eastAsia="Amiri" w:cs="Amiri" w:ascii="Amiri" w:hAnsi="Amiri"/>
          <w:color w:val="111111"/>
          <w:sz w:val="28"/>
          <w:szCs w:val="28"/>
          <w:rtl w:val="true"/>
          <w:lang w:bidi="ar-SA"/>
        </w:rPr>
        <w:t>.</w:t>
      </w:r>
      <w:bookmarkStart w:id="29" w:name="pg11460_162945"/>
    </w:p>
    <w:p>
      <w:pPr>
        <w:pStyle w:val="Heading4"/>
        <w:numPr>
          <w:ilvl w:val="3"/>
          <w:numId w:val="1"/>
        </w:numPr>
        <w:rPr/>
      </w:pPr>
      <w:bookmarkStart w:id="30" w:name="__RefHeading___Toc2176852_73709187"/>
      <w:bookmarkStart w:id="31" w:name="_Toc11"/>
      <w:bookmarkEnd w:id="29"/>
      <w:bookmarkEnd w:id="30"/>
      <w:r>
        <w:rPr/>
        <w:t>3</w:t>
      </w:r>
      <w:r>
        <w:rPr>
          <w:rtl w:val="true"/>
        </w:rPr>
        <w:t xml:space="preserve">. </w:t>
      </w:r>
      <w:r>
        <w:rPr>
          <w:rtl w:val="true"/>
        </w:rPr>
        <w:t>لا يتحلّل قبل الذبح</w:t>
      </w:r>
      <w:bookmarkEnd w:id="31"/>
    </w:p>
    <w:p>
      <w:pPr>
        <w:pStyle w:val="BookText"/>
        <w:rPr/>
      </w:pPr>
      <w:r>
        <w:rPr>
          <w:rFonts w:ascii="Amiri" w:hAnsi="Amiri" w:eastAsia="Amiri" w:cs="Amiri"/>
          <w:color w:val="111111"/>
          <w:sz w:val="28"/>
          <w:sz w:val="28"/>
          <w:szCs w:val="28"/>
          <w:rtl w:val="true"/>
          <w:lang w:bidi="ar-SA"/>
        </w:rPr>
        <w:t>إنّ المحصر يتحلّل بالذبح، فلا يتحلّل من الإحرام حتّى ينحر أو 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تَحْلِقُوا رُؤُسَكُمْ حَتّى يَبْلُغَ الْهَدْيُ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هو المراد من المحل؟ فهناك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فإذا ذبح به في يوم النحر أحل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يُصدّ فيه، لأنّ النبي نحر هديه بالحديبية و أمر أصحابه ففعلوا مثل ذلك، و ليست الحديبية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المحصر بالعدو، و المحصر بالمرض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يذبح في المحل الذي صُدّ فيه، و أمّا الثاني ينتظر إلى أن يذبح في يوم النحر</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176854_73709187"/>
      <w:bookmarkStart w:id="33" w:name="_Toc12"/>
      <w:bookmarkEnd w:id="32"/>
      <w:r>
        <w:rPr/>
        <w:t>4</w:t>
      </w:r>
      <w:r>
        <w:rPr>
          <w:rtl w:val="true"/>
        </w:rPr>
        <w:t xml:space="preserve">. </w:t>
      </w:r>
      <w:r>
        <w:rPr>
          <w:rtl w:val="true"/>
        </w:rPr>
        <w:t>حكم المريض و من برأسه أذى</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منع سبحانه حلق الرأس قبل بلوغ الهدي محلّه</w:t>
      </w:r>
      <w:bookmarkStart w:id="34" w:name="pg11460_162946"/>
    </w:p>
    <w:p>
      <w:pPr>
        <w:pStyle w:val="BookText"/>
        <w:rPr/>
      </w:pPr>
      <w:bookmarkEnd w:id="34"/>
      <w:r>
        <w:rPr>
          <w:rFonts w:ascii="Amiri" w:hAnsi="Amiri" w:eastAsia="Amiri" w:cs="Amiri"/>
          <w:color w:val="111111"/>
          <w:sz w:val="28"/>
          <w:sz w:val="28"/>
          <w:szCs w:val="28"/>
          <w:rtl w:val="true"/>
          <w:lang w:bidi="ar-SA"/>
        </w:rPr>
        <w:t>رخّص لطائفتين و إن لم يذبحوا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يحتاج إلى الحلق للمداواة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من كان برأسه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مِنْكُمْ مَرِيضاً أَوْ بِهِ أَذىً مِنْ رَأْسِهِ فَفِدْيَةٌ مِنْ صِيامٍ أَوْ صَدَقَةٍ أَوْ 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فالمحرم المعذور يحلق رأسه قبل الذبح، و في الوقت نفسه يكفِّر بأحد الأُمور الثلاثة، و كلّ واحد منها فدية، أي بدل و جزاء من العمل الذي تركه لأجل العذر، و هو أن يصوم أو يتصدّق أو يذبح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الصوم فيصوم ثلاثة أيّام، و أمّا الصدقة فيتصدّق على ستة مساكين أو عشرة، و أمّا النسك فيذبح شاة، و هو مخيّر بين الأُمور الثلاثة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176856_73709187"/>
      <w:bookmarkStart w:id="36" w:name="_Toc13"/>
      <w:bookmarkEnd w:id="35"/>
      <w:r>
        <w:rPr/>
        <w:t>5</w:t>
      </w:r>
      <w:r>
        <w:rPr>
          <w:rtl w:val="true"/>
        </w:rPr>
        <w:t xml:space="preserve">. </w:t>
      </w:r>
      <w:r>
        <w:rPr>
          <w:rtl w:val="true"/>
        </w:rPr>
        <w:t>التمتّع بالعمرة إلى الحجّ</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أَمِنْتُمْ فَمَنْ تَمَتَّعَ بِالْعُمْرَةِ إِلَى الْحَجِّ فَمَا اسْتَيْسَرَ مِنَ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كلامه سبحانه في المحصر، و الكلام في المقام في غير المحصر و من حصل له</w:t>
      </w:r>
    </w:p>
    <w:p>
      <w:pPr>
        <w:pStyle w:val="BookText"/>
        <w:rPr/>
      </w:pPr>
      <w:r>
        <w:rPr>
          <w:rFonts w:ascii="Amiri" w:hAnsi="Amiri" w:eastAsia="Amiri" w:cs="Amiri"/>
          <w:color w:val="111111"/>
          <w:sz w:val="28"/>
          <w:sz w:val="28"/>
          <w:szCs w:val="28"/>
          <w:rtl w:val="true"/>
          <w:lang w:bidi="ar-SA"/>
        </w:rPr>
        <w:t>الأمن و ارتفع المانع كما 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قسم من المكلّفين</w:t>
      </w:r>
      <w:r>
        <w:rPr>
          <w:rStyle w:val="FootnoteAnchor"/>
          <w:rtl w:val="true"/>
        </w:rPr>
        <w:footnoteReference w:id="22"/>
      </w:r>
      <w:r>
        <w:rPr>
          <w:rFonts w:ascii="Amiri" w:hAnsi="Amiri" w:eastAsia="Amiri" w:cs="Amiri"/>
          <w:color w:val="111111"/>
          <w:sz w:val="28"/>
          <w:sz w:val="28"/>
          <w:szCs w:val="28"/>
          <w:rtl w:val="true"/>
          <w:lang w:bidi="ar-SA"/>
        </w:rPr>
        <w:t>إذا أتوا بالعمرة ثمّ أحرموا للحج فعليه ما تيسّر من الهدي في يوم النحر في أرض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التمتع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تَمَتَّعَ بِالْعُمْرَةِ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التمتع بمحظورات الإحرام بسبب أداء العمرة فيبقى متحلّلاً متمتِّعاً إلى أن يحرم للحج، و عندئذ يجب عليه ما تيسّر من الهدي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تصرح بأنّ صنفاً من المكلّفين، و هم الذين فرض عليهم حجّ التمتع يحلّ لهم التمتع بعامة المحظورات إلى زمن إحرام الحجّ، فاستنكار التمتع بين العمرة و الحجّ لأجل استلزامه تعرّس الحاج بين العمرة و الحج و رواحه إلى المواقف و رأسه يقطر ماءً إطاحة بالوحي و تقديم للرأي على الوحي، كما سيوافيك تفصيله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37" w:name="pg11460_162948"/>
    </w:p>
    <w:p>
      <w:pPr>
        <w:pStyle w:val="BookText"/>
        <w:rPr/>
      </w:pPr>
      <w:bookmarkEnd w:id="37"/>
      <w:r>
        <w:rPr>
          <w:rFonts w:ascii="Amiri" w:hAnsi="Amiri" w:eastAsia="Amiri" w:cs="Amiri"/>
          <w:color w:val="111111"/>
          <w:sz w:val="28"/>
          <w:sz w:val="28"/>
          <w:szCs w:val="28"/>
          <w:rtl w:val="true"/>
          <w:lang w:bidi="ar-SA"/>
        </w:rPr>
        <w:t>و إنّما ذكر من أعمال الحجّ الكثيرة خصوصَ الهدي،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تمتّع بالعمرة إلى الحجّ فعليه الاحرام أوّلاً ثمّ الوقوف في عرفة، ثمّ الافاضة إلى المشعر و المزدلفة، ثمّ منها إلى منى و رمي الجمرات و الذبح و الحلق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ذلك بالذكر لاختصاص الهدي بحكم خاص، و هو سبحانه بصدد بيان حكمه، و هو انّه إذا عجز عن الهدي فله بدل، بخلاف سائر الأعمال فانّ ذاتها مطلوبة و ليس لها بدل، فقال سبحانه مبيّناً لبدل الهدي</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176858_73709187"/>
      <w:bookmarkStart w:id="39" w:name="_Toc14"/>
      <w:bookmarkEnd w:id="38"/>
      <w:r>
        <w:rPr/>
        <w:t>6</w:t>
      </w:r>
      <w:r>
        <w:rPr>
          <w:rtl w:val="true"/>
        </w:rPr>
        <w:t xml:space="preserve">. </w:t>
      </w:r>
      <w:r>
        <w:rPr>
          <w:rtl w:val="true"/>
        </w:rPr>
        <w:t>الفاقد للهدي</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سبحانه حكم من لم يجد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يَجِدْ فَصِيامُ ثَلاثَةِ أَيّامٍ فِي الْحَجِّ وَ سَبْعَةٍ إِذا رَجَعْتُمْ تِلْكَ عَشَرَةٌ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يصوم بدل الهدي ثلاثة أيّام في الحجّ و سبعة إذا رجع إلى موطنه على وجه يكون الجميع عشرة</w:t>
      </w:r>
      <w:bookmarkStart w:id="40" w:name="pg11460_162949"/>
    </w:p>
    <w:p>
      <w:pPr>
        <w:pStyle w:val="BookText"/>
        <w:rPr/>
      </w:pPr>
      <w:bookmarkEnd w:id="40"/>
      <w:r>
        <w:rPr>
          <w:rFonts w:ascii="Amiri" w:hAnsi="Amiri" w:eastAsia="Amiri" w:cs="Amiri"/>
          <w:color w:val="111111"/>
          <w:sz w:val="28"/>
          <w:sz w:val="28"/>
          <w:szCs w:val="28"/>
          <w:rtl w:val="true"/>
          <w:lang w:bidi="ar-SA"/>
        </w:rPr>
        <w:t>كاملة، و أمّا أيّام الصوم فقد ذكرت في الكتب الفقهية، و هي اليوم السابع و الثامن و التاسع</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2176860_73709187"/>
      <w:bookmarkStart w:id="42" w:name="_Toc15"/>
      <w:bookmarkEnd w:id="41"/>
      <w:r>
        <w:rPr/>
        <w:t>7</w:t>
      </w:r>
      <w:r>
        <w:rPr>
          <w:rtl w:val="true"/>
        </w:rPr>
        <w:t xml:space="preserve">. </w:t>
      </w:r>
      <w:r>
        <w:rPr>
          <w:rtl w:val="true"/>
        </w:rPr>
        <w:t>التمتع بالعمرة إلى الحجّ وظيفة الآفاقي</w:t>
      </w:r>
      <w:bookmarkEnd w:id="42"/>
    </w:p>
    <w:p>
      <w:pPr>
        <w:pStyle w:val="BookText"/>
        <w:rPr/>
      </w:pPr>
      <w:r>
        <w:rPr>
          <w:rFonts w:ascii="Amiri" w:hAnsi="Amiri" w:eastAsia="Amiri" w:cs="Amiri"/>
          <w:color w:val="111111"/>
          <w:sz w:val="28"/>
          <w:sz w:val="28"/>
          <w:szCs w:val="28"/>
          <w:rtl w:val="true"/>
          <w:lang w:bidi="ar-SA"/>
        </w:rPr>
        <w:t>إنّه سبحانه أشار بأنّ التمتع بالعمرة إلى الحجّ فريضة من لم يكن أهله حاضري المسجد الحرام،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تقدّم ذكره حين التمتع بالعمرة إلى الحجّ ليس لأهل مكة و من يجري مجراهم و إنّما هو لمن لم يكن من حاضري مكة، و أمّا الحاضر فهو من يكون بينه و بينها دون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على قول آخر أقلّ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 كلّ جانب على الاختلاف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أتمّ الآية بالأمر بالتقوى، أي العمل بما أمر و النهي عمّا نهى، و ذلك لأنّه سبحانه شديد العقاب،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اللّهَ وَ اعْلَمُوا أَنَّ اللّهَ شَدِيدُ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تفسير الآية المباركة جئنا به ليكون قرينة واضحة على تفسير ما سنسرد من الروايات و الأحاديث من احتدام النزاع بين النبي و أصحابه في كيفية الحجّ و دام حتّى 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في المقام في إفادة المقصود هو الجملتان التاليتان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تَمَتَّعَ بِالْعُمْرَةِ إِلَى الْحَجِّ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تدلّ على إكمالهما دون افرادهما في الزمان، كما أنّ الثانية تدلّ على لزوم التحلّل و التمتّع بين العملين</w:t>
      </w:r>
      <w:r>
        <w:rPr>
          <w:rFonts w:eastAsia="Amiri" w:cs="Amiri" w:ascii="Amiri" w:hAnsi="Amiri"/>
          <w:color w:val="111111"/>
          <w:sz w:val="28"/>
          <w:szCs w:val="28"/>
          <w:rtl w:val="true"/>
          <w:lang w:bidi="ar-SA"/>
        </w:rPr>
        <w:t>.</w:t>
      </w:r>
      <w:bookmarkStart w:id="43" w:name="pg11460_162951"/>
    </w:p>
    <w:p>
      <w:pPr>
        <w:pStyle w:val="Heading3"/>
        <w:numPr>
          <w:ilvl w:val="2"/>
          <w:numId w:val="1"/>
        </w:numPr>
        <w:rPr/>
      </w:pPr>
      <w:bookmarkStart w:id="44" w:name="__RefHeading___Toc2176862_73709187"/>
      <w:bookmarkStart w:id="45" w:name="_Toc16"/>
      <w:bookmarkEnd w:id="43"/>
      <w:bookmarkEnd w:id="44"/>
      <w:r>
        <w:rPr>
          <w:rtl w:val="true"/>
        </w:rPr>
        <w:t>الثاني</w:t>
      </w:r>
      <w:r>
        <w:rPr>
          <w:rtl w:val="true"/>
        </w:rPr>
        <w:t xml:space="preserve">: </w:t>
      </w:r>
      <w:r>
        <w:rPr>
          <w:rtl w:val="true"/>
        </w:rPr>
        <w:t>متعة الحجّ سنّة أبدية</w:t>
      </w:r>
      <w:bookmarkEnd w:id="45"/>
    </w:p>
    <w:p>
      <w:pPr>
        <w:pStyle w:val="BookText"/>
        <w:rPr/>
      </w:pPr>
      <w:r>
        <w:rPr>
          <w:rFonts w:ascii="Amiri" w:hAnsi="Amiri" w:eastAsia="Amiri" w:cs="Amiri"/>
          <w:color w:val="111111"/>
          <w:sz w:val="28"/>
          <w:sz w:val="28"/>
          <w:szCs w:val="28"/>
          <w:rtl w:val="true"/>
          <w:lang w:bidi="ar-SA"/>
        </w:rPr>
        <w:t>تضافرت الروايات الصحاح على أنّ متعة الحجّ سنّة أبدية إلى يوم القيامة لا تتغيّر و لا تتبدّل، بل تبقى بحالها إلى أن يرث اللّه الأرض و من عليها، و نذكر في ذلك ما رواه الشيخان و لا نتجاوز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مسلم عن عمرة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لخمس بقين من ذي القعدة و لا نرى إلاّ أنّه الحج حتّى إذا دنونا من مكة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معه هدي إذا طاف بالبيت و بين الصفا و المروة أن يحل</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أقبلنا مهلِّين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 مفرد، و أقبلت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بعمرة، حتّى إذا كنّا بسرف عركت حتّى إذا قدمنا طُفنا بالكعبة و الصفا و المروة، فأمرنا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 منّا من لم يكن معه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كلّه، فواقعنا النساء و تطيّبنا بالطيب و لبسنا ثيابنا و ليس بيننا و بين عرفة إلاّ أربع ليال، ثمّ أهللنا يوم التروية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مهلّين بالحج معنا النساء و الولدان، فلما قدمنا مكة طفنا بالبيت و بالصفا و المروة، فقال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يكن معه هدي فليحلل،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النساء و لبسنا الثياب و مسسنا الطيب، فلمّا كان يوم التروية أهللنا بالحج</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 اللّه الأنصاري انّه حجّ مع رسول اللّه عامَ ساق الهدي معه، و قد أهلُّوا بالحجّ مفرداً،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أحلُّوا من إحرامكم فطوفوا بالبيت و بين الصفا و المروة و قصّروا و أقيموا حلالاً، حتّى إذا كان يوم التروية فأهلّوا بالحجّ، و اجعلوا التي قدمتم بها متعة،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نجعلها متعة و قد سمّينا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ما آمركم به فانّي لو لا أنّي سقت الهدي لفعلت مثل الذي أمرتكم به و لكن لا يحلّ منّي حرام حتّى يبلغ الهدي محله، فافعلوا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مهلِّين بالحجّ، فأمرنا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نجعلها عمرة و نحل،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 الهدي فلم يستطع أن يجعلها عمرة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جابر بن عبد اللّه في حديثم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مفصّل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ننوي إلاّ الحجّ، لسنا نعرف العمرة، حتّى إذا أتينا البيت معه استلم الركن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آخر طوافه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انّي استقبلت من أمري ما استدبرت لم أسق الهدي و جعلتها عمرة، فمن كان منكم ليس معه هدي فليُحلّ و ليجعلها عمرة، فقام سراقة بن مالك بن جُعشم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لعامنا أم لأبد؟ فشبّك رسول اللّه أصابعه واحدة في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لأبد أبد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هذا بعض ما رواه مسلم، و تركنا البعض الآخر و ربّما يأتي لمناسبة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ما رواه البخاري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عن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فأهللنا بعمرة،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هدي فليهل بالحجّ مع العمرة، ثمّ لا يحلّ حتّى يحلّ منهما جميعاً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عن ابن عباس انّه سئل عن متعة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المهاجرون و الأنصار و أزواج النبي في حجّة الوداع و أهللنا فلمّا قدمنا مكة،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إهلالكم بالحجّ عمرة إلاّ من قلّد الهدي، طفنا بالبيت و بالصفا و المروة و أتينا النساء و لبسنا الثياب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بعض ما رواه البخاري و يأتي بعضه الآخر، و ما رواه الشيخان يدلّ على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حجّ التمتع فريضة من لم يكن أهله حاضري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التمتّع بين العمرة و الحجّ سنّة فيها و ليسم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لأحد أن يعترض على التمتع بين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العرب في الجاهلية و الإسلام كانوا يُحرمون بالحجّ في أشهر الحجّ لا للعمرة، و لذلك أحرم أصحاب النبي و أزواجه للحجّ تبعاً للسيرة السائدة بين العرب من اختصاص أشهر الحجّ بالحجّ فلمّا دنوا من مكة</w:t>
      </w:r>
      <w:r>
        <w:rPr>
          <w:rStyle w:val="FootnoteAnchor"/>
          <w:rtl w:val="true"/>
        </w:rPr>
        <w:footnoteReference w:id="30"/>
      </w:r>
      <w:r>
        <w:rPr>
          <w:rFonts w:ascii="Amiri" w:hAnsi="Amiri" w:eastAsia="Amiri" w:cs="Amiri"/>
          <w:color w:val="111111"/>
          <w:sz w:val="28"/>
          <w:sz w:val="28"/>
          <w:szCs w:val="28"/>
          <w:rtl w:val="true"/>
          <w:lang w:bidi="ar-SA"/>
        </w:rPr>
        <w:t xml:space="preserve">أو قضوا أعمال العمرة أمرهم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الإحرام عمرة و العدول إليها، و قد كان ثقيلاً عليهم، كما ستوافيك الروايات في 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التمتع بين العمرة و الحجّ سنّة أبدية لا تختص بعام دون عام و لا بقوم دون 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ساق الهدي معه ليس له أن يتحلّل و لا يخرج من الإحرام إلاّ إذا بلغ الهدي محلّه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ساق الهدي، و لذلك لم يخرج حتّى أبلغ هديه محله، و قد كان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سؤال للصحابة حيثظ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أمرهم بالتحلّل و بقي نفسه على إحرامه فنبّههم النبي بأنّه ساق الهدي و لكنّه لو وُفّق للحجّ في المستقبل لما ساق الهدي، و إلى ذلك يشير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استقبلت من أمري ما استدبرت لما سُقت الهدي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هذا الموضوع روايات في السنن الأربع اقتصرنا بما ذكرنا، و للقارئ أن يرجع إلى السنن و المسانيد فانّه يجد أمثال ما ذكرناه بوفرة</w:t>
      </w:r>
      <w:r>
        <w:rPr>
          <w:rFonts w:eastAsia="Amiri" w:cs="Amiri" w:ascii="Amiri" w:hAnsi="Amiri"/>
          <w:color w:val="111111"/>
          <w:sz w:val="28"/>
          <w:szCs w:val="28"/>
          <w:rtl w:val="true"/>
          <w:lang w:bidi="ar-SA"/>
        </w:rPr>
        <w:t>.</w:t>
      </w:r>
      <w:bookmarkStart w:id="46" w:name="pg11460_162958"/>
    </w:p>
    <w:p>
      <w:pPr>
        <w:pStyle w:val="Heading3"/>
        <w:numPr>
          <w:ilvl w:val="2"/>
          <w:numId w:val="1"/>
        </w:numPr>
        <w:rPr/>
      </w:pPr>
      <w:bookmarkStart w:id="47" w:name="__RefHeading___Toc2176864_73709187"/>
      <w:bookmarkStart w:id="48" w:name="_Toc17"/>
      <w:bookmarkEnd w:id="46"/>
      <w:bookmarkEnd w:id="47"/>
      <w:r>
        <w:rPr>
          <w:rtl w:val="true"/>
        </w:rPr>
        <w:t>الثالث</w:t>
      </w:r>
      <w:r>
        <w:rPr>
          <w:rtl w:val="true"/>
        </w:rPr>
        <w:t xml:space="preserve">: </w:t>
      </w:r>
      <w:r>
        <w:rPr>
          <w:rtl w:val="true"/>
        </w:rPr>
        <w:t>سيرة العرب قبل الإسلام في الحجّ</w:t>
      </w:r>
      <w:bookmarkEnd w:id="48"/>
    </w:p>
    <w:p>
      <w:pPr>
        <w:pStyle w:val="BookText"/>
        <w:rPr/>
      </w:pPr>
      <w:r>
        <w:rPr>
          <w:rFonts w:ascii="Amiri" w:hAnsi="Amiri" w:eastAsia="Amiri" w:cs="Amiri"/>
          <w:color w:val="111111"/>
          <w:sz w:val="28"/>
          <w:sz w:val="28"/>
          <w:szCs w:val="28"/>
          <w:rtl w:val="true"/>
          <w:lang w:bidi="ar-SA"/>
        </w:rPr>
        <w:t>يظهر ممّا سردناه من الروايات و ما سيوافيك انّ العرب لم تكن تعرف العمرة في أشهر الحجّ و إنّما تأتي بها في غيرها، و لذلك تعاظم عليهم إدخال العمرة في الحجّ، و لأجل إيقاف القارئ على تلك الحقيقة عن كثب، نذكر بعض ما 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أنّ العمرة في أشهر الحجّ من أفجر الفجور، و يجعلون محرم صفراً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برأ الدَّبر، و عفا الأثر، و انسلخ صفر حلّت العمرة لمن اعتمر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النبي و أصحابه صبيحة رابعة مهلّين بالحجّ، فأمرهم أن يجعلوها عمرة، فتعاظم ذلك عندهم،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w:t>
      </w:r>
    </w:p>
    <w:p>
      <w:pPr>
        <w:pStyle w:val="BookText"/>
        <w:rPr/>
      </w:pPr>
      <w:r>
        <w:rPr>
          <w:rFonts w:ascii="Amiri" w:hAnsi="Amiri" w:eastAsia="Amiri" w:cs="Amiri"/>
          <w:color w:val="111111"/>
          <w:sz w:val="28"/>
          <w:sz w:val="28"/>
          <w:szCs w:val="28"/>
          <w:rtl w:val="true"/>
          <w:lang w:bidi="ar-SA"/>
        </w:rPr>
        <w:t>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كلّه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 الحديث يدلّ بوضوح على أنّ إفراز العمرة عن الحجّ كان سنّة جاهلية سادت على الحج لأسباب غير معلومة و كانوا يصرون على أنّ العمرة بعد انقضاء صفر و في الحقيقة بعد انقضاء محرّم، 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بوجه هذه البدعة مدة إقامته في المدينة، فقد اعتمر ثلاث عُمَر في ذي القعدة الحرام كما أتى بعمرة رابعة في حجّه في شهر ذي الحجّة في حجة الوداع، و إليك العُمر التي أحرم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الحديبية، و هي أوّلهنّ سنة ست، فصدّه المشركون عن البيت، فنحر البُدْن و حلق هو و أصحابه رءوسهم و حلُّوا من إحرامهم و رجعوا إلى المدينة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القضاء في العام المقبل في نفس ذلك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عمرته من الجعرانة لما خرج إلى حنين ثمّ رجع إلى مكة فاعتمر من الجعرانة داخلاً إليها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عمرته التي قرنها مع حجته</w:t>
      </w:r>
      <w:r>
        <w:rPr>
          <w:rFonts w:eastAsia="Amiri" w:cs="Amiri" w:ascii="Amiri" w:hAnsi="Amiri"/>
          <w:color w:val="111111"/>
          <w:sz w:val="28"/>
          <w:szCs w:val="28"/>
          <w:rtl w:val="true"/>
          <w:lang w:bidi="ar-SA"/>
        </w:rPr>
        <w:t>.</w:t>
      </w:r>
      <w:bookmarkStart w:id="49" w:name="pg11460_162961"/>
    </w:p>
    <w:p>
      <w:pPr>
        <w:pStyle w:val="Heading3"/>
        <w:numPr>
          <w:ilvl w:val="2"/>
          <w:numId w:val="1"/>
        </w:numPr>
        <w:rPr/>
      </w:pPr>
      <w:bookmarkStart w:id="50" w:name="__RefHeading___Toc2176866_73709187"/>
      <w:bookmarkStart w:id="51" w:name="_Toc18"/>
      <w:bookmarkEnd w:id="49"/>
      <w:bookmarkEnd w:id="50"/>
      <w:r>
        <w:rPr>
          <w:rtl w:val="true"/>
        </w:rPr>
        <w:t>الرابع</w:t>
      </w:r>
      <w:r>
        <w:rPr>
          <w:rtl w:val="true"/>
        </w:rPr>
        <w:t xml:space="preserve">: </w:t>
      </w:r>
      <w:r>
        <w:rPr>
          <w:rtl w:val="true"/>
        </w:rPr>
        <w:t xml:space="preserve">احتدام النزاع بين الصحابة في حياة النبي </w:t>
      </w:r>
      <w:r>
        <w:rPr>
          <w:rtl w:val="true"/>
        </w:rPr>
        <w:t>(</w:t>
      </w:r>
      <w:r>
        <w:rPr>
          <w:rtl w:val="true"/>
        </w:rPr>
        <w:t>صلى الله عليه و آله و سلم</w:t>
      </w:r>
      <w:r>
        <w:rPr>
          <w:rtl w:val="true"/>
        </w:rPr>
        <w:t>)</w:t>
      </w:r>
      <w:bookmarkEnd w:id="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العرب في العصر الجاهلي يفرزون العمرة عن الحجّ و يأتون بها في غير أشهر الحجّ، و قد كان الجمع بينهما من أفجر الفجور، و قد ترسخت تلك الفكرة عند العرب في العصر الجاهلي حتّى أضحت جزءاً من كيانهم، فالدعوة إلى إدخال العمرة في الحج كانت دعوة على خلاف ما شبّوا و شاخوا عليه، و لذلك لمّا أمرهم النبي بإدخال العمرة إلى الحجّ و جعل الإهلال للحجّ عمرة، تعاظم أمرهم و ثارت ثورتهم، و قاموا بوجه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أثاروا غضبه، و إليك بعض ما روي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في ناس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أهللنا أصحاب محمد بالحجّ خالصاً وحده،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النبي صبح رابعة مضت من ذي الحجّة فأمرنا أن نحل،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و أصيبوا النساء،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يعزم عليهم و لكن أحلهنّ لهم،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بيننا و بين عرفة إلاّ خمس، أمرنا أن نفضي إلى نسائنا فنأتي عرفة تقطر مذاكرنا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جابر بيده كأنّي أنظر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انّي أتقاكم للّه و أصدقكم و أبرّكم و لو لا هديي لحللت كما تحلون، و لو استقبلت من أمري ما استدبرت لم أسق الهدي فحلّوا، فحللنا و سمعنا و أطعنا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علىّ من سعايته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فأهد، و امكث حراماً،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أهدى له علي هدياً، فقال سراقة بن مالك بن 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لعامنا هذا أم لأبد،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مسلم عن جابر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أهللنا مع رسول اللّه بالحجّ، فلمّا قدمنا مكة أمرنا أن نحلّ و نجعلها عمرة، فكبر ذلك علينا و ضاقت به صدورنا،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ندري أ شيء بلغه من السماء أم شيء من قبل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أحلّوا فلو لا الهدي الذي معي، فعلتُ كما فعلتم،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فأحللنا حتّى وطئنا النساء و فعلنا ما يفعل الحلال حتّى إذا كان يوم التروية و جعلنا مكة بظهر، أهللنا بالحج</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عائشة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 مضين من ذي الحجّة أو خمس فدخل علىَّ و هو غضبان،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أغضبك يا رسول اللّه، أدخله اللّه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شعرت انّي أمرت الناس بأمر فإذا هم يترددون، و لو اني استقبلت من أمري ما استدبرت ما سقت الهدي معي حتّى اشتريه ثمّ أحلّ كما حلّوا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هذا غيض من فيض ممّا يحكي عن حالة عصيان بين الصحابة في ذلك الموضوع و انّهم لم يستجيبوا بادئ بدء لأمر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أغضبوه، فأين عملهم هذا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تتقدّموا على اللّه و رسوله، و لا تقدّموا قولكم على قولهما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2" w:name="pg11460_162965"/>
    </w:p>
    <w:p>
      <w:pPr>
        <w:pStyle w:val="Heading3"/>
        <w:numPr>
          <w:ilvl w:val="2"/>
          <w:numId w:val="1"/>
        </w:numPr>
        <w:rPr/>
      </w:pPr>
      <w:bookmarkStart w:id="53" w:name="__RefHeading___Toc2176868_73709187"/>
      <w:bookmarkStart w:id="54" w:name="_Toc19"/>
      <w:bookmarkEnd w:id="52"/>
      <w:bookmarkEnd w:id="53"/>
      <w:r>
        <w:rPr>
          <w:rtl w:val="true"/>
        </w:rPr>
        <w:t>الخامس</w:t>
      </w:r>
      <w:r>
        <w:rPr>
          <w:rtl w:val="true"/>
        </w:rPr>
        <w:t xml:space="preserve">: </w:t>
      </w:r>
      <w:r>
        <w:rPr>
          <w:rtl w:val="true"/>
        </w:rPr>
        <w:t>عودة التقاليد الجاهلية</w:t>
      </w:r>
      <w:bookmarkEnd w:id="54"/>
    </w:p>
    <w:p>
      <w:pPr>
        <w:pStyle w:val="Heading4"/>
        <w:numPr>
          <w:ilvl w:val="3"/>
          <w:numId w:val="1"/>
        </w:numPr>
        <w:rPr/>
      </w:pPr>
      <w:bookmarkStart w:id="55" w:name="__RefHeading___Toc2176870_73709187"/>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 و علّمهم مناسك الحجّ و مواقفه و سننه و طقوسه فأعاد كلّ ما حُرّف إلى محله، و لكن للأسف انّ عمر بن الخطاب، قدم الاجتهاد على النص و منع من متعة الحج و شدد النكير عليه و تبعه عثمان و دام الأمر عليه إلى العهود التالية، و كفى في ذلك ما رواه الشيخان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منيخ بالبطحاء،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أحججت؟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بإهلال كإهلال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أحسنت طف بالبيت</w:t>
      </w:r>
    </w:p>
    <w:p>
      <w:pPr>
        <w:pStyle w:val="BookText"/>
        <w:rPr/>
      </w:pPr>
      <w:r>
        <w:rPr>
          <w:rFonts w:ascii="Amiri" w:hAnsi="Amiri" w:eastAsia="Amiri" w:cs="Amiri"/>
          <w:color w:val="111111"/>
          <w:sz w:val="28"/>
          <w:sz w:val="28"/>
          <w:szCs w:val="28"/>
          <w:rtl w:val="true"/>
          <w:lang w:bidi="ar-SA"/>
        </w:rPr>
        <w:t>و بالصفا و المروة و أحلّ</w:t>
      </w:r>
      <w:r>
        <w:rPr>
          <w:rStyle w:val="FootnoteAnchor"/>
          <w:rtl w:val="true"/>
        </w:rPr>
        <w:footnoteReference w:id="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فطفت بالبيت و بالصفا و المروة ثمّ أتيت امرأة من بني قيس فَفَلَتْ رأسي ثمّ أهللت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أفتي به الناس حتّى كان 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أو يا عبد اللّه بن قيس، رويدك بعض فُتياك فانّك لا تدري ما أحدث أمير المؤمنين في النُّسك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كنّا أفتيناه فتيا فليتَّئد</w:t>
      </w:r>
      <w:r>
        <w:rPr>
          <w:rStyle w:val="FootnoteAnchor"/>
          <w:rtl w:val="true"/>
        </w:rPr>
        <w:footnoteReference w:id="38"/>
      </w:r>
      <w:r>
        <w:rPr>
          <w:rFonts w:ascii="Amiri" w:hAnsi="Amiri" w:eastAsia="Amiri" w:cs="Amiri"/>
          <w:color w:val="111111"/>
          <w:sz w:val="28"/>
          <w:sz w:val="28"/>
          <w:szCs w:val="28"/>
          <w:rtl w:val="true"/>
          <w:lang w:bidi="ar-SA"/>
        </w:rPr>
        <w:t>فانّ أمير المؤمنين قادم عليكم فيه فائتَمُّوا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عمر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نأخذ بكتاب اللّه فانّ كتاب اللّه يأمر بالتمام، و إن نأخذ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حتّى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الهدي محله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العجب من أبي موسى مع أنّه كان يفتي الناس بما جرت عليه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في خلافة عمر عدل عن هدي الرسول و أمر الناس بالتأنّي مع أنّه سمع من السائل بأنّه حدث جديد في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 عمر على إخراج العمرة عن الحجّ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كتاب اللّه حيث أمر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أَتِمُّوا الْحَجَّ وَ 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يحل حتّى 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الاستدلالين من الوهن بمكان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الاستدلال بالكتاب فقد عرفت أنّ معنى إتمام الحجّ و العمرة إكمالهما في مقابل المحصر الذي لا يستطيع الإكمال، و أين هو من إخراج العمرة عن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سيرة النبي فقد كشف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النقاب عن عدم إحلاله، لأنّه ساق الهدي و كلّ من ساق الهدي لا يحلّ إلاّ أن يبلغ الهدي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بالمتعة و كان ابن الزبير ينهى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دار الحديث، تمتعنا مع رسول اللّه،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 شاء بما شاء، و انّ القرآن قد نزل منازله فأتمّوا الحجّ و العمرة للّه كما أمركم اللّه و ابتّوا نكاح هذه النساء</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بالاسناد السابق انّ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فافصلوا حجّكم من عمرتكم فانّه أتمّ لحجّكم و أتمّ لعمرتكم</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الحديث على أنّ فصل الحج عن العمرة ظهر في عصر عمر، و قد عرفت أنّ استدلاله بقولهة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 إلى هذا الباب بصلة، و قوله في ذيل الحديث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فافصلوا حجكم من عمرتكم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فصل الحجّ من العمرة و الإتيان بها في غير أشهر الحجّ، و قد مرّ انّ العرب في العصر الجاهلي ترى الجمع بينهما من أفجر الفجور فكأنّ الرجل تأثر مما رسب في ذهنه فحرّم متعة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أبي موسى انّه كان يفتي بالمتعة،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ببعض فُتياك فانّك لا تدري ما أحدث أمير المؤمنين في النُّسك بعدُ حتى لقيه بعدُ فسأله،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و أصحابه و لكن كرهت أن يظلّوا معرسين بهنّ في الأراك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يروحون في الحجّ تقطر رءوسهم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الحديث يكشف عن أنّه اجتهد أمام النص، لأنّه يكره أن يذهب الحاج إلى عرفة و رأسه يقطر ماءً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صار ذلك سبباً للمنع عن السنّة القطعية</w:t>
      </w:r>
      <w:r>
        <w:rPr>
          <w:rFonts w:eastAsia="Amiri" w:cs="Amiri" w:ascii="Amiri" w:hAnsi="Amiri"/>
          <w:color w:val="111111"/>
          <w:sz w:val="28"/>
          <w:szCs w:val="28"/>
          <w:rtl w:val="true"/>
          <w:lang w:bidi="ar-SA"/>
        </w:rPr>
        <w:t>.</w:t>
      </w:r>
      <w:r>
        <w:rPr>
          <w:rStyle w:val="FootnoteAnchor"/>
        </w:rPr>
        <w:footnoteReference w:id="42"/>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57" w:name="pg11460_162970"/>
    </w:p>
    <w:p>
      <w:pPr>
        <w:pStyle w:val="BookText"/>
        <w:rPr/>
      </w:pPr>
      <w:bookmarkEnd w:id="57"/>
      <w:r>
        <w:rPr>
          <w:rFonts w:ascii="Amiri" w:hAnsi="Amiri" w:eastAsia="Amiri" w:cs="Amiri"/>
          <w:color w:val="111111"/>
          <w:sz w:val="28"/>
          <w:sz w:val="28"/>
          <w:szCs w:val="28"/>
          <w:rtl w:val="true"/>
          <w:lang w:bidi="ar-SA"/>
        </w:rPr>
        <w:t>و قد استنكر الخليفة متعة الحجّ إلى حدّ كان الأعاظم من الصحابة على خوف من أن يتفوّهوا بجوازه و كانوا يوصون أن لا ينقل عنهم ما داموا على قيد الحياة، و هذا هو عِمْران بن حصين يوصي بعدم إفشاء كلامه ما دام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عن قتادة، 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عِمْران بن حُصين في مرضه الذي توفّي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محدِّثك بأحاديث لعل اللّه ينفعك بها بعدي، فإن عشتُ فاكتُم عني و إن مُتُّ فحدِّث بها إن شئت، انّه قد سُلِّم علىَّ و أعلم انّ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بين حج و عمرة ثمّ لم ينزل فيها كتاب اللّه و لم ينه عنها نبىّ اللّه قال رجل فيها برأيه ما شاء</w:t>
      </w:r>
      <w:r>
        <w:rPr>
          <w:rFonts w:eastAsia="Amiri" w:cs="Amiri" w:ascii="Amiri" w:hAnsi="Amiri"/>
          <w:color w:val="111111"/>
          <w:sz w:val="28"/>
          <w:szCs w:val="28"/>
          <w:rtl w:val="true"/>
          <w:lang w:bidi="ar-SA"/>
        </w:rPr>
        <w:t>.</w:t>
      </w:r>
      <w:r>
        <w:rPr>
          <w:rStyle w:val="FootnoteAnchor"/>
          <w:rtl w:val="true"/>
        </w:rPr>
        <w:footnoteReference w:id="43"/>
      </w:r>
    </w:p>
    <w:p>
      <w:pPr>
        <w:pStyle w:val="Heading4"/>
        <w:numPr>
          <w:ilvl w:val="3"/>
          <w:numId w:val="1"/>
        </w:numPr>
        <w:rPr/>
      </w:pPr>
      <w:bookmarkStart w:id="58" w:name="__RefHeading___Toc2176872_73709187"/>
      <w:bookmarkStart w:id="59" w:name="_Toc21"/>
      <w:bookmarkEnd w:id="58"/>
      <w:r>
        <w:rPr>
          <w:rtl w:val="true"/>
        </w:rPr>
        <w:t>صورة ثانية</w:t>
      </w:r>
      <w:bookmarkEnd w:id="5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أيضاً عن مطرّف بن عبد اللّه بن الشّخّير،</w:t>
      </w:r>
      <w:bookmarkStart w:id="60" w:name="pg11460_162971"/>
    </w:p>
    <w:p>
      <w:pPr>
        <w:pStyle w:val="BookText"/>
        <w:rPr/>
      </w:pPr>
      <w:bookmarkEnd w:id="60"/>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حجّ و عمرة ثمّ لم ينزل فيها كتاب و لم ينهنا عنهما رسول اللّه، قال فيها رجل برأيه ما شاء</w:t>
      </w:r>
      <w:r>
        <w:rPr>
          <w:rFonts w:eastAsia="Amiri" w:cs="Amiri" w:ascii="Amiri" w:hAnsi="Amiri"/>
          <w:color w:val="111111"/>
          <w:sz w:val="28"/>
          <w:szCs w:val="28"/>
          <w:rtl w:val="true"/>
          <w:lang w:bidi="ar-SA"/>
        </w:rPr>
        <w:t>.</w:t>
      </w:r>
      <w:r>
        <w:rPr>
          <w:rStyle w:val="FootnoteAnchor"/>
          <w:rtl w:val="true"/>
        </w:rPr>
        <w:footnoteReference w:id="44"/>
      </w:r>
    </w:p>
    <w:p>
      <w:pPr>
        <w:pStyle w:val="Heading4"/>
        <w:numPr>
          <w:ilvl w:val="3"/>
          <w:numId w:val="1"/>
        </w:numPr>
        <w:rPr/>
      </w:pPr>
      <w:bookmarkStart w:id="61" w:name="__RefHeading___Toc2176874_73709187"/>
      <w:bookmarkStart w:id="62" w:name="_Toc22"/>
      <w:bookmarkEnd w:id="61"/>
      <w:r>
        <w:rPr>
          <w:rtl w:val="true"/>
        </w:rPr>
        <w:t>صورة ثالثة</w:t>
      </w:r>
      <w:bookmarkEnd w:id="62"/>
    </w:p>
    <w:p>
      <w:pPr>
        <w:pStyle w:val="BookText"/>
        <w:rPr/>
      </w:pPr>
      <w:r>
        <w:rPr>
          <w:rFonts w:ascii="Amiri" w:hAnsi="Amiri" w:eastAsia="Amiri" w:cs="Amiri"/>
          <w:color w:val="111111"/>
          <w:sz w:val="28"/>
          <w:sz w:val="28"/>
          <w:szCs w:val="28"/>
          <w:rtl w:val="true"/>
          <w:lang w:bidi="ar-SA"/>
        </w:rPr>
        <w:t>و أخرج أيضاً 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عمران بن حصين انّي لأُحدّثك بالحديث اليوم ينفعك اللّه به بعد اليوم، و أعلم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أعمر طائفة من أهله في العشر فلم تنزل آية تنسخ ذلك و لم ينه عنه حتّى مضى لوجهه، ارتأى كلّ امرئ بعد ما شاء أن يرتئي</w:t>
      </w:r>
      <w:r>
        <w:rPr>
          <w:rFonts w:eastAsia="Amiri" w:cs="Amiri" w:ascii="Amiri" w:hAnsi="Amiri"/>
          <w:color w:val="111111"/>
          <w:sz w:val="28"/>
          <w:szCs w:val="28"/>
          <w:rtl w:val="true"/>
          <w:lang w:bidi="ar-SA"/>
        </w:rPr>
        <w:t>.</w:t>
      </w:r>
      <w:r>
        <w:rPr>
          <w:rStyle w:val="FootnoteAnchor"/>
          <w:rtl w:val="true"/>
        </w:rPr>
        <w:footnoteReference w:id="45"/>
      </w:r>
    </w:p>
    <w:p>
      <w:pPr>
        <w:pStyle w:val="Heading4"/>
        <w:numPr>
          <w:ilvl w:val="3"/>
          <w:numId w:val="1"/>
        </w:numPr>
        <w:rPr/>
      </w:pPr>
      <w:bookmarkStart w:id="63" w:name="__RefHeading___Toc2176876_73709187"/>
      <w:bookmarkStart w:id="64" w:name="_Toc23"/>
      <w:bookmarkEnd w:id="63"/>
      <w:r>
        <w:rPr>
          <w:rtl w:val="true"/>
        </w:rPr>
        <w:t>صورة رابعة</w:t>
      </w:r>
      <w:bookmarkEnd w:id="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البخاري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مطرف عن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على عهد رسول اللّه فنزل القرآن، قال رجل برأيه ما شاء</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فانّ قول عمران بن حصين فإن</w:t>
      </w:r>
    </w:p>
    <w:p>
      <w:pPr>
        <w:pStyle w:val="BookText"/>
        <w:rPr/>
      </w:pPr>
      <w:r>
        <w:rPr>
          <w:rFonts w:ascii="Amiri" w:hAnsi="Amiri" w:eastAsia="Amiri" w:cs="Amiri"/>
          <w:color w:val="111111"/>
          <w:sz w:val="28"/>
          <w:sz w:val="28"/>
          <w:szCs w:val="28"/>
          <w:rtl w:val="true"/>
          <w:lang w:bidi="ar-SA"/>
        </w:rPr>
        <w:t>عشت فاكتم عنّي و إن مُت فحدث بها إن شئت،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فيها برأيه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وجود ضغط و كبت من جانب الخليفة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السبب لنهي الخليفة عن متعة الحجّ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كراهته أن يكون الحجّاج معرسين بهن في الأراك ثمّ يروحون إلى الحج و رءوسهم تقطر ماء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حنيفة عن حمّاد، عن إبراهيم النخعي عن الأسود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واقف مع عمر بن الخطاب بعرفة عشية عرفة، فإذا هو برجل مرجّل شعره، يفوح منه ريح الطيب،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محرم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هيأتك بهيئة محرم، إنّما المحرم، الأشعث، الأغبر، الأذفر،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قدمت متمتّعاً و كان معي أهلي و إنّما أحرمت اليوم، فقال عمر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تتمتعوا في هذه الأيام، فإنّي لو رخصت في المتعة لعرسوا بهنّ في الأراك ثمّ راحوا بهنّ حجاجاً</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الخطاب نهى أنّ المتعة في أشهر الحجّ،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أنهى عنها، و ذلك أنّ أحدكم يأتي من أُفق من الآفاق شعثاً نَصَباً معتمراً في أشهر الحج و إنّما شعثه و نصبه و تلبيته في عمرته ثمّ يقدم فيطوف بالبيت و يحلّ و يلبس و يتطيّب و يقع على أهله إن كانوا معه حتّى إذا كان يوم التروية أهلّ بالحج و خرج إلى منى يلبّي بحجة لا شعث فيها و لا نصب و لا تلبية إلاّ يوماً، و الحجّ أفضل من العمرة، لو خلّينا بينهم و بين هذا لعانقوهنّ تحت الأراك مع أنّ أهل البيت ليس لهم ضرع و لا زرع، و إنّما ربيعهم فيمن يطرأ عليهم</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تسرب الفقر إلى سكان البيت حيث ليس لهم ضرع و لا زرع فمنع عن الجمع بين العمرة و الحجّ حتّى يتقاطر الحاج في عامة الشهور إلى البلد الأمين،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هذه الغاية منع عن الجمع حتّى يكون الحجّ في عام و العمرة في عام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الخطاب نهى عن المتعة في أشهر الحجّ،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مع رسول اللّه و أنا أنهى عنها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أحدكم يأتي من أُفق من الآفاق شعثاً نصباً معتمراً أشهر الحجّ و إنّما شعثه و نصبه و تلبيته في عمرته ثمّ يقدم فيطوف بالبيت و يحل و يلبس و يتطيّب و يقع على أهله إن كانوا معه حتّى إذا كان يوم التروية أهلّ بالحج و خرج إلى منى يلبي بحجّة لا شعث فيها و لا نصب و لا تلبية إلاّ يوماً، و الحجّ أفضل من العمرة، لو خلّينا بينهم و بين هذا لعانقوهن تحت الأراك و إنّ أهل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ضرع و لا زرع و إنّما ربيعهم في من يطرأ عليهم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 قد مرّ ما يؤيّده من رواية سعيد بن المسيب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انّه سبحانه نقل دعاء الخليل حيث سأله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أن يرزق سكنة مكة من الثمرات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 ارْزُقْهُمْ مِنَ الثَّمَراتِ لَعَلَّهُمْ يَشْكُرُونَ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قد استجاب سبحانه دعاء أبيهم إبراهيم،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إِنْ نَتَّبِعِ الْهُدى مَعَكَ نُتَخَطَّفْ مِنْ أَرْضِنا أَ وَ لَمْ نُمَكِّنْ لَهُمْ حَرَماً آمِناً يُجْبى إِلَيْهِ ثَمَراتُ كُلِّ شَيْءٍ رِزْقاً مِنْ لَدُنّا وَ لكِنَّ أَكْثَرَهُمْ لا يَعْلَمُونَ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عندئذ فلا حاجة للمنع عن السنّة النبوية بُغية توفير 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 الحقّ انّ هذه الأعذار لا تبرّر تغيّر الشريعة و تبديلها و المنع من المناسك التي شرعها سبحانه و بلغها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صاحب الشريعة أعرف بمصالح المسلمين و مصالح سدنة مكة و سكنتها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 منع الخليفة عن متعة الحجّ حتّى قال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65" w:name="pg11460_162976"/>
    </w:p>
    <w:p>
      <w:pPr>
        <w:pStyle w:val="BookText"/>
        <w:rPr/>
      </w:pPr>
      <w:bookmarkEnd w:id="65"/>
      <w:r>
        <w:rPr>
          <w:rFonts w:ascii="Amiri" w:hAnsi="Amiri" w:eastAsia="Amiri" w:cs="Amiri"/>
          <w:color w:val="111111"/>
          <w:sz w:val="28"/>
          <w:sz w:val="28"/>
          <w:szCs w:val="28"/>
          <w:rtl w:val="true"/>
          <w:lang w:bidi="ar-SA"/>
        </w:rPr>
        <w:t>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و أنا أنهى عنهما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تقدمت فيها لرجمت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أنهى عنهما و أعاقب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متعة النساء و متعة الحجّ</w:t>
      </w:r>
      <w:r>
        <w:rPr>
          <w:rFonts w:eastAsia="Amiri" w:cs="Amiri" w:ascii="Amiri" w:hAnsi="Amiri"/>
          <w:color w:val="111111"/>
          <w:sz w:val="28"/>
          <w:szCs w:val="28"/>
          <w:rtl w:val="true"/>
          <w:lang w:bidi="ar-SA"/>
        </w:rPr>
        <w:t>.</w:t>
      </w:r>
      <w:r>
        <w:rPr>
          <w:rStyle w:val="FootnoteAnchor"/>
          <w:rtl w:val="true"/>
        </w:rPr>
        <w:footnoteReference w:id="52"/>
      </w:r>
    </w:p>
    <w:p>
      <w:pPr>
        <w:pStyle w:val="Heading4"/>
        <w:numPr>
          <w:ilvl w:val="3"/>
          <w:numId w:val="1"/>
        </w:numPr>
        <w:rPr/>
      </w:pPr>
      <w:bookmarkStart w:id="66" w:name="__RefHeading___Toc2176878_73709187"/>
      <w:bookmarkStart w:id="67" w:name="_Toc24"/>
      <w:bookmarkEnd w:id="66"/>
      <w:r>
        <w:rPr>
          <w:rtl w:val="true"/>
        </w:rPr>
        <w:t>حجّ التمتع على عهد عثمان</w:t>
      </w:r>
      <w:bookmarkEnd w:id="67"/>
    </w:p>
    <w:p>
      <w:pPr>
        <w:pStyle w:val="BookText"/>
        <w:rPr/>
      </w:pPr>
      <w:r>
        <w:rPr>
          <w:rFonts w:ascii="Amiri" w:hAnsi="Amiri" w:eastAsia="Amiri" w:cs="Amiri"/>
          <w:color w:val="111111"/>
          <w:sz w:val="28"/>
          <w:sz w:val="28"/>
          <w:szCs w:val="28"/>
          <w:rtl w:val="true"/>
          <w:lang w:bidi="ar-SA"/>
        </w:rPr>
        <w:t>و قد اتّبع عثمان سلفه فيما أبدع و أحدث في المناسك فقد منع من الجمع بين العمرة و الحجّ</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حزم انّ عثمان بن عفان سمع رجلاً يُحلّ بعمرة و 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بالمهلّ، فضربه و حلقه</w:t>
      </w:r>
      <w:r>
        <w:rPr>
          <w:rFonts w:eastAsia="Amiri" w:cs="Amiri" w:ascii="Amiri" w:hAnsi="Amiri"/>
          <w:color w:val="111111"/>
          <w:sz w:val="28"/>
          <w:szCs w:val="28"/>
          <w:rtl w:val="true"/>
          <w:lang w:bidi="ar-SA"/>
        </w:rPr>
        <w:t>.</w:t>
      </w:r>
      <w:r>
        <w:rPr>
          <w:rStyle w:val="FootnoteAnchor"/>
          <w:rtl w:val="true"/>
        </w:rPr>
        <w:footnoteReference w:id="53"/>
      </w:r>
      <w:bookmarkStart w:id="68" w:name="pg11460_162977"/>
    </w:p>
    <w:p>
      <w:pPr>
        <w:pStyle w:val="Heading3"/>
        <w:numPr>
          <w:ilvl w:val="2"/>
          <w:numId w:val="1"/>
        </w:numPr>
        <w:rPr/>
      </w:pPr>
      <w:bookmarkStart w:id="69" w:name="__RefHeading___Toc2176880_73709187"/>
      <w:bookmarkStart w:id="70" w:name="_Toc25"/>
      <w:bookmarkEnd w:id="68"/>
      <w:bookmarkEnd w:id="69"/>
      <w:r>
        <w:rPr>
          <w:rtl w:val="true"/>
        </w:rPr>
        <w:t>السادس</w:t>
      </w:r>
      <w:r>
        <w:rPr>
          <w:rtl w:val="true"/>
        </w:rPr>
        <w:t xml:space="preserve">: </w:t>
      </w:r>
      <w:r>
        <w:rPr>
          <w:rtl w:val="true"/>
        </w:rPr>
        <w:t>الصحابة و تحريم متعة الحج</w:t>
      </w:r>
      <w:bookmarkEnd w:id="70"/>
    </w:p>
    <w:p>
      <w:pPr>
        <w:pStyle w:val="Heading4"/>
        <w:numPr>
          <w:ilvl w:val="3"/>
          <w:numId w:val="1"/>
        </w:numPr>
        <w:rPr/>
      </w:pPr>
      <w:bookmarkStart w:id="71" w:name="__RefHeading___Toc2176882_73709187"/>
      <w:bookmarkStart w:id="72" w:name="_Toc26"/>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قد استنكر لفيف من الصحابة عمل الخليفة و تحريمه متعة الحج بحماس نذكر منهم بعضهم</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2176884_73709187"/>
      <w:bookmarkStart w:id="74" w:name="_Toc27"/>
      <w:bookmarkEnd w:id="73"/>
      <w:r>
        <w:rPr/>
        <w:t>1</w:t>
      </w:r>
      <w:r>
        <w:rPr>
          <w:rtl w:val="true"/>
        </w:rPr>
        <w:t xml:space="preserve">. </w:t>
      </w:r>
      <w:r>
        <w:rPr>
          <w:rtl w:val="true"/>
        </w:rPr>
        <w:t xml:space="preserve">الإمام علي بن أبي طالب </w:t>
      </w:r>
      <w:r>
        <w:rPr>
          <w:rtl w:val="true"/>
        </w:rPr>
        <w:t>(</w:t>
      </w:r>
      <w:r>
        <w:rPr>
          <w:rtl w:val="true"/>
        </w:rPr>
        <w:t>عليه السلام</w:t>
      </w:r>
      <w:r>
        <w:rPr>
          <w:rtl w:val="true"/>
        </w:rPr>
        <w:t>)</w:t>
      </w:r>
      <w:bookmarkEnd w:id="74"/>
    </w:p>
    <w:p>
      <w:pPr>
        <w:pStyle w:val="BookText"/>
        <w:rPr/>
      </w:pPr>
      <w:r>
        <w:rPr>
          <w:rFonts w:ascii="Amiri" w:hAnsi="Amiri" w:eastAsia="Amiri" w:cs="Amiri"/>
          <w:color w:val="111111"/>
          <w:sz w:val="28"/>
          <w:sz w:val="28"/>
          <w:szCs w:val="28"/>
          <w:rtl w:val="true"/>
          <w:lang w:bidi="ar-SA"/>
        </w:rPr>
        <w:t>قد كان الإمام أمير المؤمنين يكافح البدع و المحدثات الطارئة على الشريعة بحماس و لا يعير أهمية لنهي الناهي مهما كان له السطوة و الشوكة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البخاري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عثمان و علياً، و عثمان ينهى عن المتعة و أن يجمع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علي، أهلّ بهما، لبّيك بعمرة و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لأدع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أحد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علىّ و عثمان و هما بعُسفان، في المتعة،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إلاّ أن تنهى عن أمر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ذلك علىّ أهلّ بهما جميعاً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المقداد بن الأسود دخل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بالسقيا و هو يُنجع بكَرات له دقيقاً و خَبطاً،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عثمان بن عفان ينهى أن يقرن بين الحج و العمرة،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يديه أثر الدقيق و الخبط فما أنسى أثر الدقيق و الخبط على ذراعيه، حتّى دخل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تنهى عن أن يقرن بين الحجّ و العمرة،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رأيي،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 بحجة و عمرة معاً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علي و عثمان فلمّا كنّا ببعض الطريق نهى عثمان عن التمتع، فقال</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رأيتموه قد ارتحل فارتحلوا، فلبّى علي و أصحابه بالعمرة، فلم ينههم عثمان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لمع عثمان بالجحفة و معه رهط من أهل الشام و فيهم حبيب بن مسلمة الفهري، إذ قال عثمان و ذكر له التمتع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أتمّوا الحجّ و خلّصوه في أشهر الحجّ، فلو أخّرتم هذه العمرة حتى تزوروا هذا البيت زورتين كان أفضل، فانّ اللّه قد وسع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عمدت إلى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رخصة رخّص للعباد بها في كتابه، تضيق عليهم فيها و تنهى عنها، و كانت لذي الحاجة و لنائي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أهلّ بعمرة و حجّة معاً، فأقبل عثمان على الناس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نهيت عنها؟ إنّي لم أنه عنها إنّما كان رأياً أشرت به، فمن شاء أخذ به، و من شاء 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5" w:name="pg11460_162980"/>
    </w:p>
    <w:p>
      <w:pPr>
        <w:pStyle w:val="BookText"/>
        <w:rPr/>
      </w:pPr>
      <w:bookmarkEnd w:id="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أنسى قول رجل من أهل الشام مع حبيب ابن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هذا كيف يخالف أمير المؤمنين؟ و اللّه لو أمرني لضربت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فضرب بها في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بما يختلفون فيه</w:t>
      </w:r>
      <w:r>
        <w:rPr>
          <w:rFonts w:eastAsia="Amiri" w:cs="Amiri" w:ascii="Amiri" w:hAnsi="Amiri"/>
          <w:color w:val="111111"/>
          <w:sz w:val="28"/>
          <w:szCs w:val="28"/>
          <w:rtl w:val="true"/>
          <w:lang w:bidi="ar-SA"/>
        </w:rPr>
        <w:t>.</w:t>
      </w:r>
      <w:r>
        <w:rPr>
          <w:rStyle w:val="FootnoteAnchor"/>
          <w:rtl w:val="true"/>
        </w:rPr>
        <w:footnoteReference w:id="57"/>
      </w:r>
    </w:p>
    <w:p>
      <w:pPr>
        <w:pStyle w:val="Heading4"/>
        <w:numPr>
          <w:ilvl w:val="3"/>
          <w:numId w:val="1"/>
        </w:numPr>
        <w:rPr/>
      </w:pPr>
      <w:bookmarkStart w:id="76" w:name="__RefHeading___Toc2176886_73709187"/>
      <w:bookmarkStart w:id="77" w:name="_Toc28"/>
      <w:bookmarkEnd w:id="76"/>
      <w:r>
        <w:rPr/>
        <w:t>2</w:t>
      </w:r>
      <w:r>
        <w:rPr>
          <w:rtl w:val="true"/>
        </w:rPr>
        <w:t xml:space="preserve">. </w:t>
      </w:r>
      <w:r>
        <w:rPr>
          <w:rtl w:val="true"/>
        </w:rPr>
        <w:t>عبد اللّه بن عمر</w:t>
      </w:r>
      <w:bookmarkEnd w:id="77"/>
    </w:p>
    <w:p>
      <w:pPr>
        <w:pStyle w:val="Heading5"/>
        <w:numPr>
          <w:ilvl w:val="4"/>
          <w:numId w:val="1"/>
        </w:numPr>
        <w:rPr/>
      </w:pPr>
      <w:bookmarkStart w:id="78" w:name="__RefHeading___Toc2176888_73709187"/>
      <w:bookmarkStart w:id="79" w:name="_Toc29"/>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 xml:space="preserve">و لم يكن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الوحيد بين الصحابة في الاستنكار و إن كان وحيداً في شدة استنكاره بل كان هناك من يستنكر التحريم بين الفينة و الأُخرى، روى القرطبي في تفسيره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مع ابن عمر في المسجد إذ جاءه رجل من أهل الشام فسأله عن التمتّع بالعمرة إلى الحجّ، فقال ابن عمر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أباك كان ينهى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فإن كان أبي نهى عنها</w:t>
      </w:r>
      <w:bookmarkStart w:id="80" w:name="pg11460_162981"/>
    </w:p>
    <w:p>
      <w:pPr>
        <w:pStyle w:val="BookText"/>
        <w:rPr/>
      </w:pPr>
      <w:bookmarkEnd w:id="80"/>
      <w:r>
        <w:rPr>
          <w:rFonts w:ascii="Amiri" w:hAnsi="Amiri" w:eastAsia="Amiri" w:cs="Amiri"/>
          <w:color w:val="111111"/>
          <w:sz w:val="28"/>
          <w:sz w:val="28"/>
          <w:szCs w:val="28"/>
          <w:rtl w:val="true"/>
          <w:lang w:bidi="ar-SA"/>
        </w:rPr>
        <w:t xml:space="preserve">و قد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به أ فبقول أبي آخذ أم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سئل عبد اللّه بن عمر عن متعة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 إن كان أبي نهى عنها و صنعها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أمر أبي يتبع أم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صنعها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59"/>
      </w:r>
    </w:p>
    <w:p>
      <w:pPr>
        <w:pStyle w:val="Heading5"/>
        <w:numPr>
          <w:ilvl w:val="4"/>
          <w:numId w:val="1"/>
        </w:numPr>
        <w:rPr/>
      </w:pPr>
      <w:bookmarkStart w:id="81" w:name="__RefHeading___Toc2176890_73709187"/>
      <w:bookmarkStart w:id="82" w:name="_Toc30"/>
      <w:bookmarkEnd w:id="81"/>
      <w:r>
        <w:rPr>
          <w:rtl w:val="true"/>
        </w:rPr>
        <w:t>صورة ثانية</w:t>
      </w:r>
      <w:bookmarkEnd w:id="8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عمر عن متعة الحجّ فأمر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تخالف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لم يقل الذي تقولون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أفردوا العمرة من الحجّ، أي انّ العمرة لا تتم في شهور الحجّ إلاّ بهدي و أراد أن يزار البيت في غير شهور الحجّ، فجعلتموها أنتم حراماً و عاقبتم الناس</w:t>
      </w:r>
      <w:bookmarkStart w:id="83" w:name="pg11460_162982"/>
    </w:p>
    <w:p>
      <w:pPr>
        <w:pStyle w:val="BookText"/>
        <w:rPr/>
      </w:pPr>
      <w:bookmarkEnd w:id="83"/>
      <w:r>
        <w:rPr>
          <w:rFonts w:ascii="Amiri" w:hAnsi="Amiri" w:eastAsia="Amiri" w:cs="Amiri"/>
          <w:color w:val="111111"/>
          <w:sz w:val="28"/>
          <w:sz w:val="28"/>
          <w:szCs w:val="28"/>
          <w:rtl w:val="true"/>
          <w:lang w:bidi="ar-SA"/>
        </w:rPr>
        <w:t xml:space="preserve">عليها، و قد أحلّها اللّه عزّ و جلّ و عمل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أكثروا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فكتاب اللّه عزّ و جلّ أحقّ أن يُتبع أم عمر؟</w:t>
      </w:r>
      <w:r>
        <w:rPr>
          <w:rFonts w:eastAsia="Amiri" w:cs="Amiri" w:ascii="Amiri" w:hAnsi="Amiri"/>
          <w:color w:val="111111"/>
          <w:sz w:val="28"/>
          <w:szCs w:val="28"/>
          <w:rtl w:val="true"/>
          <w:lang w:bidi="ar-SA"/>
        </w:rPr>
        <w:t>!</w:t>
      </w:r>
      <w:r>
        <w:rPr>
          <w:rStyle w:val="FootnoteAnchor"/>
          <w:rtl w:val="true"/>
        </w:rPr>
        <w:footnoteReference w:id="60"/>
      </w:r>
    </w:p>
    <w:p>
      <w:pPr>
        <w:pStyle w:val="Heading5"/>
        <w:numPr>
          <w:ilvl w:val="4"/>
          <w:numId w:val="1"/>
        </w:numPr>
        <w:rPr/>
      </w:pPr>
      <w:bookmarkStart w:id="84" w:name="__RefHeading___Toc2176892_73709187"/>
      <w:bookmarkStart w:id="85" w:name="_Toc31"/>
      <w:bookmarkEnd w:id="84"/>
      <w:r>
        <w:rPr>
          <w:rtl w:val="true"/>
        </w:rPr>
        <w:t>صورة ثالثة</w:t>
      </w:r>
      <w:bookmarkEnd w:id="85"/>
    </w:p>
    <w:p>
      <w:p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عمر يفتي بالذي أنزل اللّه عزّ و جلّ من الرخصة في التمتع و سنّ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ناس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تخالف أباك و قد نهى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 لا تتقون اللّه؟ أ رأيتم إن كان عمر نهى عن ذلك يبتغي فيه الخير و يلتمس فيه تمام العمرة فلم تحرّمون و قد أحلّه اللّه و عمل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أن تتّبعوا سنّته أو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 يقل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العمرة في أشهر الحجّ حرام و لكنّه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أتمّ العمرة أن تفردوها من أشهر الحجّ</w:t>
      </w:r>
      <w:r>
        <w:rPr>
          <w:rFonts w:eastAsia="Amiri" w:cs="Amiri" w:ascii="Amiri" w:hAnsi="Amiri"/>
          <w:color w:val="111111"/>
          <w:sz w:val="28"/>
          <w:szCs w:val="28"/>
          <w:rtl w:val="true"/>
          <w:lang w:bidi="ar-SA"/>
        </w:rPr>
        <w:t>.</w:t>
      </w:r>
      <w:r>
        <w:rPr>
          <w:rStyle w:val="FootnoteAnchor"/>
          <w:rtl w:val="true"/>
        </w:rPr>
        <w:footnoteReference w:id="61"/>
      </w:r>
      <w:bookmarkStart w:id="86" w:name="pg11460_162983"/>
    </w:p>
    <w:p>
      <w:pPr>
        <w:pStyle w:val="Heading4"/>
        <w:numPr>
          <w:ilvl w:val="3"/>
          <w:numId w:val="1"/>
        </w:numPr>
        <w:rPr/>
      </w:pPr>
      <w:bookmarkStart w:id="87" w:name="__RefHeading___Toc2176894_73709187"/>
      <w:bookmarkStart w:id="88" w:name="_Toc32"/>
      <w:bookmarkEnd w:id="86"/>
      <w:bookmarkEnd w:id="87"/>
      <w:r>
        <w:rPr/>
        <w:t>3</w:t>
      </w:r>
      <w:r>
        <w:rPr>
          <w:rtl w:val="true"/>
        </w:rPr>
        <w:t xml:space="preserve">. </w:t>
      </w:r>
      <w:r>
        <w:rPr>
          <w:rtl w:val="true"/>
        </w:rPr>
        <w:t>استنكار ابن عباس</w:t>
      </w:r>
      <w:bookmarkEnd w:id="88"/>
    </w:p>
    <w:p>
      <w:pPr>
        <w:pStyle w:val="BookText"/>
        <w:rPr/>
      </w:pPr>
      <w:r>
        <w:rPr>
          <w:rFonts w:ascii="Amiri" w:hAnsi="Amiri" w:eastAsia="Amiri" w:cs="Amiri"/>
          <w:color w:val="111111"/>
          <w:sz w:val="28"/>
          <w:sz w:val="28"/>
          <w:szCs w:val="28"/>
          <w:rtl w:val="true"/>
          <w:lang w:bidi="ar-SA"/>
        </w:rPr>
        <w:t>و ممّن استنكر عمل الخليفة و من لفّ لفّه، حبر الأُمّة 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 بكر و عمر عن المتعة،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عريّة؟</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نهى أبو بكر و عمر عن المتعة،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أراهم سيهلكون، أقول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 عمر</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89" w:name="__RefHeading___Toc2176896_73709187"/>
      <w:bookmarkStart w:id="90" w:name="_Toc33"/>
      <w:bookmarkEnd w:id="89"/>
      <w:r>
        <w:rPr/>
        <w:t>4</w:t>
      </w:r>
      <w:r>
        <w:rPr>
          <w:rtl w:val="true"/>
        </w:rPr>
        <w:t xml:space="preserve">. </w:t>
      </w:r>
      <w:r>
        <w:rPr>
          <w:rtl w:val="true"/>
        </w:rPr>
        <w:t>استنكار أُبي بن كعب</w:t>
      </w:r>
      <w:bookmarkEnd w:id="9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استنكر تحريم المتعة و لم ير نهي الخليفة صالحاً للأخذ هو الصحابي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أخرج السيوطي عن مسند ابن راهويه و أحمد انّ عمر بن الخطاب همّ أن ينهى عن متعة الحجّ فقام إليه أُبي بن</w:t>
      </w:r>
      <w:bookmarkStart w:id="91" w:name="pg11460_162984"/>
    </w:p>
    <w:p>
      <w:pPr>
        <w:pStyle w:val="BookText"/>
        <w:rPr/>
      </w:pPr>
      <w:bookmarkEnd w:id="91"/>
      <w:r>
        <w:rPr>
          <w:rFonts w:ascii="Amiri" w:hAnsi="Amiri" w:eastAsia="Amiri" w:cs="Amiri"/>
          <w:color w:val="111111"/>
          <w:sz w:val="28"/>
          <w:sz w:val="28"/>
          <w:szCs w:val="28"/>
          <w:rtl w:val="true"/>
          <w:lang w:bidi="ar-SA"/>
        </w:rPr>
        <w:t>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قد نزل بها كتاب اللّه و اعتمرناها مع رسول اللّه، فنزل عمر</w:t>
      </w:r>
      <w:r>
        <w:rPr>
          <w:rFonts w:eastAsia="Amiri" w:cs="Amiri" w:ascii="Amiri" w:hAnsi="Amiri"/>
          <w:color w:val="111111"/>
          <w:sz w:val="28"/>
          <w:szCs w:val="28"/>
          <w:rtl w:val="true"/>
          <w:lang w:bidi="ar-SA"/>
        </w:rPr>
        <w:t>.</w:t>
      </w:r>
      <w:r>
        <w:rPr>
          <w:rStyle w:val="FootnoteAnchor"/>
          <w:rtl w:val="true"/>
        </w:rPr>
        <w:footnoteReference w:id="64"/>
      </w:r>
    </w:p>
    <w:p>
      <w:pPr>
        <w:pStyle w:val="Heading4"/>
        <w:numPr>
          <w:ilvl w:val="3"/>
          <w:numId w:val="1"/>
        </w:numPr>
        <w:rPr/>
      </w:pPr>
      <w:bookmarkStart w:id="92" w:name="__RefHeading___Toc2176898_73709187"/>
      <w:bookmarkStart w:id="93" w:name="_Toc34"/>
      <w:bookmarkEnd w:id="92"/>
      <w:r>
        <w:rPr/>
        <w:t>5</w:t>
      </w:r>
      <w:r>
        <w:rPr>
          <w:rtl w:val="true"/>
        </w:rPr>
        <w:t xml:space="preserve">. </w:t>
      </w:r>
      <w:r>
        <w:rPr>
          <w:rtl w:val="true"/>
        </w:rPr>
        <w:t>استنكار سعد بن أبي وقاص</w:t>
      </w:r>
      <w:bookmarkEnd w:id="9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سعد بن أبي وقاص كان ممّن يعظِّمه عمر بن الخطاب و يحترمه و كان يأمر ابنه عبد اللّه باتّباعه، و قد أنكر تحريم 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الإمام مالك عن محمد بن عبد اللّه بن حارث، أنّه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سعد بن أبي وقاص و الضحاك بن قيس عام حج معاوية بن أبي سفيان و ممّا يذكر انّ التمتع بالعمرة أي الحج، فقال الضحاك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ذلك إلاّ من جهل أمر اللّه عزّ و جلّ،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يا ابن أخي، 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عمر بن الخطاب قد نهى عن ذلك،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صنعها رسول اللّه و صنعناها معه</w:t>
      </w:r>
      <w:r>
        <w:rPr>
          <w:rFonts w:eastAsia="Amiri" w:cs="Amiri" w:ascii="Amiri" w:hAnsi="Amiri"/>
          <w:color w:val="111111"/>
          <w:sz w:val="28"/>
          <w:szCs w:val="28"/>
          <w:rtl w:val="true"/>
          <w:lang w:bidi="ar-SA"/>
        </w:rPr>
        <w:t>.</w:t>
      </w:r>
      <w:r>
        <w:rPr>
          <w:rStyle w:val="FootnoteAnchor"/>
          <w:rtl w:val="true"/>
        </w:rPr>
        <w:footnoteReference w:id="65"/>
      </w:r>
      <w:bookmarkStart w:id="94" w:name="pg11460_162985"/>
    </w:p>
    <w:p>
      <w:pPr>
        <w:pStyle w:val="BookText"/>
        <w:rPr/>
      </w:pPr>
      <w:bookmarkEnd w:id="94"/>
      <w:r>
        <w:rPr>
          <w:rFonts w:ascii="Amiri" w:hAnsi="Amiri" w:eastAsia="Amiri" w:cs="Amiri"/>
          <w:color w:val="111111"/>
          <w:sz w:val="28"/>
          <w:sz w:val="28"/>
          <w:szCs w:val="28"/>
          <w:rtl w:val="true"/>
          <w:lang w:bidi="ar-SA"/>
        </w:rPr>
        <w:t>عن محمد بن عبد اللّه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 حجّ معاوية يسأل سعد بن مالك كيف تقول بالتمتع بالعمرة 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ينهى عنها فأنت خير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خير مني و قد فعل ذلك النبي و هو خير من عمر</w:t>
      </w:r>
      <w:r>
        <w:rPr>
          <w:rFonts w:eastAsia="Amiri" w:cs="Amiri" w:ascii="Amiri" w:hAnsi="Amiri"/>
          <w:color w:val="111111"/>
          <w:sz w:val="28"/>
          <w:szCs w:val="28"/>
          <w:rtl w:val="true"/>
          <w:lang w:bidi="ar-SA"/>
        </w:rPr>
        <w:t>.</w:t>
      </w:r>
      <w:r>
        <w:rPr>
          <w:rStyle w:val="FootnoteAnchor"/>
          <w:rtl w:val="true"/>
        </w:rPr>
        <w:footnoteReference w:id="66"/>
      </w:r>
    </w:p>
    <w:p>
      <w:pPr>
        <w:pStyle w:val="Heading4"/>
        <w:numPr>
          <w:ilvl w:val="3"/>
          <w:numId w:val="1"/>
        </w:numPr>
        <w:rPr/>
      </w:pPr>
      <w:bookmarkStart w:id="95" w:name="__RefHeading___Toc2176900_73709187"/>
      <w:bookmarkStart w:id="96" w:name="_Toc35"/>
      <w:bookmarkEnd w:id="95"/>
      <w:r>
        <w:rPr/>
        <w:t>6</w:t>
      </w:r>
      <w:r>
        <w:rPr>
          <w:rtl w:val="true"/>
        </w:rPr>
        <w:t xml:space="preserve">. </w:t>
      </w:r>
      <w:r>
        <w:rPr>
          <w:rtl w:val="true"/>
        </w:rPr>
        <w:t>عمران بن حصين</w:t>
      </w:r>
      <w:bookmarkEnd w:id="96"/>
    </w:p>
    <w:p>
      <w:pPr>
        <w:pStyle w:val="BookText"/>
        <w:rPr/>
      </w:pPr>
      <w:r>
        <w:rPr>
          <w:rFonts w:ascii="Amiri" w:hAnsi="Amiri" w:eastAsia="Amiri" w:cs="Amiri"/>
          <w:color w:val="111111"/>
          <w:sz w:val="28"/>
          <w:sz w:val="28"/>
          <w:szCs w:val="28"/>
          <w:rtl w:val="true"/>
          <w:lang w:bidi="ar-SA"/>
        </w:rPr>
        <w:t>قد استنكر عمران بن حصين تحريم متعة الحج و أوصى في أُخريات عمره و في المرض الذي توفّي فيه أن يُحدَّث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 اللّه جمع بين حجّ و عمرة ثمّ لم ينزل فيها كتاب اللّه و لم ينه عنها نبي اللّه و إنّما نهى عنها رجل برأيه، دون دليل في كتاب اللّه و سنّة رسوله</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توالى الاستنكار في العهود اللاحقة و إن كان المرتقون على صهوات الحكم مصرّين على اتّباع السلف</w:t>
      </w:r>
      <w:bookmarkStart w:id="97" w:name="pg11460_162986"/>
    </w:p>
    <w:p>
      <w:pPr>
        <w:pStyle w:val="BookText"/>
        <w:rPr/>
      </w:pPr>
      <w:bookmarkEnd w:id="97"/>
      <w:r>
        <w:rPr>
          <w:rFonts w:ascii="Amiri" w:hAnsi="Amiri" w:eastAsia="Amiri" w:cs="Amiri"/>
          <w:color w:val="111111"/>
          <w:sz w:val="28"/>
          <w:sz w:val="28"/>
          <w:szCs w:val="28"/>
          <w:rtl w:val="true"/>
          <w:lang w:bidi="ar-SA"/>
        </w:rPr>
        <w:t>إلى أن زالت الحكومة الأُموية و أخذ بنو عباس بزمام الحكم، فانتشر القول بجواز التمتع بالعمرة إلى الحجّ، و ذلك لأنّ الجواز موقف جد العباسيّين فرفعوا الحرج عن المسلمين، و تبنّى أحمد بن حنبل في عهدهم دخولها في الحج، و ذاع القول به إلى يومنا هذا بين المذاهب خصوصاً بين الحنابلة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176902_73709187"/>
      <w:bookmarkStart w:id="99" w:name="_Toc36"/>
      <w:bookmarkEnd w:id="98"/>
      <w:r>
        <w:rPr>
          <w:rtl w:val="true"/>
        </w:rPr>
        <w:t>التمتّع بالعمرة إلى الحج و شروطه</w:t>
      </w:r>
      <w:bookmarkEnd w:id="99"/>
    </w:p>
    <w:p>
      <w:pPr>
        <w:pStyle w:val="BookText"/>
        <w:rPr/>
      </w:pPr>
      <w:r>
        <w:rPr>
          <w:rFonts w:ascii="Amiri" w:hAnsi="Amiri" w:eastAsia="Amiri" w:cs="Amiri"/>
          <w:color w:val="111111"/>
          <w:sz w:val="28"/>
          <w:sz w:val="28"/>
          <w:szCs w:val="28"/>
          <w:rtl w:val="true"/>
          <w:lang w:bidi="ar-SA"/>
        </w:rPr>
        <w:t>قد عرفت أنّ حجّ التمتّع عبارة عن الإهلال بالعمرة ثمّ الإهلال بعد الإتيان بها ثمّ الإحرام إلى الحجّ، و إليه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بالعمرة إلى الحجّ عند العلماء على أربعة أوجه منها وجه واحد مجتمع عليه، و الثلاثة مختلف فيها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الوجه المجتمع عليه فهو التمتع المراد بقول اللّه</w:t>
      </w:r>
    </w:p>
    <w:p>
      <w:pPr>
        <w:pStyle w:val="BookText"/>
        <w:rPr/>
      </w:pP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يحرم الرجل بعمرة في أشهر الحجّ و أن يكون من أهل الآفاق، و قدم مكة ففرغ منها ثمّ أقام حلالاً بمكة إلى أن أنشأ الحجّ منها في عامه ذلك قبل رجوعه إلى بلده، أو قبل خروجه إلى ميقات أهل ناحيته، فإذا فعل ذلك كان متمتعاً و عليه ما أوجب اللّه على المتمتع، و ذلك ما استيسر من الهدي يذبحه و يعطيه للمساكين بمنى أو بمكة، فإن لم يجد صام ثلاثة أيّام، و سبعة إذا رجع إلى بلده، و ليس له صيام يوم النحر بإجماع من المسلمين و اختلف في صيام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إجماع من أهل العلم قديماً و حديثاً في المتعة، و رابطها ثمانية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بين الحجّ 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 واحد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يمزجها، بل يكون إحرام الحجّ بعد الفراغ من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العمرة و الحجّ عن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غير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هذه الشروط فيما وصفنا من حكم التمتع تجدها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هذا هو الذي مُنع عنه بعد رحيل الرسول، لا غير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عنه عمر بن الخطاب و تبعه عثمان و معاوية و من بعدهم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0" w:name="pg11460_162989"/>
    </w:p>
    <w:p>
      <w:pPr>
        <w:pStyle w:val="Heading3"/>
        <w:numPr>
          <w:ilvl w:val="2"/>
          <w:numId w:val="1"/>
        </w:numPr>
        <w:rPr/>
      </w:pPr>
      <w:bookmarkStart w:id="101" w:name="__RefHeading___Toc2176904_73709187"/>
      <w:bookmarkStart w:id="102" w:name="_Toc37"/>
      <w:bookmarkEnd w:id="100"/>
      <w:bookmarkEnd w:id="101"/>
      <w:r>
        <w:rPr>
          <w:rtl w:val="true"/>
        </w:rPr>
        <w:t>السابع</w:t>
      </w:r>
      <w:r>
        <w:rPr>
          <w:rtl w:val="true"/>
        </w:rPr>
        <w:t xml:space="preserve">: </w:t>
      </w:r>
      <w:r>
        <w:rPr>
          <w:rtl w:val="true"/>
        </w:rPr>
        <w:t>التبريرات المختلقة للحظر المفروض</w:t>
      </w:r>
      <w:bookmarkEnd w:id="102"/>
    </w:p>
    <w:p>
      <w:pPr>
        <w:pStyle w:val="Heading4"/>
        <w:numPr>
          <w:ilvl w:val="3"/>
          <w:numId w:val="1"/>
        </w:numPr>
        <w:rPr/>
      </w:pPr>
      <w:bookmarkStart w:id="103" w:name="__RefHeading___Toc2176906_73709187"/>
      <w:bookmarkStart w:id="104" w:name="_Toc38"/>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لمّا كان النهي عن متعة الحجّ، يضاد صريح الكتاب، و عمل النبي و سنّته، و عمل أكابر أصحابه، حاول غير واحد تأويل النهي، بوجوه نذكر منها وجهين</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176908_73709187"/>
      <w:bookmarkStart w:id="106" w:name="_Toc39"/>
      <w:bookmarkEnd w:id="105"/>
      <w:r>
        <w:rPr/>
        <w:t>1</w:t>
      </w:r>
      <w:r>
        <w:rPr>
          <w:rtl w:val="true"/>
        </w:rPr>
        <w:t xml:space="preserve">. </w:t>
      </w:r>
      <w:r>
        <w:rPr>
          <w:rtl w:val="true"/>
        </w:rPr>
        <w:t>فسخ الحجّ إلى العمرة</w:t>
      </w:r>
      <w:bookmarkEnd w:id="10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المنهي، هو فسخ الحجّ إلى العمرة التي يأتي بعدها فمن أحرم للحجّ، فله أن يأتي بأعماله ثمّ ينشئ إحراماً آخر للعمرة، فليس له أن يعدل عن حجّ القران إلى حجّ التمتع، و هذا هو الذي ينقله بدر الدين العيني الحنفي عن بعضهم، و إليك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عياض و غيره جازمين بأنّ المتعة التي نهى عنها عمر و عثمان هي</w:t>
      </w:r>
    </w:p>
    <w:p>
      <w:pPr>
        <w:pStyle w:val="BookText"/>
        <w:rPr/>
      </w:pPr>
      <w:r>
        <w:rPr>
          <w:rFonts w:ascii="Amiri" w:hAnsi="Amiri" w:eastAsia="Amiri" w:cs="Amiri"/>
          <w:color w:val="111111"/>
          <w:sz w:val="28"/>
          <w:sz w:val="28"/>
          <w:szCs w:val="28"/>
          <w:rtl w:val="true"/>
          <w:lang w:bidi="ar-SA"/>
        </w:rPr>
        <w:t>فسخ الحجّ إلى العمرة، لا العمرة التي يحجّ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التأويل بمكان من الوهن حيث تدفعه النصوص السابقة عن جابر و ابن عباس و عمران بن حصين و سعد بن أبي وقاص، كما تدفعه نصوص العلماء على أنّ المنهي عنه هو الجمع بين العمرة و الحجّ ردّ عليه بدر الدين الحنفي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يرد عليهم ما جاء في رواية مسلم في بعض طرقه التصريح بكونه متعة الحجّ، و في رواية له انّ رسول اللّه أعمر بعض أهله في العشر،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حج و عمرة، و مراده التمتع المذكور و هو الجمع بينهما في عام واحد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يخالف هذا التأويل، كلمات المحرِّم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أخشى أن يعرّسوا بهن في الأراك ثمّ يروحوا بهنّ حجاجاً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07" w:name="pg11460_162991"/>
    </w:p>
    <w:p>
      <w:pPr>
        <w:pStyle w:val="BookText"/>
        <w:rPr/>
      </w:pPr>
      <w:bookmarkEnd w:id="107"/>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لو رخصت في المتعة لهم لعرسوا بهن في الأراك ثمّ راحوا بهنّ حجاجاً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يكونوا معرسين بهنّ في الأراك ثمّ يروحون في الحج تقطر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البيت ليس لهم ضرع و لا زرع و إنّما ربيعهم في من يطرأ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هذه الكلمات صريحة في أنّ النهي عن الجمع بين العمرة و الحج، بل ليس للوافد إلاّ الحجّ، ثمّ الإتيان بالعمرة في العام المقبل، لاستكراهه التعرس بالنساء بين العملين أو ليفيض الزائر في عامة الشهور إلى مكة المكرمة</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176910_73709187"/>
      <w:bookmarkStart w:id="109" w:name="_Toc40"/>
      <w:bookmarkEnd w:id="108"/>
      <w:r>
        <w:rPr/>
        <w:t>2</w:t>
      </w:r>
      <w:r>
        <w:rPr>
          <w:rtl w:val="true"/>
        </w:rPr>
        <w:t xml:space="preserve">. </w:t>
      </w:r>
      <w:r>
        <w:rPr>
          <w:rtl w:val="true"/>
        </w:rPr>
        <w:t>اختصاص التمتّع بالصحابة</w:t>
      </w:r>
      <w:bookmarkEnd w:id="10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الفقه الإسلامي باباً باسم خصائص النبي و الأُمور أو الأحكام المختصة به، و قد ذكرها العلاّمة الحلّي برمّتها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كتاب النكاح و لم تسمع إذن الدنيا، خصائص الصحابة و انّ لهم خصائص كخصائص النبي مع أنّ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الأوّلين كحكمه</w:t>
      </w:r>
    </w:p>
    <w:p>
      <w:pPr>
        <w:pStyle w:val="BookText"/>
        <w:rPr/>
      </w:pPr>
      <w:r>
        <w:rPr>
          <w:rFonts w:ascii="Amiri" w:hAnsi="Amiri" w:eastAsia="Amiri" w:cs="Amiri"/>
          <w:color w:val="111111"/>
          <w:sz w:val="28"/>
          <w:sz w:val="28"/>
          <w:szCs w:val="28"/>
          <w:rtl w:val="true"/>
          <w:lang w:bidi="ar-SA"/>
        </w:rPr>
        <w:t>على الآخرين، و حلال محمّد حلال إلى يوم القيامة، و حرامه حرام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تحريم التمتع، و المنع عن الجمع بين العمرة و الحجّ، يضاد الكتاب و السنّة القطعية حاول بعضهم تأويله قائلاً بأنّ الجمع بينهما من خصائص أصحاب النبي، حتّى عزوه إلى أبي ذر، حسب ما 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عن أبي ذر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متعة الحجّ لأصحاب محمد خاصّة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المتعتان إلاّ لنا خاصة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أيّدوه ببعض الآثار التي قال في حقّها ابن القيم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تلكم الآثار الدالّة على الاختصاص بالصحابة بين باطل لا يصحّ عمّن نُسب إليه البتة، و بين صحيح عن قائل غير معصوم لا يعارض به نصوص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المشرِّع المعصوم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في صحيح الشيخين و غيرهما عن سراقة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متعتنا هذه يا رسول اللّه لعامنا هذا أم لأبد؟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لأبد 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أُخرى عن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العمرة قد دخلت في الحجّ إلى يوم القيامة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قد مرّ نقل البخاري انّ العرب كانت تعدّ العمرة في أشهر الحجّ قبل الإسلام من أفجر الفجور، و قد نهض النبي بأمر من اللّه بإعادة السنّة الإبراهيمية إلى الساحة، فاعتمر أربع عمر كلّها في أشهر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عزوه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طروء النسيان على الصحابة قد تعرفت على مدى صحة التأويلين السابقين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بُعدهما عن النصوص الواردة في الموضوع فهلمَّ معي نقرأ ما انتحله ابن أبي سفيان حيث نسب النهي عن الجمع بين العمرة و الحجّ إلى رسول اللّه، و لما سأل أصحاب النبي عن هذا النهي و واجه استنكارهم له، رماهم بالنسيان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أبو داود عن معاوية بن أبي سفيان انّه قال لأصحاب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انّ رسول اللّه نهى عن كذا أو كذا، و ركوب جلود النمور؟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فتعلمون انّه نهى ان يقرن بين الحجّ و العمرة؟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معهن و لكن نسيتم</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المسئول شخصاً أو شخصين من أصحاب النبي لكان احتمال تطرق النسيان إليه أو إليهما مبرر، و لكنّه سأل أصحاب النبي، الظاهر في أنّ المسئول كان جماعة كثيرة، فهل يحتمل أن يتسرب النسيان إلى هؤلاء، الذين طالت صحبتهم مع النبي و لا يذكره إلاّ ابن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سفيان الذي أسلم عام الفتح و قصرت صحبته و قلّ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كان مع النبي أُلوف من الصحابة رأوا بأُمّ أعينهم عمل النبي و قوله و حثّه و ترغيبه إلى الجمع بين العمرة و الحجّ، و الإحلال بينهما من المحظورات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 علم الناس انه حاج فتجهّزوا للخروج معه و سمع بذلك مَنْ حول المدينة فقدموا يريدون الحج مع رسول اللّه و وافاه في الطريق خلائق لا يحصون، فكان من بين يده و من خلفه و عن يمينه و شماله مدّ البصر</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110" w:name="pg11460_162996"/>
    </w:p>
    <w:p>
      <w:pPr>
        <w:pStyle w:val="Heading2"/>
        <w:numPr>
          <w:ilvl w:val="1"/>
          <w:numId w:val="1"/>
        </w:numPr>
        <w:rPr/>
      </w:pPr>
      <w:bookmarkStart w:id="111" w:name="__RefHeading___Toc2176912_73709187"/>
      <w:bookmarkStart w:id="112" w:name="_Toc41"/>
      <w:bookmarkEnd w:id="110"/>
      <w:bookmarkEnd w:id="111"/>
      <w:r>
        <w:rPr>
          <w:rtl w:val="true"/>
        </w:rPr>
        <w:t>خاتمة المطاف</w:t>
      </w:r>
      <w:bookmarkEnd w:id="112"/>
    </w:p>
    <w:p>
      <w:pPr>
        <w:pStyle w:val="BookText"/>
        <w:rPr/>
      </w:pPr>
      <w:r>
        <w:rPr>
          <w:rFonts w:ascii="Amiri" w:hAnsi="Amiri" w:eastAsia="Amiri" w:cs="Amiri"/>
          <w:color w:val="111111"/>
          <w:sz w:val="28"/>
          <w:sz w:val="28"/>
          <w:szCs w:val="28"/>
          <w:rtl w:val="true"/>
          <w:lang w:bidi="ar-SA"/>
        </w:rPr>
        <w:t>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كلمة شرّاح الصحيحين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 بن الخطاب، قال القسطلاني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برأيه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 بن الخطاب لا عثمان بن عفان، لأنّ عمر أوّل من نهى عنها فكان من بعده تابعاً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مسلم انّ ابن الزبير كان ينهى، و ابن العباس يأمر بها فسألوا جابراً فأشار إلى أنّ أوّل من نهى عنها عمر</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 بن الخطاب، لأنّه أوّل من نهى عن المتعة، فكان من بعده من</w:t>
      </w:r>
    </w:p>
    <w:p>
      <w:pPr>
        <w:pStyle w:val="BookText"/>
        <w:rPr/>
      </w:pPr>
      <w:r>
        <w:rPr>
          <w:rFonts w:ascii="Amiri" w:hAnsi="Amiri" w:eastAsia="Amiri" w:cs="Amiri"/>
          <w:color w:val="111111"/>
          <w:sz w:val="28"/>
          <w:sz w:val="28"/>
          <w:szCs w:val="28"/>
          <w:rtl w:val="true"/>
          <w:lang w:bidi="ar-SA"/>
        </w:rPr>
        <w:t>عثمان و غيره تابعاً له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عن طارق بن شهاب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إلى اليمن فوافقته في العام الذي حجّ فيه، 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كيف قلت حين أحرمت؟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إهلالاً كإهلال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سقت هدياً؟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فطف بالبيت و بين الصفا و المروة ثمّ أحل</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سؤال هو انّ علي بن أبي طالب و أبا موسى علّقا إحرامهما بإحرام النبي، فأمر عليّاً بالدوام على إحرامه، و أمر أبا موسى بجعله عمرة فما هو الفارق بين الإحرامين؟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عنه النووي في شرحه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عليّاً كان معه هدي كما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فبقي على إحرامه كما بقي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معه هدي، و أبو موسى لم يكن معه هدي فتحلّل بعمرة كمن لم يكن معه هدي و لو لا الهدي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لجعلها عمرة</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حظر متعة الحجّ لعبرة لمن سبر التاريخ، و حاول الوقوف على الوقائع التي جرت فيه، فهذا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حجّ و معه آلاف من أصحابه و من تبعه من الأعراب حيث أمر فيه بإدخال العمرة في الحجّ و الاحلال بينهما و قد شهد به الكبير و الصغير و الداني و النائي، و بالرغم من ذلك فقد غلب منطقُ القوة على قوة المنطق عُقْب رحيله حتى صار التمتع بالعمرة إلى الحجّ من المحرمات التي يعاقب عليها مرتكبها أشدّ العقوبة، مع أنّ هذه المسألة لم تكن مصدر تهديد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للسلطات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هو حالها فما ظنك بالمسائل السياسية التي تهدِّد المنافع الشخصية للبعض، فلا غرو في أن يقف أصحاب الآراء و الأهواء بوجه الحقّ الذي أمر به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يسهل على القارئ الكريم الوقوف على مغزى مخالفة بعض الصحابة للحقّ المشروع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كثيراً من الباحثين من أهل السنّة يأوّلون ما ورد من النصوص حول خلافة الإمام أمير المؤمنين في أوائل البعثة و أواسطها و أواخرها و يفسرونها بالدعوة إلى نصرة علي و محبّته، يقول الشيخ سليم البشري شيخ الأزهر في وقته في رسالته إلى السيد عبد الحسين شرف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أُولي البصائر النافذة و الرؤية الثاقبة ينزّهون الصحابة عن مخالفة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ظواهر أوامره و نواهيه و لا يجوّزون عليهم غير التعبّد بذلك، فلا يمكن أن يسمعوا النص على الإمام ثمّ يعدلوا عنه أوّلاً و ثانياً و ثالثاً، و كيف يمكن حملهم على الصحّة في عدولهم عنه مع سماعهم النصّ عليه؟ ما أراك بقادر على أن تجمع بينهما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ما ذكره شيخ الأزهر نابع من حسن ظنه بالصحابة كافة، و لكن لو سبر أخبارهم لوقف على أنّهم خالفوا النصوص في موارد كثيرة، و منها متعة الحجّ على الرغم من أنّها لم تشكّل تهديداً لمصالحهم بل كانت مجرد استهجان للتحلّل بين العمرة و الحجّ</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النصوص التي تتعرض لمصالحهم الشخصية،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كانوا يخالفونها في حياته فكيف بعد 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الموارد التي لم يتعبّد السلف من الصحابة بالنصوص فيها أكثر من أن تذكر في ذلك المجال، و كفانا في ذلك ما قام به السيد شرف الدين العاملي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شطراً وافراً من اجتهادات الصحابة مقابل النص، و قد أنهاها إلى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نقتصر منها على هذا النموذج</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رزية يوم الخميس التي حيل فيها بين النبي و ما كان يرومه من كتابة أمر بالغ الأهمية، فانّها من أشهر القضايا و أكبر الرزايا أخرجها أصحاب الصحاح و السنن و نقلها الإمام البخاري في صحيحه، بسنده إلى عبيد اللّه بن عتبة ابن مسعود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البيت رجال فيهم عمر بن الخطاب،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لكم كتاباً لا تضلّوا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قد غلب عليه الوجع، و عندكم القرآن حسبنا كتاب</w:t>
      </w:r>
    </w:p>
    <w:p>
      <w:pPr>
        <w:pStyle w:val="BookText"/>
        <w:rPr/>
      </w:pPr>
      <w:r>
        <w:rPr>
          <w:rFonts w:ascii="Amiri" w:hAnsi="Amiri" w:eastAsia="Amiri" w:cs="Amiri"/>
          <w:color w:val="111111"/>
          <w:sz w:val="28"/>
          <w:sz w:val="28"/>
          <w:szCs w:val="28"/>
          <w:rtl w:val="true"/>
          <w:lang w:bidi="ar-SA"/>
        </w:rPr>
        <w:t>اللّه، فاختلف أهل البيت فاختصموا،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النبي كتاباً لا تضلّوا بعده، و منهم من يقول ما قال عمر، فلما أكثروا اللغو و الاختلاف عند النبي،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يكتب لهم ذلك الكتاب من اختلافهم و لغطهم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يكشف عن ذلك الحوار الذي جرى بين الخليفة و ابن عباس الذي نقله على وجه التفصيل شارح نهج البلاغة ابن أبي الحديد في شرحه،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 تدري ما منع الناس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أمير المؤمنين؟م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قريش أن تجتمع لكم النبوة و الخلافة، فتجْحفوا الناس جحفاً، فنظرت قريش لأنفسها فاختارت، و وفقت فأصابت</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بما انّ المقام لا يقتضي التبسّط فلنقتصر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انّ الخليفة حرم متعة الحجّ لاستلزامه التحلّل بين العمرة و الحجّ، و هذا ممّا كان يستهجنه الخليفة و يعرب عنه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أخشى أن يعرّسوا بهنّ تحت الأراك ثمّ يروحوا بهنّ حجّاجاً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كرهت أن يظلّوا معرسين بهنّ ثمّ يروحون في الحجّ تقطر رءوسهم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فقد رخص في الإفراد و القران، أمّا الفارد فلأنّ العمرة يؤتى بها بعد الحجّ، و أمّا القران فانّ الحاج بما انّه يهل بالعمرة و الحجّ معاً فلا يتحلّل بين العملين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بالنسبة إلى سائر أقواله فقد منع عن حجّ القران أيضاً، و ذلك لأنّه كان يصر بفصل الحجّ عن العمرة مستدلاً بأنّه ليس لأهل هذا البلد ضرع و لا زرع</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 كان ينادي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فافصلوا حجّكم عن عمرتكم فانّه أتم لحجّكم و أتمّ لعمرتكم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 معنى ذلك حرمان أكثر الناس من العمرة التي دعا إليها سبحانه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أَتِمُّوا الْحَجَّ وَ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ربما لا تتهيّأ الأسباب لإقامة الآفاقي في مكة المكرمة حتّى يحول الحول فيأتي بالعمرة نزولاً لنهي الخليفة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أبعد عمل الخليفة و ما يرويه ابن عباس،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أعمر رسول اللّه عائشة في ذي الحجّة إلاّ ليقطع بذلك أمر أهل الشرك، و قال كانوا يرون أنّ العمرة في أشهر الحجّ من أفجر الفجور في الأرض</w:t>
      </w:r>
      <w:r>
        <w:rPr>
          <w:rFonts w:eastAsia="Amiri" w:cs="Amiri" w:ascii="Amiri" w:hAnsi="Amiri"/>
          <w:color w:val="111111"/>
          <w:sz w:val="28"/>
          <w:szCs w:val="28"/>
          <w:rtl w:val="true"/>
          <w:lang w:bidi="ar-SA"/>
        </w:rPr>
        <w:t>.</w:t>
      </w:r>
      <w:r>
        <w:rPr>
          <w:rStyle w:val="FootnoteAnchor"/>
        </w:rPr>
        <w:footnoteReference w:id="8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احتدام النزاع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لفيف من صحابته في إدخال العمرة في الحجّ و التحلّل بعد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الطوسي بسند 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سعيه بين الصفا و المروة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فراغه من السعي و هو على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يأمرك أن تأمر الناس أن يحلّوا إلاّ من ساق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هذا جبرئيل و أشار بيده إلى خلفه يأمرني عن اللّه عزّ و جلّ أن آمر الناس أن يحلّوا إلاّ من ساق الهدي فأمرهم بما أمر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إلى منى و رءوسنا تقطر من النساء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بشيء و يصنع هو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لو استقبلت من</w:t>
      </w:r>
    </w:p>
    <w:p>
      <w:pPr>
        <w:pStyle w:val="BookText"/>
        <w:rPr/>
      </w:pPr>
      <w:r>
        <w:rPr>
          <w:rFonts w:ascii="Amiri" w:hAnsi="Amiri" w:eastAsia="Amiri" w:cs="Amiri"/>
          <w:color w:val="111111"/>
          <w:sz w:val="28"/>
          <w:sz w:val="28"/>
          <w:szCs w:val="28"/>
          <w:rtl w:val="true"/>
          <w:lang w:bidi="ar-SA"/>
        </w:rPr>
        <w:t>أمري ما استدبرت صنعت كما صنع الناس، و لكنّي سُقت الهدي و لا يحلّ من ساق الهدي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الناس و أحلّوا و جعلوها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سراقة بن مالك بن جعشم المدلجي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أمرتنا به لعامنا هذا أم للأبد؟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للأبد إلى يوم القيامة و شبّك بين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تعالى في ذلك قرآناً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أقام بالمدينة عشر سنين فلما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أمر المؤذنين أن يؤذنوا بأعلى أصواتهم بانّ رسول اللّه يحجّ في عامه هذا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فاتبعه من حضر المدينة و أهل العوالي و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اختلفت كلمة أهل السنة في كيفية حجّه إلى أقوال و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قارناً لا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خيرة ابن قيم الجوزية، و أقام على مختاره ما يربو على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حجّاً مفرداً لم يعتمر فيه و احتجّوا برواية عائشة في الصحيحين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متمتّعاً تمتعاً حلّ فيه من إحرامه ثمّ أحرم يوم التروية بالحجّ مع سوق الهدي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متمتعاً تمتعاً لم يحل منه لأجل سوق الهدي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الوجوه ذكرها ابن قيم الجوزية و بسط الكلام في أدلّة القائلين و نقدها</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 أمّا ما هو الحقّ حسب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فموكول إلى محلّه و قد استدلّ صاحب الحدائق على أنّه لم يكن متمتعاً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لما سقت الهدي</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لَذِكْرى لِمَنْ كانَ لَهُ قَلْبٌ أَوْ أَلْقَى السَّمْعَ وَ هُوَ شَهِيدٌ </w:t>
      </w:r>
      <w:r>
        <w:rPr>
          <w:rFonts w:eastAsia="Amiri" w:cs="Amiri" w:ascii="Amiri" w:hAnsi="Amiri"/>
          <w:color w:val="111111"/>
          <w:sz w:val="28"/>
          <w:szCs w:val="28"/>
          <w:rtl w:val="true"/>
          <w:lang w:bidi="ar-SA"/>
        </w:rPr>
        <w:t>).</w:t>
      </w:r>
      <w:r>
        <w:rPr>
          <w:rStyle w:val="FootnoteAnchor"/>
        </w:rPr>
        <w:footnoteReference w:id="9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قيل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 فيعادل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و غيرها من الكتب الفقهية للشيعة الإمامية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في شرح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6951/688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حاضري المسجد الحرام كما سيأتي في الآية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باب وجوه الإحرام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باب وجوه الإحرام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باب وجوه الإحرام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وجوه الإحرام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باب وجوه الإحرام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حجة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باب كيف تحل الحائض و النفساء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لأجل اختلاف الروايات في ذلك، فلاحظ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باب التمتع و الاقران و الافراد بالحجّ</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 بيان وجوه الإحرام و انّه يجوز افراد الحجّ و التمتع و القران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باب بيان وجوه الإحرام و انّه يجوز افراد الحجّ و التمتع و القران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بيان وجوه الإحرام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أبا موسى علّق إحرامه بإحرام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ذلك أمر النبي بإحلاله بعد العمرة، و ستوافيك الإجابة عنه في آخر الرسالة في خاتمة المطاف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فليتأنّ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باب في نسخ التحلّل من الإحرام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باب في متعة الحجّ و العمرة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باب في متعة الحجّ و العمرة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سيوافيك البحث عن سبب استنكاره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باب جواز التمتع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باب جواز التمتع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باب جواز التمتع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التمتع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ط مصر، المطبعة المصرية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7/107</w:t>
      </w:r>
      <w:r>
        <w:rPr>
          <w:rFonts w:ascii="IRNazanin" w:hAnsi="IRNazanin" w:eastAsia="IRNazanin"/>
          <w:b w:val="false"/>
          <w:b w:val="false"/>
          <w:bCs w:val="false"/>
          <w:i w:val="false"/>
          <w:i w:val="false"/>
          <w:iCs w:val="false"/>
          <w:color w:val="333333"/>
          <w:sz w:val="20"/>
          <w:sz w:val="20"/>
          <w:szCs w:val="20"/>
          <w:rtl w:val="true"/>
        </w:rPr>
        <w:t>، ط منشورات دار الآفاق الجديدة، بيروت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باب التمتع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القران في الحج، الحديث </w:t>
      </w:r>
      <w:r>
        <w:rPr>
          <w:rFonts w:eastAsia="IRNazanin" w:cs="IRNazanin"/>
          <w:b w:val="false"/>
          <w:bCs w:val="false"/>
          <w:i w:val="false"/>
          <w:iCs w:val="false"/>
          <w:color w:val="333333"/>
          <w:sz w:val="20"/>
          <w:szCs w:val="20"/>
        </w:rPr>
        <w:t>40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كتاب الحجّ باب حج التمتع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طبع دار الكتب الحديثة، مصر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عروة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ما جاء في التمتع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باب جواز التمتع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 كتابة العلم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في 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بلاد فلان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كلامه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كلامه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ضروب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2201/216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2321/222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11332</Words>
  <Characters>43508</Characters>
  <CharactersWithSpaces>54331</CharactersWithSpaces>
  <Paragraphs>644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2026-08-21T22:44:57Z</dcterms:created>
  <dc:creator>ghaemiyeh.com</dc:creator>
  <dc:description/>
  <dc:language>en-US</dc:language>
  <cp:lastModifiedBy/>
  <dcterms:modified xsi:type="dcterms:W3CDTF">2026-08-22T02:15:00Z</dcterms:modified>
  <cp:revision>1</cp:revision>
  <dc:subject/>
  <dc:title>سلسله المسائل الفقهیه جلد 10</dc:title>
</cp:coreProperties>
</file>

<file path=docProps/custom.xml><?xml version="1.0" encoding="utf-8"?>
<Properties xmlns="http://schemas.openxmlformats.org/officeDocument/2006/custom-properties" xmlns:vt="http://schemas.openxmlformats.org/officeDocument/2006/docPropsVTypes"/>
</file>