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5356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75358_73709187">
            <w:r>
              <w:rPr>
                <w:webHidden/>
                <w:rStyle w:val="IndexLink"/>
                <w:rtl w:val="true"/>
              </w:rPr>
              <w:t>الإفطار في السفر على ضوء الكتاب و السنّة</w:t>
            </w:r>
            <w:r>
              <w:rPr>
                <w:rStyle w:val="IndexLink"/>
                <w:rtl w:val="true"/>
              </w:rPr>
              <w:tab/>
            </w:r>
            <w:r>
              <w:rPr>
                <w:rStyle w:val="IndexLink"/>
              </w:rPr>
              <w:t>4</w:t>
            </w:r>
          </w:hyperlink>
        </w:p>
        <w:p>
          <w:pPr>
            <w:pStyle w:val="Contents2"/>
            <w:tabs>
              <w:tab w:val="clear" w:pos="8743"/>
              <w:tab w:val="right" w:pos="9026" w:leader="dot"/>
            </w:tabs>
            <w:rPr/>
          </w:pPr>
          <w:hyperlink w:anchor="__RefHeading___Toc2075360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2075362_73709187">
            <w:r>
              <w:rPr>
                <w:webHidden/>
                <w:rStyle w:val="IndexLink"/>
                <w:rtl w:val="true"/>
              </w:rPr>
              <w:t>الإفطار في السفر</w:t>
            </w:r>
            <w:r>
              <w:rPr>
                <w:rStyle w:val="IndexLink"/>
                <w:rtl w:val="true"/>
              </w:rPr>
              <w:tab/>
            </w:r>
            <w:r>
              <w:rPr>
                <w:rStyle w:val="IndexLink"/>
              </w:rPr>
              <w:t>7</w:t>
            </w:r>
          </w:hyperlink>
        </w:p>
        <w:p>
          <w:pPr>
            <w:pStyle w:val="Contents2"/>
            <w:tabs>
              <w:tab w:val="clear" w:pos="8743"/>
              <w:tab w:val="right" w:pos="9026" w:leader="dot"/>
            </w:tabs>
            <w:rPr/>
          </w:pPr>
          <w:hyperlink w:anchor="__RefHeading___Toc2075364_73709187">
            <w:r>
              <w:rPr>
                <w:webHidden/>
                <w:rStyle w:val="IndexLink"/>
              </w:rPr>
              <w:t>1</w:t>
            </w:r>
            <w:r>
              <w:rPr>
                <w:rStyle w:val="IndexLink"/>
                <w:rtl w:val="true"/>
              </w:rPr>
              <w:t xml:space="preserve"> </w:t>
            </w:r>
            <w:r>
              <w:rPr>
                <w:rStyle w:val="IndexLink"/>
                <w:rtl w:val="true"/>
              </w:rPr>
              <w:t>الكتاب وصوم رمضان في السفر</w:t>
            </w:r>
            <w:r>
              <w:rPr>
                <w:rStyle w:val="IndexLink"/>
                <w:rtl w:val="true"/>
              </w:rPr>
              <w:tab/>
            </w:r>
            <w:r>
              <w:rPr>
                <w:rStyle w:val="IndexLink"/>
              </w:rPr>
              <w:t>11</w:t>
            </w:r>
          </w:hyperlink>
        </w:p>
        <w:p>
          <w:pPr>
            <w:pStyle w:val="Contents3"/>
            <w:tabs>
              <w:tab w:val="clear" w:pos="8459"/>
              <w:tab w:val="right" w:pos="9026" w:leader="dot"/>
            </w:tabs>
            <w:rPr/>
          </w:pPr>
          <w:hyperlink w:anchor="__RefHeading___Toc2075366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075368_73709187">
            <w:r>
              <w:rPr>
                <w:webHidden/>
                <w:rStyle w:val="IndexLink"/>
              </w:rPr>
              <w:t>1</w:t>
            </w:r>
            <w:r>
              <w:rPr>
                <w:rStyle w:val="IndexLink"/>
                <w:rtl w:val="true"/>
              </w:rPr>
              <w:t xml:space="preserve">. </w:t>
            </w:r>
            <w:r>
              <w:rPr>
                <w:rStyle w:val="IndexLink"/>
                <w:rtl w:val="true"/>
              </w:rPr>
              <w:t>الصحيح المعافى</w:t>
            </w:r>
            <w:r>
              <w:rPr>
                <w:rStyle w:val="IndexLink"/>
                <w:rtl w:val="true"/>
              </w:rPr>
              <w:tab/>
            </w:r>
            <w:r>
              <w:rPr>
                <w:rStyle w:val="IndexLink"/>
              </w:rPr>
              <w:t>13</w:t>
            </w:r>
          </w:hyperlink>
        </w:p>
        <w:p>
          <w:pPr>
            <w:pStyle w:val="Contents3"/>
            <w:tabs>
              <w:tab w:val="clear" w:pos="8459"/>
              <w:tab w:val="right" w:pos="9026" w:leader="dot"/>
            </w:tabs>
            <w:rPr/>
          </w:pPr>
          <w:hyperlink w:anchor="__RefHeading___Toc2075370_73709187">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المريض و المسافر</w:t>
            </w:r>
            <w:r>
              <w:rPr>
                <w:rStyle w:val="IndexLink"/>
                <w:rtl w:val="true"/>
              </w:rPr>
              <w:tab/>
            </w:r>
            <w:r>
              <w:rPr>
                <w:rStyle w:val="IndexLink"/>
              </w:rPr>
              <w:t>14</w:t>
            </w:r>
          </w:hyperlink>
        </w:p>
        <w:p>
          <w:pPr>
            <w:pStyle w:val="Contents4"/>
            <w:tabs>
              <w:tab w:val="clear" w:pos="8176"/>
              <w:tab w:val="right" w:pos="9026" w:leader="dot"/>
            </w:tabs>
            <w:rPr/>
          </w:pPr>
          <w:hyperlink w:anchor="__RefHeading___Toc2075372_7370918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075374_73709187">
            <w:r>
              <w:rPr>
                <w:webHidden/>
                <w:rStyle w:val="IndexLink"/>
                <w:rtl w:val="true"/>
              </w:rPr>
              <w:t>الأوّل</w:t>
            </w:r>
            <w:r>
              <w:rPr>
                <w:rStyle w:val="IndexLink"/>
                <w:rtl w:val="true"/>
              </w:rPr>
              <w:t xml:space="preserve">: </w:t>
            </w:r>
            <w:r>
              <w:rPr>
                <w:rStyle w:val="IndexLink"/>
                <w:rtl w:val="true"/>
              </w:rPr>
              <w:t>وجوب الصيام في العدّة، آية لزوم الإفطار</w:t>
            </w:r>
            <w:r>
              <w:rPr>
                <w:rStyle w:val="IndexLink"/>
                <w:rtl w:val="true"/>
              </w:rPr>
              <w:tab/>
            </w:r>
            <w:r>
              <w:rPr>
                <w:rStyle w:val="IndexLink"/>
              </w:rPr>
              <w:t>15</w:t>
            </w:r>
          </w:hyperlink>
        </w:p>
        <w:p>
          <w:pPr>
            <w:pStyle w:val="Contents4"/>
            <w:tabs>
              <w:tab w:val="clear" w:pos="8176"/>
              <w:tab w:val="right" w:pos="9026" w:leader="dot"/>
            </w:tabs>
            <w:rPr/>
          </w:pPr>
          <w:hyperlink w:anchor="__RefHeading___Toc2075376_73709187">
            <w:r>
              <w:rPr>
                <w:webHidden/>
                <w:rStyle w:val="IndexLink"/>
                <w:rtl w:val="true"/>
              </w:rPr>
              <w:t>الثاني</w:t>
            </w:r>
            <w:r>
              <w:rPr>
                <w:rStyle w:val="IndexLink"/>
                <w:rtl w:val="true"/>
              </w:rPr>
              <w:t xml:space="preserve">: </w:t>
            </w:r>
            <w:r>
              <w:rPr>
                <w:rStyle w:val="IndexLink"/>
                <w:rtl w:val="true"/>
              </w:rPr>
              <w:t>التقابل بين الجملتين يدلّ على حرمة الصوم</w:t>
            </w:r>
            <w:r>
              <w:rPr>
                <w:rStyle w:val="IndexLink"/>
                <w:rtl w:val="true"/>
              </w:rPr>
              <w:tab/>
            </w:r>
            <w:r>
              <w:rPr>
                <w:rStyle w:val="IndexLink"/>
              </w:rPr>
              <w:t>15</w:t>
            </w:r>
          </w:hyperlink>
        </w:p>
        <w:p>
          <w:pPr>
            <w:pStyle w:val="Contents4"/>
            <w:tabs>
              <w:tab w:val="clear" w:pos="8176"/>
              <w:tab w:val="right" w:pos="9026" w:leader="dot"/>
            </w:tabs>
            <w:rPr/>
          </w:pPr>
          <w:hyperlink w:anchor="__RefHeading___Toc2075378_73709187">
            <w:r>
              <w:rPr>
                <w:webHidden/>
                <w:rStyle w:val="IndexLink"/>
                <w:rtl w:val="true"/>
              </w:rPr>
              <w:t>الثالث</w:t>
            </w:r>
            <w:r>
              <w:rPr>
                <w:rStyle w:val="IndexLink"/>
                <w:rtl w:val="true"/>
              </w:rPr>
              <w:t xml:space="preserve">: </w:t>
            </w:r>
            <w:r>
              <w:rPr>
                <w:rStyle w:val="IndexLink"/>
                <w:rtl w:val="true"/>
              </w:rPr>
              <w:t>المكتوب عليهما من أوّل الأمر هو صيام العدّة</w:t>
            </w:r>
            <w:r>
              <w:rPr>
                <w:rStyle w:val="IndexLink"/>
                <w:rtl w:val="true"/>
              </w:rPr>
              <w:tab/>
            </w:r>
            <w:r>
              <w:rPr>
                <w:rStyle w:val="IndexLink"/>
              </w:rPr>
              <w:t>17</w:t>
            </w:r>
          </w:hyperlink>
        </w:p>
        <w:p>
          <w:pPr>
            <w:pStyle w:val="Contents5"/>
            <w:tabs>
              <w:tab w:val="clear" w:pos="7892"/>
              <w:tab w:val="right" w:pos="9026" w:leader="dot"/>
            </w:tabs>
            <w:rPr/>
          </w:pPr>
          <w:hyperlink w:anchor="__RefHeading___Toc2075380_73709187">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2075382_73709187">
            <w:r>
              <w:rPr>
                <w:webHidden/>
                <w:rStyle w:val="IndexLink"/>
                <w:rtl w:val="true"/>
              </w:rPr>
              <w:t>كلمات بعض المفسرين تدعم موقفنا</w:t>
            </w:r>
            <w:r>
              <w:rPr>
                <w:rStyle w:val="IndexLink"/>
                <w:rtl w:val="true"/>
              </w:rPr>
              <w:tab/>
            </w:r>
            <w:r>
              <w:rPr>
                <w:rStyle w:val="IndexLink"/>
              </w:rPr>
              <w:t>17</w:t>
            </w:r>
          </w:hyperlink>
        </w:p>
        <w:p>
          <w:pPr>
            <w:pStyle w:val="Contents5"/>
            <w:tabs>
              <w:tab w:val="clear" w:pos="7892"/>
              <w:tab w:val="right" w:pos="9026" w:leader="dot"/>
            </w:tabs>
            <w:rPr/>
          </w:pPr>
          <w:hyperlink w:anchor="__RefHeading___Toc2075384_73709187">
            <w:r>
              <w:rPr>
                <w:webHidden/>
                <w:rStyle w:val="IndexLink"/>
                <w:rtl w:val="true"/>
              </w:rPr>
              <w:t xml:space="preserve">تقدير </w:t>
            </w:r>
            <w:r>
              <w:rPr>
                <w:rStyle w:val="IndexLink"/>
                <w:rtl w:val="true"/>
              </w:rPr>
              <w:t>«</w:t>
            </w:r>
            <w:r>
              <w:rPr>
                <w:rStyle w:val="IndexLink"/>
                <w:rtl w:val="true"/>
              </w:rPr>
              <w:t>فافطر</w:t>
            </w:r>
            <w:r>
              <w:rPr>
                <w:rStyle w:val="IndexLink"/>
                <w:rtl w:val="true"/>
              </w:rPr>
              <w:t xml:space="preserve">» </w:t>
            </w:r>
            <w:r>
              <w:rPr>
                <w:rStyle w:val="IndexLink"/>
                <w:rtl w:val="true"/>
              </w:rPr>
              <w:t>لتطبيق الآية على المذهب</w:t>
            </w:r>
            <w:r>
              <w:rPr>
                <w:rStyle w:val="IndexLink"/>
                <w:rtl w:val="true"/>
              </w:rPr>
              <w:tab/>
            </w:r>
            <w:r>
              <w:rPr>
                <w:rStyle w:val="IndexLink"/>
              </w:rPr>
              <w:t>19</w:t>
            </w:r>
          </w:hyperlink>
        </w:p>
        <w:p>
          <w:pPr>
            <w:pStyle w:val="Contents4"/>
            <w:tabs>
              <w:tab w:val="clear" w:pos="8176"/>
              <w:tab w:val="right" w:pos="9026" w:leader="dot"/>
            </w:tabs>
            <w:rPr/>
          </w:pPr>
          <w:hyperlink w:anchor="__RefHeading___Toc2075386_73709187">
            <w:r>
              <w:rPr>
                <w:webHidden/>
                <w:rStyle w:val="IndexLink"/>
                <w:rtl w:val="true"/>
              </w:rPr>
              <w:t>الرابع</w:t>
            </w:r>
            <w:r>
              <w:rPr>
                <w:rStyle w:val="IndexLink"/>
                <w:rtl w:val="true"/>
              </w:rPr>
              <w:t xml:space="preserve">: </w:t>
            </w:r>
            <w:r>
              <w:rPr>
                <w:rStyle w:val="IndexLink"/>
                <w:rtl w:val="true"/>
              </w:rPr>
              <w:t>ذكر المريض و المسافر في سياق واحد</w:t>
            </w:r>
            <w:r>
              <w:rPr>
                <w:rStyle w:val="IndexLink"/>
                <w:rtl w:val="true"/>
              </w:rPr>
              <w:tab/>
            </w:r>
            <w:r>
              <w:rPr>
                <w:rStyle w:val="IndexLink"/>
              </w:rPr>
              <w:t>26</w:t>
            </w:r>
          </w:hyperlink>
        </w:p>
        <w:p>
          <w:pPr>
            <w:pStyle w:val="Contents3"/>
            <w:tabs>
              <w:tab w:val="clear" w:pos="8459"/>
              <w:tab w:val="right" w:pos="9026" w:leader="dot"/>
            </w:tabs>
            <w:rPr/>
          </w:pPr>
          <w:hyperlink w:anchor="__RefHeading___Toc2075388_73709187">
            <w:r>
              <w:rPr>
                <w:webHidden/>
                <w:rStyle w:val="IndexLink"/>
              </w:rPr>
              <w:t>4</w:t>
            </w:r>
            <w:r>
              <w:rPr>
                <w:rStyle w:val="IndexLink"/>
                <w:rtl w:val="true"/>
              </w:rPr>
              <w:t xml:space="preserve">. </w:t>
            </w:r>
            <w:r>
              <w:rPr>
                <w:rStyle w:val="IndexLink"/>
                <w:rtl w:val="true"/>
              </w:rPr>
              <w:t>المطيق</w:t>
            </w:r>
            <w:r>
              <w:rPr>
                <w:rStyle w:val="IndexLink"/>
                <w:rtl w:val="true"/>
              </w:rPr>
              <w:tab/>
            </w:r>
            <w:r>
              <w:rPr>
                <w:rStyle w:val="IndexLink"/>
              </w:rPr>
              <w:t>27</w:t>
            </w:r>
          </w:hyperlink>
        </w:p>
        <w:p>
          <w:pPr>
            <w:pStyle w:val="Contents2"/>
            <w:tabs>
              <w:tab w:val="clear" w:pos="8743"/>
              <w:tab w:val="right" w:pos="9026" w:leader="dot"/>
            </w:tabs>
            <w:rPr/>
          </w:pPr>
          <w:hyperlink w:anchor="__RefHeading___Toc2075390_73709187">
            <w:r>
              <w:rPr>
                <w:webHidden/>
                <w:rStyle w:val="IndexLink"/>
              </w:rPr>
              <w:t>2</w:t>
            </w:r>
            <w:r>
              <w:rPr>
                <w:rStyle w:val="IndexLink"/>
                <w:rtl w:val="true"/>
              </w:rPr>
              <w:t xml:space="preserve"> </w:t>
            </w:r>
            <w:r>
              <w:rPr>
                <w:rStyle w:val="IndexLink"/>
                <w:rtl w:val="true"/>
              </w:rPr>
              <w:t>السنّة وصوم شهر رمضان في السفر</w:t>
            </w:r>
            <w:r>
              <w:rPr>
                <w:rStyle w:val="IndexLink"/>
                <w:rtl w:val="true"/>
              </w:rPr>
              <w:tab/>
            </w:r>
            <w:r>
              <w:rPr>
                <w:rStyle w:val="IndexLink"/>
              </w:rPr>
              <w:t>35</w:t>
            </w:r>
          </w:hyperlink>
        </w:p>
        <w:p>
          <w:pPr>
            <w:pStyle w:val="Contents2"/>
            <w:tabs>
              <w:tab w:val="clear" w:pos="8743"/>
              <w:tab w:val="right" w:pos="9026" w:leader="dot"/>
            </w:tabs>
            <w:rPr/>
          </w:pPr>
          <w:hyperlink w:anchor="__RefHeading___Toc2075392_73709187">
            <w:r>
              <w:rPr>
                <w:webHidden/>
                <w:rStyle w:val="IndexLink"/>
              </w:rPr>
              <w:t>3</w:t>
            </w:r>
            <w:r>
              <w:rPr>
                <w:rStyle w:val="IndexLink"/>
                <w:rtl w:val="true"/>
              </w:rPr>
              <w:t xml:space="preserve"> </w:t>
            </w:r>
            <w:r>
              <w:rPr>
                <w:rStyle w:val="IndexLink"/>
                <w:rtl w:val="true"/>
              </w:rPr>
              <w:t>ما اتّخذ ذريعة لجواز الصوم في السفر</w:t>
            </w:r>
            <w:r>
              <w:rPr>
                <w:rStyle w:val="IndexLink"/>
                <w:rtl w:val="true"/>
              </w:rPr>
              <w:tab/>
            </w:r>
            <w:r>
              <w:rPr>
                <w:rStyle w:val="IndexLink"/>
              </w:rPr>
              <w:t>43</w:t>
            </w:r>
          </w:hyperlink>
        </w:p>
        <w:p>
          <w:pPr>
            <w:pStyle w:val="Contents3"/>
            <w:tabs>
              <w:tab w:val="clear" w:pos="8459"/>
              <w:tab w:val="right" w:pos="9026" w:leader="dot"/>
            </w:tabs>
            <w:rPr/>
          </w:pPr>
          <w:hyperlink w:anchor="__RefHeading___Toc2075394_73709187">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2075396_73709187">
            <w:r>
              <w:rPr>
                <w:webHidden/>
                <w:rStyle w:val="IndexLink"/>
                <w:rtl w:val="true"/>
              </w:rPr>
              <w:t>أ</w:t>
            </w:r>
            <w:r>
              <w:rPr>
                <w:rStyle w:val="IndexLink"/>
                <w:rtl w:val="true"/>
              </w:rPr>
              <w:t xml:space="preserve">. </w:t>
            </w:r>
            <w:r>
              <w:rPr>
                <w:rStyle w:val="IndexLink"/>
                <w:rtl w:val="true"/>
              </w:rPr>
              <w:t>ما ليس صريحاً في شهر رمضان</w:t>
            </w:r>
            <w:r>
              <w:rPr>
                <w:rStyle w:val="IndexLink"/>
                <w:rtl w:val="true"/>
              </w:rPr>
              <w:tab/>
            </w:r>
            <w:r>
              <w:rPr>
                <w:rStyle w:val="IndexLink"/>
              </w:rPr>
              <w:t>44</w:t>
            </w:r>
          </w:hyperlink>
        </w:p>
        <w:p>
          <w:pPr>
            <w:pStyle w:val="Contents3"/>
            <w:tabs>
              <w:tab w:val="clear" w:pos="8459"/>
              <w:tab w:val="right" w:pos="9026" w:leader="dot"/>
            </w:tabs>
            <w:rPr/>
          </w:pPr>
          <w:hyperlink w:anchor="__RefHeading___Toc2075398_73709187">
            <w:r>
              <w:rPr>
                <w:webHidden/>
                <w:rStyle w:val="IndexLink"/>
                <w:rtl w:val="true"/>
              </w:rPr>
              <w:t>ب</w:t>
            </w:r>
            <w:r>
              <w:rPr>
                <w:rStyle w:val="IndexLink"/>
                <w:rtl w:val="true"/>
              </w:rPr>
              <w:t xml:space="preserve">: </w:t>
            </w:r>
            <w:r>
              <w:rPr>
                <w:rStyle w:val="IndexLink"/>
                <w:rtl w:val="true"/>
              </w:rPr>
              <w:t>ما هو صريح في شهر رمضان و ليس صريحاً في ما بعد الفتح</w:t>
            </w:r>
            <w:r>
              <w:rPr>
                <w:rStyle w:val="IndexLink"/>
                <w:rtl w:val="true"/>
              </w:rPr>
              <w:tab/>
            </w:r>
            <w:r>
              <w:rPr>
                <w:rStyle w:val="IndexLink"/>
              </w:rPr>
              <w:t>47</w:t>
            </w:r>
          </w:hyperlink>
        </w:p>
        <w:p>
          <w:pPr>
            <w:pStyle w:val="Contents3"/>
            <w:tabs>
              <w:tab w:val="clear" w:pos="8459"/>
              <w:tab w:val="right" w:pos="9026" w:leader="dot"/>
            </w:tabs>
            <w:rPr/>
          </w:pPr>
          <w:hyperlink w:anchor="__RefHeading___Toc2075400_73709187">
            <w:r>
              <w:rPr>
                <w:webHidden/>
                <w:rStyle w:val="IndexLink"/>
                <w:rtl w:val="true"/>
              </w:rPr>
              <w:t>ج</w:t>
            </w:r>
            <w:r>
              <w:rPr>
                <w:rStyle w:val="IndexLink"/>
                <w:rtl w:val="true"/>
              </w:rPr>
              <w:t xml:space="preserve">: </w:t>
            </w:r>
            <w:r>
              <w:rPr>
                <w:rStyle w:val="IndexLink"/>
                <w:rtl w:val="true"/>
              </w:rPr>
              <w:t>ما هو ضعيف سنداً لا يحتجّ به</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57_149185"/>
      <w:bookmarkStart w:id="1" w:name="pg11457_149185"/>
      <w:bookmarkEnd w:id="1"/>
    </w:p>
    <w:p>
      <w:pPr>
        <w:pStyle w:val="Heading2"/>
        <w:numPr>
          <w:ilvl w:val="1"/>
          <w:numId w:val="1"/>
        </w:numPr>
        <w:rPr/>
      </w:pPr>
      <w:bookmarkStart w:id="2" w:name="pg11457_149185"/>
      <w:bookmarkStart w:id="3" w:name="__RefHeading___Toc207535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5358_73709187"/>
      <w:bookmarkStart w:id="6" w:name="_Toc2"/>
      <w:bookmarkEnd w:id="5"/>
      <w:r>
        <w:rPr>
          <w:rtl w:val="true"/>
        </w:rPr>
        <w:t>الإفطار في السفر على ضوء الكتاب و السنّة</w:t>
      </w:r>
      <w:bookmarkStart w:id="7" w:name="pg11457_149187"/>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في السفر على ضوء الكتاب و السنّة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2075360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57_149189"/>
    </w:p>
    <w:p>
      <w:pPr>
        <w:pStyle w:val="Heading2"/>
        <w:numPr>
          <w:ilvl w:val="1"/>
          <w:numId w:val="1"/>
        </w:numPr>
        <w:rPr/>
      </w:pPr>
      <w:bookmarkStart w:id="11" w:name="__RefHeading___Toc2075362_73709187"/>
      <w:bookmarkStart w:id="12" w:name="_Toc4"/>
      <w:bookmarkEnd w:id="10"/>
      <w:bookmarkEnd w:id="11"/>
      <w:r>
        <w:rPr>
          <w:rtl w:val="true"/>
        </w:rPr>
        <w:t>الإفطار في السفر</w:t>
      </w:r>
      <w:bookmarkEnd w:id="12"/>
    </w:p>
    <w:p>
      <w:pPr>
        <w:pStyle w:val="BookText"/>
        <w:rPr/>
      </w:pPr>
      <w:r>
        <w:rPr>
          <w:rFonts w:ascii="Amiri" w:hAnsi="Amiri" w:eastAsia="Amiri" w:cs="Amiri"/>
          <w:color w:val="111111"/>
          <w:sz w:val="28"/>
          <w:sz w:val="28"/>
          <w:szCs w:val="28"/>
          <w:rtl w:val="true"/>
          <w:lang w:bidi="ar-SA"/>
        </w:rPr>
        <w:t>اتّفقت كلمة الفقهاء على مشروعية الإفطار جوازاً أو وجوباً في السفر تبعاً للذكر الحكيم و السنّة المتواترة إلاّ انّهم اختلفوا في كونه عزيمة أو رخصة، نظير الخلاف في كون القصر فيه جائزاً أو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الإمامية تبعاً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الظاهرية إلى كون الإفطار عزيمة، و اختاره من الصحابة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عوف و عمر و ابنه عبد اللّه و أبو هريرة و عائشة و ابن عباس،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المسيب و عطاء و عروة بن الزبير و شعبة و الزهري و القاسم</w:t>
      </w:r>
    </w:p>
    <w:p>
      <w:pPr>
        <w:pStyle w:val="BookText"/>
        <w:rPr/>
      </w:pPr>
      <w:r>
        <w:rPr>
          <w:rFonts w:ascii="Amiri" w:hAnsi="Amiri" w:eastAsia="Amiri" w:cs="Amiri"/>
          <w:color w:val="111111"/>
          <w:sz w:val="28"/>
          <w:sz w:val="28"/>
          <w:szCs w:val="28"/>
          <w:rtl w:val="true"/>
          <w:lang w:bidi="ar-SA"/>
        </w:rPr>
        <w:t>ابن محمد بن أبي بكر و يونس بن عبيد و أصحابه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ذهب جمهور أهل السنّة و فيهم فقهاء المذاهب الأربعة إلى كون الإفطار رخصة و إن اختلفوا في أفضلية الإفطار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السفر أفضل من الإفطار، و قال مالك و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السفر أحبّ إلينا لمن قوي عليه،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صام في السفر أجزأه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أداء الصوم في السفر يجوز في قول جمهور الفقهاء، و هذا قول أكثر الصحابة، و على قول أصحاب الظواهر لا يجوز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في السفر أفضل من الإفطار عندنا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أفضل، لأنّ ظاهر ما رُوينا من آثار يدلّ على أنّ الصوم في السفر لا يجوز، فإن ترك هذا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حقّ الجواز</w:t>
      </w:r>
      <w:r>
        <w:rPr>
          <w:rStyle w:val="FootnoteAnchor"/>
          <w:rtl w:val="true"/>
        </w:rPr>
        <w:footnoteReference w:id="6"/>
      </w:r>
      <w:r>
        <w:rPr>
          <w:rFonts w:ascii="Amiri" w:hAnsi="Amiri" w:eastAsia="Amiri" w:cs="Amiri"/>
          <w:color w:val="111111"/>
          <w:sz w:val="28"/>
          <w:sz w:val="28"/>
          <w:szCs w:val="28"/>
          <w:rtl w:val="true"/>
          <w:lang w:bidi="ar-SA"/>
        </w:rPr>
        <w:t xml:space="preserve">بقي معتبراً في أنّ الفطر أفضل، و قاس بالصلاة فانّ الاقتصار على الركعتين في السفر أفضل من الإتمام فكذلك الصوم لأنّ السفر يؤثر فيهما،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وضع عن المسافر شطر الصلاة و الصوم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ابن قدامة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المسافر حكم المريض في إباحة الفطر و كراهية الصوم و إجزائه إذا فعله، و إباحة الفطر ثابتة بالنص و الإجماع، و أكثر أهل العلم على أنّه إن صام أجزأه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 في السفر أفضل</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العلماء في الأفضل من الفطر أو الصوم في السفر، فقال مالك و الشافعي في بعض ما روي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أفضل لمن قوي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مالك التخيير و كذلك مذهب الشافعي، قال الشافعي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و لم يُفضِّل و كذلك ابن عليّة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هذه النقول و غيرها صريحة في اتّفاق الجمهور على جواز الإفطار في السفر لا على وجوبه مع اعتراف الشافعي بأنّ ظواهر الأدلّة هو المنع عن الصوم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ظاهر ما روينا من الآثار يدلّ على أنّ الصوم في السفر لا يجوز</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 إن كان ما نقله القرطبي و غيره عنه يخالفه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فالإفطار جوازاً و وجوباً من أحكام السفر، فالمهم هو بيان ما يستفاد من الأدلّة من كون الإفطار عزيمة أو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سيتضح إليك انّ الإفطار عزيمة يدلّ عليها 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 w:name="pg11457_149193"/>
    </w:p>
    <w:p>
      <w:pPr>
        <w:pStyle w:val="Heading2"/>
        <w:numPr>
          <w:ilvl w:val="1"/>
          <w:numId w:val="1"/>
        </w:numPr>
        <w:rPr/>
      </w:pPr>
      <w:bookmarkStart w:id="14" w:name="__RefHeading___Toc2075364_73709187"/>
      <w:bookmarkStart w:id="15" w:name="_Toc5"/>
      <w:bookmarkEnd w:id="13"/>
      <w:bookmarkEnd w:id="14"/>
      <w:r>
        <w:rPr/>
        <w:t>1</w:t>
      </w:r>
      <w:r>
        <w:rPr>
          <w:rtl w:val="true"/>
        </w:rPr>
        <w:t xml:space="preserve"> </w:t>
      </w:r>
      <w:r>
        <w:rPr>
          <w:rtl w:val="true"/>
        </w:rPr>
        <w:t>الكتاب وصوم رمضان في السفر</w:t>
      </w:r>
      <w:bookmarkEnd w:id="15"/>
    </w:p>
    <w:p>
      <w:pPr>
        <w:pStyle w:val="Heading3"/>
        <w:numPr>
          <w:ilvl w:val="2"/>
          <w:numId w:val="1"/>
        </w:numPr>
        <w:rPr/>
      </w:pPr>
      <w:bookmarkStart w:id="16" w:name="__RefHeading___Toc2075366_7370918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w:t>
      </w:r>
    </w:p>
    <w:p>
      <w:pPr>
        <w:pStyle w:val="BookText"/>
        <w:rPr/>
      </w:pPr>
      <w:r>
        <w:rPr>
          <w:rFonts w:ascii="Amiri" w:hAnsi="Amiri" w:eastAsia="Amiri" w:cs="Amiri"/>
          <w:color w:val="111111"/>
          <w:sz w:val="28"/>
          <w:sz w:val="28"/>
          <w:szCs w:val="28"/>
          <w:rtl w:val="true"/>
          <w:lang w:bidi="ar-SA"/>
        </w:rPr>
        <w:t xml:space="preserve">وَ لِتُكْمِلُوا الْعِدَّةَ وَ لِتُكَبِّرُوا اللّهَ عَلى ما هَداكُمْ وَ لَعَلَّكُمْ تَشْكُرُونَ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إنّ هذه الآيات المباركة تتضمّن أحكام الطوائف الأربع بعد التأكيد على أنّ الصوم ممّا كتب على المؤمنين كما كتب على الذين من قبلهم و الكتابة آية الفرض و الوجوب غالباً، و ليس للمكلّف تركه، فاللّه سبحانه يخاطب قاطبة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فالصيام مكتوب على الإنسان بأشكال مختلفة من غير فرق بين المُصحّ و المريض و المسافر و المُطيق، لكن يختلف امتثاله حسب اختلاف أحوال المكلّف، لأنّه ينقسم حسب العوارض إلى الأصناف الأربعة، و لكلّ صنف حكمه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كلّ الفقيه ما يكون بصدد فهم القرآن و السنّة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8" w:name="pg11457_149195"/>
    </w:p>
    <w:p>
      <w:pPr>
        <w:pStyle w:val="BookText"/>
        <w:rPr/>
      </w:pPr>
      <w:bookmarkEnd w:id="18"/>
      <w:r>
        <w:rPr>
          <w:rFonts w:ascii="Amiri" w:hAnsi="Amiri" w:eastAsia="Amiri" w:cs="Amiri"/>
          <w:color w:val="111111"/>
          <w:sz w:val="28"/>
          <w:sz w:val="28"/>
          <w:szCs w:val="28"/>
          <w:rtl w:val="true"/>
          <w:lang w:bidi="ar-SA"/>
        </w:rPr>
        <w:t>سواء أ وافق مذهب إمامه الذي يُقلّده أم خالف، غير انّ كثيراً من المفسرين في تفسير هذه الآيات حاولوا أن يطبقوها على مذهب إمامهم من دون أن يُمعنوا النظر في مفردات الآية و جملها حتّى يخرجوا بنتيجة واحدة من دون اختلاف و قد عرفت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المتقدّمة تبيّن أحكام الأصناف الأربعة التي عرفت عناوينها، و إليك بيان ما يستفاد من الآيات في حقّ هؤلاء</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075368_73709187"/>
      <w:bookmarkStart w:id="20" w:name="_Toc7"/>
      <w:bookmarkEnd w:id="19"/>
      <w:r>
        <w:rPr/>
        <w:t>1</w:t>
      </w:r>
      <w:r>
        <w:rPr>
          <w:rtl w:val="true"/>
        </w:rPr>
        <w:t xml:space="preserve">. </w:t>
      </w:r>
      <w:r>
        <w:rPr>
          <w:rtl w:val="true"/>
        </w:rPr>
        <w:t>الصحيح المعافى</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لزوم الصوم لمن شهد الشهر، من غير فرق بين تفسير شهود الشهر بالحضور في البلد و عدم السفر، أو برؤية الهلال، فليس للشاهد إلاّ تكليف واحد و هو صوم الشهر كلّه إذا اجتمعت فيه الشرائط</w:t>
      </w:r>
      <w:r>
        <w:rPr>
          <w:rFonts w:eastAsia="Amiri" w:cs="Amiri" w:ascii="Amiri" w:hAnsi="Amiri"/>
          <w:color w:val="111111"/>
          <w:sz w:val="28"/>
          <w:szCs w:val="28"/>
          <w:rtl w:val="true"/>
          <w:lang w:bidi="ar-SA"/>
        </w:rPr>
        <w:t>.</w:t>
      </w:r>
      <w:bookmarkStart w:id="21" w:name="pg11457_149196"/>
    </w:p>
    <w:p>
      <w:pPr>
        <w:pStyle w:val="Heading3"/>
        <w:numPr>
          <w:ilvl w:val="2"/>
          <w:numId w:val="1"/>
        </w:numPr>
        <w:rPr/>
      </w:pPr>
      <w:bookmarkStart w:id="22" w:name="__RefHeading___Toc2075370_73709187"/>
      <w:bookmarkStart w:id="23" w:name="_Toc8"/>
      <w:bookmarkEnd w:id="21"/>
      <w:bookmarkEnd w:id="22"/>
      <w:r>
        <w:rPr/>
        <w:t>2</w:t>
      </w:r>
      <w:r>
        <w:rPr>
          <w:rtl w:val="true"/>
        </w:rPr>
        <w:t xml:space="preserve"> </w:t>
      </w:r>
      <w:r>
        <w:rPr>
          <w:rtl w:val="true"/>
        </w:rPr>
        <w:t xml:space="preserve">و </w:t>
      </w:r>
      <w:r>
        <w:rPr/>
        <w:t>3</w:t>
      </w:r>
      <w:r>
        <w:rPr>
          <w:rtl w:val="true"/>
        </w:rPr>
        <w:t xml:space="preserve"> </w:t>
      </w:r>
      <w:r>
        <w:rPr>
          <w:rtl w:val="true"/>
        </w:rPr>
        <w:t>المريض و المسافر</w:t>
      </w:r>
      <w:bookmarkEnd w:id="23"/>
    </w:p>
    <w:p>
      <w:pPr>
        <w:pStyle w:val="Heading4"/>
        <w:numPr>
          <w:ilvl w:val="3"/>
          <w:numId w:val="1"/>
        </w:numPr>
        <w:rPr/>
      </w:pPr>
      <w:bookmarkStart w:id="24" w:name="__RefHeading___Toc2075372_73709187"/>
      <w:bookmarkStart w:id="25" w:name="_Toc9"/>
      <w:bookmarkEnd w:id="24"/>
      <w:r>
        <w:rPr>
          <w:rtl w:val="true"/>
        </w:rPr>
        <w:t>اشارة</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و قد بيّن سبحانه حكم المريض و المسافر بقوله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مَرِيضاً أَوْ عَلى سَفَرٍ فَعِدَّةٌ مِنْ أَيّامٍ أُخَرَ </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فهم ما تتضمّنه الجملة في الموردين من الحكم في حقّ المريض و المسافر، فهل هو ظاهر في كون الإفطار عزيمة أو رخصة؟ و الإمعان في الآية يثبت انّ الإفطار عزيمة، و ذلك بوجوه أربعة</w:t>
      </w:r>
      <w:r>
        <w:rPr>
          <w:rFonts w:eastAsia="Amiri" w:cs="Amiri" w:ascii="Amiri" w:hAnsi="Amiri"/>
          <w:color w:val="111111"/>
          <w:sz w:val="28"/>
          <w:szCs w:val="28"/>
          <w:rtl w:val="true"/>
          <w:lang w:bidi="ar-SA"/>
        </w:rPr>
        <w:t>:</w:t>
      </w:r>
      <w:bookmarkStart w:id="26" w:name="pg11457_149197"/>
    </w:p>
    <w:p>
      <w:pPr>
        <w:pStyle w:val="Heading4"/>
        <w:numPr>
          <w:ilvl w:val="3"/>
          <w:numId w:val="1"/>
        </w:numPr>
        <w:rPr/>
      </w:pPr>
      <w:bookmarkStart w:id="27" w:name="__RefHeading___Toc2075374_73709187"/>
      <w:bookmarkStart w:id="28" w:name="_Toc10"/>
      <w:bookmarkEnd w:id="26"/>
      <w:bookmarkEnd w:id="27"/>
      <w:r>
        <w:rPr>
          <w:rtl w:val="true"/>
        </w:rPr>
        <w:t>الأوّل</w:t>
      </w:r>
      <w:r>
        <w:rPr>
          <w:rtl w:val="true"/>
        </w:rPr>
        <w:t xml:space="preserve">: </w:t>
      </w:r>
      <w:r>
        <w:rPr>
          <w:rtl w:val="true"/>
        </w:rPr>
        <w:t>وجوب الصيام في العدّة، آية لزوم الإفطار</w:t>
      </w:r>
      <w:bookmarkEnd w:id="28"/>
    </w:p>
    <w:p>
      <w:pPr>
        <w:pStyle w:val="BookText"/>
        <w:rPr/>
      </w:pPr>
      <w:r>
        <w:rPr>
          <w:rFonts w:ascii="Amiri" w:hAnsi="Amiri" w:eastAsia="Amiri" w:cs="Amiri"/>
          <w:color w:val="111111"/>
          <w:sz w:val="28"/>
          <w:sz w:val="28"/>
          <w:szCs w:val="28"/>
          <w:rtl w:val="true"/>
          <w:lang w:bidi="ar-SA"/>
        </w:rPr>
        <w:t>إنّ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صيام عدّة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صيام تلك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الظاهر من أكثر المفسرين حيث يذكرون بعد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صوم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فالمتبادر من الآية هو انّه يلزمه صيام تلك الأيّام، أو على ذمّته صيامها،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وجب صيام تلك الأيام مطلقاً، يكون الإفطار في شهر رمضان واجباً، و إلاّ فلو جاز صومه، لما وجب صيام تلك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الإطلاق فإيجاب صيامها كذلك، آية وجوب الإفطار في شهر رمضان</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075376_73709187"/>
      <w:bookmarkStart w:id="30" w:name="_Toc11"/>
      <w:bookmarkEnd w:id="29"/>
      <w:r>
        <w:rPr>
          <w:rtl w:val="true"/>
        </w:rPr>
        <w:t>الثاني</w:t>
      </w:r>
      <w:r>
        <w:rPr>
          <w:rtl w:val="true"/>
        </w:rPr>
        <w:t xml:space="preserve">: </w:t>
      </w:r>
      <w:r>
        <w:rPr>
          <w:rtl w:val="true"/>
        </w:rPr>
        <w:t>التقابل بين الجملتين يدلّ على حرمة الصوم</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في الكلام جملتان متقابلتان فإبهام</w:t>
      </w:r>
    </w:p>
    <w:p>
      <w:pPr>
        <w:pStyle w:val="BookText"/>
        <w:rPr/>
      </w:pPr>
      <w:r>
        <w:rPr>
          <w:rFonts w:ascii="Amiri" w:hAnsi="Amiri" w:eastAsia="Amiri" w:cs="Amiri"/>
          <w:color w:val="111111"/>
          <w:sz w:val="28"/>
          <w:sz w:val="28"/>
          <w:szCs w:val="28"/>
          <w:rtl w:val="true"/>
          <w:lang w:bidi="ar-SA"/>
        </w:rPr>
        <w:t>إحداهما يرتفع بظهور الأُخرى، و هذا ممّا لا سترة عليه، و على ضوء هذا نرفع إبهام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 الأُخرى التي تقابله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في من شهد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من لم يشهد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سَفَرٍ فَعِدَّةٌ مِنْ أَيّامٍ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معنى الجملة الأُولى انّ الشاهد يصوم، يكون معنى الجملة الثانية بحكم التقابل انّ المسافر لا يصوم فإذا كان الأمر في الجملة الأُولى ظاهراً في الوجوب يكون النهي في الثانية ظاهراً في التحريم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عبيد بن زرارة،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أبينها</w:t>
      </w:r>
      <w:r>
        <w:rPr>
          <w:rFonts w:eastAsia="Amiri" w:cs="Amiri" w:ascii="Amiri" w:hAnsi="Amiri"/>
          <w:color w:val="111111"/>
          <w:sz w:val="28"/>
          <w:szCs w:val="28"/>
          <w:rtl w:val="true"/>
          <w:lang w:bidi="ar-SA"/>
        </w:rPr>
        <w:t>:</w:t>
      </w:r>
      <w:bookmarkStart w:id="31" w:name="pg11457_149199"/>
    </w:p>
    <w:p>
      <w:pPr>
        <w:pStyle w:val="BookText"/>
        <w:rPr/>
      </w:pPr>
      <w:bookmarkEnd w:id="31"/>
      <w:r>
        <w:rPr>
          <w:rFonts w:ascii="Amiri" w:hAnsi="Amiri" w:eastAsia="Amiri" w:cs="Amiri"/>
          <w:color w:val="111111"/>
          <w:sz w:val="28"/>
          <w:sz w:val="28"/>
          <w:szCs w:val="28"/>
          <w:rtl w:val="true"/>
          <w:lang w:bidi="ar-SA"/>
        </w:rPr>
        <w:t>من شهد الشهر فليصمه و من سافر فلا يصمه</w:t>
      </w:r>
      <w:r>
        <w:rPr>
          <w:rFonts w:eastAsia="Amiri" w:cs="Amiri" w:ascii="Amiri" w:hAnsi="Amiri"/>
          <w:color w:val="111111"/>
          <w:sz w:val="28"/>
          <w:szCs w:val="28"/>
          <w:rtl w:val="true"/>
          <w:lang w:bidi="ar-SA"/>
        </w:rPr>
        <w:t>».</w:t>
      </w:r>
      <w:r>
        <w:rPr>
          <w:rStyle w:val="FootnoteAnchor"/>
          <w:rtl w:val="true"/>
        </w:rPr>
        <w:footnoteReference w:id="16"/>
      </w:r>
    </w:p>
    <w:p>
      <w:pPr>
        <w:pStyle w:val="Heading4"/>
        <w:numPr>
          <w:ilvl w:val="3"/>
          <w:numId w:val="1"/>
        </w:numPr>
        <w:rPr/>
      </w:pPr>
      <w:bookmarkStart w:id="32" w:name="__RefHeading___Toc2075378_73709187"/>
      <w:bookmarkStart w:id="33" w:name="_Toc12"/>
      <w:bookmarkEnd w:id="32"/>
      <w:r>
        <w:rPr>
          <w:rtl w:val="true"/>
        </w:rPr>
        <w:t>الثالث</w:t>
      </w:r>
      <w:r>
        <w:rPr>
          <w:rtl w:val="true"/>
        </w:rPr>
        <w:t xml:space="preserve">: </w:t>
      </w:r>
      <w:r>
        <w:rPr>
          <w:rtl w:val="true"/>
        </w:rPr>
        <w:t>المكتوب عليهما من أوّل الأمر هو صيام العدّة</w:t>
      </w:r>
      <w:bookmarkEnd w:id="33"/>
    </w:p>
    <w:p>
      <w:pPr>
        <w:pStyle w:val="Heading5"/>
        <w:numPr>
          <w:ilvl w:val="4"/>
          <w:numId w:val="1"/>
        </w:numPr>
        <w:rPr/>
      </w:pPr>
      <w:bookmarkStart w:id="34" w:name="__RefHeading___Toc2075380_73709187"/>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إنّ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المكتوب على الصنفين من أوّل الأمر هو الصيام في أيّام أُخر، فإذا كان الصيام واجباً على عامة المكلّفين و كان المكتوب عليهم من أوّل الأمر هو الصيام في أيام أُخر، فصيامهم في شهر رمضان يكون بدعة و تشريعاً محرّماً، لاتّفاق الأُمّة على عدم وجوب صومين طول السنة</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2075382_73709187"/>
      <w:bookmarkStart w:id="37" w:name="_Toc14"/>
      <w:bookmarkEnd w:id="36"/>
      <w:r>
        <w:rPr>
          <w:rtl w:val="true"/>
        </w:rPr>
        <w:t>كلمات بعض المفسرين تدعم موقفنا</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لفيفاً من المفسرين عند تفسير الآية حرفيّاً فسروا الآية على غرار ما ذكرنا، لكن عند ما وصلوا إلى بيان</w:t>
      </w:r>
    </w:p>
    <w:p>
      <w:pPr>
        <w:pStyle w:val="BookText"/>
        <w:rPr/>
      </w:pPr>
      <w:r>
        <w:rPr>
          <w:rFonts w:ascii="Amiri" w:hAnsi="Amiri" w:eastAsia="Amiri" w:cs="Amiri"/>
          <w:color w:val="111111"/>
          <w:sz w:val="28"/>
          <w:sz w:val="28"/>
          <w:szCs w:val="28"/>
          <w:rtl w:val="true"/>
          <w:lang w:bidi="ar-SA"/>
        </w:rPr>
        <w:t>حكم الإفطار من العزيمة و الرخصة، صدّهم فتوى إمامهم عن الإصحار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ممن كلّف صومه أو كان صحيحاً غير مريض و كان على سفر فعدّة من أيام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صوم عدّة الأيام التي أفطرها في مرضه أو في سفره من أيام أُخر، يعني من أيّام أُخر غير أيّام مرضه أو سفره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صوم 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عليهما صوم تلك العدة، و مع لزوم القضاء مطلقاً كيف يكون مخيّراً بين الإفطار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المريض و المسافر لا يصومان في حال المرض و السفر، لما في ذلك من المشقة عليهما، بل يفطران و يقضيان بعدة ذلك من أيام أُخر</w:t>
      </w:r>
      <w:r>
        <w:rPr>
          <w:rFonts w:eastAsia="Amiri" w:cs="Amiri" w:ascii="Amiri" w:hAnsi="Amiri"/>
          <w:color w:val="111111"/>
          <w:sz w:val="28"/>
          <w:szCs w:val="28"/>
          <w:rtl w:val="true"/>
          <w:lang w:bidi="ar-SA"/>
        </w:rPr>
        <w:t>.</w:t>
      </w:r>
      <w:r>
        <w:rPr>
          <w:rStyle w:val="FootnoteAnchor"/>
        </w:rPr>
        <w:footnoteReference w:id="1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8" w:name="pg11457_149201"/>
    </w:p>
    <w:p>
      <w:pPr>
        <w:pStyle w:val="BookText"/>
        <w:rPr/>
      </w:pPr>
      <w:bookmarkEnd w:id="38"/>
      <w:r>
        <w:rPr>
          <w:rFonts w:ascii="Amiri" w:hAnsi="Amiri" w:eastAsia="Amiri" w:cs="Amiri"/>
          <w:color w:val="111111"/>
          <w:sz w:val="28"/>
          <w:sz w:val="28"/>
          <w:szCs w:val="28"/>
          <w:rtl w:val="true"/>
          <w:lang w:bidi="ar-SA"/>
        </w:rPr>
        <w:t>و في الوقت نفسه هو يقول بعد 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اللّه صيامه على المقيم الصحيح و رخّص فيه للمريض و المسافر</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فأين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يصومان في حال المرض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يرخّص فيه للمريض و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الأوّل تعبير عن ظهور الآية جرى على قلمه بصورة عفوية من دون أن يلتفت إلى مذهب إمامه، و الجملة الثانية صدرت منه غفلة عمّا ذكره لدعم رأي إمام مذهبه</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2075384_73709187"/>
      <w:bookmarkStart w:id="40" w:name="_Toc15"/>
      <w:bookmarkEnd w:id="39"/>
      <w:r>
        <w:rPr>
          <w:rtl w:val="true"/>
        </w:rPr>
        <w:t xml:space="preserve">تقدير </w:t>
      </w:r>
      <w:r>
        <w:rPr>
          <w:rtl w:val="true"/>
        </w:rPr>
        <w:t>«</w:t>
      </w:r>
      <w:r>
        <w:rPr>
          <w:rtl w:val="true"/>
        </w:rPr>
        <w:t>فافطر</w:t>
      </w:r>
      <w:r>
        <w:rPr>
          <w:rtl w:val="true"/>
        </w:rPr>
        <w:t xml:space="preserve">» </w:t>
      </w:r>
      <w:r>
        <w:rPr>
          <w:rtl w:val="true"/>
        </w:rPr>
        <w:t>لتطبيق الآية على المذهب</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المفسرين لما أدرك ظهور الآية في لزوم الإفطار و صيام أيّام أُخر مكان الأيّام التي أفطر فيها، حاول أن يطبِّق الآية على مذهب الترخيص فقدّر بعد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 و كأنّ الصيام كتب عليهم أيضاً في شهر رمضان لكن لهم الخيار، فإذا أفطروا يجب عليهم صيام العدة و إن لم يفطروا فلا، و ليس هذا إلاّ لغاية تطبيق الآية على المذهب دون تفسير الآية برأسها، و ها نحن نذكر نماذج من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الرازي ممّن ذكر دليل القائل بكون الإفطار عزيمة لا رخصة و مع ذلك اختار المذهب الآخر بحجّة انّ في الآية تقديراً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انّ القضاء يجب بالإفطار لا بالمرض و السفر،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قوم من علماء الصحابة إلى أنّه يجب على المريض و المسافر أن يفطر أو يصوم عدّة من أيّام أُخر و هو قول ابن عباس و ابن عمر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أكثر الفقهاء إلى أنّ الإفطار رخصة، فإن شاء أفطر و إن شاء 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الجمهور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الآية إضماراً، لأنّ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فافطر فعدة من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الواحدي في كتاب البسيط،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إنّما يجب بالإفطار لا بالمرض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داود في سننه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حمزة الأسلمي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أصوم على السفر؟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إن شئت و أفطر إن شئت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الإضمار على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تقديره سوى تطبيق الآية على المذهب الفقهي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ادّعاء بلا دليل، و ظاهر الآية و الروايات التي ستوافيك انّ السفر لا يجتمع مع الصوم سواء أفطر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فسيوافيك حال الرواية،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المنار في تطبيق الآية على فتوى مذهب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صيام عدّة من أيّام أُخر غير تلك الأيّام المعدودات، فالواجب عليه القضاء إذا أفطر بعدد الأيام التي لم يصمها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ساق صاحب المنار إلى تقدير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وقوفه على دلالة الآية على لزوم الإفطار و انّ الواجب عليه هو صوم عدّة أيّام أُخر، فحاول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 الآية عن ظهورها و يجعلها ظاهرةً في التخيير بين صيام رمضان و صيام عدّة أيّام أُخر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انّه يصرّح في موضع آخر من كلامه بأنّه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كلامه عندئذ انّه صرفٌ للآية عن ظاهرها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السلف في هذه المسألة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الصوم عن الفرض، بل من صام في السفر وجب عليه قضاؤه في الحضر،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فَعَليه عدّة أو فالواجب عدة، و تأوّله الجمهور بأنّ التقدير</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فعدة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ينقضي تعجّبي منه، حيث إنّه يصفه بأنّه تأويل و مع ذلك يصرّ على صحة فتوى الجمهور، و مع أنّه يندّد في ثنايا تفسيره بجملة من المقلّدين لأئمّة مذاهبهم حيث يؤوّلون ظواهر الآية تطبيقاً لها لفتوى مذهب إمامهم، و يقول في مسألة الطلاق ثلاثاً التي اختار فيها تبعاً لظاهر القرآن بأنّه لا يقع إلاّ مرة واحدة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المراد مجادلة المقلّدين أو إرجاع القضاة و المفتين عن مذاهبهم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أكثرهم يطّلع على هذه النصوص في كتب الحديث و غيرها و لا يبالي بها، لأنّ العمل عندهم على أقوال كتبهم دون كتاب اللّه و سنّة رسوله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قد ردّ غير واحد من علماء الإمامية على من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إثبات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دلالة على أنّ المسافر و المريض يجب عليهما الإفطار، لأنّه تعالى أوجب عليهما القضاء مطلقاً، و كلّ من أوجب عليه القضاء بنفس السفر و المرض، أوجب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قدّروا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على خلاف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بوجوب الإفطار في السفر 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أسماء عدّة من الصحابة و التابعين القائلين بوجوب الإفطار الذين ذكرنا أسماءهم في صدر البحث</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مَرِيضاً أَوْ عَلى سَفَرٍ فَعِدَّةٌ مِنْ أَيّامٍ أُخَرَ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و الجملة متفرعة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الصيام مكتوب مفروض عليهم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قدّر القائلون بالرخصة في الآية تقديراً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فمن كان مريضاً أو على سفر فأفطر فعدّة من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التقدير كما صرّحوا به خلاف الظاهر لا يصار إليه إلاّ بقرينة، و لا قرينة من نفس الكلام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على تقدير تسليم التقدير لا يدلّ على الرخصة، فانّ المقام كما ذكروه مقام تشريع و غاية ما يدلّ عليه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مريضاً أو على سفر فافطر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الإفطار لا يقع معصية، بل جائزاً بالجواز بالمعنى الأعم من الوجوب و الاستحباب و الإباحة، و أمّا كونه جائزاً بالمعنى الأخصّ فلا دليل عليه من الكلام البتة، بل</w:t>
      </w:r>
      <w:bookmarkStart w:id="41" w:name="pg11457_149208"/>
    </w:p>
    <w:p>
      <w:pPr>
        <w:pStyle w:val="BookText"/>
        <w:rPr/>
      </w:pPr>
      <w:bookmarkEnd w:id="41"/>
      <w:r>
        <w:rPr>
          <w:rFonts w:ascii="Amiri" w:hAnsi="Amiri" w:eastAsia="Amiri" w:cs="Amiri"/>
          <w:color w:val="111111"/>
          <w:sz w:val="28"/>
          <w:sz w:val="28"/>
          <w:szCs w:val="28"/>
          <w:rtl w:val="true"/>
          <w:lang w:bidi="ar-SA"/>
        </w:rPr>
        <w:t>الدليل على خلافه، فانّ بناء الكلام على عدم بيان ما يجب بيانه في مقام التشريع لا يليق بالمشرّع الحكيم و هو ظاهر</w:t>
      </w:r>
      <w:r>
        <w:rPr>
          <w:rFonts w:eastAsia="Amiri" w:cs="Amiri" w:ascii="Amiri" w:hAnsi="Amiri"/>
          <w:color w:val="111111"/>
          <w:sz w:val="28"/>
          <w:szCs w:val="28"/>
          <w:rtl w:val="true"/>
          <w:lang w:bidi="ar-SA"/>
        </w:rPr>
        <w:t>.</w:t>
      </w:r>
      <w:r>
        <w:rPr>
          <w:rStyle w:val="FootnoteAnchor"/>
          <w:rtl w:val="true"/>
        </w:rPr>
        <w:footnoteReference w:id="24"/>
      </w:r>
    </w:p>
    <w:p>
      <w:pPr>
        <w:pStyle w:val="Heading4"/>
        <w:numPr>
          <w:ilvl w:val="3"/>
          <w:numId w:val="1"/>
        </w:numPr>
        <w:rPr/>
      </w:pPr>
      <w:bookmarkStart w:id="42" w:name="__RefHeading___Toc2075386_73709187"/>
      <w:bookmarkStart w:id="43" w:name="_Toc16"/>
      <w:bookmarkEnd w:id="42"/>
      <w:r>
        <w:rPr>
          <w:rtl w:val="true"/>
        </w:rPr>
        <w:t>الرابع</w:t>
      </w:r>
      <w:r>
        <w:rPr>
          <w:rtl w:val="true"/>
        </w:rPr>
        <w:t xml:space="preserve">: </w:t>
      </w:r>
      <w:r>
        <w:rPr>
          <w:rtl w:val="true"/>
        </w:rPr>
        <w:t>ذكر المريض و المسافر في سياق واحد</w:t>
      </w:r>
      <w:bookmarkEnd w:id="43"/>
    </w:p>
    <w:p>
      <w:pPr>
        <w:pStyle w:val="BookText"/>
        <w:rPr/>
      </w:pPr>
      <w:r>
        <w:rPr>
          <w:rFonts w:ascii="Amiri" w:hAnsi="Amiri" w:eastAsia="Amiri" w:cs="Amiri"/>
          <w:color w:val="111111"/>
          <w:sz w:val="28"/>
          <w:sz w:val="28"/>
          <w:szCs w:val="28"/>
          <w:rtl w:val="true"/>
          <w:lang w:bidi="ar-SA"/>
        </w:rPr>
        <w:t>إنّ الآية ذكرت المريض و المسافر في سياق واحد و حكم عليهما بحكم واحد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الرخصة في حقّ المسافر فقط، أو تعمّ المسافر و المريض؟ فالأوّل يستلزم التفكيك، فانّ ظاهر الآية انّ الصنفين في الحكم على غرار واحد لا يختلفان، فالحكم بجواز الإفطار في المسافر دون المريض لا يناسب ظاهر الآية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فهل يصحّ لفقيه أن يفتي بالترخيص في المريض إذا كان الصوم ضاراً أو شاقاً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الإضرار</w:t>
      </w:r>
      <w:bookmarkStart w:id="44" w:name="pg11457_149209"/>
    </w:p>
    <w:p>
      <w:pPr>
        <w:pStyle w:val="BookText"/>
        <w:rPr/>
      </w:pPr>
      <w:bookmarkEnd w:id="44"/>
      <w:r>
        <w:rPr>
          <w:rFonts w:ascii="Amiri" w:hAnsi="Amiri" w:eastAsia="Amiri" w:cs="Amiri"/>
          <w:color w:val="111111"/>
          <w:sz w:val="28"/>
          <w:sz w:val="28"/>
          <w:szCs w:val="28"/>
          <w:rtl w:val="true"/>
          <w:lang w:bidi="ar-SA"/>
        </w:rPr>
        <w:t>بالنفس حرام في الشريعة المقدسة كما أنّ الإحراج في امتثال الفرائض ليس مكتوباً و لا مجعولاً في الشرع،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إلى هنا تبين حكم المسافر و المريض، و إليك حكم الصنف الرابع</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075388_73709187"/>
      <w:bookmarkStart w:id="46" w:name="_Toc17"/>
      <w:bookmarkEnd w:id="45"/>
      <w:r>
        <w:rPr/>
        <w:t>4</w:t>
      </w:r>
      <w:r>
        <w:rPr>
          <w:rtl w:val="true"/>
        </w:rPr>
        <w:t xml:space="preserve">. </w:t>
      </w:r>
      <w:r>
        <w:rPr>
          <w:rtl w:val="true"/>
        </w:rPr>
        <w:t>المطيق</w:t>
      </w:r>
      <w:bookmarkEnd w:id="46"/>
    </w:p>
    <w:p>
      <w:pPr>
        <w:pStyle w:val="BookText"/>
        <w:rPr/>
      </w:pPr>
      <w:r>
        <w:rPr>
          <w:rFonts w:ascii="Amiri" w:hAnsi="Amiri" w:eastAsia="Amiri" w:cs="Amiri"/>
          <w:color w:val="111111"/>
          <w:sz w:val="28"/>
          <w:sz w:val="28"/>
          <w:szCs w:val="28"/>
          <w:rtl w:val="true"/>
          <w:lang w:bidi="ar-SA"/>
        </w:rPr>
        <w:t>هذا هو الصنف الرابع الذي يبيّن سبحانه حكمه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الَّذِينَ يُطِيقُونَهُ فِدْيَةٌ طَعامُ مِسْكِينٍ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هو الشيخ الكبير و الشيخة الكبيرة اللّذين لا يستطيعان أن يصوما أو لا يستطيعان إلاّ بمشقة كبيرة، و الظاهر هو الثاني، لأنّ الإطاقة في اللغة أدنى درجات المكنة و القدرة على الشيء، فلا تقول العرب أطاق إلاّ إذا كانت قدرته عليه في نهاية الضعف بحيث يتحمّل به</w:t>
      </w:r>
    </w:p>
    <w:p>
      <w:pPr>
        <w:pStyle w:val="BookText"/>
        <w:rPr/>
      </w:pPr>
      <w:r>
        <w:rPr>
          <w:rFonts w:ascii="Amiri" w:hAnsi="Amiri" w:eastAsia="Amiri" w:cs="Amiri"/>
          <w:color w:val="111111"/>
          <w:sz w:val="28"/>
          <w:sz w:val="28"/>
          <w:szCs w:val="28"/>
          <w:rtl w:val="true"/>
          <w:lang w:bidi="ar-SA"/>
        </w:rPr>
        <w:t>مشقة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فالواجب عليه فدية طعام، و قد اختلفوا في مقدار الفدية على نحو مذكور في الفقه،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و هم أهل الرأي،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 كلّ يوم، و هو المذهب المنصور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الاكتفاء بهذا المقدار أمر جائز، غير انّ من قدر على الزائد من هذا المقدار فهو خير، كما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تَطَوَّعَ خَيْراً فَهُوَ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أطعم أكثر من مسكين فهو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تفسيرين آخرين للتطوّع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ناظرة إلى المطيق و المقصود من جمع بين الصوم و الصدقة فهو خير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بأنّه بعيد عن ظاهر الآية، فانّ المفروض انّ الشيخ لا يطيق الصوم إلاّ ببذل عامة جهده و طاقته فهل يستحبّ له الجمع بين الصوم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المستطيع يجب عليه الصوم وحده و لا يستحب له الفدية و لكن الشيخ الكبير يستحب له مع الصوم، الفدية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ناظرة إلى أصحاب الأعذار،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 المسافر،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زادا على تلك الأيام المعدودات فهو خير له، لأنّ فائدته و ثوابه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هذا، لأنّها تفريع على حصر الفرضية في</w:t>
      </w:r>
      <w:r>
        <w:rPr>
          <w:rStyle w:val="FootnoteAnchor"/>
          <w:rtl w:val="true"/>
        </w:rPr>
        <w:footnoteReference w:id="26"/>
      </w:r>
      <w:r>
        <w:rPr>
          <w:rFonts w:ascii="Amiri" w:hAnsi="Amiri" w:eastAsia="Amiri" w:cs="Amiri"/>
          <w:color w:val="111111"/>
          <w:sz w:val="28"/>
          <w:sz w:val="28"/>
          <w:szCs w:val="28"/>
          <w:rtl w:val="true"/>
          <w:lang w:bidi="ar-SA"/>
        </w:rPr>
        <w:t>الأيام المعدودات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بأنّه كيف تكون الجملة ناظرة إلى أصحاب الأعذار مع توسط حكم الصنف الرابع بينهما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الَّذِينَ يُطِيقُونَهُ فِدْيَةٌ طَعامُ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تَطَوَّعَ خَيْراً فَهُوَ خَيْرٌ لَهُ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انّه يرجع إلى الصنف الرابع، و الجملة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حصر الفرض في طعام مسكين،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بزيادة إطعام المسكين فهو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حكم الأصناف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تفسير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المخاطب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تَصُومُوا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سبحانه بعد ما بيّن أحكام الأصناف الأربعة خاطب عامة المؤمنين مرّة أُخرى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تَصُومُوا خَيْرٌ لَكُمْ إِنْ كُنْتُمْ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الخطاب على غرار الخطاب السابق، أعني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الصِّيامُ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الخطابين انّ الخطاب السابق خطاب</w:t>
      </w:r>
    </w:p>
    <w:p>
      <w:pPr>
        <w:pStyle w:val="BookText"/>
        <w:rPr/>
      </w:pPr>
      <w:r>
        <w:rPr>
          <w:rFonts w:ascii="Amiri" w:hAnsi="Amiri" w:eastAsia="Amiri" w:cs="Amiri"/>
          <w:color w:val="111111"/>
          <w:sz w:val="28"/>
          <w:sz w:val="28"/>
          <w:szCs w:val="28"/>
          <w:rtl w:val="true"/>
          <w:lang w:bidi="ar-SA"/>
        </w:rPr>
        <w:t>إجمالي و دعوة إلى الصوم و الخطاب اللاحق خطاب بعد تفصيل أحكام الأصناف الأربعة، فتكون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تصوموا أيّها المكلّفون على النحو المذكور في الآية خير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الشاهد، و يفطر المريض و المسافر و يصوم في أيّام أُخر و يفدي المطيق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يقول بالرخصة في المريض و المسافر أو في خصوص المسافر يتخذ ذلك ذريعة للرخصة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فيها لأهل الرخص، و انّ الصيام في رمضان خير لهم من الترخّص</w:t>
      </w:r>
      <w:r>
        <w:rPr>
          <w:rStyle w:val="FootnoteAnchor"/>
          <w:rtl w:val="true"/>
        </w:rPr>
        <w:footnoteReference w:id="27"/>
      </w:r>
      <w:r>
        <w:rPr>
          <w:rFonts w:ascii="IRNazanin" w:hAnsi="IRNazanin" w:eastAsia="IRNazanin"/>
          <w:color w:val="111111"/>
          <w:sz w:val="28"/>
          <w:sz w:val="28"/>
          <w:szCs w:val="28"/>
          <w:rtl w:val="true"/>
          <w:lang w:bidi="fa-IR"/>
        </w:rPr>
        <w:t>بالإفطار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 بأنّ التفسير نابع من محاولة إخضاع الآية على المذهب الفقهي، و هو التخيير بين الصوم و الإفطار، و لكنّه غير تام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صرف الخطاب العام إلى الصنف الخاص،ه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بلا دليل و من شعب التفسير بالرأي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الخطاب لأهل الرخص كان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يصوم المسافر خير من الإفطار و يبيّن الحكم باللفظ الغائب، لا بالخطاب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كما مرّ انّه تأكيد على امتثال الفريضة و انّ الصوم خير، فله أثره الجميل في النفس فانّ التنزّه عن الاسترسال في استيفاء اللذائذ الجسمانية، و كبح جماح الشهوات يورث التقوى و التجافي عن الاخلاد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لغاية الإيضاح نقول إنّ الآية الثانية، تتشكل من أربع فقرات بعد بيان انّ الواجب لا يتجاوز عن كونه أيّاماً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الَّذِينَ يُطِيقُونَهُ فِدْيَةٌ طَعامُ مِسْكِينٍ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تَطَوَّعَ خَيْراً فَهُوَ خَيْرٌ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تَصُومُوا خَيْرٌ لَكُمْ إِنْ كُنْتُمْ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الفقرات الثلاث الأُول بصيغة الغائب بخلاف الأخيرة فجاءت بصيغة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على أنّه منقطع عن المقاطع الثلاثة و تأكيد للخطاب الأوّل بعد التفصيل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الصِّيامُ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ذكر في الآية الثالثة جملاً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بيان لحكمة رفع الصيام عن الأصناف الثلاثة، أي أُمروا بالإفطار لأجل اليسر و دفع العسر، من غير فرق بين المريض و المسافر و من يشق عليه الصيام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لِتُكْمِلُوا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راجع إلى قضاء المريض و المسافر، أي أنّ الموضوع عنهما هو حكم الصيام في شهر رمضان، و أمّا القضاء بعدد الأيّام المعدودات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لِتُكَبِّرُوا اللّهَ عَلى ما هَداكُمْ وَ لَعَلَّكُمْ تَشْكُرُونَ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غاية أصل الصيام حيث إنّه سبحانه يطلب من عباده، تكبيرَه في مقابل هدايتهم حتّى يكونوا شاكرين لنعمه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تفسير الآيات الثلاث حسب ما يوحيه ظاهرها</w:t>
      </w:r>
      <w:r>
        <w:rPr>
          <w:rFonts w:eastAsia="Amiri" w:cs="Amiri" w:ascii="Amiri" w:hAnsi="Amiri"/>
          <w:color w:val="111111"/>
          <w:sz w:val="28"/>
          <w:szCs w:val="28"/>
          <w:rtl w:val="true"/>
          <w:lang w:bidi="ar-SA"/>
        </w:rPr>
        <w:t>.</w:t>
      </w:r>
      <w:bookmarkStart w:id="47" w:name="pg11457_149217"/>
    </w:p>
    <w:p>
      <w:pPr>
        <w:pStyle w:val="Heading2"/>
        <w:numPr>
          <w:ilvl w:val="1"/>
          <w:numId w:val="1"/>
        </w:numPr>
        <w:rPr/>
      </w:pPr>
      <w:bookmarkStart w:id="48" w:name="__RefHeading___Toc2075390_73709187"/>
      <w:bookmarkStart w:id="49" w:name="_Toc18"/>
      <w:bookmarkEnd w:id="47"/>
      <w:bookmarkEnd w:id="48"/>
      <w:r>
        <w:rPr/>
        <w:t>2</w:t>
      </w:r>
      <w:r>
        <w:rPr>
          <w:rtl w:val="true"/>
        </w:rPr>
        <w:t xml:space="preserve"> </w:t>
      </w:r>
      <w:r>
        <w:rPr>
          <w:rtl w:val="true"/>
        </w:rPr>
        <w:t>السنّة وصوم شهر رمضان في السفر</w:t>
      </w:r>
      <w:bookmarkEnd w:id="49"/>
    </w:p>
    <w:p>
      <w:pPr>
        <w:pStyle w:val="BookText"/>
        <w:rPr/>
      </w:pPr>
      <w:r>
        <w:rPr>
          <w:rFonts w:ascii="Amiri" w:hAnsi="Amiri" w:eastAsia="Amiri" w:cs="Amiri"/>
          <w:color w:val="111111"/>
          <w:sz w:val="28"/>
          <w:sz w:val="28"/>
          <w:szCs w:val="28"/>
          <w:rtl w:val="true"/>
          <w:lang w:bidi="ar-SA"/>
        </w:rPr>
        <w:t xml:space="preserve">قد عرفت قضاء الكتاب في مورد الصوم في السفر و انّ الواجب هو الإفطار و القضاء في أيّام أُخر حسب ما أفطر، فلنرجع إلى السنّة و لندرس الروايات الواردة، و سيوافيك انّها تعاضد القرآن الكريم و لا تخالفه قيد شعرة بشرط الإمعان في مضامينها و أسنادها، أمّا ما ورد عن طريق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متضافر لا يسعنا نقلها في المقام و إنّما نتبرّك بذكر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بسنده 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صوم السفر و المرض فانّ العامة قد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 إن</w:t>
      </w:r>
    </w:p>
    <w:p>
      <w:pPr>
        <w:pStyle w:val="BookText"/>
        <w:rPr/>
      </w:pPr>
      <w:r>
        <w:rPr>
          <w:rFonts w:ascii="Amiri" w:hAnsi="Amiri" w:eastAsia="Amiri" w:cs="Amiri"/>
          <w:color w:val="111111"/>
          <w:sz w:val="28"/>
          <w:sz w:val="28"/>
          <w:szCs w:val="28"/>
          <w:rtl w:val="true"/>
          <w:lang w:bidi="ar-SA"/>
        </w:rPr>
        <w:t>شاء أفطر، و 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الحالين جميعاً، فإن صام في حال السفر أو في حال المرض فعليه القضاء، فانّ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الصيام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بسنده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صاموا حين أفطر 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العصاة إلى يوم القيامة، و انّا لنعرف أبناءهم و أبناء أبنائهم إلى يومنا هذا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الشهر فليصمه، و إن سافر فلا يصمه</w:t>
      </w:r>
      <w:r>
        <w:rPr>
          <w:rFonts w:eastAsia="Amiri" w:cs="Amiri" w:ascii="Amiri" w:hAnsi="Amiri"/>
          <w:color w:val="111111"/>
          <w:sz w:val="28"/>
          <w:szCs w:val="28"/>
          <w:rtl w:val="true"/>
          <w:lang w:bidi="ar-SA"/>
        </w:rPr>
        <w:t>».</w:t>
      </w:r>
      <w:r>
        <w:rPr>
          <w:rStyle w:val="FootnoteAnchor"/>
        </w:rPr>
        <w:footnoteReference w:id="3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تصدّق على مرضى أُمّتي و مسافريها بالتقصير و الإفطار، أ يسرُّ أحدكم إذا تصدّق بصدقة</w:t>
      </w:r>
      <w:r>
        <w:rPr>
          <w:rStyle w:val="FootnoteAnchor"/>
          <w:rtl w:val="true"/>
        </w:rPr>
        <w:footnoteReference w:id="31"/>
      </w:r>
      <w:r>
        <w:rPr>
          <w:rFonts w:ascii="Amiri" w:hAnsi="Amiri" w:eastAsia="Amiri" w:cs="Amiri"/>
          <w:color w:val="111111"/>
          <w:sz w:val="28"/>
          <w:sz w:val="28"/>
          <w:szCs w:val="28"/>
          <w:rtl w:val="true"/>
          <w:lang w:bidi="ar-SA"/>
        </w:rPr>
        <w:t>ان ترد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عن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مسافراً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المدينة إلى مكة في شهر رمضان و معه الناس و فيهم المشاة، فلمّا انتهى إلى كراع الغميم دعا بقدح من ماء فيما بين الظهر و العصر فشرب و أفطر ثمّ أفطر الناس معه، و ثَمَّ أُناس على صومهم فسمّاهم العصاة، و إنّما يؤخذ بآخر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ما روي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ليكون نموذجاً لما لم نذكر، و اقتصرنا بالقليل من الكثير، و من المعلوم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الثقلين اللّذين تركهما الرسول بين الأُمّة لصيانتها عن الضلالة فلا يعادل قولَهم قولُ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حسن الحظ انّ روايات أهل السنّة توافق ما روي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الشيخان في صحيحيهما عن جابر بن عبد اللّه الأنصاري، كان رسول اللّه في سفر فرأى ازدحاماً و رجلاً قد ظُلِّل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تصوموا في السفر</w:t>
      </w:r>
      <w:r>
        <w:rPr>
          <w:rFonts w:eastAsia="Amiri" w:cs="Amiri" w:ascii="Amiri" w:hAnsi="Amiri"/>
          <w:color w:val="111111"/>
          <w:sz w:val="28"/>
          <w:szCs w:val="28"/>
          <w:rtl w:val="true"/>
          <w:lang w:bidi="ar-SA"/>
        </w:rPr>
        <w:t>.</w:t>
      </w:r>
      <w:r>
        <w:rPr>
          <w:rStyle w:val="FootnoteAnchor"/>
        </w:rPr>
        <w:footnoteReference w:id="3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البر في مصطلح القرآن هو العمل الحسن الذي يقابله الإثم،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تَعاوَنُوا عَلَى الْبِرِّ وَ التَّقْوى وَ لا تَعاوَنُوا عَلَى الْإِثْمِ وَ الْعُدْوانِ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فإذا لم يكن الصوم في السفر براً فهو إثم و حكم الإثم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ورد فيمن وقع في حرج شديد،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قاعدة كلية لمطلق الصائم في السفر، سواء أ كان عليه حرج أم لا، بشهادة انّه لو كان الموضوع هو الصوم الحرجي لكان عليه التركيز عليه و يقول ليس من البر الصوم الحرجي أو يستشهد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حال ذلك الرجل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لا يجوز، لأنّ تلك الحال محرّم، البلوغُ إليها باختيار المرء للصوم في الحضر كما هو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السفر، فتخصيص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الصيام في السفر إبطال لهذه الدعوى المفتراة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واجب أخذ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جابر بن عبد اللّه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عام الفتح إلى مكة في رمضان فصام حتى بلغ كراع الغميم فصام الناس، ثمّ دعا بقدح من ماء فرفعه حتّى نظر الناس إليه ثمّ شرب، فقيل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قد صام؟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العصاة،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أُولئك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العصيان هو مخالفة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يَعْصِ اللّهَ وَ رَسُولَهُ فَقَدْ ضَلَّ ضَلالاً مُبِيناً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ممّن يريد احياء مذهب إمامه يحمل الحديث على 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أمراً استحبابياً، لكنّه بمعزل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الواقع، فأين الاستحباب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العصاة، أُولئك العصاة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ماجة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صائم رمضان في السفر كالمفطر</w:t>
      </w:r>
      <w:r>
        <w:rPr>
          <w:rStyle w:val="FootnoteAnchor"/>
          <w:rtl w:val="true"/>
        </w:rPr>
        <w:footnoteReference w:id="37"/>
      </w:r>
      <w:r>
        <w:rPr>
          <w:rFonts w:ascii="Amiri" w:hAnsi="Amiri" w:eastAsia="Amiri" w:cs="Amiri"/>
          <w:color w:val="111111"/>
          <w:sz w:val="28"/>
          <w:sz w:val="28"/>
          <w:szCs w:val="28"/>
          <w:rtl w:val="true"/>
          <w:lang w:bidi="ar-SA"/>
        </w:rPr>
        <w:t>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الحديث على كون الإفطار عزيمة واضحة، فانّ الإفطار في السفر إذا كان اثماً و حراماً فيكون النازل منزلته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في نفس هذا الشهر اثماً و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ماجة عن أنس بن مالك، عن رجل من بني عبد الأشهل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أغارت علينا خيل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يتغدّى،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أُحدّثك عن الصوم أو الصيام، إنّ اللّه عزّ و جلّ وضع عن المسافر شطر الصلاة، و عن المسافر و الحامل و المرضع، الصوم أو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قالهما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كلتاهما أو إحداهما، فيا لهف نفسي فهلاّ كنت طعمت من طعام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داود انّ دحية بن خليفة خرج من قرية من دمشق إلى قدر قرية عقبة من الفسطاط، و ذلك ثلاثة أميال في رمضان، ثمّ إنّه أفطر و أفطر معه أُناس و كره آخرون أن يفطروا، فلمّا رجع إلى قريته،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رأيت اليوم أمراً ما كنت أظن انّي أراه، انّ قوماً رغبوا عن هدى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للذين صاموا ثمّ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اقبضني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يستدلّ به على كون الإفطار عزيمة، و قد تركنا البعض الآخر لما استوفينا البحث في نقل الروايات الواردة في الصحاح و السنن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أراد التبسط فليرجع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0" w:name="pg11457_149225"/>
    </w:p>
    <w:p>
      <w:pPr>
        <w:pStyle w:val="Heading2"/>
        <w:numPr>
          <w:ilvl w:val="1"/>
          <w:numId w:val="1"/>
        </w:numPr>
        <w:rPr/>
      </w:pPr>
      <w:bookmarkStart w:id="51" w:name="__RefHeading___Toc2075392_73709187"/>
      <w:bookmarkStart w:id="52" w:name="_Toc19"/>
      <w:bookmarkEnd w:id="50"/>
      <w:bookmarkEnd w:id="51"/>
      <w:r>
        <w:rPr/>
        <w:t>3</w:t>
      </w:r>
      <w:r>
        <w:rPr>
          <w:rtl w:val="true"/>
        </w:rPr>
        <w:t xml:space="preserve"> </w:t>
      </w:r>
      <w:r>
        <w:rPr>
          <w:rtl w:val="true"/>
        </w:rPr>
        <w:t>ما اتّخذ ذريعة لجواز الصوم في السفر</w:t>
      </w:r>
      <w:bookmarkEnd w:id="52"/>
    </w:p>
    <w:p>
      <w:pPr>
        <w:pStyle w:val="Heading3"/>
        <w:numPr>
          <w:ilvl w:val="2"/>
          <w:numId w:val="1"/>
        </w:numPr>
        <w:rPr/>
      </w:pPr>
      <w:bookmarkStart w:id="53" w:name="__RefHeading___Toc2075394_73709187"/>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إنّ هنا روايات يتمسّك بها على أنّ الإفطار رخصة و انّ المكلّف مخيّر بينه و بين الصيام و قبل الخوض في المقام نلفت نظر القارئ إلى أُمور ثلاثة يظهر بالإمعان فيها حال بعض ما روي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البحث مركّز على حكم صيام شهر رمضان في السفر، و انّ الإفطار عزيمة أو رخصة و أمّا صيام غيره في السفر فخارج عن موضوع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بالإفطار في عام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الثامنة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الحكم قبله على الجواز، فلو دلّ حديث عليه فإنّما يصحّ الاستدلال به إذا ورد بعد عام الفتح، و إلاّ فالجواز قبل الفتح ليس مورداً للنقاش</w:t>
      </w:r>
      <w:r>
        <w:rPr>
          <w:rFonts w:eastAsia="Amiri" w:cs="Amiri" w:ascii="Amiri" w:hAnsi="Amiri"/>
          <w:color w:val="111111"/>
          <w:sz w:val="28"/>
          <w:szCs w:val="28"/>
          <w:rtl w:val="true"/>
          <w:lang w:bidi="ar-SA"/>
        </w:rPr>
        <w:t>.</w:t>
      </w:r>
      <w:bookmarkStart w:id="55" w:name="pg11457_149226"/>
    </w:p>
    <w:p>
      <w:pPr>
        <w:pStyle w:val="BookText"/>
        <w:rPr/>
      </w:pPr>
      <w:bookmarkEnd w:id="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افترضنا دلالة الروايات على التخيير فتقع المعارضة بين الآمرة بالإفطار و الحاكمة على التخيير، فلا بدّ من الرجوع إلى المرجّحات فما وافق الكتاب فهو الحجّة دون ما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هذه الأُمور ندرس الروايات المجوّزة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المجوّزة على أصناف</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075396_73709187"/>
      <w:bookmarkStart w:id="57" w:name="_Toc21"/>
      <w:bookmarkEnd w:id="56"/>
      <w:r>
        <w:rPr>
          <w:rtl w:val="true"/>
        </w:rPr>
        <w:t>أ</w:t>
      </w:r>
      <w:r>
        <w:rPr>
          <w:rtl w:val="true"/>
        </w:rPr>
        <w:t xml:space="preserve">. </w:t>
      </w:r>
      <w:r>
        <w:rPr>
          <w:rtl w:val="true"/>
        </w:rPr>
        <w:t>ما ليس صريحاً في شهر رمضان</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عائشة انّ حمزة بن عمرو الأسلمي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في السفر و كان كثير الصيام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فصم، و ان شئت فافطر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أن يكون قرينة على أنّ السؤال كان عن الصوم المندوب، و لو لم يكن قرينة فالحديث ليس صريحاً في صيام شهر رمضان، و ما لم</w:t>
      </w:r>
    </w:p>
    <w:p>
      <w:pPr>
        <w:pStyle w:val="BookText"/>
        <w:rPr/>
      </w:pPr>
      <w:r>
        <w:rPr>
          <w:rFonts w:ascii="Amiri" w:hAnsi="Amiri" w:eastAsia="Amiri" w:cs="Amiri"/>
          <w:color w:val="111111"/>
          <w:sz w:val="28"/>
          <w:sz w:val="28"/>
          <w:szCs w:val="28"/>
          <w:rtl w:val="true"/>
          <w:lang w:bidi="ar-SA"/>
        </w:rPr>
        <w:t>يكن كذلك لا 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أخرجه البخاري بسنده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أسفاره في يوم حار حتّى يضع الرجل يده على رأسه من شدة الحرّ و ما فينا صائم إلاّ ما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رواحة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الرواية السابقة من عدم ظهور الرواية في صوم شهر رمضان، و معه لا يحتجّ به، مع أنّه يحتمل أن يكون صومه قبل عام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نسافر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 الصائم على المفطر و لا المفطر على الصائم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صريحاً في شهر رمضان مضافاً إلى سكوت الصحابة ليس حجّة شرعية و ليسي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تشريعية حتّى يكون تقريرهم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يحتمل أن يكون ذلك قبل يوم الفتح، و قد عرفت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ندّد بمن لم يُفطر في ذلك اليوم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العصاة، أُولئك العصاة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بسنده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 على من صام و لا على من أفطر، فقد 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و 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الحديث صريحاً في شهر رمضان و لا ظاهراً فيه، على أنّه يمكن أن يكون قبل الفتح، و منه يظهر ما نقله مسلم في صحيحه</w:t>
      </w:r>
      <w:r>
        <w:rPr>
          <w:rStyle w:val="FootnoteAnchor"/>
          <w:rtl w:val="true"/>
        </w:rPr>
        <w:footnoteReference w:id="39"/>
      </w:r>
      <w:r>
        <w:rPr>
          <w:rFonts w:ascii="Amiri" w:hAnsi="Amiri" w:eastAsia="Amiri" w:cs="Amiri"/>
          <w:color w:val="111111"/>
          <w:sz w:val="28"/>
          <w:sz w:val="28"/>
          <w:szCs w:val="28"/>
          <w:rtl w:val="true"/>
          <w:lang w:bidi="ar-SA"/>
        </w:rPr>
        <w:t xml:space="preserve">و ما ذكره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Style w:val="FootnoteAnchor"/>
        </w:rPr>
        <w:footnoteReference w:id="4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8" w:name="pg11457_149229"/>
    </w:p>
    <w:p>
      <w:pPr>
        <w:pStyle w:val="Heading3"/>
        <w:numPr>
          <w:ilvl w:val="2"/>
          <w:numId w:val="1"/>
        </w:numPr>
        <w:rPr/>
      </w:pPr>
      <w:bookmarkStart w:id="59" w:name="__RefHeading___Toc2075398_73709187"/>
      <w:bookmarkStart w:id="60" w:name="_Toc22"/>
      <w:bookmarkEnd w:id="58"/>
      <w:bookmarkEnd w:id="59"/>
      <w:r>
        <w:rPr>
          <w:rtl w:val="true"/>
        </w:rPr>
        <w:t>ب</w:t>
      </w:r>
      <w:r>
        <w:rPr>
          <w:rtl w:val="true"/>
        </w:rPr>
        <w:t xml:space="preserve">: </w:t>
      </w:r>
      <w:r>
        <w:rPr>
          <w:rtl w:val="true"/>
        </w:rPr>
        <w:t>ما هو صريح في شهر رمضان و ليس صريحاً في ما بعد الفتح</w:t>
      </w:r>
      <w:bookmarkEnd w:id="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عن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نسافر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فما يعاب على الصائم صومه و لا على المفطر إفطاره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رمضان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فلم يعب الصائم على المفطر و لا المفطر على الصائم</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شهر رمضان في غزوة بدر، و أُخرى في عام الفتح، فلعلّ الحديثين ناظران إلى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في غزوة بدر، و إلاّ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ندّد بمن تخلّف و صام في رمضان عام الفتح و سمّاهم عصاة، و الحديثان شاهدان على أنّ ما</w:t>
      </w:r>
      <w:bookmarkStart w:id="61" w:name="pg11457_149230"/>
    </w:p>
    <w:p>
      <w:pPr>
        <w:pStyle w:val="BookText"/>
        <w:rPr/>
      </w:pPr>
      <w:bookmarkEnd w:id="61"/>
      <w:r>
        <w:rPr>
          <w:rFonts w:ascii="Amiri" w:hAnsi="Amiri" w:eastAsia="Amiri" w:cs="Amiri"/>
          <w:color w:val="111111"/>
          <w:sz w:val="28"/>
          <w:sz w:val="28"/>
          <w:szCs w:val="28"/>
          <w:rtl w:val="true"/>
          <w:lang w:bidi="ar-SA"/>
        </w:rPr>
        <w:t>دلّ على الجواز، فإنّما يرجع إلى ما قبل الفتح لا فيه و لا بعده</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075400_73709187"/>
      <w:bookmarkStart w:id="63" w:name="_Toc23"/>
      <w:bookmarkEnd w:id="62"/>
      <w:r>
        <w:rPr>
          <w:rtl w:val="true"/>
        </w:rPr>
        <w:t>ج</w:t>
      </w:r>
      <w:r>
        <w:rPr>
          <w:rtl w:val="true"/>
        </w:rPr>
        <w:t xml:space="preserve">: </w:t>
      </w:r>
      <w:r>
        <w:rPr>
          <w:rtl w:val="true"/>
        </w:rPr>
        <w:t>ما هو ضعيف سنداً لا يحتجّ به</w:t>
      </w:r>
      <w:bookmarkEnd w:id="63"/>
    </w:p>
    <w:p>
      <w:pPr>
        <w:pStyle w:val="BookText"/>
        <w:rPr/>
      </w:pPr>
      <w:r>
        <w:rPr>
          <w:rFonts w:ascii="Amiri" w:hAnsi="Amiri" w:eastAsia="Amiri" w:cs="Amiri"/>
          <w:color w:val="111111"/>
          <w:sz w:val="28"/>
          <w:sz w:val="28"/>
          <w:szCs w:val="28"/>
          <w:rtl w:val="true"/>
          <w:lang w:bidi="ar-SA"/>
        </w:rPr>
        <w:t>و هناك روايات ضعاف لا يحتج بها، نذكر منها نموذجين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العطريف بن هارون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سافرا فصام أحدهما و أفطر الآخر، فذكرا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أصاب</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مرسلاً عن أبي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ينادى في الناس من شاء صام و من شاء أفطر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الرواية مرسلة لا يحتجّ بها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رواه ابن حزم عن عائشة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كانت</w:t>
      </w:r>
    </w:p>
    <w:p>
      <w:pPr>
        <w:pStyle w:val="BookText"/>
        <w:rPr/>
      </w:pPr>
      <w:r>
        <w:rPr>
          <w:rFonts w:ascii="Amiri" w:hAnsi="Amiri" w:eastAsia="Amiri" w:cs="Amiri"/>
          <w:color w:val="111111"/>
          <w:sz w:val="28"/>
          <w:sz w:val="28"/>
          <w:szCs w:val="28"/>
          <w:rtl w:val="true"/>
          <w:lang w:bidi="ar-SA"/>
        </w:rPr>
        <w:t>تصوم في السفر و تتم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منها لا يحتجّ به إذا صامت في شهر رمضان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بين ما هي غير صريحة في كون الصيام كان صيام شهر رمضان أو صريح في كونه في شهر رمضان لكن ليس صريحاً فيما بعد الفتح و بين ما هي ضعيفة سنداً لا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افترضنا دلالة هذه الروايات على الرخصة فتقع المعارضة بينها و بين ما دلّت بصراحتها على أنّ الإفطار عزيمة و عندئذ يقع التعارض بينهما فتصل النوبة إلى المرجّحات، و أُولى المرجّحات هو موافقة الكتاب، و من المعلوم انّ الطائفة الأُولى توافق الكتاب و قد عرفت دلالة الكتاب على أنّ الإفطار عزيمة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 الجواز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في ذيل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نقله عن بعض المفسرين و ردّ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غير مطرد و لا متفق عليه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 وجوه الصوم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باب كراهية الصوم في السفر،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المضمون في غير واحد من روايات أهل السنّة روى مسلم في رواية خرج رسول اللّه عام الفتح في رمضان فصام حتى بلغ الكديد ثمّ أفطر و كان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يتبعون الأحدث فالأحدث 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باب جواز الصوم و الفطر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باب جواز الصوم و الفطر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5861</Words>
  <Characters>23112</Characters>
  <CharactersWithSpaces>28667</CharactersWithSpaces>
  <Paragraphs>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2026-08-21T22:38:40Z</dcterms:created>
  <dc:creator>ghaemiyeh.com</dc:creator>
  <dc:description/>
  <dc:language>en-US</dc:language>
  <cp:lastModifiedBy/>
  <dcterms:modified xsi:type="dcterms:W3CDTF">2026-08-22T02:08:42Z</dcterms:modified>
  <cp:revision>1</cp:revision>
  <dc:subject/>
  <dc:title>سلسله المسائل الفقهیه جلد 9</dc:title>
</cp:coreProperties>
</file>

<file path=docProps/custom.xml><?xml version="1.0" encoding="utf-8"?>
<Properties xmlns="http://schemas.openxmlformats.org/officeDocument/2006/custom-properties" xmlns:vt="http://schemas.openxmlformats.org/officeDocument/2006/docPropsVTypes"/>
</file>