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المسائل الفقهیه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58009_7370918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258011_73709187">
            <w:r>
              <w:rPr>
                <w:webHidden/>
                <w:rStyle w:val="IndexLink"/>
                <w:rtl w:val="true"/>
              </w:rPr>
              <w:t>الوضوء على ضوء الكتاب والسنّة</w:t>
            </w:r>
            <w:r>
              <w:rPr>
                <w:rStyle w:val="IndexLink"/>
                <w:rtl w:val="true"/>
              </w:rPr>
              <w:tab/>
            </w:r>
            <w:r>
              <w:rPr>
                <w:rStyle w:val="IndexLink"/>
              </w:rPr>
              <w:t>4</w:t>
            </w:r>
          </w:hyperlink>
        </w:p>
        <w:p>
          <w:pPr>
            <w:pStyle w:val="Contents2"/>
            <w:tabs>
              <w:tab w:val="clear" w:pos="8743"/>
              <w:tab w:val="right" w:pos="9026" w:leader="dot"/>
            </w:tabs>
            <w:rPr/>
          </w:pPr>
          <w:hyperlink w:anchor="__RefHeading___Toc1258013_73709187">
            <w:r>
              <w:rPr>
                <w:webHidden/>
                <w:rStyle w:val="IndexLink"/>
              </w:rPr>
              <w:t>1</w:t>
            </w:r>
            <w:r>
              <w:rPr>
                <w:rStyle w:val="IndexLink"/>
                <w:rtl w:val="true"/>
              </w:rPr>
              <w:t>-</w:t>
            </w:r>
            <w:r>
              <w:rPr>
                <w:rStyle w:val="IndexLink"/>
                <w:rtl w:val="true"/>
              </w:rPr>
              <w:t>آية الوضوء آية محكمة</w:t>
            </w:r>
            <w:r>
              <w:rPr>
                <w:rStyle w:val="IndexLink"/>
                <w:rtl w:val="true"/>
              </w:rPr>
              <w:tab/>
            </w:r>
            <w:r>
              <w:rPr>
                <w:rStyle w:val="IndexLink"/>
              </w:rPr>
              <w:t>8</w:t>
            </w:r>
          </w:hyperlink>
        </w:p>
        <w:p>
          <w:pPr>
            <w:pStyle w:val="Contents2"/>
            <w:tabs>
              <w:tab w:val="clear" w:pos="8743"/>
              <w:tab w:val="right" w:pos="9026" w:leader="dot"/>
            </w:tabs>
            <w:rPr/>
          </w:pPr>
          <w:hyperlink w:anchor="__RefHeading___Toc1258015_73709187">
            <w:r>
              <w:rPr>
                <w:webHidden/>
                <w:rStyle w:val="IndexLink"/>
              </w:rPr>
              <w:t>2</w:t>
            </w:r>
            <w:r>
              <w:rPr>
                <w:rStyle w:val="IndexLink"/>
                <w:rtl w:val="true"/>
              </w:rPr>
              <w:t>-</w:t>
            </w:r>
            <w:r>
              <w:rPr>
                <w:rStyle w:val="IndexLink"/>
                <w:rtl w:val="true"/>
              </w:rPr>
              <w:t>بداية الاختلاف</w:t>
            </w:r>
            <w:r>
              <w:rPr>
                <w:rStyle w:val="IndexLink"/>
                <w:rtl w:val="true"/>
              </w:rPr>
              <w:tab/>
            </w:r>
            <w:r>
              <w:rPr>
                <w:rStyle w:val="IndexLink"/>
              </w:rPr>
              <w:t>14</w:t>
            </w:r>
          </w:hyperlink>
        </w:p>
        <w:p>
          <w:pPr>
            <w:pStyle w:val="Contents2"/>
            <w:tabs>
              <w:tab w:val="clear" w:pos="8743"/>
              <w:tab w:val="right" w:pos="9026" w:leader="dot"/>
            </w:tabs>
            <w:rPr/>
          </w:pPr>
          <w:hyperlink w:anchor="__RefHeading___Toc1258017_73709187">
            <w:r>
              <w:rPr>
                <w:webHidden/>
                <w:rStyle w:val="IndexLink"/>
              </w:rPr>
              <w:t>3</w:t>
            </w:r>
            <w:r>
              <w:rPr>
                <w:rStyle w:val="IndexLink"/>
                <w:rtl w:val="true"/>
              </w:rPr>
              <w:t>-</w:t>
            </w:r>
            <w:r>
              <w:rPr>
                <w:rStyle w:val="IndexLink"/>
                <w:rtl w:val="true"/>
              </w:rPr>
              <w:t>القرآن هو المهيمن و المرجع الوحيد عند اختلاف الآثار</w:t>
            </w:r>
            <w:r>
              <w:rPr>
                <w:rStyle w:val="IndexLink"/>
                <w:rtl w:val="true"/>
              </w:rPr>
              <w:tab/>
            </w:r>
            <w:r>
              <w:rPr>
                <w:rStyle w:val="IndexLink"/>
              </w:rPr>
              <w:t>16</w:t>
            </w:r>
          </w:hyperlink>
        </w:p>
        <w:p>
          <w:pPr>
            <w:pStyle w:val="Contents2"/>
            <w:tabs>
              <w:tab w:val="clear" w:pos="8743"/>
              <w:tab w:val="right" w:pos="9026" w:leader="dot"/>
            </w:tabs>
            <w:rPr/>
          </w:pPr>
          <w:hyperlink w:anchor="__RefHeading___Toc1258019_73709187">
            <w:r>
              <w:rPr>
                <w:webHidden/>
                <w:rStyle w:val="IndexLink"/>
              </w:rPr>
              <w:t>4</w:t>
            </w:r>
            <w:r>
              <w:rPr>
                <w:rStyle w:val="IndexLink"/>
                <w:rtl w:val="true"/>
              </w:rPr>
              <w:t>-</w:t>
            </w:r>
            <w:r>
              <w:rPr>
                <w:rStyle w:val="IndexLink"/>
                <w:rtl w:val="true"/>
              </w:rPr>
              <w:t>سورة المائدة آخر سورة نزلت</w:t>
            </w:r>
            <w:r>
              <w:rPr>
                <w:rStyle w:val="IndexLink"/>
                <w:rtl w:val="true"/>
              </w:rPr>
              <w:tab/>
            </w:r>
            <w:r>
              <w:rPr>
                <w:rStyle w:val="IndexLink"/>
              </w:rPr>
              <w:t>18</w:t>
            </w:r>
          </w:hyperlink>
        </w:p>
        <w:p>
          <w:pPr>
            <w:pStyle w:val="Contents2"/>
            <w:tabs>
              <w:tab w:val="clear" w:pos="8743"/>
              <w:tab w:val="right" w:pos="9026" w:leader="dot"/>
            </w:tabs>
            <w:rPr/>
          </w:pPr>
          <w:hyperlink w:anchor="__RefHeading___Toc1258021_73709187">
            <w:r>
              <w:rPr>
                <w:webHidden/>
                <w:rStyle w:val="IndexLink"/>
              </w:rPr>
              <w:t>5</w:t>
            </w:r>
            <w:r>
              <w:rPr>
                <w:rStyle w:val="IndexLink"/>
                <w:rtl w:val="true"/>
              </w:rPr>
              <w:t>-</w:t>
            </w:r>
            <w:r>
              <w:rPr>
                <w:rStyle w:val="IndexLink"/>
                <w:rtl w:val="true"/>
              </w:rPr>
              <w:t>مصدر الاختلاف</w:t>
            </w:r>
            <w:r>
              <w:rPr>
                <w:rStyle w:val="IndexLink"/>
                <w:rtl w:val="true"/>
              </w:rPr>
              <w:tab/>
            </w:r>
            <w:r>
              <w:rPr>
                <w:rStyle w:val="IndexLink"/>
              </w:rPr>
              <w:t>21</w:t>
            </w:r>
          </w:hyperlink>
        </w:p>
        <w:p>
          <w:pPr>
            <w:pStyle w:val="Contents3"/>
            <w:tabs>
              <w:tab w:val="clear" w:pos="8459"/>
              <w:tab w:val="right" w:pos="9026" w:leader="dot"/>
            </w:tabs>
            <w:rPr/>
          </w:pPr>
          <w:hyperlink w:anchor="__RefHeading___Toc1258023_73709187">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1258025_73709187">
            <w:r>
              <w:rPr>
                <w:webHidden/>
                <w:rStyle w:val="IndexLink"/>
              </w:rPr>
              <w:t>1</w:t>
            </w:r>
            <w:r>
              <w:rPr>
                <w:rStyle w:val="IndexLink"/>
                <w:rtl w:val="true"/>
              </w:rPr>
              <w:t xml:space="preserve">. </w:t>
            </w:r>
            <w:r>
              <w:rPr>
                <w:rStyle w:val="IndexLink"/>
                <w:rtl w:val="true"/>
              </w:rPr>
              <w:t>اختلاف القراءة</w:t>
            </w:r>
            <w:r>
              <w:rPr>
                <w:rStyle w:val="IndexLink"/>
                <w:rtl w:val="true"/>
              </w:rPr>
              <w:tab/>
            </w:r>
            <w:r>
              <w:rPr>
                <w:rStyle w:val="IndexLink"/>
              </w:rPr>
              <w:t>21</w:t>
            </w:r>
          </w:hyperlink>
        </w:p>
        <w:p>
          <w:pPr>
            <w:pStyle w:val="Contents3"/>
            <w:tabs>
              <w:tab w:val="clear" w:pos="8459"/>
              <w:tab w:val="right" w:pos="9026" w:leader="dot"/>
            </w:tabs>
            <w:rPr/>
          </w:pPr>
          <w:hyperlink w:anchor="__RefHeading___Toc1258027_73709187">
            <w:r>
              <w:rPr>
                <w:webHidden/>
                <w:rStyle w:val="IndexLink"/>
              </w:rPr>
              <w:t>2</w:t>
            </w:r>
            <w:r>
              <w:rPr>
                <w:rStyle w:val="IndexLink"/>
                <w:rtl w:val="true"/>
              </w:rPr>
              <w:t>.</w:t>
            </w:r>
            <w:r>
              <w:rPr>
                <w:rStyle w:val="IndexLink"/>
                <w:rtl w:val="true"/>
              </w:rPr>
              <w:t>التمسّك بروايات الغسل المنسوخة</w:t>
            </w:r>
            <w:r>
              <w:rPr>
                <w:rStyle w:val="IndexLink"/>
                <w:rtl w:val="true"/>
              </w:rPr>
              <w:tab/>
            </w:r>
            <w:r>
              <w:rPr>
                <w:rStyle w:val="IndexLink"/>
              </w:rPr>
              <w:t>24</w:t>
            </w:r>
          </w:hyperlink>
        </w:p>
        <w:p>
          <w:pPr>
            <w:pStyle w:val="Contents3"/>
            <w:tabs>
              <w:tab w:val="clear" w:pos="8459"/>
              <w:tab w:val="right" w:pos="9026" w:leader="dot"/>
            </w:tabs>
            <w:rPr/>
          </w:pPr>
          <w:hyperlink w:anchor="__RefHeading___Toc1258029_73709187">
            <w:r>
              <w:rPr>
                <w:webHidden/>
                <w:rStyle w:val="IndexLink"/>
              </w:rPr>
              <w:t>3</w:t>
            </w:r>
            <w:r>
              <w:rPr>
                <w:rStyle w:val="IndexLink"/>
                <w:rtl w:val="true"/>
              </w:rPr>
              <w:t>.</w:t>
            </w:r>
            <w:r>
              <w:rPr>
                <w:rStyle w:val="IndexLink"/>
                <w:rtl w:val="true"/>
              </w:rPr>
              <w:t>إشاعة الغسل من قبل السلطة</w:t>
            </w:r>
            <w:r>
              <w:rPr>
                <w:rStyle w:val="IndexLink"/>
                <w:rtl w:val="true"/>
              </w:rPr>
              <w:tab/>
            </w:r>
            <w:r>
              <w:rPr>
                <w:rStyle w:val="IndexLink"/>
              </w:rPr>
              <w:t>26</w:t>
            </w:r>
          </w:hyperlink>
        </w:p>
        <w:p>
          <w:pPr>
            <w:pStyle w:val="Contents2"/>
            <w:tabs>
              <w:tab w:val="clear" w:pos="8743"/>
              <w:tab w:val="right" w:pos="9026" w:leader="dot"/>
            </w:tabs>
            <w:rPr/>
          </w:pPr>
          <w:hyperlink w:anchor="__RefHeading___Toc1258031_73709187">
            <w:r>
              <w:rPr>
                <w:webHidden/>
                <w:rStyle w:val="IndexLink"/>
              </w:rPr>
              <w:t>6</w:t>
            </w:r>
            <w:r>
              <w:rPr>
                <w:rStyle w:val="IndexLink"/>
                <w:rtl w:val="true"/>
              </w:rPr>
              <w:t>-</w:t>
            </w:r>
            <w:r>
              <w:rPr>
                <w:rStyle w:val="IndexLink"/>
                <w:rtl w:val="true"/>
              </w:rPr>
              <w:t>ما هو العامل في قوله</w:t>
            </w:r>
            <w:r>
              <w:rPr>
                <w:rStyle w:val="IndexLink"/>
                <w:rtl w:val="true"/>
              </w:rPr>
              <w:t>: (</w:t>
            </w:r>
            <w:r>
              <w:rPr>
                <w:rStyle w:val="IndexLink"/>
                <w:rtl w:val="true"/>
              </w:rPr>
              <w:t>وأرجلكم</w:t>
            </w:r>
            <w:r>
              <w:rPr>
                <w:rStyle w:val="IndexLink"/>
                <w:rtl w:val="true"/>
              </w:rPr>
              <w:t>)</w:t>
            </w:r>
            <w:r>
              <w:rPr>
                <w:rStyle w:val="IndexLink"/>
                <w:rtl w:val="true"/>
              </w:rPr>
              <w:t>؟</w:t>
            </w:r>
            <w:r>
              <w:rPr>
                <w:rStyle w:val="IndexLink"/>
                <w:rtl w:val="true"/>
              </w:rPr>
              <w:tab/>
            </w:r>
            <w:r>
              <w:rPr>
                <w:rStyle w:val="IndexLink"/>
              </w:rPr>
              <w:t>28</w:t>
            </w:r>
          </w:hyperlink>
        </w:p>
        <w:p>
          <w:pPr>
            <w:pStyle w:val="Contents2"/>
            <w:tabs>
              <w:tab w:val="clear" w:pos="8743"/>
              <w:tab w:val="right" w:pos="9026" w:leader="dot"/>
            </w:tabs>
            <w:rPr/>
          </w:pPr>
          <w:hyperlink w:anchor="__RefHeading___Toc1258033_73709187">
            <w:r>
              <w:rPr>
                <w:webHidden/>
                <w:rStyle w:val="IndexLink"/>
              </w:rPr>
              <w:t>7</w:t>
            </w:r>
            <w:r>
              <w:rPr>
                <w:rStyle w:val="IndexLink"/>
                <w:rtl w:val="true"/>
              </w:rPr>
              <w:t>-</w:t>
            </w:r>
            <w:r>
              <w:rPr>
                <w:rStyle w:val="IndexLink"/>
                <w:rtl w:val="true"/>
              </w:rPr>
              <w:t>القراءتان والمسح على الأرجل</w:t>
            </w:r>
            <w:r>
              <w:rPr>
                <w:rStyle w:val="IndexLink"/>
                <w:rtl w:val="true"/>
              </w:rPr>
              <w:tab/>
            </w:r>
            <w:r>
              <w:rPr>
                <w:rStyle w:val="IndexLink"/>
              </w:rPr>
              <w:t>33</w:t>
            </w:r>
          </w:hyperlink>
        </w:p>
        <w:p>
          <w:pPr>
            <w:pStyle w:val="Contents2"/>
            <w:tabs>
              <w:tab w:val="clear" w:pos="8743"/>
              <w:tab w:val="right" w:pos="9026" w:leader="dot"/>
            </w:tabs>
            <w:rPr/>
          </w:pPr>
          <w:hyperlink w:anchor="__RefHeading___Toc1258035_73709187">
            <w:r>
              <w:rPr>
                <w:webHidden/>
                <w:rStyle w:val="IndexLink"/>
              </w:rPr>
              <w:t>8</w:t>
            </w:r>
            <w:r>
              <w:rPr>
                <w:rStyle w:val="IndexLink"/>
                <w:rtl w:val="true"/>
              </w:rPr>
              <w:t>-</w:t>
            </w:r>
            <w:r>
              <w:rPr>
                <w:rStyle w:val="IndexLink"/>
                <w:rtl w:val="true"/>
              </w:rPr>
              <w:t>القراءتان وغسل الأرجل</w:t>
            </w:r>
            <w:r>
              <w:rPr>
                <w:rStyle w:val="IndexLink"/>
                <w:rtl w:val="true"/>
              </w:rPr>
              <w:tab/>
            </w:r>
            <w:r>
              <w:rPr>
                <w:rStyle w:val="IndexLink"/>
              </w:rPr>
              <w:t>38</w:t>
            </w:r>
          </w:hyperlink>
        </w:p>
        <w:p>
          <w:pPr>
            <w:pStyle w:val="Contents3"/>
            <w:tabs>
              <w:tab w:val="clear" w:pos="8459"/>
              <w:tab w:val="right" w:pos="9026" w:leader="dot"/>
            </w:tabs>
            <w:rPr/>
          </w:pPr>
          <w:hyperlink w:anchor="__RefHeading___Toc1258037_73709187">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1258039_73709187">
            <w:r>
              <w:rPr>
                <w:webHidden/>
                <w:rStyle w:val="IndexLink"/>
                <w:rtl w:val="true"/>
              </w:rPr>
              <w:t>الغَسْل وقراءة النصب</w:t>
            </w:r>
            <w:r>
              <w:rPr>
                <w:rStyle w:val="IndexLink"/>
                <w:rtl w:val="true"/>
              </w:rPr>
              <w:tab/>
            </w:r>
            <w:r>
              <w:rPr>
                <w:rStyle w:val="IndexLink"/>
              </w:rPr>
              <w:t>39</w:t>
            </w:r>
          </w:hyperlink>
        </w:p>
        <w:p>
          <w:pPr>
            <w:pStyle w:val="Contents3"/>
            <w:tabs>
              <w:tab w:val="clear" w:pos="8459"/>
              <w:tab w:val="right" w:pos="9026" w:leader="dot"/>
            </w:tabs>
            <w:rPr/>
          </w:pPr>
          <w:hyperlink w:anchor="__RefHeading___Toc1258041_73709187">
            <w:r>
              <w:rPr>
                <w:webHidden/>
                <w:rStyle w:val="IndexLink"/>
                <w:rtl w:val="true"/>
              </w:rPr>
              <w:t>الغسل وقراءة الجر</w:t>
            </w:r>
            <w:r>
              <w:rPr>
                <w:rStyle w:val="IndexLink"/>
                <w:rtl w:val="true"/>
              </w:rPr>
              <w:tab/>
            </w:r>
            <w:r>
              <w:rPr>
                <w:rStyle w:val="IndexLink"/>
              </w:rPr>
              <w:t>41</w:t>
            </w:r>
          </w:hyperlink>
        </w:p>
        <w:p>
          <w:pPr>
            <w:pStyle w:val="Contents2"/>
            <w:tabs>
              <w:tab w:val="clear" w:pos="8743"/>
              <w:tab w:val="right" w:pos="9026" w:leader="dot"/>
            </w:tabs>
            <w:rPr/>
          </w:pPr>
          <w:hyperlink w:anchor="__RefHeading___Toc1258043_73709187">
            <w:r>
              <w:rPr>
                <w:webHidden/>
                <w:rStyle w:val="IndexLink"/>
              </w:rPr>
              <w:t>9</w:t>
            </w:r>
            <w:r>
              <w:rPr>
                <w:rStyle w:val="IndexLink"/>
                <w:rtl w:val="true"/>
              </w:rPr>
              <w:t>-</w:t>
            </w:r>
            <w:r>
              <w:rPr>
                <w:rStyle w:val="IndexLink"/>
                <w:rtl w:val="true"/>
              </w:rPr>
              <w:t>الجر بالجوار صحة وشرطاً</w:t>
            </w:r>
            <w:r>
              <w:rPr>
                <w:rStyle w:val="IndexLink"/>
                <w:rtl w:val="true"/>
              </w:rPr>
              <w:tab/>
            </w:r>
            <w:r>
              <w:rPr>
                <w:rStyle w:val="IndexLink"/>
              </w:rPr>
              <w:t>43</w:t>
            </w:r>
          </w:hyperlink>
        </w:p>
        <w:p>
          <w:pPr>
            <w:pStyle w:val="Contents2"/>
            <w:tabs>
              <w:tab w:val="clear" w:pos="8743"/>
              <w:tab w:val="right" w:pos="9026" w:leader="dot"/>
            </w:tabs>
            <w:rPr/>
          </w:pPr>
          <w:hyperlink w:anchor="__RefHeading___Toc1258045_73709187">
            <w:r>
              <w:rPr>
                <w:webHidden/>
                <w:rStyle w:val="IndexLink"/>
              </w:rPr>
              <w:t>10</w:t>
            </w:r>
            <w:r>
              <w:rPr>
                <w:rStyle w:val="IndexLink"/>
                <w:rtl w:val="true"/>
              </w:rPr>
              <w:t>-</w:t>
            </w:r>
            <w:r>
              <w:rPr>
                <w:rStyle w:val="IndexLink"/>
                <w:rtl w:val="true"/>
              </w:rPr>
              <w:t>الاجتهاد تجاه النص</w:t>
            </w:r>
            <w:r>
              <w:rPr>
                <w:rStyle w:val="IndexLink"/>
                <w:rtl w:val="true"/>
              </w:rPr>
              <w:tab/>
            </w:r>
            <w:r>
              <w:rPr>
                <w:rStyle w:val="IndexLink"/>
              </w:rPr>
              <w:t>47</w:t>
            </w:r>
          </w:hyperlink>
        </w:p>
        <w:p>
          <w:pPr>
            <w:pStyle w:val="Contents3"/>
            <w:tabs>
              <w:tab w:val="clear" w:pos="8459"/>
              <w:tab w:val="right" w:pos="9026" w:leader="dot"/>
            </w:tabs>
            <w:rPr/>
          </w:pPr>
          <w:hyperlink w:anchor="__RefHeading___Toc1258047_73709187">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1258049_73709187">
            <w:r>
              <w:rPr>
                <w:webHidden/>
                <w:rStyle w:val="IndexLink"/>
              </w:rPr>
              <w:t>1</w:t>
            </w:r>
            <w:r>
              <w:rPr>
                <w:rStyle w:val="IndexLink"/>
                <w:rtl w:val="true"/>
              </w:rPr>
              <w:t xml:space="preserve">. </w:t>
            </w:r>
            <w:r>
              <w:rPr>
                <w:rStyle w:val="IndexLink"/>
                <w:rtl w:val="true"/>
              </w:rPr>
              <w:t>الغَسْل يشمل المسح</w:t>
            </w:r>
            <w:r>
              <w:rPr>
                <w:rStyle w:val="IndexLink"/>
                <w:rtl w:val="true"/>
              </w:rPr>
              <w:tab/>
            </w:r>
            <w:r>
              <w:rPr>
                <w:rStyle w:val="IndexLink"/>
              </w:rPr>
              <w:t>49</w:t>
            </w:r>
          </w:hyperlink>
        </w:p>
        <w:p>
          <w:pPr>
            <w:pStyle w:val="Contents3"/>
            <w:tabs>
              <w:tab w:val="clear" w:pos="8459"/>
              <w:tab w:val="right" w:pos="9026" w:leader="dot"/>
            </w:tabs>
            <w:rPr/>
          </w:pPr>
          <w:hyperlink w:anchor="__RefHeading___Toc1258051_73709187">
            <w:r>
              <w:rPr>
                <w:webHidden/>
                <w:rStyle w:val="IndexLink"/>
              </w:rPr>
              <w:t>2</w:t>
            </w:r>
            <w:r>
              <w:rPr>
                <w:rStyle w:val="IndexLink"/>
                <w:rtl w:val="true"/>
              </w:rPr>
              <w:t xml:space="preserve">. </w:t>
            </w:r>
            <w:r>
              <w:rPr>
                <w:rStyle w:val="IndexLink"/>
                <w:rtl w:val="true"/>
              </w:rPr>
              <w:t>نسخ السنّة للكتاب</w:t>
            </w:r>
            <w:r>
              <w:rPr>
                <w:rStyle w:val="IndexLink"/>
                <w:rtl w:val="true"/>
              </w:rPr>
              <w:tab/>
            </w:r>
            <w:r>
              <w:rPr>
                <w:rStyle w:val="IndexLink"/>
              </w:rPr>
              <w:t>50</w:t>
            </w:r>
          </w:hyperlink>
        </w:p>
        <w:p>
          <w:pPr>
            <w:pStyle w:val="Contents3"/>
            <w:tabs>
              <w:tab w:val="clear" w:pos="8459"/>
              <w:tab w:val="right" w:pos="9026" w:leader="dot"/>
            </w:tabs>
            <w:rPr/>
          </w:pPr>
          <w:hyperlink w:anchor="__RefHeading___Toc1258053_73709187">
            <w:r>
              <w:rPr>
                <w:webHidden/>
                <w:rStyle w:val="IndexLink"/>
              </w:rPr>
              <w:t>3</w:t>
            </w:r>
            <w:r>
              <w:rPr>
                <w:rStyle w:val="IndexLink"/>
                <w:rtl w:val="true"/>
              </w:rPr>
              <w:t xml:space="preserve">. </w:t>
            </w:r>
            <w:r>
              <w:rPr>
                <w:rStyle w:val="IndexLink"/>
                <w:rtl w:val="true"/>
              </w:rPr>
              <w:t>التنبيه على وجوب الاقتصاد في صب الماء</w:t>
            </w:r>
            <w:r>
              <w:rPr>
                <w:rStyle w:val="IndexLink"/>
                <w:rtl w:val="true"/>
              </w:rPr>
              <w:tab/>
            </w:r>
            <w:r>
              <w:rPr>
                <w:rStyle w:val="IndexLink"/>
              </w:rPr>
              <w:t>52</w:t>
            </w:r>
          </w:hyperlink>
        </w:p>
        <w:p>
          <w:pPr>
            <w:pStyle w:val="Contents3"/>
            <w:tabs>
              <w:tab w:val="clear" w:pos="8459"/>
              <w:tab w:val="right" w:pos="9026" w:leader="dot"/>
            </w:tabs>
            <w:rPr/>
          </w:pPr>
          <w:hyperlink w:anchor="__RefHeading___Toc1258055_73709187">
            <w:r>
              <w:rPr>
                <w:webHidden/>
                <w:rStyle w:val="IndexLink"/>
              </w:rPr>
              <w:t>4</w:t>
            </w:r>
            <w:r>
              <w:rPr>
                <w:rStyle w:val="IndexLink"/>
                <w:rtl w:val="true"/>
              </w:rPr>
              <w:t xml:space="preserve">. </w:t>
            </w:r>
            <w:r>
              <w:rPr>
                <w:rStyle w:val="IndexLink"/>
                <w:rtl w:val="true"/>
              </w:rPr>
              <w:t>سهولة غسل الرجلين دون الشعر</w:t>
            </w:r>
            <w:r>
              <w:rPr>
                <w:rStyle w:val="IndexLink"/>
                <w:rtl w:val="true"/>
              </w:rPr>
              <w:tab/>
            </w:r>
            <w:r>
              <w:rPr>
                <w:rStyle w:val="IndexLink"/>
              </w:rPr>
              <w:t>54</w:t>
            </w:r>
          </w:hyperlink>
        </w:p>
        <w:p>
          <w:pPr>
            <w:pStyle w:val="Contents3"/>
            <w:tabs>
              <w:tab w:val="clear" w:pos="8459"/>
              <w:tab w:val="right" w:pos="9026" w:leader="dot"/>
            </w:tabs>
            <w:rPr/>
          </w:pPr>
          <w:hyperlink w:anchor="__RefHeading___Toc1258057_73709187">
            <w:r>
              <w:rPr>
                <w:webHidden/>
                <w:rStyle w:val="IndexLink"/>
              </w:rPr>
              <w:t>5</w:t>
            </w:r>
            <w:r>
              <w:rPr>
                <w:rStyle w:val="IndexLink"/>
                <w:rtl w:val="true"/>
              </w:rPr>
              <w:t xml:space="preserve">. </w:t>
            </w:r>
            <w:r>
              <w:rPr>
                <w:rStyle w:val="IndexLink"/>
                <w:rtl w:val="true"/>
              </w:rPr>
              <w:t>اتّباع السلف في الغسل</w:t>
            </w:r>
            <w:r>
              <w:rPr>
                <w:rStyle w:val="IndexLink"/>
                <w:rtl w:val="true"/>
              </w:rPr>
              <w:tab/>
            </w:r>
            <w:r>
              <w:rPr>
                <w:rStyle w:val="IndexLink"/>
              </w:rPr>
              <w:t>56</w:t>
            </w:r>
          </w:hyperlink>
        </w:p>
        <w:p>
          <w:pPr>
            <w:pStyle w:val="Contents3"/>
            <w:tabs>
              <w:tab w:val="clear" w:pos="8459"/>
              <w:tab w:val="right" w:pos="9026" w:leader="dot"/>
            </w:tabs>
            <w:rPr/>
          </w:pPr>
          <w:hyperlink w:anchor="__RefHeading___Toc1258059_73709187">
            <w:r>
              <w:rPr>
                <w:webHidden/>
                <w:rStyle w:val="IndexLink"/>
              </w:rPr>
              <w:t>6</w:t>
            </w:r>
            <w:r>
              <w:rPr>
                <w:rStyle w:val="IndexLink"/>
                <w:rtl w:val="true"/>
              </w:rPr>
              <w:t xml:space="preserve">. </w:t>
            </w:r>
            <w:r>
              <w:rPr>
                <w:rStyle w:val="IndexLink"/>
                <w:rtl w:val="true"/>
              </w:rPr>
              <w:t>التحديد آية الغسل</w:t>
            </w:r>
            <w:r>
              <w:rPr>
                <w:rStyle w:val="IndexLink"/>
                <w:rtl w:val="true"/>
              </w:rPr>
              <w:tab/>
            </w:r>
            <w:r>
              <w:rPr>
                <w:rStyle w:val="IndexLink"/>
              </w:rPr>
              <w:t>57</w:t>
            </w:r>
          </w:hyperlink>
        </w:p>
        <w:p>
          <w:pPr>
            <w:pStyle w:val="Contents3"/>
            <w:tabs>
              <w:tab w:val="clear" w:pos="8459"/>
              <w:tab w:val="right" w:pos="9026" w:leader="dot"/>
            </w:tabs>
            <w:rPr/>
          </w:pPr>
          <w:hyperlink w:anchor="__RefHeading___Toc1258061_73709187">
            <w:r>
              <w:rPr>
                <w:webHidden/>
                <w:rStyle w:val="IndexLink"/>
              </w:rPr>
              <w:t>7</w:t>
            </w:r>
            <w:r>
              <w:rPr>
                <w:rStyle w:val="IndexLink"/>
                <w:rtl w:val="true"/>
              </w:rPr>
              <w:t xml:space="preserve">. </w:t>
            </w:r>
            <w:r>
              <w:rPr>
                <w:rStyle w:val="IndexLink"/>
                <w:rtl w:val="true"/>
              </w:rPr>
              <w:t>المرجع هو السنّة بعد تعارض القراءتين</w:t>
            </w:r>
            <w:r>
              <w:rPr>
                <w:rStyle w:val="IndexLink"/>
                <w:rtl w:val="true"/>
              </w:rPr>
              <w:tab/>
            </w:r>
            <w:r>
              <w:rPr>
                <w:rStyle w:val="IndexLink"/>
              </w:rPr>
              <w:t>59</w:t>
            </w:r>
          </w:hyperlink>
        </w:p>
        <w:p>
          <w:pPr>
            <w:pStyle w:val="Contents3"/>
            <w:tabs>
              <w:tab w:val="clear" w:pos="8459"/>
              <w:tab w:val="right" w:pos="9026" w:leader="dot"/>
            </w:tabs>
            <w:rPr/>
          </w:pPr>
          <w:hyperlink w:anchor="__RefHeading___Toc1258063_73709187">
            <w:r>
              <w:rPr>
                <w:webHidden/>
                <w:rStyle w:val="IndexLink"/>
              </w:rPr>
              <w:t>8</w:t>
            </w:r>
            <w:r>
              <w:rPr>
                <w:rStyle w:val="IndexLink"/>
                <w:rtl w:val="true"/>
              </w:rPr>
              <w:t xml:space="preserve">. </w:t>
            </w:r>
            <w:r>
              <w:rPr>
                <w:rStyle w:val="IndexLink"/>
                <w:rtl w:val="true"/>
              </w:rPr>
              <w:t xml:space="preserve">الغسل إضافة من النبي </w:t>
            </w:r>
            <w:r>
              <w:rPr>
                <w:rStyle w:val="IndexLink"/>
                <w:rtl w:val="true"/>
              </w:rPr>
              <w:t xml:space="preserve">- </w:t>
            </w:r>
            <w:r>
              <w:rPr>
                <w:rStyle w:val="IndexLink"/>
                <w:rtl w:val="true"/>
              </w:rPr>
              <w:t xml:space="preserve">صلَّى الله عليه وآله وسلَّم </w:t>
            </w:r>
            <w:r>
              <w:rPr>
                <w:rStyle w:val="IndexLink"/>
                <w:rtl w:val="true"/>
              </w:rPr>
              <w:t>-</w:t>
              <w:tab/>
            </w:r>
            <w:r>
              <w:rPr>
                <w:rStyle w:val="IndexLink"/>
              </w:rPr>
              <w:t>61</w:t>
            </w:r>
          </w:hyperlink>
        </w:p>
        <w:p>
          <w:pPr>
            <w:pStyle w:val="Contents3"/>
            <w:tabs>
              <w:tab w:val="clear" w:pos="8459"/>
              <w:tab w:val="right" w:pos="9026" w:leader="dot"/>
            </w:tabs>
            <w:rPr/>
          </w:pPr>
          <w:hyperlink w:anchor="__RefHeading___Toc1258065_73709187">
            <w:r>
              <w:rPr>
                <w:webHidden/>
                <w:rStyle w:val="IndexLink"/>
              </w:rPr>
              <w:t>9</w:t>
            </w:r>
            <w:r>
              <w:rPr>
                <w:rStyle w:val="IndexLink"/>
                <w:rtl w:val="true"/>
              </w:rPr>
              <w:t xml:space="preserve">. </w:t>
            </w:r>
            <w:r>
              <w:rPr>
                <w:rStyle w:val="IndexLink"/>
                <w:rtl w:val="true"/>
              </w:rPr>
              <w:t>التمسّك بالمصالح</w:t>
            </w:r>
            <w:r>
              <w:rPr>
                <w:rStyle w:val="IndexLink"/>
                <w:rtl w:val="true"/>
              </w:rPr>
              <w:tab/>
            </w:r>
            <w:r>
              <w:rPr>
                <w:rStyle w:val="IndexLink"/>
              </w:rPr>
              <w:t>63</w:t>
            </w:r>
          </w:hyperlink>
        </w:p>
        <w:p>
          <w:pPr>
            <w:pStyle w:val="Contents2"/>
            <w:tabs>
              <w:tab w:val="clear" w:pos="8743"/>
              <w:tab w:val="right" w:pos="9026" w:leader="dot"/>
            </w:tabs>
            <w:rPr/>
          </w:pPr>
          <w:hyperlink w:anchor="__RefHeading___Toc1258067_73709187">
            <w:r>
              <w:rPr>
                <w:webHidden/>
                <w:rStyle w:val="IndexLink"/>
              </w:rPr>
              <w:t>11</w:t>
            </w:r>
            <w:r>
              <w:rPr>
                <w:rStyle w:val="IndexLink"/>
                <w:rtl w:val="true"/>
              </w:rPr>
              <w:t>-</w:t>
            </w:r>
            <w:r>
              <w:rPr>
                <w:rStyle w:val="IndexLink"/>
                <w:rtl w:val="true"/>
              </w:rPr>
              <w:t>المسح على الأرجل</w:t>
            </w:r>
            <w:r>
              <w:rPr>
                <w:rStyle w:val="IndexLink"/>
                <w:rtl w:val="true"/>
              </w:rPr>
              <w:tab/>
            </w:r>
            <w:r>
              <w:rPr>
                <w:rStyle w:val="IndexLink"/>
              </w:rPr>
              <w:t>66</w:t>
            </w:r>
          </w:hyperlink>
        </w:p>
        <w:p>
          <w:pPr>
            <w:pStyle w:val="Contents2"/>
            <w:tabs>
              <w:tab w:val="clear" w:pos="8743"/>
              <w:tab w:val="right" w:pos="9026" w:leader="dot"/>
            </w:tabs>
            <w:rPr/>
          </w:pPr>
          <w:hyperlink w:anchor="__RefHeading___Toc1258069_73709187">
            <w:r>
              <w:rPr>
                <w:webHidden/>
                <w:rStyle w:val="IndexLink"/>
              </w:rPr>
              <w:t>12</w:t>
            </w:r>
            <w:r>
              <w:rPr>
                <w:rStyle w:val="IndexLink"/>
                <w:rtl w:val="true"/>
              </w:rPr>
              <w:t>-</w:t>
            </w:r>
            <w:r>
              <w:rPr>
                <w:rStyle w:val="IndexLink"/>
                <w:rtl w:val="true"/>
              </w:rPr>
              <w:t>التجاهل لروايات المسح</w:t>
            </w:r>
            <w:r>
              <w:rPr>
                <w:rStyle w:val="IndexLink"/>
                <w:rtl w:val="true"/>
              </w:rPr>
              <w:tab/>
            </w:r>
            <w:r>
              <w:rPr>
                <w:rStyle w:val="IndexLink"/>
              </w:rPr>
              <w:t>78</w:t>
            </w:r>
          </w:hyperlink>
        </w:p>
        <w:p>
          <w:pPr>
            <w:pStyle w:val="Contents2"/>
            <w:tabs>
              <w:tab w:val="clear" w:pos="8743"/>
              <w:tab w:val="right" w:pos="9026" w:leader="dot"/>
            </w:tabs>
            <w:rPr/>
          </w:pPr>
          <w:hyperlink w:anchor="__RefHeading___Toc1258071_73709187">
            <w:r>
              <w:rPr>
                <w:webHidden/>
                <w:rStyle w:val="IndexLink"/>
              </w:rPr>
              <w:t>13</w:t>
            </w:r>
            <w:r>
              <w:rPr>
                <w:rStyle w:val="IndexLink"/>
                <w:rtl w:val="true"/>
              </w:rPr>
              <w:t>-</w:t>
            </w:r>
            <w:r>
              <w:rPr>
                <w:rStyle w:val="IndexLink"/>
                <w:rtl w:val="true"/>
              </w:rPr>
              <w:t>أسماء أعلام الصحابة والتابعين</w:t>
            </w:r>
            <w:r>
              <w:rPr>
                <w:rStyle w:val="IndexLink"/>
                <w:rtl w:val="true"/>
              </w:rPr>
              <w:tab/>
            </w:r>
            <w:r>
              <w:rPr>
                <w:rStyle w:val="IndexLink"/>
              </w:rPr>
              <w:t>81</w:t>
            </w:r>
          </w:hyperlink>
        </w:p>
        <w:p>
          <w:pPr>
            <w:pStyle w:val="Contents2"/>
            <w:tabs>
              <w:tab w:val="clear" w:pos="8743"/>
              <w:tab w:val="right" w:pos="9026" w:leader="dot"/>
            </w:tabs>
            <w:rPr/>
          </w:pPr>
          <w:hyperlink w:anchor="__RefHeading___Toc1258073_73709187">
            <w:r>
              <w:rPr>
                <w:webHidden/>
                <w:rStyle w:val="IndexLink"/>
              </w:rPr>
              <w:t>14</w:t>
            </w:r>
            <w:r>
              <w:rPr>
                <w:rStyle w:val="IndexLink"/>
                <w:rtl w:val="true"/>
              </w:rPr>
              <w:t>-</w:t>
            </w:r>
            <w:r>
              <w:rPr>
                <w:rStyle w:val="IndexLink"/>
                <w:rtl w:val="true"/>
              </w:rPr>
              <w:t>وضوء النبي صلَّى الله عليه وآله وسلَّم</w:t>
            </w:r>
            <w:r>
              <w:rPr>
                <w:rStyle w:val="IndexLink"/>
                <w:rtl w:val="true"/>
              </w:rPr>
              <w:tab/>
            </w:r>
            <w:r>
              <w:rPr>
                <w:rStyle w:val="IndexLink"/>
              </w:rPr>
              <w:t>91</w:t>
            </w:r>
          </w:hyperlink>
        </w:p>
        <w:p>
          <w:pPr>
            <w:pStyle w:val="Contents3"/>
            <w:tabs>
              <w:tab w:val="clear" w:pos="8459"/>
              <w:tab w:val="right" w:pos="9026" w:leader="dot"/>
            </w:tabs>
            <w:rPr/>
          </w:pPr>
          <w:hyperlink w:anchor="__RefHeading___Toc1258075_73709187">
            <w:r>
              <w:rPr>
                <w:webHidden/>
                <w:rStyle w:val="IndexLink"/>
                <w:rtl w:val="true"/>
              </w:rPr>
              <w:t>اشارة</w:t>
            </w:r>
            <w:r>
              <w:rPr>
                <w:rStyle w:val="IndexLink"/>
                <w:rtl w:val="true"/>
              </w:rPr>
              <w:tab/>
            </w:r>
            <w:r>
              <w:rPr>
                <w:rStyle w:val="IndexLink"/>
              </w:rPr>
              <w:t>91</w:t>
            </w:r>
          </w:hyperlink>
        </w:p>
        <w:p>
          <w:pPr>
            <w:pStyle w:val="Contents3"/>
            <w:tabs>
              <w:tab w:val="clear" w:pos="8459"/>
              <w:tab w:val="right" w:pos="9026" w:leader="dot"/>
            </w:tabs>
            <w:rPr/>
          </w:pPr>
          <w:hyperlink w:anchor="__RefHeading___Toc1258077_73709187">
            <w:r>
              <w:rPr>
                <w:webHidden/>
                <w:rStyle w:val="IndexLink"/>
                <w:rtl w:val="true"/>
              </w:rPr>
              <w:t>خاتمة المطاف</w:t>
            </w:r>
            <w:r>
              <w:rPr>
                <w:rStyle w:val="IndexLink"/>
                <w:rtl w:val="true"/>
              </w:rPr>
              <w:tab/>
            </w:r>
            <w:r>
              <w:rPr>
                <w:rStyle w:val="IndexLink"/>
              </w:rPr>
              <w:t>98</w:t>
            </w:r>
          </w:hyperlink>
        </w:p>
        <w:p>
          <w:pPr>
            <w:pStyle w:val="Contents2"/>
            <w:tabs>
              <w:tab w:val="clear" w:pos="8743"/>
              <w:tab w:val="right" w:pos="9026" w:leader="dot"/>
            </w:tabs>
            <w:rPr/>
          </w:pPr>
          <w:hyperlink w:anchor="__RefHeading___Toc1258079_73709187">
            <w:r>
              <w:rPr>
                <w:webHidden/>
                <w:rStyle w:val="IndexLink"/>
                <w:rtl w:val="true"/>
              </w:rPr>
              <w:t>الآن حصحص الحق</w:t>
            </w:r>
            <w:r>
              <w:rPr>
                <w:rStyle w:val="IndexLink"/>
                <w:rtl w:val="true"/>
              </w:rPr>
              <w:tab/>
            </w:r>
            <w:r>
              <w:rPr>
                <w:rStyle w:val="IndexLink"/>
              </w:rPr>
              <w:t>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14_142627"/>
      <w:bookmarkStart w:id="1" w:name="pg11414_142627"/>
      <w:bookmarkEnd w:id="1"/>
    </w:p>
    <w:p>
      <w:pPr>
        <w:pStyle w:val="Heading2"/>
        <w:numPr>
          <w:ilvl w:val="1"/>
          <w:numId w:val="1"/>
        </w:numPr>
        <w:rPr/>
      </w:pPr>
      <w:bookmarkStart w:id="2" w:name="pg11414_142627"/>
      <w:bookmarkStart w:id="3" w:name="__RefHeading___Toc1258009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المسائل الفقهیه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جعفر السبحانی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سلسله‌المسائل‌الفقهیه؛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فقهی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تطبیقی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58011_73709187"/>
      <w:bookmarkStart w:id="6" w:name="_Toc2"/>
      <w:bookmarkEnd w:id="5"/>
      <w:r>
        <w:rPr>
          <w:rtl w:val="true"/>
        </w:rPr>
        <w:t>الوضوء على ضوء الكتاب والسنّة</w:t>
      </w:r>
      <w:bookmarkEnd w:id="6"/>
    </w:p>
    <w:p>
      <w:pPr>
        <w:pStyle w:val="BookText"/>
        <w:rPr/>
      </w:pPr>
      <w:r>
        <w:rPr>
          <w:rFonts w:ascii="Amiri" w:hAnsi="Amiri" w:eastAsia="Amiri" w:cs="Amiri"/>
          <w:color w:val="111111"/>
          <w:sz w:val="28"/>
          <w:sz w:val="28"/>
          <w:szCs w:val="28"/>
          <w:rtl w:val="true"/>
          <w:lang w:bidi="ar-SA"/>
        </w:rPr>
        <w:t>الوضوء على ضوء الكتاب والسنّة</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الفقيه المحقق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جعفر السبحاني</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أفضل خلقه وخاتم رسله محمّد وعلى آله الطيّبين الطاهرين الذين هم عيبة علمه وحفظة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فانّ الإسلام عقيدة وشريعة، فالعقيدة هي الإيمان باللّه ورسله واليوم الآخر ،والشريعة هي الأحكام الإلهية التي تكفل للبشرية الحياة الفضلى وتحقّق لها السعادة الدنيوية والأُخروية</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امتازت الشريعة الإسلامية بالشمول، ووضع الحلول لكافّة المشاكل التي تعتري الإنسان في جميع جوانب الحياة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غير أنّ هناك مسائل فرعية اختلف فيها الفقهاء لاختلافهم فيما أثر عن مبلّغ الرسالة النبي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الأمر الذي أدّى إلى اختلاف كلمتهم فيها، وبما أنّ الحقيقة بنت البحث فقد حاولنا في هذه الدراسات المتسلسلة أن نطرحها على طاولة البحث، عسى أن تكون وسيلة لتوحيد الكلمة وتقريب الخطى في هذا الحقل، فالخلاف فيها ليس خلافاً في جوهر الدين وأُصوله حتّى يستوجب العداء والبغضاء، وإنّما هو خلاف فيما روي عنهصلَّى اللّه عليه و آله و سلَّم، وهو أمر يسير في مقابل المسائل الكثيرة المتّفق عليها بين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ورائدنا في هذا السبيل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 وَاذْكُرُوا نِعْمَتَ اللّهِ عَلَيْكُمْ إِذْكُنْتُمْ أَعداءً فَألّفَ بين قُلُوبِكُمْ فَأَصْبَحْتُمْ بِنِعْمَتهِ إِخْواناً</w:t>
      </w:r>
      <w:r>
        <w:rPr>
          <w:rFonts w:eastAsia="Amiri" w:cs="Amiri" w:ascii="Amiri" w:hAnsi="Amiri"/>
          <w:color w:val="111111"/>
          <w:sz w:val="28"/>
          <w:szCs w:val="28"/>
          <w:rtl w:val="true"/>
          <w:lang w:bidi="ar-SA"/>
        </w:rPr>
        <w:t>...))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bookmarkStart w:id="7" w:name="pg11414_142632"/>
    </w:p>
    <w:p>
      <w:pPr>
        <w:pStyle w:val="Heading2"/>
        <w:numPr>
          <w:ilvl w:val="1"/>
          <w:numId w:val="1"/>
        </w:numPr>
        <w:rPr/>
      </w:pPr>
      <w:bookmarkStart w:id="8" w:name="__RefHeading___Toc1258013_73709187"/>
      <w:bookmarkStart w:id="9" w:name="_Toc3"/>
      <w:bookmarkEnd w:id="7"/>
      <w:bookmarkEnd w:id="8"/>
      <w:r>
        <w:rPr/>
        <w:t>1</w:t>
      </w:r>
      <w:r>
        <w:rPr>
          <w:rtl w:val="true"/>
        </w:rPr>
        <w:t>-</w:t>
      </w:r>
      <w:r>
        <w:rPr>
          <w:rtl w:val="true"/>
        </w:rPr>
        <w:t>آية الوضوء آية محكمة</w:t>
      </w:r>
      <w:bookmarkEnd w:id="9"/>
    </w:p>
    <w:p>
      <w:pPr>
        <w:pStyle w:val="BookText"/>
        <w:rPr/>
      </w:pPr>
      <w:r>
        <w:rPr>
          <w:rFonts w:ascii="Amiri" w:hAnsi="Amiri" w:eastAsia="Amiri" w:cs="Amiri"/>
          <w:color w:val="111111"/>
          <w:sz w:val="28"/>
          <w:sz w:val="28"/>
          <w:szCs w:val="28"/>
          <w:rtl w:val="true"/>
          <w:lang w:bidi="ar-SA"/>
        </w:rPr>
        <w:t>اتّفق المسلمون تبعا ً للذكر الحكيم على أنّ الصلاة لا تصحّ إلاّبطهور، والطهور هو الوضوء والغسل والتيمّم وقد بَيّن سبحانه سرَّ التكليف بتحصيل الطهور قبل الصلاة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يُريدُ اللّهُ لِيَجعلَ عَلَيْكُمْ مِنْ حَرَج وَلكن يُريد ليُطهّركُمْ</w:t>
      </w:r>
      <w:r>
        <w:rPr>
          <w:rFonts w:eastAsia="Amiri" w:cs="Amiri" w:ascii="Amiri" w:hAnsi="Amiri"/>
          <w:color w:val="111111"/>
          <w:sz w:val="28"/>
          <w:szCs w:val="28"/>
          <w:rtl w:val="true"/>
          <w:lang w:bidi="ar-SA"/>
        </w:rPr>
        <w:t>)) .</w:t>
      </w:r>
      <w:r>
        <w:rPr>
          <w:rStyle w:val="FootnoteAnchor"/>
          <w:rtl w:val="true"/>
        </w:rPr>
        <w:footnoteReference w:id="4"/>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حظا الوضوء في التشريع الإسلامي بأهمية بالغة كما نطق بها الكتاب والسنّة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وفي كلام آخر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شطر الإيمان</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فإذا كانت هذه مكانةَ الوضوء فمن واجب المسلم التعرّف على أجزائه وشرائطه ونواقضه ومبطلاته، وقد تكفّلت الكتب الفقهية بيانَ هذه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نركِّز عليه في المقام هو تبيين ما اختلفت فيه كلمة الفقهاء،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الأرجل من حيث المسح والغسل،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 في كتابه العزيز مبيِّناً وجوب الوضوء وكيفيته بقوله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قُمْتُمْ إِلى الصَّلاةِ فَاغْسِلُوا وُجُوهَكُمْ وَأَيديَكُمْ إِلى المَرافِقِ وَامْسَحُوا بِرُءُوسكُمْ وَأَرجُلَكُمْ إِلى الكَعْبَيْنِ وَإِنْ كُنْتُمْ جُنُباً فاطّهرُوا وَإِنْ كُنْتُمْ مَرضى أَوْ عَلى سَفَر أَوْ جاءَأَحدٌ مِنْكُمْ مِنَ الْغائِطِ أَوْ لامَسْتُمُ النِّساءَ فَلَمْ تَجِدُوا ماءً فَتَيَمَّمُوا صَعِيداً طَيِّباً فَامْسَحُوا بِوُجوهكُمْ وَأَيديكُمْ مِنْهُ ما يُريدُ اللّهُ لِيَجْعَلَ عَلَيْكُمْ مِنْ حَرَج وَلكِنْ يُريدُ لِيُطَهِّركُمْ وَلِيُتِمَّ نِعْمَتهُ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لَعَلَّكُمْ تَشْكُرُون</w:t>
      </w:r>
      <w:r>
        <w:rPr>
          <w:rFonts w:eastAsia="Amiri" w:cs="Amiri" w:ascii="Amiri" w:hAnsi="Amiri"/>
          <w:color w:val="111111"/>
          <w:sz w:val="28"/>
          <w:szCs w:val="28"/>
          <w:rtl w:val="true"/>
          <w:lang w:bidi="ar-SA"/>
        </w:rPr>
        <w:t>)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الآية تشكِّل إحدى آيات الأحكام التي تُستنبط منها الأحكام الشرعية العملية الراجعة إلى تنظيم أفعال المكلّفين فيما يرتبط بشؤون حياتهم الدينية والدنيوية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من الآيات يتمتع بوضوح التعبير،ونصوع الدلالة، فإنّ المخاطب فيها هو الجماهير المؤمنة التي ترغب في تطبيق سلوكها العملي عليها،وبذلك تفترق عن الآيات المتعلّقة بدقائق التوحيد ورقائق المعارف العقلية التي تُشدّ إليها أنظار المفكّرين المتضلِّعين، خاصة فيما يرتبط بمسائل المبدأ والمعاد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والإنسان إذا تأمّل في هذه الآيات ونظائرها من الآيات التي تتكفَّل بيان وظيفة المسلم، كالقيام إلى الصلاة في أوقات خمسة، يجدها محكمةَ التعبير، ناصعةَ البيان، واضحةَ الدلالة، تخاطب المؤمنين كافّة لتُرسم لهم وظيفتهم عند القيام إلى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بعيداً عن الغموض والتعقيد، وعن التقديم والتأخير، وعن تقدير جملة أو كلمة حتّى يقف على مضمونها عامة المسلمين على اختلاف مستوياتهم من غير فرق بين عالم بدقائق القواعد العربية وغير عالم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حاول تفسير الآية على غير هذا النمط فقد غفل عن مكانة الآية ومنزلتها، كما أنّ من حاول تفسيرها على ضوء الفتاوى الفقهية لأئمّة الفقه فقد دخل من غير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الروح الأمين بهذه الآية على قلب سيّد المرسلين، فتلاها على المؤمنين وفهموا واجبَهم تجاهها بوضوح، دون تردد، ودون أن يشوبها أيّ إبهام أو غموض، وإنّما دبّ الغموضُ فيها في عصرِ تضارب الآراء وظهور الاجتهادات</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قرأ الآية المباركة بإمعان يقول في قلبه ولسانه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اللهم ما أبلغ كلامَك وأفصح بيانَك، قد أوضحت الفريضةَ وبيّنت الوظيفةَ فيما يجب على المسلم فعلهُ قبل الصلاة، فقلت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قُمْتُمْ إِلى الصَّلاة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قلتَ مبيّناً لكيفية الوظيفة وانّها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وهكُمْ وَأَيديكُمْ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المَرافِ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وَامْسَحُوا بِرُءُوسكُمْ وَأَرجلكُمْ إِلى الكَعْبَين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سبحانك ما أبقيت إجمالاً في كلامك، ولا إبهاماً في بيانك، فأوصدتَ باب الخلاف، وسددتَ باب الاعتساف بتوضيح الفريضة وبيانها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سبحانك اللّهم إن كان كتابك العزيز هو المهيمن على الكتب السماوية كما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الْكِتابَ بِالْحَقِّ مُصَدِّقاً لِما بَيْنَ يَديه مِنَ الكِتابِ وَمُهَيْمِناً عَلَيْهِ</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فهو مهيمن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بالقطع واليقين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المأثورات المرويّة عن</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بين آمرة بغسل الأرجل و آمرة بمسحها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فماذا نفعل مع هذه المأثورات المتناقضة المروية عمّن لا ينطق إلاّ عن الوحي،ولا يناقض نفسه في كلامه؟</w:t>
      </w:r>
    </w:p>
    <w:p>
      <w:pPr>
        <w:pStyle w:val="BookText"/>
        <w:rPr/>
      </w:pPr>
      <w:r>
        <w:rPr>
          <w:rFonts w:ascii="Amiri" w:hAnsi="Amiri" w:eastAsia="Amiri" w:cs="Amiri"/>
          <w:color w:val="111111"/>
          <w:sz w:val="28"/>
          <w:sz w:val="28"/>
          <w:szCs w:val="28"/>
          <w:rtl w:val="true"/>
          <w:lang w:bidi="ar-SA"/>
        </w:rPr>
        <w:t xml:space="preserve">سبحانك لا محيص لنا إلاّ الأخذ بما نادى به كتابك العزيز وقرآنك المجيد وقدبيّنه في جملتين تعربان عن واقع الفريضة وأنّها تتألّف من غسلتين،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 وَأَيديَكُمْ إِلَى الْمَرافِق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تتألّف من مسحتين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 بِرُءُوسكُمْ وَأَرجُلكُمْ إِلى الْكَعْبَين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أَفَغَيْرَ اللّهِ أَبْتَغِي حَكَماً وَهُوَ الَّذِي أَنْزلَ إِلَيْكُمُ الْكِتابَ مُفَصَّلاً</w:t>
      </w:r>
      <w:r>
        <w:rPr>
          <w:rFonts w:eastAsia="Amiri" w:cs="Amiri" w:ascii="Amiri" w:hAnsi="Amiri"/>
          <w:color w:val="111111"/>
          <w:sz w:val="28"/>
          <w:szCs w:val="28"/>
          <w:rtl w:val="true"/>
          <w:lang w:bidi="ar-SA"/>
        </w:rPr>
        <w:t>)).</w:t>
      </w:r>
      <w:r>
        <w:rPr>
          <w:rStyle w:val="FootnoteAnchor"/>
          <w:rtl w:val="true"/>
        </w:rPr>
        <w:footnoteReference w:id="9"/>
      </w:r>
      <w:bookmarkStart w:id="10" w:name="pg11414_142638"/>
    </w:p>
    <w:p>
      <w:pPr>
        <w:pStyle w:val="Heading2"/>
        <w:numPr>
          <w:ilvl w:val="1"/>
          <w:numId w:val="1"/>
        </w:numPr>
        <w:rPr/>
      </w:pPr>
      <w:bookmarkStart w:id="11" w:name="__RefHeading___Toc1258015_73709187"/>
      <w:bookmarkStart w:id="12" w:name="_Toc4"/>
      <w:bookmarkEnd w:id="10"/>
      <w:bookmarkEnd w:id="11"/>
      <w:r>
        <w:rPr/>
        <w:t>2</w:t>
      </w:r>
      <w:r>
        <w:rPr>
          <w:rtl w:val="true"/>
        </w:rPr>
        <w:t>-</w:t>
      </w:r>
      <w:r>
        <w:rPr>
          <w:rtl w:val="true"/>
        </w:rPr>
        <w:t>بداية الاختلاف</w:t>
      </w:r>
      <w:bookmarkEnd w:id="12"/>
    </w:p>
    <w:p>
      <w:pPr>
        <w:pStyle w:val="BookText"/>
        <w:rPr/>
      </w:pPr>
      <w:r>
        <w:rPr>
          <w:rFonts w:ascii="Amiri" w:hAnsi="Amiri" w:eastAsia="Amiri" w:cs="Amiri"/>
          <w:color w:val="111111"/>
          <w:sz w:val="28"/>
          <w:sz w:val="28"/>
          <w:szCs w:val="28"/>
          <w:rtl w:val="true"/>
          <w:lang w:bidi="ar-SA"/>
        </w:rPr>
        <w:t>كان المسلمون قبل عهد الخليفة الثالث على وفاق في أمر الوضوء، فلم يكن آنذاك أيُّ خلاف بارز في مسح الرجلين أو غسلهما، وإنّما بدأ الخلاف في عهد الخليفة الثالث كما يظهر من كثير من الروايات البيانيّة المروية عن عثمان، وقد ذكر مسلم طائفة منها في صحيحه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مسلم عن حُمران مولى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عثمانَ بن عفان بوضوء فتوضأ،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ناساً يتحدّثون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لا أدري ما هي؟ ألا إنّي رأيت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مثل وضوئي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هكذا، غفر له ما تقدّم من ذنبه وكانت صلاته ومشيه إلى</w:t>
      </w:r>
    </w:p>
    <w:p>
      <w:pPr>
        <w:pStyle w:val="BookText"/>
        <w:rPr/>
      </w:pPr>
      <w:r>
        <w:rPr>
          <w:rFonts w:ascii="Amiri" w:hAnsi="Amiri" w:eastAsia="Amiri" w:cs="Amiri"/>
          <w:color w:val="111111"/>
          <w:sz w:val="28"/>
          <w:sz w:val="28"/>
          <w:szCs w:val="28"/>
          <w:rtl w:val="true"/>
          <w:lang w:bidi="ar-SA"/>
        </w:rPr>
        <w:t>المسجد نافلة</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مسلم عن أبي أنس انّ عثمان توضّأ بالمقاسمة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أُريكم وضوء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توضّأ ثلاثاً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قتيبة في روايته،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النضر عن أبي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رجال من أصحاب رسول اللّهصلَّى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روايات بيانية أُخرى على لسان عثمان لم يذكرها مسلم وإنّما ذكرها غيره يشير الجميع إلى أنّ ظهور الاختلاف في كيفية وضوء النبي كان في عصره، وأمّا ما هو سبب الاختلاف فسيوافيك بيانه</w:t>
      </w:r>
      <w:r>
        <w:rPr>
          <w:rFonts w:eastAsia="Amiri" w:cs="Amiri" w:ascii="Amiri" w:hAnsi="Amiri"/>
          <w:color w:val="111111"/>
          <w:sz w:val="28"/>
          <w:szCs w:val="28"/>
          <w:rtl w:val="true"/>
          <w:lang w:bidi="ar-SA"/>
        </w:rPr>
        <w:t>.</w:t>
      </w:r>
      <w:bookmarkStart w:id="13" w:name="pg11414_142640"/>
    </w:p>
    <w:p>
      <w:pPr>
        <w:pStyle w:val="Heading2"/>
        <w:numPr>
          <w:ilvl w:val="1"/>
          <w:numId w:val="1"/>
        </w:numPr>
        <w:rPr/>
      </w:pPr>
      <w:bookmarkStart w:id="14" w:name="__RefHeading___Toc1258017_73709187"/>
      <w:bookmarkStart w:id="15" w:name="_Toc5"/>
      <w:bookmarkEnd w:id="13"/>
      <w:bookmarkEnd w:id="14"/>
      <w:r>
        <w:rPr/>
        <w:t>3</w:t>
      </w:r>
      <w:r>
        <w:rPr>
          <w:rtl w:val="true"/>
        </w:rPr>
        <w:t>-</w:t>
      </w:r>
      <w:r>
        <w:rPr>
          <w:rtl w:val="true"/>
        </w:rPr>
        <w:t>القرآن هو المهيمن و المرجع الوحيد عند اختلاف الآثار</w:t>
      </w:r>
      <w:bookmarkEnd w:id="15"/>
    </w:p>
    <w:p>
      <w:pPr>
        <w:pStyle w:val="BookText"/>
        <w:rPr/>
      </w:pPr>
      <w:r>
        <w:rPr>
          <w:rFonts w:ascii="Amiri" w:hAnsi="Amiri" w:eastAsia="Amiri" w:cs="Amiri"/>
          <w:color w:val="111111"/>
          <w:sz w:val="28"/>
          <w:sz w:val="28"/>
          <w:szCs w:val="28"/>
          <w:rtl w:val="true"/>
          <w:lang w:bidi="ar-SA"/>
        </w:rPr>
        <w:t>القرآن الكريم هو المهيمن على الكتب السماوية، وهو ميزان الحقّ والباطل فما ورد فيها يؤخذ به إذا لم يخالف الكتابَ العزيز وإلاّفيضرب عرض الجدار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هذا موقف القرآن الكريم بالنسبة إلى الكتب السماوية، فأولى به أن يكون كذلك بالنسبة إلى السنن المأثورة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فالكتاب مهيمن عليها، فيؤخذ بالسنّة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صحت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مادامت غير مخالفة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يعني ذلك الاكتفاء، بالكتاب وحذف السنّة من الشريعة، فانّه من عقائد الزنادقة، بل السنّة حجّة ثانية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الكتاب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ان لا تضاد السنة الحاكيةُ السندَ القطعي عند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القرآن ناطقاً بشيء من المسح أو الغسل فما قيمة الخبر الآمر بخلافه، فلو أمكن الجمع بين القرآن والخبر، بحمل الثاني على فترة من الزمن ثمّ نسخه القرآن فهو، و إلاّ فيضرب عرض الجدار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رُوي لكم حديث فأعرضوه على كتاب اللّه، فان وافقه فاقبلوه، وإلاّفردّوه</w:t>
      </w:r>
      <w:r>
        <w:rPr>
          <w:rFonts w:eastAsia="Amiri" w:cs="Amiri" w:ascii="Amiri" w:hAnsi="Amiri"/>
          <w:color w:val="111111"/>
          <w:sz w:val="28"/>
          <w:szCs w:val="28"/>
          <w:rtl w:val="true"/>
          <w:lang w:bidi="ar-SA"/>
        </w:rPr>
        <w:t>».</w:t>
      </w:r>
      <w:r>
        <w:rPr>
          <w:rStyle w:val="FootnoteAnchor"/>
          <w:rtl w:val="true"/>
        </w:rPr>
        <w:footnoteReference w:id="11"/>
      </w:r>
      <w:bookmarkStart w:id="16" w:name="pg11414_142642"/>
    </w:p>
    <w:p>
      <w:pPr>
        <w:pStyle w:val="Heading2"/>
        <w:numPr>
          <w:ilvl w:val="1"/>
          <w:numId w:val="1"/>
        </w:numPr>
        <w:rPr/>
      </w:pPr>
      <w:bookmarkStart w:id="17" w:name="__RefHeading___Toc1258019_73709187"/>
      <w:bookmarkStart w:id="18" w:name="_Toc6"/>
      <w:bookmarkEnd w:id="16"/>
      <w:bookmarkEnd w:id="17"/>
      <w:r>
        <w:rPr/>
        <w:t>4</w:t>
      </w:r>
      <w:r>
        <w:rPr>
          <w:rtl w:val="true"/>
        </w:rPr>
        <w:t>-</w:t>
      </w:r>
      <w:r>
        <w:rPr>
          <w:rtl w:val="true"/>
        </w:rPr>
        <w:t>سورة المائدة آخر سورة نزلت</w:t>
      </w:r>
      <w:bookmarkEnd w:id="18"/>
    </w:p>
    <w:p>
      <w:pPr>
        <w:pStyle w:val="BookText"/>
        <w:rPr/>
      </w:pPr>
      <w:r>
        <w:rPr>
          <w:rFonts w:ascii="Amiri" w:hAnsi="Amiri" w:eastAsia="Amiri" w:cs="Amiri"/>
          <w:color w:val="111111"/>
          <w:sz w:val="28"/>
          <w:sz w:val="28"/>
          <w:szCs w:val="28"/>
          <w:rtl w:val="true"/>
          <w:lang w:bidi="ar-SA"/>
        </w:rPr>
        <w:t xml:space="preserve">إنّ سورة المائدة هي آخر سورة نزلت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فيها آية منسوخة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أحمد، وأبوعبيد في فضائله، والنحاس في ناسخه، والنسائي وابن المنذر، والحاكم وابن مردويه، والبيهقي في سننه عن جبير بن نفير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فدخلتُ على عائشة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جُبير تَقرأ المائدة،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آخر سورة نزلت، فما وجدتم فيها من حلال فاستحلِّوه، وما وجدتم فيها من حرام فحرِّموه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أبو عبيد، عن ضمرة بن حبيب، وعطية بن قيس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المائدة من آخر القرآن</w:t>
      </w:r>
    </w:p>
    <w:p>
      <w:pPr>
        <w:pStyle w:val="BookText"/>
        <w:rPr/>
      </w:pPr>
      <w:r>
        <w:rPr>
          <w:rFonts w:ascii="Amiri" w:hAnsi="Amiri" w:eastAsia="Amiri" w:cs="Amiri"/>
          <w:color w:val="111111"/>
          <w:sz w:val="28"/>
          <w:sz w:val="28"/>
          <w:szCs w:val="28"/>
          <w:rtl w:val="true"/>
          <w:lang w:bidi="ar-SA"/>
        </w:rPr>
        <w:t>تنزيلاً، فأحلّوا حلالها، وحرّموا حرامها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الفريابي وأبو عبيد، وعبد بن حميد، وابن المنذر، وأبو الشيخ عن أبي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المائدة ثماني عشرة فريضة ليس في سورة من القرآن غيرها وليس فيها منسوخ، وعدّمنها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قُمْتُمْ إِلى الصَّلاة فاغْسِلُوا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وأخرج أبو داود والنحاس كلاهما في الناسخ عن أبي ميسرة عمرو بن شرحبيل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ينسخ من المائدة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عبد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من المائدة؟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كلّ ذلك يدلّ على أنّ سورة المائدة آخر سورة نزلت على النبي، فلا محيص من العمل على وفقها وليس فيها أي نسخ</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تضافرت الروايات عن أئمّة أهل البيت على أنّ</w:t>
      </w:r>
    </w:p>
    <w:p>
      <w:pPr>
        <w:pStyle w:val="BookText"/>
        <w:rPr/>
      </w:pPr>
      <w:r>
        <w:rPr>
          <w:rFonts w:ascii="Amiri" w:hAnsi="Amiri" w:eastAsia="Amiri" w:cs="Amiri"/>
          <w:color w:val="111111"/>
          <w:sz w:val="28"/>
          <w:sz w:val="28"/>
          <w:szCs w:val="28"/>
          <w:rtl w:val="true"/>
          <w:lang w:bidi="ar-SA"/>
        </w:rPr>
        <w:t>سورة المائدة آخر سورة نزلت وليس فيها آية منسوخة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محمد بن مسعود العياشي السمرقندي باسناده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القرآن ينسخ بعضه بعضاً، وإنّما يؤخذ من أمر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آخره، وكان من آخر ما نزل عليه سورة المائدة نسخت ما قبلها ولم ينسخها شيء</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أخرج الشيخ الطوسي باسناده عن الصادق والباقر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قال في حديث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وسبق الكتاب الخفّين، إنّما نزلت السورة قبل أن يُقبض بشهرين</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ضوء ذلك لو دلّ الكتاب على شيء من المسح والغسل، فالآثار المخالفة له، إمّا تُؤوّل بكونها منسوخة بالقرآن أو تُطرح</w:t>
      </w:r>
      <w:r>
        <w:rPr>
          <w:rFonts w:eastAsia="Amiri" w:cs="Amiri" w:ascii="Amiri" w:hAnsi="Amiri"/>
          <w:color w:val="111111"/>
          <w:sz w:val="28"/>
          <w:szCs w:val="28"/>
          <w:rtl w:val="true"/>
          <w:lang w:bidi="ar-SA"/>
        </w:rPr>
        <w:t>.</w:t>
      </w:r>
      <w:bookmarkStart w:id="19" w:name="pg11414_142645"/>
    </w:p>
    <w:p>
      <w:pPr>
        <w:pStyle w:val="Heading2"/>
        <w:numPr>
          <w:ilvl w:val="1"/>
          <w:numId w:val="1"/>
        </w:numPr>
        <w:rPr/>
      </w:pPr>
      <w:bookmarkStart w:id="20" w:name="__RefHeading___Toc1258021_73709187"/>
      <w:bookmarkStart w:id="21" w:name="_Toc7"/>
      <w:bookmarkEnd w:id="19"/>
      <w:bookmarkEnd w:id="20"/>
      <w:r>
        <w:rPr/>
        <w:t>5</w:t>
      </w:r>
      <w:r>
        <w:rPr>
          <w:rtl w:val="true"/>
        </w:rPr>
        <w:t>-</w:t>
      </w:r>
      <w:r>
        <w:rPr>
          <w:rtl w:val="true"/>
        </w:rPr>
        <w:t>مصدر الاختلاف</w:t>
      </w:r>
      <w:bookmarkEnd w:id="21"/>
    </w:p>
    <w:p>
      <w:pPr>
        <w:pStyle w:val="Heading3"/>
        <w:numPr>
          <w:ilvl w:val="2"/>
          <w:numId w:val="1"/>
        </w:numPr>
        <w:rPr/>
      </w:pPr>
      <w:bookmarkStart w:id="22" w:name="__RefHeading___Toc1258023_73709187"/>
      <w:bookmarkStart w:id="23" w:name="_Toc8"/>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فإذا كانت بداية الاختلاف في عهد الخليفة الثالث، فهناك سؤال يطرح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سبب الاختلاف في أمر الوضوء بعد ما مضت قرابة عشرين سنة من رحيل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وجوه واحتمالات</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258025_73709187"/>
      <w:bookmarkStart w:id="25" w:name="_Toc9"/>
      <w:bookmarkEnd w:id="24"/>
      <w:r>
        <w:rPr/>
        <w:t>1</w:t>
      </w:r>
      <w:r>
        <w:rPr>
          <w:rtl w:val="true"/>
        </w:rPr>
        <w:t xml:space="preserve">. </w:t>
      </w:r>
      <w:r>
        <w:rPr>
          <w:rtl w:val="true"/>
        </w:rPr>
        <w:t>اختلاف القراءة</w:t>
      </w:r>
      <w:bookmarkEnd w:id="2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يتصوّر انّ مصدر الخلاف في ذلك العصر هو اختلاف القراءة حيث إنّ القرّاء اختلفوا في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 بِرُءُوسكم وَأَرجلكم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فمنهم من قرأ بالجرِّ عطفاً على الرؤوس الذي يستلزم وجوب المسح على الأرجل، ومنهم من قرأ</w:t>
      </w:r>
    </w:p>
    <w:p>
      <w:pPr>
        <w:pStyle w:val="BookText"/>
        <w:rPr/>
      </w:pPr>
      <w:r>
        <w:rPr>
          <w:rFonts w:ascii="Amiri" w:hAnsi="Amiri" w:eastAsia="Amiri" w:cs="Amiri"/>
          <w:color w:val="111111"/>
          <w:sz w:val="28"/>
          <w:sz w:val="28"/>
          <w:szCs w:val="28"/>
          <w:rtl w:val="true"/>
          <w:lang w:bidi="ar-SA"/>
        </w:rPr>
        <w:t xml:space="preserve">بالفتح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 وأيديكم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يستلزم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الوجه باطل جداً، فانّ العربي الصميم إذا قرأ الآية مجرّداً عن أي رأي مسبق لا يرضى بغير عطف الأرجل على الرؤوس، سواء أقرأ بالنصب أم بالجر، وأمّا عطفه على وجوهكم فلا يخطر بباله حتّى يكون مصدراً للخلاف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من يبتغي تفسير الآية وفهم مدلولها، أن يجعل نفسه كأنّه الحاضر في عصر نزول الآية ويسمع كلام اللّه من فم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أصحابه، فما يفهمه عند ذاك حجة بينه و بين ربه، وليس له عند ذاك، الركون إلى الاحتمالات والوجوه المختلفة التي ظهرت بعد ذلك الوقت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عرضنا الآية على عربي بعيد عن الأجواء الفقهية، وعن اختلاف المسلمين في كيفية الوضوء وطلبنا منه تبيين ما فهمه لقال بوضوح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الوضوء غسلتان و مسحتان دون أن يفكّر في أنّ الأرجل هل هي معطوفة على الرؤوس أو معطوفة على وجوهكم؟ فهو يدرك بأنّها تتضمّن جملتين صُرّح فيهما بحكمين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بدئ في الجملة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 وأيديكم إلى المرافق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بغَسْل الوجوه ثمّ عطفت الأيدي عليها، فوجب لها من الحكم مثل حكم الوجوه لأجل العطف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بدئ في الجملة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وَامسحوا برءُوسكم وأرجلكم إلى الكَعبين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بمسح الرؤوس ثمّ عطفت الأرجل عليها، فوجب أن يكون لها من الحكم مثل حكم الرؤوس لأجل العطف، والواو تدلّ على مشاركة مابعدها لما قبلها في الحكم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والتفكيك بين حكم الرؤوس وحكم الأرجل لا يحتمله عربي صميم، بل يراه مخالفاً لظهور الآية</w:t>
      </w:r>
      <w:r>
        <w:rPr>
          <w:rFonts w:eastAsia="Amiri" w:cs="Amiri" w:ascii="Amiri" w:hAnsi="Amiri"/>
          <w:color w:val="111111"/>
          <w:sz w:val="28"/>
          <w:szCs w:val="28"/>
          <w:rtl w:val="true"/>
          <w:lang w:bidi="ar-SA"/>
        </w:rPr>
        <w:t>.</w:t>
      </w:r>
      <w:bookmarkStart w:id="26" w:name="pg11414_142648"/>
    </w:p>
    <w:p>
      <w:pPr>
        <w:pStyle w:val="Heading3"/>
        <w:numPr>
          <w:ilvl w:val="2"/>
          <w:numId w:val="1"/>
        </w:numPr>
        <w:rPr/>
      </w:pPr>
      <w:bookmarkStart w:id="27" w:name="__RefHeading___Toc1258027_73709187"/>
      <w:bookmarkStart w:id="28" w:name="_Toc10"/>
      <w:bookmarkEnd w:id="26"/>
      <w:bookmarkEnd w:id="27"/>
      <w:r>
        <w:rPr/>
        <w:t>2</w:t>
      </w:r>
      <w:r>
        <w:rPr>
          <w:rtl w:val="true"/>
        </w:rPr>
        <w:t>.</w:t>
      </w:r>
      <w:r>
        <w:rPr>
          <w:rtl w:val="true"/>
        </w:rPr>
        <w:t>التمسّك بروايات الغسل المنسوخة</w:t>
      </w:r>
      <w:bookmarkEnd w:id="28"/>
    </w:p>
    <w:p>
      <w:pPr>
        <w:pStyle w:val="BookText"/>
        <w:rPr/>
      </w:pPr>
      <w:r>
        <w:rPr>
          <w:rFonts w:ascii="Amiri" w:hAnsi="Amiri" w:eastAsia="Amiri" w:cs="Amiri"/>
          <w:color w:val="111111"/>
          <w:sz w:val="28"/>
          <w:sz w:val="28"/>
          <w:szCs w:val="28"/>
          <w:rtl w:val="true"/>
          <w:lang w:bidi="ar-SA"/>
        </w:rPr>
        <w:t xml:space="preserve">يظهر من غير واحد من الروايات أنّ غسل الرجلين كان سنّة أمر بها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فترة من عمره، ولمّا نزلت سورة المائدة وفيها آية الوضوء والأمر بمسح الأرجل مكان الغسل،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فترة من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يعرف الناسخ والمنسوخ بالسنّة المنسوخة، وأثار الخلاف غافلاً عن أنّ الواجب عليه الأخذ بالقرآن الناسخ للسنّة وفيه سورة المائدة التي هي آخر سورة نزلت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أخرج ابن جرير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بالمسح، والسنّة بالغسل</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ويريد من السنّة عمل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نزول القرآن، ومن المعلوم أنّ القرآن حاكم وناسخ</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الناس إلاّ الغسل، ولا أجد في كتاب اللّه إلاّ المسح</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وبهذا يمكن الجمع بين ما حكي من عمل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الغسل وبين ظهور الآية في المسح، وانّ الغسل كان قبل نزول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ونرى نظير ذلك في المسح على الخفّين، فقد روى حاتم بن إسماعيل، عن جعفر بن محمد، عن أبيه، عن علي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 الكتابُ الخفّين</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الكتاب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ذلك انّه لو صدر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فترة من عمره، المسح على الخفّين، فقد جاء الكتاب على خلافه ناسخاً 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برءُوسكم وأرجلكم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امسحوا على البشرة لا على النعل ولا على الخفّ ولا الجورب</w:t>
      </w:r>
      <w:r>
        <w:rPr>
          <w:rFonts w:eastAsia="Amiri" w:cs="Amiri" w:ascii="Amiri" w:hAnsi="Amiri"/>
          <w:color w:val="111111"/>
          <w:sz w:val="28"/>
          <w:szCs w:val="28"/>
          <w:rtl w:val="true"/>
          <w:lang w:bidi="ar-SA"/>
        </w:rPr>
        <w:t>.</w:t>
      </w:r>
      <w:r>
        <w:rPr>
          <w:rStyle w:val="FootnoteAnchor"/>
          <w:rtl w:val="true"/>
        </w:rPr>
        <w:footnoteReference w:id="18"/>
      </w:r>
      <w:bookmarkStart w:id="29" w:name="pg11414_142650"/>
    </w:p>
    <w:p>
      <w:pPr>
        <w:pStyle w:val="Heading3"/>
        <w:numPr>
          <w:ilvl w:val="2"/>
          <w:numId w:val="1"/>
        </w:numPr>
        <w:rPr/>
      </w:pPr>
      <w:bookmarkStart w:id="30" w:name="__RefHeading___Toc1258029_73709187"/>
      <w:bookmarkStart w:id="31" w:name="_Toc11"/>
      <w:bookmarkEnd w:id="29"/>
      <w:bookmarkEnd w:id="30"/>
      <w:r>
        <w:rPr/>
        <w:t>3</w:t>
      </w:r>
      <w:r>
        <w:rPr>
          <w:rtl w:val="true"/>
        </w:rPr>
        <w:t>.</w:t>
      </w:r>
      <w:r>
        <w:rPr>
          <w:rtl w:val="true"/>
        </w:rPr>
        <w:t>إشاعة الغسل من قبل السلطة</w:t>
      </w:r>
      <w:bookmarkEnd w:id="31"/>
    </w:p>
    <w:p>
      <w:pPr>
        <w:pStyle w:val="BookText"/>
        <w:rPr/>
      </w:pPr>
      <w:r>
        <w:rPr>
          <w:rFonts w:ascii="Amiri" w:hAnsi="Amiri" w:eastAsia="Amiri" w:cs="Amiri"/>
          <w:color w:val="111111"/>
          <w:sz w:val="28"/>
          <w:sz w:val="28"/>
          <w:szCs w:val="28"/>
          <w:rtl w:val="true"/>
          <w:lang w:bidi="ar-SA"/>
        </w:rPr>
        <w:t>كان الحكام مصرّين على غسل الأرجل مكان المسح ويُلزمون الناس على ذلك بدل المسح لخبث باطن القدمين، وبما انّ قسماً كثيراً منهم كانوا حفاة، فراق في أنفسهم تبديل المسح بالغسل، ويدلّ على ذلك بعض ما ورد في النصوص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ابن جرير عن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بن أنس ونحن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انّ الحجاج خطبنا بالأهواز ونحن معه وذكر الطهور،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اغسلوا وجوهكم وأيديكم وامسحوا برؤوسكم وأرجلكم، وانّه ليس شيء من ابن آدم أقرب من خبثه من قدميه، فاغسلوا بطونهما وظهورهما وعراقيبهما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وكذب الحجاج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برءُوسكم 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أنس</w:t>
      </w:r>
    </w:p>
    <w:p>
      <w:pPr>
        <w:pStyle w:val="BookText"/>
        <w:rPr/>
      </w:pPr>
      <w:r>
        <w:rPr>
          <w:rFonts w:ascii="Amiri" w:hAnsi="Amiri" w:eastAsia="Amiri" w:cs="Amiri"/>
          <w:color w:val="111111"/>
          <w:sz w:val="28"/>
          <w:sz w:val="28"/>
          <w:szCs w:val="28"/>
          <w:rtl w:val="true"/>
          <w:lang w:bidi="ar-SA"/>
        </w:rPr>
        <w:t>إذا مسح قدميه بلّهما</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يعرب عن أنّ الدعاية الرسمية كانت تؤيد الغسل، وتؤاخذ من يقول بالمسح، حتّى أنّ القائلين به كانوا على حذر من إظهار عقيدتهم فلا يصرّحون بها إلاّخفية، ما رواه أحمد بن حنبل بسنده عن أبي مالك الأشعري انّه قال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بكم صلاة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اجتمعوا،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أحد غيركم؟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إلاّابن أخت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اخت القوم منهم، فدعا بجفنة فيها ماء، فتوضّأ ومضمض واستنشق وغسل وجهه ثلاثاً وذراعيه ثلاثاً ومسح برأسه وظهر قدميه، ثمّ صلّى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وجوه ثلاثة يمكن أن يُبرّر بها الغَسْل مكان المسح مع دلالة الكتاب العزيز على المسح، والأقرب هو الثاني ثمّ الثالث</w:t>
      </w:r>
      <w:r>
        <w:rPr>
          <w:rFonts w:eastAsia="Amiri" w:cs="Amiri" w:ascii="Amiri" w:hAnsi="Amiri"/>
          <w:color w:val="111111"/>
          <w:sz w:val="28"/>
          <w:szCs w:val="28"/>
          <w:rtl w:val="true"/>
          <w:lang w:bidi="ar-SA"/>
        </w:rPr>
        <w:t>.</w:t>
      </w:r>
      <w:bookmarkStart w:id="32" w:name="pg11414_142652"/>
    </w:p>
    <w:p>
      <w:pPr>
        <w:pStyle w:val="Heading2"/>
        <w:numPr>
          <w:ilvl w:val="1"/>
          <w:numId w:val="1"/>
        </w:numPr>
        <w:rPr/>
      </w:pPr>
      <w:bookmarkStart w:id="33" w:name="__RefHeading___Toc1258031_73709187"/>
      <w:bookmarkStart w:id="34" w:name="_Toc12"/>
      <w:bookmarkEnd w:id="32"/>
      <w:bookmarkEnd w:id="33"/>
      <w:r>
        <w:rPr/>
        <w:t>6</w:t>
      </w:r>
      <w:r>
        <w:rPr>
          <w:rtl w:val="true"/>
        </w:rPr>
        <w:t>-</w:t>
      </w:r>
      <w:r>
        <w:rPr>
          <w:rtl w:val="true"/>
        </w:rPr>
        <w:t>ما هو العامل في قوله</w:t>
      </w:r>
      <w:r>
        <w:rPr>
          <w:rtl w:val="true"/>
        </w:rPr>
        <w:t>: (</w:t>
      </w:r>
      <w:r>
        <w:rPr>
          <w:rtl w:val="true"/>
        </w:rPr>
        <w:t>وأرجلكم</w:t>
      </w:r>
      <w:r>
        <w:rPr>
          <w:rtl w:val="true"/>
        </w:rPr>
        <w:t>)</w:t>
      </w:r>
      <w:r>
        <w:rPr>
          <w:rtl w:val="true"/>
        </w:rPr>
        <w:t>؟</w:t>
      </w:r>
      <w:bookmarkEnd w:id="34"/>
    </w:p>
    <w:p>
      <w:pPr>
        <w:pStyle w:val="BookText"/>
        <w:rPr/>
      </w:pPr>
      <w:r>
        <w:rPr>
          <w:rFonts w:ascii="Amiri" w:hAnsi="Amiri" w:eastAsia="Amiri" w:cs="Amiri"/>
          <w:color w:val="111111"/>
          <w:sz w:val="28"/>
          <w:sz w:val="28"/>
          <w:szCs w:val="28"/>
          <w:rtl w:val="true"/>
          <w:lang w:bidi="ar-SA"/>
        </w:rPr>
        <w:t>إنّ آية الوضوء هي الدليل المبرم على وجوب الوضوء وكيفيته، وهي آية واضحة نزلت لتبيين ما هو تكليف المصلّي قبل الصلاة، وطبيعة الحال تقتضي أن تكون آية واضحة المعالم، محكمة الدلالة، دون أن يكتنفها إجمال أو إبهام،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قُمْتُمْ إِلى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 وَ أَيديَكُمْ إِلى المَرافِ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وَامْسَحُوا بِرُءُوسِكُمْ وَأَرجلَكُمْ إِلى الكَعْبَين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وتعيين أحد القولين من مسح الرجلين أو غسلهما رهن تشخيص العامل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الآية المباركة عاملين وفعلين كل</w:t>
      </w:r>
    </w:p>
    <w:p>
      <w:pPr>
        <w:pStyle w:val="BookText"/>
        <w:rPr/>
      </w:pPr>
      <w:r>
        <w:rPr>
          <w:rFonts w:ascii="Amiri" w:hAnsi="Amiri" w:eastAsia="Amiri" w:cs="Amiri"/>
          <w:color w:val="111111"/>
          <w:sz w:val="28"/>
          <w:sz w:val="28"/>
          <w:szCs w:val="28"/>
          <w:rtl w:val="true"/>
          <w:lang w:bidi="ar-SA"/>
        </w:rPr>
        <w:t>يصلح في بدء النظر لأن يكون عاملاً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تعيين ما هو العامل حسب ما يستسيغه الذوق العربي؟</w:t>
      </w:r>
    </w:p>
    <w:p>
      <w:pPr>
        <w:pStyle w:val="BookText"/>
        <w:rPr/>
      </w:pPr>
      <w:r>
        <w:rPr>
          <w:rFonts w:ascii="IRNazanin" w:hAnsi="IRNazanin" w:eastAsia="IRNazanin"/>
          <w:color w:val="111111"/>
          <w:sz w:val="28"/>
          <w:sz w:val="28"/>
          <w:szCs w:val="28"/>
          <w:rtl w:val="true"/>
          <w:lang w:bidi="fa-IR"/>
        </w:rPr>
        <w:t>والعاملان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وامسحوا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العامل هو الأوّل يجب غسلهما، ولو قلنا بأنّ العامل هو الثاني يجب مسحهما، فملاك إيجاب واحد منهما رهن تعيين العامل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انّ الإمعان في الآية ، مع قطع النظر عن كل رأي مسبق وفعل رائج بين المسلمين، يُثبت انّ الثاني،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العامل دون الأوّل البعيد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معطوف على القريب، أي الرؤوس لا على البعيد،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ونوضح ذلك بالمثال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سمعنا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زيداً وعمراً ومررت بخالد وبكر من دون أن يُعرب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أو الجرّ، نحكم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العامل فيه هو الفعل الثاني وليس معطوفاً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العامل فيه هو الفعل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علماء العربية أنّ العطف من حقّه أن يكون على الأقرب دون الأبعد، وهذا هو الأصل والعدول عنه يحتاج إلى قرينة موجودة في الكلام، وإلاّربما يوجب اللُّبس واشتباه المراد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فلنفرض أنّ رئيساً قال لخادمه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وعمراً واضرب بكراً وخالداً، فهو يميز بين الجملتين ويرى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خالداً فهو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يدور بخلده خلاف ذلك</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عامل النصب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العاملين إذا اجتمعا على</w:t>
      </w:r>
    </w:p>
    <w:p>
      <w:pPr>
        <w:pStyle w:val="BookText"/>
        <w:rPr/>
      </w:pPr>
      <w:r>
        <w:rPr>
          <w:rFonts w:ascii="Amiri" w:hAnsi="Amiri" w:eastAsia="Amiri" w:cs="Amiri"/>
          <w:color w:val="111111"/>
          <w:sz w:val="28"/>
          <w:sz w:val="28"/>
          <w:szCs w:val="28"/>
          <w:rtl w:val="true"/>
          <w:lang w:bidi="ar-SA"/>
        </w:rPr>
        <w:t>معمول واحد كان إعمال الأقرب أولى، فوجب أن يكون عامل النصب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وامسحوا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بنصب اللام توجب المسح</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فإذا كانت الحال كذلك ولا يجوز الخروج عن القواعد في الأمثلة العرفية، فأولى أن يكون كلام ربّ العزة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المثال منحصراً بما ذكرنا، بل بإمكانك الإدلاء بأمثلة مختلفة شريطة أن تكون مشابهة لما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إنّك عرضت الآية على أيّ عربيّ صميم يجرّد نفسه عن المذهب الذي يعتنقه، وسألته عن دلالة الآية يجيبك</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هناك أعضاءً يجب غسلها، وهي الوجوه والأيدي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واعضاءً يجب مسحها وهي الرؤوس والأرجل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أُلفت نظره إلى القواعد العربية تجده انّه لا يتردد انّ العامل في الرؤوس والأرجل شيء واحد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يدور بخلده التفكيك بين الرؤوس والأرجل بأن يكون العامل في الرؤوس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والعامل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w:t>
      </w:r>
      <w:r>
        <w:rPr>
          <w:rFonts w:eastAsia="Amiri" w:cs="Amiri" w:ascii="Amiri" w:hAnsi="Amiri"/>
          <w:color w:val="111111"/>
          <w:sz w:val="28"/>
          <w:szCs w:val="28"/>
          <w:rtl w:val="true"/>
          <w:lang w:bidi="ar-SA"/>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اتّضحت دلالة الآية على واحد من المسح والغسل فلا نحتاج إلى شيء آخر، فالموافق منه يؤكّد مضمون الآية، والمخالف يعالج بنحو من الطرق أفضلها انّها منسوخة بالكتاب</w:t>
      </w:r>
      <w:r>
        <w:rPr>
          <w:rFonts w:eastAsia="Amiri" w:cs="Amiri" w:ascii="Amiri" w:hAnsi="Amiri"/>
          <w:color w:val="111111"/>
          <w:sz w:val="28"/>
          <w:szCs w:val="28"/>
          <w:rtl w:val="true"/>
          <w:lang w:bidi="ar-SA"/>
        </w:rPr>
        <w:t>.</w:t>
      </w:r>
      <w:bookmarkStart w:id="35" w:name="pg11414_142657"/>
    </w:p>
    <w:p>
      <w:pPr>
        <w:pStyle w:val="Heading2"/>
        <w:numPr>
          <w:ilvl w:val="1"/>
          <w:numId w:val="1"/>
        </w:numPr>
        <w:rPr/>
      </w:pPr>
      <w:bookmarkStart w:id="36" w:name="__RefHeading___Toc1258033_73709187"/>
      <w:bookmarkStart w:id="37" w:name="_Toc13"/>
      <w:bookmarkEnd w:id="35"/>
      <w:bookmarkEnd w:id="36"/>
      <w:r>
        <w:rPr/>
        <w:t>7</w:t>
      </w:r>
      <w:r>
        <w:rPr>
          <w:rtl w:val="true"/>
        </w:rPr>
        <w:t>-</w:t>
      </w:r>
      <w:r>
        <w:rPr>
          <w:rtl w:val="true"/>
        </w:rPr>
        <w:t>القراءتان والمسح على الأرجل</w:t>
      </w:r>
      <w:bookmarkEnd w:id="37"/>
    </w:p>
    <w:p>
      <w:pPr>
        <w:pStyle w:val="BookText"/>
        <w:rPr/>
      </w:pPr>
      <w:r>
        <w:rPr>
          <w:rFonts w:ascii="Amiri" w:hAnsi="Amiri" w:eastAsia="Amiri" w:cs="Amiri"/>
          <w:color w:val="111111"/>
          <w:sz w:val="28"/>
          <w:sz w:val="28"/>
          <w:szCs w:val="28"/>
          <w:rtl w:val="true"/>
          <w:lang w:bidi="ar-SA"/>
        </w:rPr>
        <w:t>إنّ اختلاف القرّاء في لفظة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والجر لا يؤثر في دلالة الآية على وجوب المسح، فالقراءتان تنطبقان على ذلك القول بلا أي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قرأ نافع و ابن عامر وعاصم في رواية حفص عنه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بالنصب، وهذه هي القراءة المعروفة التي عليها المصاحف الرائجة في كلّ عصر وجيل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 ابن كثير وحمزة وأبو عمرو وعاصم في رواية أبي بكر عنه بالجرّ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القراءتين تنطبقان على القول</w:t>
      </w:r>
    </w:p>
    <w:p>
      <w:pPr>
        <w:pStyle w:val="BookText"/>
        <w:rPr/>
      </w:pPr>
      <w:r>
        <w:rPr>
          <w:rFonts w:ascii="Amiri" w:hAnsi="Amiri" w:eastAsia="Amiri" w:cs="Amiri"/>
          <w:color w:val="111111"/>
          <w:sz w:val="28"/>
          <w:sz w:val="28"/>
          <w:szCs w:val="28"/>
          <w:rtl w:val="true"/>
          <w:lang w:bidi="ar-SA"/>
        </w:rPr>
        <w:t>بالمسح بلا تريّث وتردد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أي قراءة الجر، فهو أقوى شاهد على أنّه معطوف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برءُوسكم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لقراءة الجرِّ وجه سوى كونه معطوفاً على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تكون الأرجل محكومة بالمسح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قراءة النصب فالوجه فيه أنّه عطف على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برءُوسكم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منصوب محلاً مفعول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وعندئذ تكون الأرجل أيضاً محكومة بالمسح فقط، والعطف على المحل أمر شائع في اللغة العربية، وقد ورد أيضاً في القرآن الكريم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القرآن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بَريءٌ مِنَ الْمُشرِكين وَرَسُولُه</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فقراءة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هي القراءة المعروفة الرائجة و لا وجه لرفعه إلاّ كونه معطوفاً على محل اسم إنّ،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w:t>
      </w:r>
    </w:p>
    <w:p>
      <w:pPr>
        <w:pStyle w:val="BookText"/>
        <w:rPr/>
      </w:pPr>
      <w:r>
        <w:rPr>
          <w:rFonts w:ascii="IRNazanin" w:hAnsi="IRNazanin" w:eastAsia="IRNazanin"/>
          <w:color w:val="111111"/>
          <w:sz w:val="28"/>
          <w:sz w:val="28"/>
          <w:szCs w:val="28"/>
          <w:rtl w:val="true"/>
          <w:lang w:bidi="fa-IR"/>
        </w:rPr>
        <w:t>مبتدأ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ملئت مسألةُ العطف على المحل كتبَ الأعاريب، فقد عقد ابن هشام باباً خاصاً للعطف على المحل وذكر شروطه</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وأمّا في الأدب العربي فحدِّث عنه ولا حرج،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 انّنا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فاسج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 فلسنا بالجبال ولا الحديدا</w:t>
      </w:r>
    </w:p>
    <w:p>
      <w:pPr>
        <w:pStyle w:val="BookText"/>
        <w:rPr/>
      </w:pPr>
      <w:r>
        <w:rPr>
          <w:rFonts w:ascii="Amiri" w:hAnsi="Amiri" w:eastAsia="Amiri" w:cs="Amiri"/>
          <w:color w:val="111111"/>
          <w:sz w:val="28"/>
          <w:sz w:val="28"/>
          <w:szCs w:val="28"/>
          <w:rtl w:val="true"/>
          <w:lang w:bidi="ar-SA"/>
        </w:rPr>
        <w:t>فقول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الحديدا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عطف على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خبر ليس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بالنتيجة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اختلاف القراءتين لا يؤثّر في تعيّن القول بالمسح، وسوف يوافيك دراسة القراءتين على القول بالغسل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لفيفاً من أعلام السّنة صرحوا بدلالة الآية</w:t>
      </w:r>
    </w:p>
    <w:p>
      <w:pPr>
        <w:pStyle w:val="BookText"/>
        <w:rPr/>
      </w:pPr>
      <w:r>
        <w:rPr>
          <w:rFonts w:ascii="Amiri" w:hAnsi="Amiri" w:eastAsia="Amiri" w:cs="Amiri"/>
          <w:color w:val="111111"/>
          <w:sz w:val="28"/>
          <w:sz w:val="28"/>
          <w:szCs w:val="28"/>
          <w:rtl w:val="true"/>
          <w:lang w:bidi="ar-SA"/>
        </w:rPr>
        <w:t xml:space="preserve">على المسح قائلين بأنّ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الأقرب لا الأبعد، وانّ العامل فيه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ونذكر بعض تلك الكلمات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قولنا في الرجلين، فانّ القرآن نزل بالمسح ،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برءُوسكم وأرجلكم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وسواء قرئ بخفض اللام أو فتحها، فهي على كلّ حال عطف على الرؤوس امّا على اللفظ و إمّا على الموضع، ولا يجوز 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القراءة بالجر فهي تقتضي كون الأرجل معطوفة على الرؤوس، فكما وجب المسح في الرأس فكذلك في الأرجل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القراءة بالنصب،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توجب المسح، وذلك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وامسحوا برءُوسكم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النصب، ولكنّها مجرورة بالباء، فإذا عطف الأرجل على</w:t>
      </w:r>
    </w:p>
    <w:p>
      <w:pPr>
        <w:pStyle w:val="BookText"/>
        <w:rPr/>
      </w:pPr>
      <w:r>
        <w:rPr>
          <w:rFonts w:ascii="Amiri" w:hAnsi="Amiri" w:eastAsia="Amiri" w:cs="Amiri"/>
          <w:color w:val="111111"/>
          <w:sz w:val="28"/>
          <w:sz w:val="28"/>
          <w:szCs w:val="28"/>
          <w:rtl w:val="true"/>
          <w:lang w:bidi="ar-SA"/>
        </w:rPr>
        <w:t>الرؤوس جاز في الأرجل النصب عطفاً على محل الرؤوس، والجر عطفاً على الظاهر، وهذا مذهب مشهور النحاة</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السندي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جزم انّ ظاهر القرآن هو 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 المسح هو ظاهر القرآن، لأنّ قراءة الجر ظاهرة فيه، وقراءة النصب محمول على جعل العطف على المحل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هذا المقدار من النقول يكفي في تبيين انّ كلتا القراءتين تدعمان المسح فقط وتنطبقان عليه بلا إشكال</w:t>
      </w:r>
      <w:r>
        <w:rPr>
          <w:rFonts w:eastAsia="Amiri" w:cs="Amiri" w:ascii="Amiri" w:hAnsi="Amiri"/>
          <w:color w:val="111111"/>
          <w:sz w:val="28"/>
          <w:szCs w:val="28"/>
          <w:rtl w:val="true"/>
          <w:lang w:bidi="ar-SA"/>
        </w:rPr>
        <w:t>.</w:t>
      </w:r>
      <w:bookmarkStart w:id="38" w:name="pg11414_142662"/>
    </w:p>
    <w:p>
      <w:pPr>
        <w:pStyle w:val="Heading2"/>
        <w:numPr>
          <w:ilvl w:val="1"/>
          <w:numId w:val="1"/>
        </w:numPr>
        <w:rPr/>
      </w:pPr>
      <w:bookmarkStart w:id="39" w:name="__RefHeading___Toc1258035_73709187"/>
      <w:bookmarkStart w:id="40" w:name="_Toc14"/>
      <w:bookmarkEnd w:id="38"/>
      <w:bookmarkEnd w:id="39"/>
      <w:r>
        <w:rPr/>
        <w:t>8</w:t>
      </w:r>
      <w:r>
        <w:rPr>
          <w:rtl w:val="true"/>
        </w:rPr>
        <w:t>-</w:t>
      </w:r>
      <w:r>
        <w:rPr>
          <w:rtl w:val="true"/>
        </w:rPr>
        <w:t>القراءتان وغسل الأرجل</w:t>
      </w:r>
      <w:bookmarkEnd w:id="40"/>
    </w:p>
    <w:p>
      <w:pPr>
        <w:pStyle w:val="Heading3"/>
        <w:numPr>
          <w:ilvl w:val="2"/>
          <w:numId w:val="1"/>
        </w:numPr>
        <w:rPr/>
      </w:pPr>
      <w:bookmarkStart w:id="41" w:name="__RefHeading___Toc1258037_73709187"/>
      <w:bookmarkStart w:id="42" w:name="_Toc15"/>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قد عرفت أنّ اختلاف القراءة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يؤثر في القول بمسح الرجلين، سواء أقرأنا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بالنصب أم قرأناه بالجر، فكلتا القراءتين تدعمان المسح وبالتالي العامل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برءُوسكم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لفظاً أو محلاً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إمكانية تطبيق القول بالغسل على القراءتين المعروفتين ومقدار انسجامه معهما والقواعد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وسيتضح من خلاله انّ فرض الغسل على الآية خرق واضح للقواعد العربية، وإليك البيان</w:t>
      </w:r>
      <w:r>
        <w:rPr>
          <w:rFonts w:eastAsia="Amiri" w:cs="Amiri" w:ascii="Amiri" w:hAnsi="Amiri"/>
          <w:color w:val="111111"/>
          <w:sz w:val="28"/>
          <w:szCs w:val="28"/>
          <w:rtl w:val="true"/>
          <w:lang w:bidi="ar-SA"/>
        </w:rPr>
        <w:t>:</w:t>
      </w:r>
      <w:bookmarkStart w:id="43" w:name="pg11414_142663"/>
    </w:p>
    <w:p>
      <w:pPr>
        <w:pStyle w:val="Heading3"/>
        <w:numPr>
          <w:ilvl w:val="2"/>
          <w:numId w:val="1"/>
        </w:numPr>
        <w:rPr/>
      </w:pPr>
      <w:bookmarkStart w:id="44" w:name="__RefHeading___Toc1258039_73709187"/>
      <w:bookmarkStart w:id="45" w:name="_Toc16"/>
      <w:bookmarkEnd w:id="43"/>
      <w:bookmarkEnd w:id="44"/>
      <w:r>
        <w:rPr>
          <w:rtl w:val="true"/>
        </w:rPr>
        <w:t>الغَسْل وقراءة النصب</w:t>
      </w:r>
      <w:bookmarkEnd w:id="45"/>
    </w:p>
    <w:p>
      <w:pPr>
        <w:pStyle w:val="BookText"/>
        <w:rPr/>
      </w:pPr>
      <w:r>
        <w:rPr>
          <w:rFonts w:ascii="Amiri" w:hAnsi="Amiri" w:eastAsia="Amiri" w:cs="Amiri"/>
          <w:color w:val="111111"/>
          <w:sz w:val="28"/>
          <w:sz w:val="28"/>
          <w:szCs w:val="28"/>
          <w:rtl w:val="true"/>
          <w:lang w:bidi="ar-SA"/>
        </w:rPr>
        <w:t xml:space="preserve">فلو قلنا بدلالة الآية على غسل الأرجل، فلا محيص من أن يكون العامل هو قوله في الجملة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معطوفاً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يستلزم الفصل بين المعطوف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بجملة أجنبية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وامسحوا برءُوسكم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يفصل بين المعطوف والمعطوف عليه بمفرد فضلاً عن جملة أجنبية، ولم يُسمع في كلام العرب الفصيح قائل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ببكر وعمراً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عطف أرجلكم على وجوهكم، لأنّه لا يجوز أن يحال بين المعطوف والمعطوف عليه بقضية مبتدئة</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ذهب إلى أنّ قراءة النصب</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 وأيديكم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وفصل بينهما بهذه الجملة التي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برءُوسكم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بعيد، لأنّ فيه الفصل بين المتعاطفين بجملة إنشائية</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الحلبي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المحل وجرها على اللفظ، ولا يجوز أن يكون النصب للعطف على وجوهكم، لامتناع العطف على وجوهكم للفصل بين المعطوف والمعطوف عليه بجملة أجنبية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وامسحوا برءُوسكم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أن لا يفصل بينهما بمفرد فضلاً عن الجملة، ولم يسمع في الفصيح نحو ضربت زيداً ومررت ببكر وعمراً بعطف عمراً على زيد</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قراءة النصب بالعطف على المحل أقرب لاطّراد العطف على المحل،</w:t>
      </w:r>
      <w:bookmarkStart w:id="46" w:name="pg11414_142665"/>
    </w:p>
    <w:p>
      <w:pPr>
        <w:pStyle w:val="BookText"/>
        <w:rPr/>
      </w:pPr>
      <w:bookmarkEnd w:id="46"/>
      <w:r>
        <w:rPr>
          <w:rFonts w:ascii="Amiri" w:hAnsi="Amiri" w:eastAsia="Amiri" w:cs="Amiri"/>
          <w:color w:val="111111"/>
          <w:sz w:val="28"/>
          <w:sz w:val="28"/>
          <w:szCs w:val="28"/>
          <w:rtl w:val="true"/>
          <w:lang w:bidi="ar-SA"/>
        </w:rPr>
        <w:t>وأيضاً فيه خلوص عن الفصل بالأجنبي بين المعطوف والمعطوف عليه، فصار ظاهر القرآن هو المسح</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إلى غير ذلك من الكلمات التي تصرح بأنّ قراءة النصب واستفادة الغسل يتوقّف على خرق قاعدة نحوية، وهي الفصل بين المعطوف و المعطوف عليه بجملة أجنبية</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1258041_73709187"/>
      <w:bookmarkStart w:id="48" w:name="_Toc17"/>
      <w:bookmarkEnd w:id="47"/>
      <w:r>
        <w:rPr>
          <w:rtl w:val="true"/>
        </w:rPr>
        <w:t>الغسل وقراءة الجر</w:t>
      </w:r>
      <w:bookmarkEnd w:id="4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القائلين بغسل الأرجل برّروا قراءة النصب بوجه قد عرفت ضعفه وعدم انسجامه مع القواعد العربية، ولكنّهم لمّا وقفوا على قراءة الجرّ وانّها تدلّ على المسح دون الغَسْل حاروا في تبريرها وتوجيهها مع القول بالغسل، فانّ قراءة الجر صريحة في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برءُوسكم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حكمها حكم الرؤوس، وعند ذلك مالوا يميناً ويساراً حتّى يجدوا لقراءة الخفض مع القول</w:t>
      </w:r>
    </w:p>
    <w:p>
      <w:pPr>
        <w:pStyle w:val="BookText"/>
        <w:rPr/>
      </w:pPr>
      <w:r>
        <w:rPr>
          <w:rFonts w:ascii="Amiri" w:hAnsi="Amiri" w:eastAsia="Amiri" w:cs="Amiri"/>
          <w:color w:val="111111"/>
          <w:sz w:val="28"/>
          <w:sz w:val="28"/>
          <w:szCs w:val="28"/>
          <w:rtl w:val="true"/>
          <w:lang w:bidi="ar-SA"/>
        </w:rPr>
        <w:t>بالغَسل مبرّراً، وليس هو إلاّ القول بالجرّ بالجوار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 حسب القواعد بالنصب لكونها معطوفة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اكتسب اعراب الجرّ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برؤوسكم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وقوعه في جنب لفظ مجرور وهذا ما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الجرّ بالجوار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ترك اللفظ اعرابه الطبيعي واكتساب اعراب اللفظ المجاور معه، وقد مثلوا له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جحر ضبّ 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قرأ بالجرّ لوقوعه في جنب كلمة ضبّ حيث إنّه مجرور باعتبار كونه مضاف إليه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انّ الجرّ بالجوار إمّا غير واقع في فصيح اللغة، وعلى فرض وقوعه فله شروط مفقودة في المقام، نعقد لبيان الموضوع الفصل التالي</w:t>
      </w:r>
      <w:r>
        <w:rPr>
          <w:rFonts w:eastAsia="Amiri" w:cs="Amiri" w:ascii="Amiri" w:hAnsi="Amiri"/>
          <w:color w:val="111111"/>
          <w:sz w:val="28"/>
          <w:szCs w:val="28"/>
          <w:rtl w:val="true"/>
          <w:lang w:bidi="ar-SA"/>
        </w:rPr>
        <w:t>.</w:t>
      </w:r>
      <w:bookmarkStart w:id="49" w:name="pg11414_142667"/>
    </w:p>
    <w:p>
      <w:pPr>
        <w:pStyle w:val="Heading2"/>
        <w:numPr>
          <w:ilvl w:val="1"/>
          <w:numId w:val="1"/>
        </w:numPr>
        <w:rPr/>
      </w:pPr>
      <w:bookmarkStart w:id="50" w:name="__RefHeading___Toc1258043_73709187"/>
      <w:bookmarkStart w:id="51" w:name="_Toc18"/>
      <w:bookmarkEnd w:id="49"/>
      <w:bookmarkEnd w:id="50"/>
      <w:r>
        <w:rPr/>
        <w:t>9</w:t>
      </w:r>
      <w:r>
        <w:rPr>
          <w:rtl w:val="true"/>
        </w:rPr>
        <w:t>-</w:t>
      </w:r>
      <w:r>
        <w:rPr>
          <w:rtl w:val="true"/>
        </w:rPr>
        <w:t>الجر بالجوار صحة وشرطاً</w:t>
      </w:r>
      <w:bookmarkEnd w:id="51"/>
    </w:p>
    <w:p>
      <w:pPr>
        <w:pStyle w:val="BookText"/>
        <w:rPr/>
      </w:pPr>
      <w:r>
        <w:rPr>
          <w:rFonts w:ascii="Amiri" w:hAnsi="Amiri" w:eastAsia="Amiri" w:cs="Amiri"/>
          <w:color w:val="111111"/>
          <w:sz w:val="28"/>
          <w:sz w:val="28"/>
          <w:szCs w:val="28"/>
          <w:rtl w:val="true"/>
          <w:lang w:bidi="ar-SA"/>
        </w:rPr>
        <w:t>لما كان القائلون بغسل الأرجل يفسّرون قراءة الجرّ بالجوار، نذكر كلمات أعلام الأُدباء في المقام ليُعلم مدى صحّة الجرّ بالجوار، و على فرض صحّته ما هي شروطه؟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لأجل الجوار، أي لوقوعه في جنب الرؤوس المجرورة، نظير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جُحر ضب خرب،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يكون مرفوعاً، لكنّه صار مجروراً لأجل الجوار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ثمّ ردَّ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صحيح، لاتّف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 أهل العربية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 أنّ الاعراب بالمجاورة شاذ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سبيله لا يجوز حمل القرآن عليه من 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p>
    <w:p>
      <w:pPr>
        <w:pStyle w:val="BookText"/>
        <w:rPr/>
      </w:pPr>
      <w:r>
        <w:rPr>
          <w:rFonts w:ascii="Amiri" w:hAnsi="Amiri" w:eastAsia="Amiri" w:cs="Amiri"/>
          <w:color w:val="111111"/>
          <w:sz w:val="28"/>
          <w:sz w:val="28"/>
          <w:szCs w:val="28"/>
          <w:rtl w:val="true"/>
          <w:lang w:bidi="ar-SA"/>
        </w:rPr>
        <w:t>ضرورة يُلج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علاء الدين البغدادي في تفسيره المسمى بالخازن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جعل كسر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مجاورة اللفظ دون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جحر ضب 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الخرب نعت للجحر لا الضب، وإنّما أخذ إعراب الضب للمجاورة فليس بجيّد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الكسر على المجاورة إنّما يحمل لأجل الضرورة في الشعر، أو يصار إليه حيث يحصل الأمن من الالتباس، لأنّ الخرب لا يكون نعتاً للضب بل للجحر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الكسر بالجوار إنّما يكون بدون واو العطف، امّا مع حرف العطف فلم تتكلم به العرب</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أنكر السيرافي وابن جنّي الخفض على الجوار وتأوّلا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على أنّه صفة للضب، و من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أراد التفصيل فليرجع إلى المغني</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الجر بالجوار في النسق، لأنّ العاطف يمنع التجاور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ويتلخص من هذه الكلمات التي نقلناها بالإيجاز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الخفض بالجوار لم يثبت في الكلام الفصيح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الخفض بالجوار على فرض ثبوته إمّا لضرورة الشعر أو لأجل استحسان الطبع المماثلةَ بين اللفظين المتجاورين، وكلّ من الوجهين منتفيان في المورد فليس هنا ضرورة شعرية ولا استحسان الطبع في إخلاء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إعرابه الواقعي واكتسابه إعراب جاره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العطف بالجوار إنّما يجوز فيما إذا يؤمن عن</w:t>
      </w:r>
    </w:p>
    <w:p>
      <w:pPr>
        <w:pStyle w:val="BookText"/>
        <w:rPr/>
      </w:pPr>
      <w:r>
        <w:rPr>
          <w:rFonts w:ascii="Amiri" w:hAnsi="Amiri" w:eastAsia="Amiri" w:cs="Amiri"/>
          <w:color w:val="111111"/>
          <w:sz w:val="28"/>
          <w:sz w:val="28"/>
          <w:szCs w:val="28"/>
          <w:rtl w:val="true"/>
          <w:lang w:bidi="ar-SA"/>
        </w:rPr>
        <w:t xml:space="preserve">الاشتباه كما في المثل المعروف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للجحر لا للضبّ وان جرَّ ، بخلاف المقام فانّ قراءة الجرّ تورث الاشتباه، فلو كان الأرجل في الواقع محكومة بالغسل فالجرّ بالجوار يوهم كون الأرجل محكومة بالمسح وانّها معطوفة على الرؤوس من دون أن يلتفت المخاطبُ إلى أنّ الجرّ للجوار فلا داعي لارتكاب هذا النوع من الخفض الذي يضاد بظاهره مراد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الجر بالجوار إلاّ في الوصف والبدل وأمثالهما لا في المعطوف كما في الآية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وظهر من هذا البحث الضافي انّ القول بالمسح ينطبق على كلتا القراءتين بلا أدنى تأويل وحرج، وهذا بخلاف القول بالغسل فانّه لا ينسجم لا مع قراءة النصب ولا مع قراءة الجرّ</w:t>
      </w:r>
      <w:r>
        <w:rPr>
          <w:rFonts w:eastAsia="Amiri" w:cs="Amiri" w:ascii="Amiri" w:hAnsi="Amiri"/>
          <w:color w:val="111111"/>
          <w:sz w:val="28"/>
          <w:szCs w:val="28"/>
          <w:rtl w:val="true"/>
          <w:lang w:bidi="ar-SA"/>
        </w:rPr>
        <w:t>.</w:t>
      </w:r>
      <w:bookmarkStart w:id="52" w:name="pg11414_142671"/>
    </w:p>
    <w:p>
      <w:pPr>
        <w:pStyle w:val="Heading2"/>
        <w:numPr>
          <w:ilvl w:val="1"/>
          <w:numId w:val="1"/>
        </w:numPr>
        <w:rPr/>
      </w:pPr>
      <w:bookmarkStart w:id="53" w:name="__RefHeading___Toc1258045_73709187"/>
      <w:bookmarkStart w:id="54" w:name="_Toc19"/>
      <w:bookmarkEnd w:id="52"/>
      <w:bookmarkEnd w:id="53"/>
      <w:r>
        <w:rPr/>
        <w:t>10</w:t>
      </w:r>
      <w:r>
        <w:rPr>
          <w:rtl w:val="true"/>
        </w:rPr>
        <w:t>-</w:t>
      </w:r>
      <w:r>
        <w:rPr>
          <w:rtl w:val="true"/>
        </w:rPr>
        <w:t>الاجتهاد تجاه النص</w:t>
      </w:r>
      <w:bookmarkEnd w:id="54"/>
    </w:p>
    <w:p>
      <w:pPr>
        <w:pStyle w:val="Heading3"/>
        <w:numPr>
          <w:ilvl w:val="2"/>
          <w:numId w:val="1"/>
        </w:numPr>
        <w:rPr/>
      </w:pPr>
      <w:bookmarkStart w:id="55" w:name="__RefHeading___Toc1258047_73709187"/>
      <w:bookmarkStart w:id="56" w:name="_Toc20"/>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 xml:space="preserve">إنّ آفة الفقه هو التمسك بالاعتباريات والوجوه الاستحسانيّة أمام النصّ، لأنّه يضاد مذهب التعبديّة، فالمسلم يتعبد بالنص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بلغ ما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يقدِّم رأيه على كتاب اللّه وسنّة رسوله الصحيحة، وهو آية الاستسلام أمام اللّه وأمام رسوله وكتابه وسننه،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تُقَدِّمُوا بَيْنَ يَدَي اللّه وَرَسُوله ِ وَاتَّقُوا اللّهَ إِنَّ اللّهَ سَمِيعٌ عَلِيم</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لا تتقدّموا على اللّه ورسوله بافتراض رأيكم على الرسول والأُمّة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تقديم الوجوه الاستحسانية على النصّ تقدّمٌ على اللّه ورسوله، ونعم ما قال الإمام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استحسن فقد شرّع</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وقف غير واحد من أعلام السنّة على أنّ ظاهر الآية أو صريحها هو مسح الرجلين واعترفوا بذلك بوجدانهم أو بلسانهم وقلمهم، ولكن التعبد بمذهب الأئمّة الأربعة وغيرهم عاقهم عن الأخذ بمضمون الآية، فاتبعوا المذهبَ الموروث بدل الاتّباع للقرآن الكريم، ولولا انّهم نشأوا على هذه الفكرة منذ نعوم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أظفارهم، لما 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اجتهاداتهم على كتاب اللّه العزيز الدالّ على المسح، وحرّروا تفكّرهم عن قيد التقليد، وإليك شيئاً من هذه الاجته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ادات 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لا يرتضيه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العقل ولا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وجدان الحرّ </w:t>
      </w:r>
      <w:r>
        <w:rPr>
          <w:rFonts w:eastAsia="Amiri" w:cs="Amiri" w:ascii="Amiri" w:hAnsi="Amiri"/>
          <w:color w:val="111111"/>
          <w:sz w:val="28"/>
          <w:szCs w:val="28"/>
          <w:rtl w:val="true"/>
          <w:lang w:bidi="ar-SA"/>
        </w:rPr>
        <w:t>.</w:t>
      </w:r>
      <w:bookmarkStart w:id="57" w:name="pg11414_142673"/>
    </w:p>
    <w:p>
      <w:pPr>
        <w:pStyle w:val="Heading3"/>
        <w:numPr>
          <w:ilvl w:val="2"/>
          <w:numId w:val="1"/>
        </w:numPr>
        <w:rPr/>
      </w:pPr>
      <w:bookmarkStart w:id="58" w:name="__RefHeading___Toc1258049_73709187"/>
      <w:bookmarkStart w:id="59" w:name="_Toc21"/>
      <w:bookmarkEnd w:id="57"/>
      <w:bookmarkEnd w:id="58"/>
      <w:r>
        <w:rPr/>
        <w:t>1</w:t>
      </w:r>
      <w:r>
        <w:rPr>
          <w:rtl w:val="true"/>
        </w:rPr>
        <w:t xml:space="preserve">. </w:t>
      </w:r>
      <w:r>
        <w:rPr>
          <w:rtl w:val="true"/>
        </w:rPr>
        <w:t>الغَسْل يشمل المسح</w:t>
      </w:r>
      <w:bookmarkEnd w:id="59"/>
    </w:p>
    <w:p>
      <w:pPr>
        <w:pStyle w:val="BookText"/>
        <w:rPr/>
      </w:pPr>
      <w:r>
        <w:rPr>
          <w:rFonts w:ascii="Amiri" w:hAnsi="Amiri" w:eastAsia="Amiri" w:cs="Amiri"/>
          <w:color w:val="111111"/>
          <w:sz w:val="28"/>
          <w:sz w:val="28"/>
          <w:szCs w:val="28"/>
          <w:rtl w:val="true"/>
          <w:lang w:bidi="ar-SA"/>
        </w:rPr>
        <w:t>زعم الجصاص انّ آية الوضوء مجملة فلابدّ من العمل بالاحتياط، وهو الغَسْل المشتمل على المسح أيضاً، بخلاف المسح فانّه خال عن الغسل ثمّ رفع ابهام الآية بادعاء اتّفاق الجميع على انّه لو غَسَل فقد أدّى الفرض</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كيف يرمي الآية بالإجمال مع أنّها واضحة الدلالة، لأنّها بصدد بيان ما هو الواجب على عامة المصلّين عند القيام إلى الصلاة، ومثل هذا يجب أن يكون مبيّن المراد، غير محتمل إلاّ لمعنى واحد، وإنّما دعاه إلى القول بالإجمال الفرار عن ظاهر الآية الدالّ على أنّ فريضة الأرجل هو المسح لا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يقوله إنّ الغسل يشمل المسح دون العكس فانّه خال من الغسل، غير صحيح، لأنّ المراد من الغسل في المقام هو إسالة الماء على العضو، كما أنّ المراد من المسح فيها هو إمرار اليد على العضو بالبلل</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60" w:name="pg11414_142674"/>
    </w:p>
    <w:p>
      <w:pPr>
        <w:pStyle w:val="BookText"/>
        <w:rPr/>
      </w:pPr>
      <w:bookmarkEnd w:id="60"/>
      <w:r>
        <w:rPr>
          <w:rFonts w:ascii="Amiri" w:hAnsi="Amiri" w:eastAsia="Amiri" w:cs="Amiri"/>
          <w:color w:val="111111"/>
          <w:sz w:val="28"/>
          <w:sz w:val="28"/>
          <w:szCs w:val="28"/>
          <w:rtl w:val="true"/>
          <w:lang w:bidi="ar-SA"/>
        </w:rPr>
        <w:t xml:space="preserve">المتبقّى في اليد، وعندئذ يُصبح الغَسْل والمسح فريضتين مختلفتين على نحو يغاير كلّ الآخر، فلا الغسل يشتمل على المسح ولا المسح على الغسل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ادعاء رفع ابهام الآية بانّه إذا غسل فقد أدّى فرضه باتّفاق الجميع مصادرة بالمطلوب إذ كيف يدعي الاتفاق عليه مع انّ القائلين بالمسح بين الصحابة والتابعين كما سيوافيك أسماؤهم، ليسوا بأقلّ من القائلين بالغسل كما أنّ الإمامية وهم ربع المسلمين يرون بطلان الغسل ولزوم المسح فأين اتّفاق الجميع على الغَسْل</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1258051_73709187"/>
      <w:bookmarkStart w:id="62" w:name="_Toc22"/>
      <w:bookmarkEnd w:id="61"/>
      <w:r>
        <w:rPr/>
        <w:t>2</w:t>
      </w:r>
      <w:r>
        <w:rPr>
          <w:rtl w:val="true"/>
        </w:rPr>
        <w:t xml:space="preserve">. </w:t>
      </w:r>
      <w:r>
        <w:rPr>
          <w:rtl w:val="true"/>
        </w:rPr>
        <w:t>نسخ السنّة للكتاب</w:t>
      </w:r>
      <w:bookmarkEnd w:id="6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من يرى دلالة الآية على المسح بوضوح ويبطل القول بأنّ أرجلكم معطوف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ألبتة أن يحال بين المعطوف والمعطوف عليه بخبر غير الخبر عن المعطوف، لأنّه إشكال وتلبيس</w:t>
      </w:r>
    </w:p>
    <w:p>
      <w:pPr>
        <w:pStyle w:val="BookText"/>
        <w:rPr/>
      </w:pPr>
      <w:r>
        <w:rPr>
          <w:rFonts w:ascii="Amiri" w:hAnsi="Amiri" w:eastAsia="Amiri" w:cs="Amiri"/>
          <w:color w:val="111111"/>
          <w:sz w:val="28"/>
          <w:sz w:val="28"/>
          <w:szCs w:val="28"/>
          <w:rtl w:val="true"/>
          <w:lang w:bidi="ar-SA"/>
        </w:rPr>
        <w:t>وإضلال 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محمداً و زيداً و مررت بخالد وعمراً، وأنت تريد أنّك ضربت عمراً أصلاً، فلما جاءت السنّة بغسل الرجلين صحّ انّ المسح منسوخ عنهما</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نسخ الكتاب إلاّبالسنّة القطعية، لأنّ الكتاب دليل قطعي لا ينسخه إلاّ دليل قطعي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فالسنّة الدالة على الغسل متعارضة مع السنّة الدالة على المسح، فكيف يمكن أن نقدّم أحد المتعارضين على القرآن الكريم بغير مرجح؟ وستوافيك الروايات المتضافرة الدالة على أنّ النبي وأصحابه كانوا يمسحون الأرجل مكان الغسل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اتّفقت الأُمّة على أنّ سورة المائدة آخر ما نزل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وانّها لم تنسخ آية منها، وقد مرّ من</w:t>
      </w:r>
      <w:bookmarkStart w:id="63" w:name="pg11414_142676"/>
    </w:p>
    <w:p>
      <w:pPr>
        <w:pStyle w:val="BookText"/>
        <w:rPr/>
      </w:pPr>
      <w:bookmarkEnd w:id="63"/>
      <w:r>
        <w:rPr>
          <w:rFonts w:ascii="Amiri" w:hAnsi="Amiri" w:eastAsia="Amiri" w:cs="Amiri"/>
          <w:color w:val="111111"/>
          <w:sz w:val="28"/>
          <w:sz w:val="28"/>
          <w:szCs w:val="28"/>
          <w:rtl w:val="true"/>
          <w:lang w:bidi="ar-SA"/>
        </w:rPr>
        <w:t>الروايات وأقوال الصحابة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اللازم على ابن حزم أن يجعل الآية دليلاً على منسوخية السنّة، ولو ثبت انّ النبي غسل رجليه في فترة من الزمن فالآية ناسخة لها لا أنّها ناسخة للقرآن</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258053_73709187"/>
      <w:bookmarkStart w:id="65" w:name="_Toc23"/>
      <w:bookmarkEnd w:id="64"/>
      <w:r>
        <w:rPr/>
        <w:t>3</w:t>
      </w:r>
      <w:r>
        <w:rPr>
          <w:rtl w:val="true"/>
        </w:rPr>
        <w:t xml:space="preserve">. </w:t>
      </w:r>
      <w:r>
        <w:rPr>
          <w:rtl w:val="true"/>
        </w:rPr>
        <w:t>التنبيه على وجوب الاقتصاد في صب الماء</w:t>
      </w:r>
      <w:bookmarkEnd w:id="65"/>
    </w:p>
    <w:p>
      <w:pPr>
        <w:pStyle w:val="BookText"/>
        <w:rPr/>
      </w:pPr>
      <w:r>
        <w:rPr>
          <w:rFonts w:ascii="Amiri" w:hAnsi="Amiri" w:eastAsia="Amiri" w:cs="Amiri"/>
          <w:color w:val="111111"/>
          <w:sz w:val="28"/>
          <w:sz w:val="28"/>
          <w:szCs w:val="28"/>
          <w:rtl w:val="true"/>
          <w:lang w:bidi="ar-SA"/>
        </w:rPr>
        <w:t>وقد وقف الزمخشري على أنّ قراءة الجر تُلزم الإنسان بمسح الأرجل لا غسلهما، فصار بصدد منع الدلالة، وانّ الأرجل وإن كانت معطوفة على الرؤوس ومع ذلك يفقد العطفُ الدلالةَ على الغسل،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فدلّ على أنّ الأرجل مغسولة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بقراءة الجر ودخولها في حكم المسح؟</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الأرجل من بين الأعضاء الثلاثة المغسولة تُغسل بصب الماء عليها، فكان مظنة للإسراف المذموم</w:t>
      </w:r>
    </w:p>
    <w:p>
      <w:pPr>
        <w:pStyle w:val="BookText"/>
        <w:rPr/>
      </w:pPr>
      <w:r>
        <w:rPr>
          <w:rFonts w:ascii="Amiri" w:hAnsi="Amiri" w:eastAsia="Amiri" w:cs="Amiri"/>
          <w:color w:val="111111"/>
          <w:sz w:val="28"/>
          <w:sz w:val="28"/>
          <w:szCs w:val="28"/>
          <w:rtl w:val="true"/>
          <w:lang w:bidi="ar-SA"/>
        </w:rPr>
        <w:t>المنهيّ عنه، فعطفت على الثالث الممسوح لا لتُمسح ولكن لينبّه على وجوب الاقتصاد في صبّ الماء عليها وقيل إلى الكعبين</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الوجه إنّما يصحّ إذا كانت النكتة ممّا تعيه عامة المخاطبين من المؤمنين، وأين هؤلاء من هذه النكتة التي ابتدعها الزمخشري توجيهاً لمذهبه؟</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يصحّ ما ذكره من النكتة إذا أمن من الالتباس لا في مثل المقام الذي لا يؤمن منه، وبالتالي يحمل ظاهر اللفظ على وجوب المسح غفلة عن النكتة البديعة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الزمخشري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الأيدي أيضاً مظنة للإسراف مثل الأرجل، فلماذا لم ينبّه على وجوب الاقتصاد في صب الماء فيها أيضاً؟</w:t>
      </w:r>
      <w:r>
        <w:rPr>
          <w:rFonts w:eastAsia="Amiri" w:cs="Amiri" w:ascii="Amiri" w:hAnsi="Amiri"/>
          <w:color w:val="111111"/>
          <w:sz w:val="28"/>
          <w:szCs w:val="28"/>
          <w:rtl w:val="true"/>
          <w:lang w:bidi="ar-SA"/>
        </w:rPr>
        <w:t>!</w:t>
      </w:r>
      <w:bookmarkStart w:id="66" w:name="pg11414_142678"/>
    </w:p>
    <w:p>
      <w:pPr>
        <w:pStyle w:val="BookText"/>
        <w:rPr/>
      </w:pPr>
      <w:bookmarkEnd w:id="66"/>
      <w:r>
        <w:rPr>
          <w:rFonts w:ascii="Amiri" w:hAnsi="Amiri" w:eastAsia="Amiri" w:cs="Amiri"/>
          <w:color w:val="111111"/>
          <w:sz w:val="28"/>
          <w:sz w:val="28"/>
          <w:szCs w:val="28"/>
          <w:rtl w:val="true"/>
          <w:lang w:bidi="ar-SA"/>
        </w:rPr>
        <w:t>كل ذلك يعرب عن أنّ هذا الوجه توجيه للمذهب الذي نشأ وترعرع صاحب الكشاف عليه ، ولولا ذلك لم يرد بخلده هذا الوجه</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258055_73709187"/>
      <w:bookmarkStart w:id="68" w:name="_Toc24"/>
      <w:bookmarkEnd w:id="67"/>
      <w:r>
        <w:rPr/>
        <w:t>4</w:t>
      </w:r>
      <w:r>
        <w:rPr>
          <w:rtl w:val="true"/>
        </w:rPr>
        <w:t xml:space="preserve">. </w:t>
      </w:r>
      <w:r>
        <w:rPr>
          <w:rtl w:val="true"/>
        </w:rPr>
        <w:t>سهولة غسل الرجلين دون الشعر</w:t>
      </w:r>
      <w:bookmarkEnd w:id="68"/>
    </w:p>
    <w:p>
      <w:pPr>
        <w:pStyle w:val="BookText"/>
        <w:rPr/>
      </w:pPr>
      <w:r>
        <w:rPr>
          <w:rFonts w:ascii="Amiri" w:hAnsi="Amiri" w:eastAsia="Amiri" w:cs="Amiri"/>
          <w:color w:val="111111"/>
          <w:sz w:val="28"/>
          <w:sz w:val="28"/>
          <w:szCs w:val="28"/>
          <w:rtl w:val="true"/>
          <w:lang w:bidi="ar-SA"/>
        </w:rPr>
        <w:t>لما وقف ابن قدامة على أنّ مقتضى عطف الأرجل على الرؤوس هو المسح، سواء أقرئت بالنصب أو بالجر، أخذ يتفلسف ويجتهد أمام الدليل الصارم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فرقاً بين الرأس والرجل، ولأجله لا يمكن أن يحكم عليهما بحكم واحد، وهذه الوجوه عبارة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الممسوح في الرأس شعر يشقّ غسله، والرجلان بخلاف ذلك فهما أشبه بالمغسولات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انّهما محدودان بحد ينتهي إليه فأشبها باليدين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معرّضتان للخبث لكونهما يُوطّأ بهما على الأرض بخلاف الرأس</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اجتهاد مقابل النص وتفلسف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مشقّة في غسل الشعر إذا كان المغسول جزءاً منه فإنّه الواجب في المسح، فليكن كذلك عند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التمسك بالشَّبه ضعيف جداً، إذ كم من متشابهين يختلفان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وأفسد منه هو الوجه الثالث فإنّ كون الرِّجْلين معرّضتين للخبث لا يقتضي تعيّ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الغسل، فإنّ القائل بالمسح يقول بأنّه يجب أن تكون الرِّجل طاهرة من الخبث ثمّ تمسح</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ولعمري إنّ هذا الوجه وما تقدّمه للزمخشري تلاعب بالآية لغاية دعم المذهب، والجدير بالفقيه الواعي هو الأخذ بالآية، سواء أوافقت مذهب إمامه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ولصاحب المنار كلمة قيّمة في حقّ هؤلاء الذين يقدّمون فتاوى الأئمّة على الكتاب العزيز والسنّة الصحيحة يقول</w:t>
      </w:r>
      <w:r>
        <w:rPr>
          <w:rFonts w:eastAsia="Amiri" w:cs="Amiri" w:ascii="Amiri" w:hAnsi="Amiri"/>
          <w:color w:val="111111"/>
          <w:sz w:val="28"/>
          <w:szCs w:val="28"/>
          <w:rtl w:val="true"/>
          <w:lang w:bidi="ar-SA"/>
        </w:rPr>
        <w:t>:</w:t>
      </w:r>
      <w:bookmarkStart w:id="69" w:name="pg11414_142680"/>
    </w:p>
    <w:p>
      <w:pPr>
        <w:pStyle w:val="BookText"/>
        <w:rPr/>
      </w:pPr>
      <w:bookmarkEnd w:id="69"/>
      <w:r>
        <w:rPr>
          <w:rFonts w:ascii="Amiri" w:hAnsi="Amiri" w:eastAsia="Amiri" w:cs="Amiri"/>
          <w:color w:val="111111"/>
          <w:sz w:val="28"/>
          <w:sz w:val="28"/>
          <w:szCs w:val="28"/>
          <w:rtl w:val="true"/>
          <w:lang w:bidi="ar-SA"/>
        </w:rPr>
        <w:t>إنّ العمل عندهم على أقوال كتبهم دون كتاب اللّه وسنّة رسوله</w:t>
      </w:r>
      <w:r>
        <w:rPr>
          <w:rFonts w:eastAsia="Amiri" w:cs="Amiri" w:ascii="Amiri" w:hAnsi="Amiri"/>
          <w:color w:val="111111"/>
          <w:sz w:val="28"/>
          <w:szCs w:val="28"/>
          <w:rtl w:val="true"/>
          <w:lang w:bidi="ar-SA"/>
        </w:rPr>
        <w:t>.</w:t>
      </w:r>
      <w:r>
        <w:rPr>
          <w:rStyle w:val="FootnoteAnchor"/>
          <w:rtl w:val="true"/>
        </w:rPr>
        <w:footnoteReference w:id="36"/>
      </w:r>
    </w:p>
    <w:p>
      <w:pPr>
        <w:pStyle w:val="Heading3"/>
        <w:numPr>
          <w:ilvl w:val="2"/>
          <w:numId w:val="1"/>
        </w:numPr>
        <w:rPr/>
      </w:pPr>
      <w:bookmarkStart w:id="70" w:name="__RefHeading___Toc1258057_73709187"/>
      <w:bookmarkStart w:id="71" w:name="_Toc25"/>
      <w:bookmarkEnd w:id="70"/>
      <w:r>
        <w:rPr/>
        <w:t>5</w:t>
      </w:r>
      <w:r>
        <w:rPr>
          <w:rtl w:val="true"/>
        </w:rPr>
        <w:t xml:space="preserve">. </w:t>
      </w:r>
      <w:r>
        <w:rPr>
          <w:rtl w:val="true"/>
        </w:rPr>
        <w:t>اتّباع السلف في الغسل</w:t>
      </w:r>
      <w:bookmarkEnd w:id="71"/>
    </w:p>
    <w:p>
      <w:pPr>
        <w:pStyle w:val="BookText"/>
        <w:rPr/>
      </w:pPr>
      <w:r>
        <w:rPr>
          <w:rFonts w:ascii="Amiri" w:hAnsi="Amiri" w:eastAsia="Amiri" w:cs="Amiri"/>
          <w:color w:val="111111"/>
          <w:sz w:val="28"/>
          <w:sz w:val="28"/>
          <w:szCs w:val="28"/>
          <w:rtl w:val="true"/>
          <w:lang w:bidi="ar-SA"/>
        </w:rPr>
        <w:t>لمّا وقف ابن تيمية على أنّ قراءة الخفض تستلزم العطف على الرؤوس فيلزم حينئذ مسح الرجلين لا غسلهما، التجأ إلى تأويل النص،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قرأ بالخفض فليس معناه وامسحوا أرجلكم كما يظنه بعض الناس، 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قرأوا ذلك من السلف،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الأمر إلى الغسل</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صحّ ما ذكره لزم القول بأنّ السلف تركوا القرآن وراء ظهورهم وأخذوا بما لا يوافق القرآن، ولو كان رجوعهم لأجل نسخ الكتاب فقد عرفت أنّ القرآن لا ينسخ بخبر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جواز النسخ</w:t>
      </w:r>
      <w:bookmarkStart w:id="72" w:name="pg11414_142681"/>
    </w:p>
    <w:p>
      <w:pPr>
        <w:pStyle w:val="BookText"/>
        <w:rPr/>
      </w:pPr>
      <w:bookmarkEnd w:id="72"/>
      <w:r>
        <w:rPr>
          <w:rFonts w:ascii="Amiri" w:hAnsi="Amiri" w:eastAsia="Amiri" w:cs="Amiri"/>
          <w:color w:val="111111"/>
          <w:sz w:val="28"/>
          <w:sz w:val="28"/>
          <w:szCs w:val="28"/>
          <w:rtl w:val="true"/>
          <w:lang w:bidi="ar-SA"/>
        </w:rPr>
        <w:t>فسورة المائدة لم يُنسَخ منها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العجب أنّ ابن تيميّة ناقض نفسه فقد ذكر في الوجه السابع ما هذا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التيمّم جُعل بدلاً عن الوضوء عند الحاجة فحذف شطر أعضاء الوضوء وخُفّ الشطر الثاني، وذلك فإنّه حذف ما كان ممسوحاً ومسح ما كان مغسولاً</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فلو كان التيمّم على أساس حذف ما كان ممسوحاً فقد حذف حكم الأرجل في التيمّم، فلازم ذلك أن يكون حكمه هو المسح حتّى يصحّ حذفه، فلو كان حكمه هو الغسل لم يحذف، بل يبقى كالوجه واليد ويُمسح</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1258059_73709187"/>
      <w:bookmarkStart w:id="74" w:name="_Toc26"/>
      <w:bookmarkEnd w:id="73"/>
      <w:r>
        <w:rPr/>
        <w:t>6</w:t>
      </w:r>
      <w:r>
        <w:rPr>
          <w:rtl w:val="true"/>
        </w:rPr>
        <w:t xml:space="preserve">. </w:t>
      </w:r>
      <w:r>
        <w:rPr>
          <w:rtl w:val="true"/>
        </w:rPr>
        <w:t>التحديد آية الغسل</w:t>
      </w:r>
      <w:bookmarkEnd w:id="7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المفسر المعروف بالشيخ إسماعيل حقي البروسوي أيّد القول بالغسل بأنّ المسح لم يعهد محدوداً وإنّما جاء التحديد في المغسولات</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يريد بكلامه هذا انّ الأرجل حُدّدت بالكعبين فأشبه غَسْل الكعبين بغسل الأيدي المحدَّد بالمرافق، فيحكم عليها بالغسل بحكم الاشتراك في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المغسول والممسوح جاء في الآية محدّداً وغير محدّد، فالوجوه في الآية تغسل ولم تحدد، والأيدي تغسل وحُدّدت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المرافق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فيعلم من ذلك انّ الغسل تارة يكون محدّداً وأُخرى غير محدد، فلا التحديد دليل على وجوب الغَسْل ولا عدم التحديد دليل على وجوب المسح، وهكذا الحال في الممسوح فالأرجل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تُمسح ويكون محدداً إلى الكعبين والرأس تمسح وهو غير محدد، فجعل التحديد علامة للغسل أشبه بجعل الأعم دليلاً على الأخص، وما ذكره من أنّه لم يجئ في شيء من المسح تحديد، أوّل الكلام، وهو من قبيل أخذ المدّعى في الدليل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قلنا بهذه الاستحسانات، فالذوق الأدبي يقتضي أن تكون الأرجل ممسوحة لا مغسولة</w:t>
      </w:r>
      <w:r>
        <w:rPr>
          <w:rFonts w:eastAsia="Amiri" w:cs="Amiri" w:ascii="Amiri" w:hAnsi="Amiri"/>
          <w:color w:val="111111"/>
          <w:sz w:val="28"/>
          <w:szCs w:val="28"/>
          <w:rtl w:val="true"/>
          <w:lang w:bidi="ar-SA"/>
        </w:rPr>
        <w:t>.</w:t>
      </w:r>
      <w:bookmarkStart w:id="75" w:name="pg11414_142683"/>
    </w:p>
    <w:p>
      <w:pPr>
        <w:pStyle w:val="BookText"/>
        <w:rPr/>
      </w:pPr>
      <w:bookmarkEnd w:id="75"/>
      <w:r>
        <w:rPr>
          <w:rFonts w:ascii="Amiri" w:hAnsi="Amiri" w:eastAsia="Amiri" w:cs="Amiri"/>
          <w:color w:val="111111"/>
          <w:sz w:val="28"/>
          <w:sz w:val="28"/>
          <w:szCs w:val="28"/>
          <w:rtl w:val="true"/>
          <w:lang w:bidi="ar-SA"/>
        </w:rPr>
        <w:t>قال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تضمّنت ذكر عضو مغسول غير محدود وهو الوجه وعطف عليه مغسول محدود وهما اليدان، ثمّ استؤنف ذكر عضو ممسوح غير محدود وهو الرأس فيجب أن تكون الأرجل ممسوحة وهي محدودة ومعطوفة عليه دون غيره، لتتقابل الجملتان في عطف مغسول محدود على مغسول غير محدود وفي عطف ممسوح محدود على ممسوح غير محدود</w:t>
      </w:r>
      <w:r>
        <w:rPr>
          <w:rFonts w:eastAsia="Amiri" w:cs="Amiri" w:ascii="Amiri" w:hAnsi="Amiri"/>
          <w:color w:val="111111"/>
          <w:sz w:val="28"/>
          <w:szCs w:val="28"/>
          <w:rtl w:val="true"/>
          <w:lang w:bidi="ar-SA"/>
        </w:rPr>
        <w:t>.</w:t>
      </w:r>
      <w:r>
        <w:rPr>
          <w:rStyle w:val="FootnoteAnchor"/>
          <w:rtl w:val="true"/>
        </w:rPr>
        <w:footnoteReference w:id="40"/>
      </w:r>
    </w:p>
    <w:p>
      <w:pPr>
        <w:pStyle w:val="Heading3"/>
        <w:numPr>
          <w:ilvl w:val="2"/>
          <w:numId w:val="1"/>
        </w:numPr>
        <w:rPr/>
      </w:pPr>
      <w:bookmarkStart w:id="76" w:name="__RefHeading___Toc1258061_73709187"/>
      <w:bookmarkStart w:id="77" w:name="_Toc27"/>
      <w:bookmarkEnd w:id="76"/>
      <w:r>
        <w:rPr/>
        <w:t>7</w:t>
      </w:r>
      <w:r>
        <w:rPr>
          <w:rtl w:val="true"/>
        </w:rPr>
        <w:t xml:space="preserve">. </w:t>
      </w:r>
      <w:r>
        <w:rPr>
          <w:rtl w:val="true"/>
        </w:rPr>
        <w:t>المرجع هو السنّة بعد تعارض القراءتين</w:t>
      </w:r>
      <w:bookmarkEnd w:id="77"/>
    </w:p>
    <w:p>
      <w:pPr>
        <w:pStyle w:val="BookText"/>
        <w:rPr/>
      </w:pPr>
      <w:r>
        <w:rPr>
          <w:rFonts w:ascii="Amiri" w:hAnsi="Amiri" w:eastAsia="Amiri" w:cs="Amiri"/>
          <w:color w:val="111111"/>
          <w:sz w:val="28"/>
          <w:sz w:val="28"/>
          <w:szCs w:val="28"/>
          <w:rtl w:val="true"/>
          <w:lang w:bidi="ar-SA"/>
        </w:rPr>
        <w:t>ذهب الآلوسي إلى أنّ القراءتين المتواترتين المتعارضتين كأنّهما آيتان متعارضتان، والأصل في مثله هو السقوط والرجوع إلى السنّة؟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القراءتين متواترتان بإجماع الفريقين، بل بإطباق أهل الإسلام كلّهم، ومن القواعد الأُصولية عند الطائفتين انّ القراءتين المتواترتين إذا تعارضتا في آية</w:t>
      </w:r>
    </w:p>
    <w:p>
      <w:pPr>
        <w:pStyle w:val="BookText"/>
        <w:rPr/>
      </w:pPr>
      <w:r>
        <w:rPr>
          <w:rFonts w:ascii="Amiri" w:hAnsi="Amiri" w:eastAsia="Amiri" w:cs="Amiri"/>
          <w:color w:val="111111"/>
          <w:sz w:val="28"/>
          <w:sz w:val="28"/>
          <w:szCs w:val="28"/>
          <w:rtl w:val="true"/>
          <w:lang w:bidi="ar-SA"/>
        </w:rPr>
        <w:t>واحدة فلهما حكم آيتين، فلابدّ لنا أن نسعى ونجتهد في تطبيقهما أوّلاً، مهما أمكن، لأنّ الأصل في الدلائل الإعمال دون الإهمال كما تقرر عند أهل الأُصول، ثمّ نطلب بعد ذلك الترجيح بينهما، ثمّ إذا لم يتيسر لنا الترجيح فنتركهما ونتوجّه إلى الدلائل الأُخر من السنّة</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الغرائب أن نجعل القراءتين متعارضتين ثمّ نسعى في رفع التعارض بالوجوه التي ذكرها القائل، فانّ فرض التعارض بين القراءتين رهن فرض المذهب على القرآن وتطبيقه عليه وإلاّ فالقراءتان ليس فيهما أي تعارض وتهافت وكلتاهما تهدفان إلى أمر واحد وهو مسح الرجلين،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كلتا القراءتين معطوف على لفظ واحد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رءُوسكم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لكن إمّا عطفاً على المحل فتُنصب أو عطفاً على الظاهر فتُجر</w:t>
      </w:r>
      <w:r>
        <w:rPr>
          <w:rFonts w:eastAsia="Amiri" w:cs="Amiri" w:ascii="Amiri" w:hAnsi="Amiri"/>
          <w:color w:val="111111"/>
          <w:sz w:val="28"/>
          <w:szCs w:val="28"/>
          <w:rtl w:val="true"/>
          <w:lang w:bidi="ar-SA"/>
        </w:rPr>
        <w:t>.</w:t>
      </w:r>
      <w:bookmarkStart w:id="78" w:name="pg11414_142685"/>
    </w:p>
    <w:p>
      <w:pPr>
        <w:pStyle w:val="Heading3"/>
        <w:numPr>
          <w:ilvl w:val="2"/>
          <w:numId w:val="1"/>
        </w:numPr>
        <w:rPr/>
      </w:pPr>
      <w:bookmarkStart w:id="79" w:name="__RefHeading___Toc1258063_73709187"/>
      <w:bookmarkStart w:id="80" w:name="_Toc28"/>
      <w:bookmarkEnd w:id="78"/>
      <w:bookmarkEnd w:id="79"/>
      <w:r>
        <w:rPr/>
        <w:t>8</w:t>
      </w:r>
      <w:r>
        <w:rPr>
          <w:rtl w:val="true"/>
        </w:rPr>
        <w:t xml:space="preserve">. </w:t>
      </w:r>
      <w:r>
        <w:rPr>
          <w:rtl w:val="true"/>
        </w:rPr>
        <w:t xml:space="preserve">الغسل إضافة من النبي </w:t>
      </w:r>
      <w:r>
        <w:rPr>
          <w:rtl w:val="true"/>
        </w:rPr>
        <w:t xml:space="preserve">- </w:t>
      </w:r>
      <w:r>
        <w:rPr>
          <w:rtl w:val="true"/>
        </w:rPr>
        <w:t xml:space="preserve">صلَّى الله عليه وآله وسلَّم </w:t>
      </w:r>
      <w:r>
        <w:rPr>
          <w:rtl w:val="true"/>
        </w:rPr>
        <w:t>-</w:t>
      </w:r>
      <w:bookmarkEnd w:id="80"/>
    </w:p>
    <w:p>
      <w:pPr>
        <w:pStyle w:val="BookText"/>
        <w:rPr/>
      </w:pPr>
      <w:r>
        <w:rPr>
          <w:rFonts w:ascii="Amiri" w:hAnsi="Amiri" w:eastAsia="Amiri" w:cs="Amiri"/>
          <w:color w:val="111111"/>
          <w:sz w:val="28"/>
          <w:sz w:val="28"/>
          <w:szCs w:val="28"/>
          <w:rtl w:val="true"/>
          <w:lang w:bidi="ar-SA"/>
        </w:rPr>
        <w:t>ذهب جمال الدين القاسمي إلى أنّ الآية صريحة في أنّ الفريضة هي المسح كما قاله ابن عباس وغيره، ولكن إيثار غسلهما في المأثور عنه إنّما هو للتزيّد في الفرض والتوسّع فيه حسب عادته، فانّه سنّ في كلّ فرض سنناً تدعمه وتقوّيه في الصلاة والزكاة والصوم والحجّ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أنّ واجبهما المسح تشريع المسح على الخفّين والجوربين ولا سند له إلاّ هذه الآية ، فانّ كلّ سنّة أصلها في كتاب اللّه منطوقاً أو مفهوماً، فاعرف ذلك واحتفظ به واللّه الهادي</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أو ينقص في الفرائض، بل هو يتّبع الوحي، وكان شعاره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إِنّما أتّبع ما يوحى إِليَّ مِنْ رَبّي</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ما يَكُونُ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أُبدّلَهُ مِنْ تِلْقاءِنَفسي إِنْ أَتِّبعُ إِلاّما يُوحى إِلَيَّ</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ولو زاد في الصلوات فإنّما بأمر من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زاد ما زاد فإنّما يزيد فيما ثبت أصله بالسنّة، لا بالكتاب العزيز كاضافة ركعتين في الرباعية وركعة في الثلاثيّة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مسلم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الصلاة على لسان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الحضر أربعاً وفي السفر ركعتين</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فلو افترضنا أنّ الفريضة كانت هي المسح دون الغسل وانّ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في الفرض بحكم الروايات الآمرة بالغسل، لكن ماذا نفعل عندئذ بالروايات الآمرة بالمسح، وهي روايات صحاح هائلة كما سيوافيك، فهل هنا ملجأ بعد التعارض إلاّ الذكر الحكيم؟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هذه الكلمات تعرب عن أنّ أصحابها اتّخذوا موقفاً مسبقاً حيال الآية الصريحة الواضحة الدلالة،</w:t>
      </w:r>
      <w:bookmarkStart w:id="81" w:name="pg11414_142687"/>
    </w:p>
    <w:p>
      <w:pPr>
        <w:pStyle w:val="BookText"/>
        <w:rPr/>
      </w:pPr>
      <w:bookmarkEnd w:id="81"/>
      <w:r>
        <w:rPr>
          <w:rFonts w:ascii="Amiri" w:hAnsi="Amiri" w:eastAsia="Amiri" w:cs="Amiri"/>
          <w:color w:val="111111"/>
          <w:sz w:val="28"/>
          <w:sz w:val="28"/>
          <w:szCs w:val="28"/>
          <w:rtl w:val="true"/>
          <w:lang w:bidi="ar-SA"/>
        </w:rPr>
        <w:t>وفرضوا مذهبهم عليها، الأمر الذي أوقعهم في حيص بيص ومأزق، وطرقوا كافة الأبواب للخروج منه وتشبّثوا بوجوه استحسانية لا تغني عن الحقّ شيئاً</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1258065_73709187"/>
      <w:bookmarkStart w:id="83" w:name="_Toc29"/>
      <w:bookmarkEnd w:id="82"/>
      <w:r>
        <w:rPr/>
        <w:t>9</w:t>
      </w:r>
      <w:r>
        <w:rPr>
          <w:rtl w:val="true"/>
        </w:rPr>
        <w:t xml:space="preserve">. </w:t>
      </w:r>
      <w:r>
        <w:rPr>
          <w:rtl w:val="true"/>
        </w:rPr>
        <w:t>التمسّك بالمصالح</w:t>
      </w:r>
      <w:bookmarkEnd w:id="83"/>
    </w:p>
    <w:p>
      <w:pPr>
        <w:pStyle w:val="BookText"/>
        <w:rPr/>
      </w:pPr>
      <w:r>
        <w:rPr>
          <w:rFonts w:ascii="Amiri" w:hAnsi="Amiri" w:eastAsia="Amiri" w:cs="Amiri"/>
          <w:color w:val="111111"/>
          <w:sz w:val="28"/>
          <w:sz w:val="28"/>
          <w:szCs w:val="28"/>
          <w:rtl w:val="true"/>
          <w:lang w:bidi="ar-SA"/>
        </w:rPr>
        <w:t>لما استشعر صاحب المنار، بأنّ الآية ظاهرة في مسح الرجلين باليد المبلّلة بالماء حاول صرف الآية عن ظاهرها بالتمسّك بالمصالح،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يعقل لإيجاب مسح ظاهر القدم باليد المبلّلة بالماء حكمة، بل هو خلاف حكمة الوضوء، لأنّ طروء الرطوبة القليلة على العضو الذي عليه غبار أو وسخ يزيده وساخة، وينال اليد الماسحة حظ من هذه الوساخة</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استحسان لا يُعرَّج عليه مع وجود النص، فلا شك أنّ الأحكام الشرعية تابعة</w:t>
      </w:r>
    </w:p>
    <w:p>
      <w:pPr>
        <w:pStyle w:val="BookText"/>
        <w:rPr/>
      </w:pPr>
      <w:r>
        <w:rPr>
          <w:rFonts w:ascii="Amiri" w:hAnsi="Amiri" w:eastAsia="Amiri" w:cs="Amiri"/>
          <w:color w:val="111111"/>
          <w:sz w:val="28"/>
          <w:sz w:val="28"/>
          <w:szCs w:val="28"/>
          <w:rtl w:val="true"/>
          <w:lang w:bidi="ar-SA"/>
        </w:rPr>
        <w:t>للمصالح الواقعية ولا يجب علينا أن نقف عليها، فأي مصلحة في المسح على الرأس ولو بمقدار اصبع أو اصبعين حتى 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مسح الرأس باصبع واحدة أو بعض اصبع أو باطن كفه، أو أمر مَن يمسح له أجزأه ذلك؟</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كلمة قيّمة للإمام شرف الدين الموسوي نأتي بنصها،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نؤمن بأنّ الشارع المقدّس لاحظ عباده في كل ما كلّفهم به من أحكامه الشرعية، فلم يأمرهم إلاّ بما فيه مصلحتهم، ولم ينههم إلاّ 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فيه مفسدة لهم، لكنّه مع ذلك لم يجعل شيئاً من مدارك تلك الأحكام منوطاً من حيث المصالح والمفاسد ب آراء العباد، بل تعبّدهم بأدلّة قويّة عيّنها لهم، فلم يجعل لهم مندوحة عنها إلى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تلك الأدلّة الحكيمة كتاب اللّه عزّ وجلّ، وقد حكم بمسح الرؤوس والأرجل في الوضوء، فلا مندوحة عن البخوع لحكمه، أمّا نقاء الأرجل من الدنس</w:t>
      </w:r>
    </w:p>
    <w:p>
      <w:pPr>
        <w:pStyle w:val="BookText"/>
        <w:rPr/>
      </w:pPr>
      <w:r>
        <w:rPr>
          <w:rFonts w:ascii="Amiri" w:hAnsi="Amiri" w:eastAsia="Amiri" w:cs="Amiri"/>
          <w:color w:val="111111"/>
          <w:sz w:val="28"/>
          <w:sz w:val="28"/>
          <w:szCs w:val="28"/>
          <w:rtl w:val="true"/>
          <w:lang w:bidi="ar-SA"/>
        </w:rPr>
        <w:t xml:space="preserve">فلابدّ من إحرازه قبل المسح عليها عملاً بأدلّة خاصّة دلّت على اشتراط الطهارة في أعضاء الوضوء قبل الشروع فيه </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اعتراض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الترتب</w:t>
      </w:r>
    </w:p>
    <w:p>
      <w:pPr>
        <w:pStyle w:val="BookText"/>
        <w:rPr/>
      </w:pPr>
      <w:r>
        <w:rPr>
          <w:rFonts w:ascii="Amiri" w:hAnsi="Amiri" w:eastAsia="Amiri" w:cs="Amiri"/>
          <w:color w:val="111111"/>
          <w:sz w:val="28"/>
          <w:sz w:val="28"/>
          <w:szCs w:val="28"/>
          <w:rtl w:val="true"/>
          <w:lang w:bidi="ar-SA"/>
        </w:rPr>
        <w:t>إنّ الفصل بين المتعاطفات بقول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 برءُوسكم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تقدّم المسح على غسل الأرجل</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وسع المتكلم أن يجمع بين ذكر الترتيب ووضوح البيان بتكرار الفعل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 برءوسكم واغسلوا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كلامه مبيّناً لمقصده وفي الوقت نفسه نزيهاً عن اللُّبس</w:t>
      </w:r>
      <w:r>
        <w:rPr>
          <w:rFonts w:eastAsia="Amiri" w:cs="Amiri" w:ascii="Amiri" w:hAnsi="Amiri"/>
          <w:color w:val="111111"/>
          <w:sz w:val="28"/>
          <w:szCs w:val="28"/>
          <w:rtl w:val="true"/>
          <w:lang w:bidi="ar-SA"/>
        </w:rPr>
        <w:t>.</w:t>
      </w:r>
      <w:bookmarkStart w:id="84" w:name="pg11414_142690"/>
    </w:p>
    <w:p>
      <w:pPr>
        <w:pStyle w:val="Heading2"/>
        <w:numPr>
          <w:ilvl w:val="1"/>
          <w:numId w:val="1"/>
        </w:numPr>
        <w:rPr/>
      </w:pPr>
      <w:bookmarkStart w:id="85" w:name="__RefHeading___Toc1258067_73709187"/>
      <w:bookmarkStart w:id="86" w:name="_Toc30"/>
      <w:bookmarkEnd w:id="84"/>
      <w:bookmarkEnd w:id="85"/>
      <w:r>
        <w:rPr/>
        <w:t>11</w:t>
      </w:r>
      <w:r>
        <w:rPr>
          <w:rtl w:val="true"/>
        </w:rPr>
        <w:t>-</w:t>
      </w:r>
      <w:r>
        <w:rPr>
          <w:rtl w:val="true"/>
        </w:rPr>
        <w:t>المسح على الأرجل</w:t>
      </w:r>
      <w:bookmarkEnd w:id="86"/>
    </w:p>
    <w:p>
      <w:pPr>
        <w:pStyle w:val="BookText"/>
        <w:rPr/>
      </w:pPr>
      <w:r>
        <w:rPr>
          <w:rFonts w:ascii="Amiri" w:hAnsi="Amiri" w:eastAsia="Amiri" w:cs="Amiri"/>
          <w:color w:val="111111"/>
          <w:sz w:val="28"/>
          <w:sz w:val="28"/>
          <w:szCs w:val="28"/>
          <w:rtl w:val="true"/>
          <w:lang w:bidi="ar-SA"/>
        </w:rPr>
        <w:t>في الأحاديث الصحيحة</w:t>
      </w:r>
    </w:p>
    <w:p>
      <w:pPr>
        <w:pStyle w:val="BookText"/>
        <w:rPr/>
      </w:pPr>
      <w:r>
        <w:rPr>
          <w:rFonts w:ascii="Amiri" w:hAnsi="Amiri" w:eastAsia="Amiri" w:cs="Amiri"/>
          <w:color w:val="111111"/>
          <w:sz w:val="28"/>
          <w:sz w:val="28"/>
          <w:szCs w:val="28"/>
          <w:rtl w:val="true"/>
          <w:lang w:bidi="ar-SA"/>
        </w:rPr>
        <w:t xml:space="preserve">قد تعرّفت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دلالة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الفرض في مورد الأرجل هو المسح، وبما انّ الآية نزلت في أُخريات حياة النبي ولم تنسخ بعد فهي بنفسها كافية في الدلالة على المقصود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انّنا تعزيزاً للمطلب نذكر ما روي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من لزوم المسح على الأرجل، ونقتصر في ذلك بالمتون مع تجريد الأسانيد، لأنّ الرسالة لا تسع لذكرها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روي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مسح الأرجل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بسر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عثمان المقاعد فدعا بوضوء فتمضمض واستنشق ثمّ غسل وجهه ثلاثاً ويديه ثلاثاً ثلاثاً ومسح برأسه ورجليه ثلاثاً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توضّأ، يا هؤلاء أكذلك؟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لنفر من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عثمان بماء فتوضّأ ثمّ 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تسألوني ممّ أضحك؟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أضحكك؟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كما توضّأت، فتمضمض واستنشق وغسل وجهه ثلاثاً ويديه ثلاثاً ومسح برأسه وظهر قدميه</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مسند عبداللّه بن زيد المازني 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فغسل وجهه ثلاثاً ويديه مرتين ومسح رأسه</w:t>
      </w:r>
    </w:p>
    <w:p>
      <w:pPr>
        <w:pStyle w:val="BookText"/>
        <w:rPr/>
      </w:pPr>
      <w:r>
        <w:rPr>
          <w:rFonts w:ascii="Amiri" w:hAnsi="Amiri" w:eastAsia="Amiri" w:cs="Amiri"/>
          <w:color w:val="111111"/>
          <w:sz w:val="28"/>
          <w:sz w:val="28"/>
          <w:szCs w:val="28"/>
          <w:rtl w:val="true"/>
          <w:lang w:bidi="ar-SA"/>
        </w:rPr>
        <w:t>ورجلي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مرتين</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جلوس مع علي في المسجد، جاء رجل إلى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وضوء رسول اللّهصلَّى اللّه عليه و آله و سلَّم فدعا قنبر،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بكوز من ماء فغسل يديه ووجهه ثلاثاً، فأدخل بعض أصابعه في فيه واستنشق ثلاثاً، وغسل ذراعيه ثلاثاً ومسح رأسه واحدة ورجليه إلى الكعبين ولحيته تهطل على صدره ثمّ حسا حسوة بعد الوضوء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السائل عن وضوء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كذا كان وضوء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w:t>
      </w:r>
      <w:r>
        <w:rPr>
          <w:rStyle w:val="FootnoteAnchor"/>
          <w:rtl w:val="true"/>
        </w:rPr>
        <w:footnoteReference w:id="52"/>
      </w:r>
      <w:r>
        <w:rPr>
          <w:rFonts w:ascii="Amiri" w:hAnsi="Amiri" w:eastAsia="Amiri" w:cs="Amiri"/>
          <w:color w:val="111111"/>
          <w:sz w:val="28"/>
          <w:sz w:val="28"/>
          <w:szCs w:val="28"/>
          <w:rtl w:val="true"/>
          <w:lang w:bidi="ar-SA"/>
        </w:rPr>
        <w:t>عباد بن تميم،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ومسح بالماء على لحيته ورجليه</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أرى أنّ باطن القدمين أحق بالمسح من ظاهرهما حتى رأيت</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ظاهرهما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رف</w:t>
      </w:r>
      <w:r>
        <w:rPr>
          <w:rStyle w:val="FootnoteAnchor"/>
          <w:rtl w:val="true"/>
        </w:rPr>
        <w:footnoteReference w:id="54"/>
      </w:r>
      <w:r>
        <w:rPr>
          <w:rFonts w:ascii="Amiri" w:hAnsi="Amiri" w:eastAsia="Amiri" w:cs="Amiri"/>
          <w:color w:val="111111"/>
          <w:sz w:val="28"/>
          <w:sz w:val="28"/>
          <w:szCs w:val="28"/>
          <w:rtl w:val="true"/>
          <w:lang w:bidi="ar-SA"/>
        </w:rPr>
        <w:t xml:space="preserve">اعة بن رافع انّه سمع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يجوز صلاة أحدكم حتى يسبغ الوضوء كما أمره اللّه عزّوجلّ، ثمّ يغسل وجهه ويديه إلى المرفقين، ويمسح رأسه ورجليه إلى الكعبين</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روي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تخلّف عنّا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سفرة سافرناها، فأدركنا وقد أرهقتنا الصلاة ونحن نتوضّأ فجعلنا نمسح على أرجلنا، فنادى بأعلى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للأعقاب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أو ثلاثاً</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مالك الأشعري انّه قال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اجتمعوا أُصلّي بكم صلاة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اجتمعوا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أحد غيركم؟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ابن أُخت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w:t>
      </w:r>
    </w:p>
    <w:p>
      <w:pPr>
        <w:pStyle w:val="BookText"/>
        <w:rPr/>
      </w:pPr>
      <w:r>
        <w:rPr>
          <w:rFonts w:ascii="Amiri" w:hAnsi="Amiri" w:eastAsia="Amiri" w:cs="Amiri"/>
          <w:color w:val="111111"/>
          <w:sz w:val="28"/>
          <w:sz w:val="28"/>
          <w:szCs w:val="28"/>
          <w:rtl w:val="true"/>
          <w:lang w:bidi="ar-SA"/>
        </w:rPr>
        <w:t>أُخت القوم منهم، فدعا بجفنة فيها ماء، فتوضّأ ومضمض واستنشق، وغسل وجهه ثلاثاً وذراعيه ثلاثاً، ومسح برأسه وظهر قدميه، ثمّ صلّى بهم فكبر بهم اثنتين وعشرين تكبيرة</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عباد بن تميم المازني، عن أبيه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ويمسح الماء على رجليه</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أوس بن أبي أوس الثقفي انّه رأى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كظامة قوم بالطائف، فتوضّأ ومسح على قدميه</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رفاعة بن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جاءه رجل فدخل المسجد، فصلّى فلمّ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قضى الصلاة جاء فسلم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القوم،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ارجع فصلّ فانّك لم 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الرجل يصلّي، وجعلنا نرمق صلاته لا ندري ما يعيب</w:t>
      </w:r>
    </w:p>
    <w:p>
      <w:pPr>
        <w:pStyle w:val="BookText"/>
        <w:rPr/>
      </w:pPr>
      <w:r>
        <w:rPr>
          <w:rFonts w:ascii="Amiri" w:hAnsi="Amiri" w:eastAsia="Amiri" w:cs="Amiri"/>
          <w:color w:val="111111"/>
          <w:sz w:val="28"/>
          <w:sz w:val="28"/>
          <w:szCs w:val="28"/>
          <w:rtl w:val="true"/>
          <w:lang w:bidi="ar-SA"/>
        </w:rPr>
        <w:t>منها، فلمّ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جاء فسلم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القوم قال 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وعليك ارجع فصلِّ فانّك لم 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ندري أمره بذلك مرتين أو ثلاثاً،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ماعبت من صلاتي؟</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لا تتم صلاة أحدكم حتّى يسبغ الوضوء كما أمره اللّه، فيغسل وجهه ويديه إلى المرفقين، ويمسح برأسه ورجليه إلى الكعبين، ثمّ يكبر اللّه تعالى ويثني عليه، ثمّ يقرأ أمّ القرآن وما أذن له فيه ويسر، ثمّ يكبر فيركع فيضع كفيه على ركبتيه حتّى تطمئن مفاصله، ويسترخي ثمّ يقول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اللّه لمن حمده، ويستوي قائماً حتّى يقيم صلبه ويأخذ كلّ عظم مأخذه، ثمّ يكبر فيسجد فيمكن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قال جبهته من الأرض حتّى تطمئن مفاصله ويسترخي، ثمّ يكبر فيستوي قاعداً على مقعده ويقيم صلبه، فوصف الصلاة هكذا أربع ركعات حتّى</w:t>
      </w:r>
    </w:p>
    <w:p>
      <w:pPr>
        <w:pStyle w:val="BookText"/>
        <w:rPr/>
      </w:pPr>
      <w:r>
        <w:rPr>
          <w:rFonts w:ascii="Amiri" w:hAnsi="Amiri" w:eastAsia="Amiri" w:cs="Amiri"/>
          <w:color w:val="111111"/>
          <w:sz w:val="28"/>
          <w:sz w:val="28"/>
          <w:szCs w:val="28"/>
          <w:rtl w:val="true"/>
          <w:lang w:bidi="ar-SA"/>
        </w:rPr>
        <w:t>فرغ،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صلاة أحدكم حتّى يفعل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
      </w:r>
      <w:r>
        <w:rPr>
          <w:rFonts w:ascii="Amiri" w:hAnsi="Amiri" w:eastAsia="Amiri" w:cs="Amiri"/>
          <w:color w:val="111111"/>
          <w:sz w:val="28"/>
          <w:sz w:val="28"/>
          <w:szCs w:val="28"/>
          <w:rtl w:val="true"/>
          <w:lang w:bidi="ar-SA"/>
        </w:rPr>
        <w:t>عن ابن عباس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المسح على القدمين عند عمر وسعد وعبد اللّه بن عمر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أفقه منك،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انّا لا ننكر 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مسح منذ أنزلت سورة المائدة فانّها أحكمت كل شيء وكانت آخر سورة من القرآن إلاّ براءة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w:t>
      </w:r>
      <w:r>
        <w:rPr>
          <w:rStyle w:val="FootnoteAnchor"/>
          <w:rtl w:val="true"/>
        </w:rPr>
        <w:footnoteReference w:id="61"/>
      </w:r>
      <w:r>
        <w:rPr>
          <w:rFonts w:ascii="Amiri" w:hAnsi="Amiri" w:eastAsia="Amiri" w:cs="Amiri"/>
          <w:color w:val="111111"/>
          <w:sz w:val="28"/>
          <w:sz w:val="28"/>
          <w:szCs w:val="28"/>
          <w:rtl w:val="true"/>
          <w:lang w:bidi="ar-SA"/>
        </w:rPr>
        <w:t xml:space="preserve">عروة بن الزبير انّ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البعثة فتح بالإعجاز عيناً من ماء فتوضأ ومحمد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إليه فغسل وجهه ويديه إلى المرفقين ومسح برأسه ورجليه إلى الكعبين، ففعل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رأى جبرئيل يفعل</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عبدالرحمن بن جبير بن نفير، عن أبيه انّ</w:t>
      </w:r>
    </w:p>
    <w:p>
      <w:pPr>
        <w:pStyle w:val="BookText"/>
        <w:rPr/>
      </w:pPr>
      <w:r>
        <w:rPr>
          <w:rFonts w:ascii="Amiri" w:hAnsi="Amiri" w:eastAsia="Amiri" w:cs="Amiri"/>
          <w:color w:val="111111"/>
          <w:sz w:val="28"/>
          <w:sz w:val="28"/>
          <w:szCs w:val="28"/>
          <w:rtl w:val="true"/>
          <w:lang w:bidi="ar-SA"/>
        </w:rPr>
        <w:t xml:space="preserve">أبا جبير قدم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ابنته التي تزوجها رسول اللّه، فدعا رسول اللّه بوضوء فغسل يديه فأنقاهما، ثمّ مضمض فاه واستنشق بماء، ثمّ غسل وجهه ويديه إلى المرفقين ثلاثاً، ثمّ مسح رأسه ورجليه</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إلى هنا تمّ ما عثرنا عليه من الروايات عن النبي الأكرمصلَّى اللّه عليه و آله و سلَّم على وجه عابر، وهي تدلّ على أنّ قول النبي وفعله كان على المسح لا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حكي عن الصحابة والتابعين حول مسح الأرجل</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فمسح ظهورهما</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حمران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عثمان دعا بماء غسل، فغسل كفيه ثلاثاً ومضمض واستنشق وغسل وجهه ثلاثاً وذراعيه ثلاثاً ومسح برأسه وظهر قدميه</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عاصم الأحول،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بالمسح والسنّة بالغسل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اسناد صحيح</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غسلتان ومسحتان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العتكي،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الرجلين غسل انّما نزل فيهما المسح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جابر عن أبي جعفر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على رأسك وقدميك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علية بن داود، عن عامر الشعبي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المسح على الرجلين ألا ترى أنّ ما كان عليه الغسل جُعِلَ عليه المسح وما كان عليه المسح أُهمِل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التيمّم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عامر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أن يمسح في التيمّم ما أُمر أن يغسل في الوضوء، وأبطل ما أمر أن</w:t>
      </w:r>
    </w:p>
    <w:p>
      <w:pPr>
        <w:pStyle w:val="BookText"/>
        <w:rPr/>
      </w:pPr>
      <w:r>
        <w:rPr>
          <w:rFonts w:ascii="Amiri" w:hAnsi="Amiri" w:eastAsia="Amiri" w:cs="Amiri"/>
          <w:color w:val="111111"/>
          <w:sz w:val="28"/>
          <w:sz w:val="28"/>
          <w:szCs w:val="28"/>
          <w:rtl w:val="true"/>
          <w:lang w:bidi="ar-SA"/>
        </w:rPr>
        <w:t>يُمسح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والرجلان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عامر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أن يُمْسح بالصعيد في التيمّم، ما أمر أن يُغسل بالماء، وأهمل ما أمر أن يمسح بالماء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يونس قال حدثني من صحب عكرمة إلى واسط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رأيته غسل رجليه، إنّما يمسح عليهما حتّى خرج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قتادة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 وَايديكُمْ إِلى الْمَرافِقِ وَامْسَحُوا بِرُءُوسكُمْ وَأَرجُلكُمْ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افترض اللّه غسلتين ومسحتين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موسى بن أنس لأبي حمزة انّ الحجاج خطبنا بالأهواز ونحن معه، فذكر الطهور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اغسلوا وجوهكم وأيديكم وامسحوا برؤوسكم وأرجلكم، وأنّه ليس شيء من ابن آدم أقرب من خبثه من قدميه، فاغسلوا بطونهما وظهورهما وعراقيبهما، فقال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p>
    <w:p>
      <w:pPr>
        <w:pStyle w:val="BookText"/>
        <w:rPr/>
      </w:pPr>
      <w:r>
        <w:rPr>
          <w:rFonts w:ascii="Amiri" w:hAnsi="Amiri" w:eastAsia="Amiri" w:cs="Amiri"/>
          <w:color w:val="111111"/>
          <w:sz w:val="28"/>
          <w:sz w:val="28"/>
          <w:szCs w:val="28"/>
          <w:rtl w:val="true"/>
          <w:lang w:bidi="ar-SA"/>
        </w:rPr>
        <w:t>اللّه وكذب الحجاج،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بِرُءُوسكُمْ وَأَرجُلكُمْ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أنس إذا مسح قدميه 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اسناده صحيح إليه</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الشعبي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بالمسح، ثمّ 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التيمم أن يمسح ما كان غسل ويلغى ما كان مسحاً</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إسماعيل قلت لعامر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يقولون إنّ جبرئيل نزل بغسل الرجلين؟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بالمسح</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النزال بن سبرة انّ علياً دعا بماء فتوضأ ثمّ مسح على نعليه</w:t>
      </w:r>
    </w:p>
    <w:p>
      <w:pPr>
        <w:pStyle w:val="BookText"/>
        <w:rPr/>
      </w:pPr>
      <w:r>
        <w:rPr>
          <w:rFonts w:ascii="Amiri" w:hAnsi="Amiri" w:eastAsia="Amiri" w:cs="Amiri"/>
          <w:color w:val="111111"/>
          <w:sz w:val="28"/>
          <w:sz w:val="28"/>
          <w:szCs w:val="28"/>
          <w:rtl w:val="true"/>
          <w:lang w:bidi="ar-SA"/>
        </w:rPr>
        <w:t>وقدميه، ثمّ دخل المسجد فخلع نعليه ثمّ صلّى</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وعليه إزار أصفر وخميصة وفي يده عنزة أتى حائط السجن، ثم تنحى فتوضأ ومسح على نعليه وقدميه ثمّ دخل المسجد، فخلع نعليه ثمّ صلّى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هذا غيض من فيض، وقليل من كثير، فمن تفحّص المسانيد والصحاح ومجامع الآثار يقف على أكثر ممّا وقفنا عليه على وجه عابر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هَدى اللّه ُفِبِهُداهُمُ اقْتَدِه</w:t>
      </w:r>
      <w:r>
        <w:rPr>
          <w:rFonts w:eastAsia="Amiri" w:cs="Amiri" w:ascii="Amiri" w:hAnsi="Amiri"/>
          <w:color w:val="111111"/>
          <w:sz w:val="28"/>
          <w:szCs w:val="28"/>
          <w:rtl w:val="true"/>
          <w:lang w:bidi="ar-SA"/>
        </w:rPr>
        <w:t>).</w:t>
      </w:r>
      <w:r>
        <w:rPr>
          <w:rStyle w:val="FootnoteAnchor"/>
          <w:rtl w:val="true"/>
        </w:rPr>
        <w:footnoteReference w:id="71"/>
      </w:r>
      <w:bookmarkStart w:id="87" w:name="pg11414_142702"/>
    </w:p>
    <w:p>
      <w:pPr>
        <w:pStyle w:val="Heading2"/>
        <w:numPr>
          <w:ilvl w:val="1"/>
          <w:numId w:val="1"/>
        </w:numPr>
        <w:rPr/>
      </w:pPr>
      <w:bookmarkStart w:id="88" w:name="__RefHeading___Toc1258069_73709187"/>
      <w:bookmarkStart w:id="89" w:name="_Toc31"/>
      <w:bookmarkEnd w:id="87"/>
      <w:bookmarkEnd w:id="88"/>
      <w:r>
        <w:rPr/>
        <w:t>12</w:t>
      </w:r>
      <w:r>
        <w:rPr>
          <w:rtl w:val="true"/>
        </w:rPr>
        <w:t>-</w:t>
      </w:r>
      <w:r>
        <w:rPr>
          <w:rtl w:val="true"/>
        </w:rPr>
        <w:t>التجاهل لروايات المسح</w:t>
      </w:r>
      <w:bookmarkEnd w:id="89"/>
    </w:p>
    <w:p>
      <w:pPr>
        <w:pStyle w:val="BookText"/>
        <w:rPr/>
      </w:pPr>
      <w:r>
        <w:rPr>
          <w:rFonts w:ascii="Amiri" w:hAnsi="Amiri" w:eastAsia="Amiri" w:cs="Amiri"/>
          <w:color w:val="111111"/>
          <w:sz w:val="28"/>
          <w:sz w:val="28"/>
          <w:szCs w:val="28"/>
          <w:rtl w:val="true"/>
          <w:lang w:bidi="ar-SA"/>
        </w:rPr>
        <w:t>قد تجاهل ابن كثير ومن تبعه روايات المسح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خالف الروافض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مستند، بل بجهل وضلالة، فالآية الكريمة دالّة على وجوب غسل الرجلين مع ما ثبت بالتواتر من فعل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وفق ما دلّت عليه الآية الكريمة، وهم مخالفون لذلك كلّه وليس لهم دليل صحيح في نفس الأمر</w:t>
      </w:r>
      <w:r>
        <w:rPr>
          <w:rFonts w:eastAsia="Amiri" w:cs="Amiri" w:ascii="Amiri" w:hAnsi="Amiri"/>
          <w:color w:val="111111"/>
          <w:sz w:val="28"/>
          <w:szCs w:val="28"/>
          <w:rtl w:val="true"/>
          <w:lang w:bidi="ar-SA"/>
        </w:rPr>
        <w:t>.</w:t>
      </w:r>
      <w:r>
        <w:rPr>
          <w:rStyle w:val="FootnoteAnchor"/>
          <w:rtl w:val="true"/>
        </w:rPr>
        <w:footnoteReference w:id="7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وكأنّه لم يمعن النظر في الآية الكريمة ونصوع دلالتها على لزوم المسح، وكأنّه لم يقف على تلك الأحاديث الكثيرة حينما ادّعى التواتر على الغَسْل ، أو</w:t>
      </w:r>
    </w:p>
    <w:p>
      <w:pPr>
        <w:pStyle w:val="BookText"/>
        <w:rPr/>
      </w:pPr>
      <w:r>
        <w:rPr>
          <w:rFonts w:ascii="Amiri" w:hAnsi="Amiri" w:eastAsia="Amiri" w:cs="Amiri"/>
          <w:color w:val="111111"/>
          <w:sz w:val="28"/>
          <w:sz w:val="28"/>
          <w:szCs w:val="28"/>
          <w:rtl w:val="true"/>
          <w:lang w:bidi="ar-SA"/>
        </w:rPr>
        <w:t>وقف عليها ولم يتأمّل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تبعه الشيخ إسماعيل البروسوي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الروافض إلى أنّ الواجب في الرجلين المسح، ورووا في المسح خبراً ضعيفاً شاذّاً</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وكذلك ادّعى الآلوسي تشبّث الشيعة برواية واحدة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حجّة لهم في دعوى المسح إلاّ بما روي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تعالى وجهه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مسح</w:t>
      </w:r>
      <w:r>
        <w:rPr>
          <w:rStyle w:val="FootnoteAnchor"/>
          <w:rtl w:val="true"/>
        </w:rPr>
        <w:footnoteReference w:id="74"/>
      </w:r>
      <w:r>
        <w:rPr>
          <w:rFonts w:ascii="Amiri" w:hAnsi="Amiri" w:eastAsia="Amiri" w:cs="Amiri"/>
          <w:color w:val="111111"/>
          <w:sz w:val="28"/>
          <w:sz w:val="28"/>
          <w:szCs w:val="28"/>
          <w:rtl w:val="true"/>
          <w:lang w:bidi="ar-SA"/>
        </w:rPr>
        <w:t>وجهه ويديه، ومسح رأسه ورجليه، وشرب فضل طهوره قائماً</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البروسوي والآلوسي معذورين في هذا العزو، وأنّه ليس لوجوب المسح أيّ دليل سوى رواية شاذّة، فليس هناك عذر لمن وقف على هذه الروايات</w:t>
      </w:r>
    </w:p>
    <w:p>
      <w:pPr>
        <w:pStyle w:val="BookText"/>
        <w:rPr/>
      </w:pPr>
      <w:r>
        <w:rPr>
          <w:rFonts w:ascii="Amiri" w:hAnsi="Amiri" w:eastAsia="Amiri" w:cs="Amiri"/>
          <w:color w:val="111111"/>
          <w:sz w:val="28"/>
          <w:sz w:val="28"/>
          <w:szCs w:val="28"/>
          <w:rtl w:val="true"/>
          <w:lang w:bidi="ar-SA"/>
        </w:rPr>
        <w:t>الكثيرة التي تتجاوز الثلاثين، فلو لم نقل بأنّ المسح نقل بالتواتر فلابدّ أن نقول إنّه مستفيض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الكتاب يدعمه، فلا سبيل لنا إلاّ الأخذ بما يوافق الكتاب، وتأويل المخالف أي ما دلّ على الغسل بوجه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يغسل في فترة بعد البعثة لكن نسخته الآية المباركة أو غير ذلك من المحامل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w:t>
      </w:r>
      <w:r>
        <w:rPr>
          <w:rStyle w:val="FootnoteAnchor"/>
          <w:rtl w:val="true"/>
        </w:rPr>
        <w:footnoteReference w:id="76"/>
      </w:r>
      <w:bookmarkStart w:id="90" w:name="pg11414_142705"/>
    </w:p>
    <w:p>
      <w:pPr>
        <w:pStyle w:val="Heading2"/>
        <w:numPr>
          <w:ilvl w:val="1"/>
          <w:numId w:val="1"/>
        </w:numPr>
        <w:rPr/>
      </w:pPr>
      <w:bookmarkStart w:id="91" w:name="__RefHeading___Toc1258071_73709187"/>
      <w:bookmarkStart w:id="92" w:name="_Toc32"/>
      <w:bookmarkEnd w:id="90"/>
      <w:bookmarkEnd w:id="91"/>
      <w:r>
        <w:rPr/>
        <w:t>13</w:t>
      </w:r>
      <w:r>
        <w:rPr>
          <w:rtl w:val="true"/>
        </w:rPr>
        <w:t>-</w:t>
      </w:r>
      <w:r>
        <w:rPr>
          <w:rtl w:val="true"/>
        </w:rPr>
        <w:t>أسماء أعلام الصحابة والتابعين</w:t>
      </w:r>
      <w:bookmarkEnd w:id="92"/>
    </w:p>
    <w:p>
      <w:pPr>
        <w:pStyle w:val="BookText"/>
        <w:rPr/>
      </w:pPr>
      <w:r>
        <w:rPr>
          <w:rFonts w:ascii="Amiri" w:hAnsi="Amiri" w:eastAsia="Amiri" w:cs="Amiri"/>
          <w:color w:val="111111"/>
          <w:sz w:val="28"/>
          <w:sz w:val="28"/>
          <w:szCs w:val="28"/>
          <w:rtl w:val="true"/>
          <w:lang w:bidi="ar-SA"/>
        </w:rPr>
        <w:t>القائلين بالمسح</w:t>
      </w:r>
    </w:p>
    <w:p>
      <w:pPr>
        <w:pStyle w:val="BookText"/>
        <w:rPr/>
      </w:pPr>
      <w:r>
        <w:rPr>
          <w:rFonts w:ascii="Amiri" w:hAnsi="Amiri" w:eastAsia="Amiri" w:cs="Amiri"/>
          <w:color w:val="111111"/>
          <w:sz w:val="28"/>
          <w:sz w:val="28"/>
          <w:szCs w:val="28"/>
          <w:rtl w:val="true"/>
          <w:lang w:bidi="ar-SA"/>
        </w:rPr>
        <w:t>قد تعرّفت على الروايات الدالّة على لزوم المسح في الوضوء، وقد رواها أعلام الصحابة والتابعين ونقلها أصحاب الصحاح والمسانيد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إيقاف القارئ على أسمائهم وشيء من مكانتهم في النقل نذكر أسماءهم مع الإيعاز إلى ترجمتهم على وجه الإيجاز مرفقةً برقم حديثهم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ليقف القارئ على أنّ القائلين به هم جبهة الصحابة والتابعين وسنام الثقات</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p>
    <w:p>
      <w:pPr>
        <w:pStyle w:val="BookText"/>
        <w:rPr/>
      </w:pPr>
      <w:r>
        <w:rPr>
          <w:rFonts w:ascii="Amiri" w:hAnsi="Amiri" w:eastAsia="Amiri" w:cs="Amiri"/>
          <w:color w:val="111111"/>
          <w:sz w:val="28"/>
          <w:sz w:val="28"/>
          <w:szCs w:val="28"/>
          <w:rtl w:val="true"/>
          <w:lang w:bidi="ar-SA"/>
        </w:rPr>
        <w:t xml:space="preserve">كان الدين بالرأي لكان باطن القدمين أحق بالمسح من ظاهرهما، لكن رأيت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ظاهرهما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الإمام الثبت الهاشمي العلوي المدني أحد الأعلام، روى عن أبيه، وكان سيد بني هاشم في زمانه، اشتهر بالباقر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 العلم،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 فعَلِمَ أصله وخفيه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الحديث</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بن سعيد، الإمام القدوة المدني، مولى بني الحضرمي، حدّث عن عثمان بن عفان، وثّقه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معين والنسائي، 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العباد المنقطعين والزهاد، كثير الحديث</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حمران بن أبان مولى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من أهل الوجاهة، ذكره ابن حبان في الثقات</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بن عفان، وقد تقدم في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يتوضأ ويمسح على رجليه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وضوء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مطر ذكره ابن حبان في الثقات، روى عنه الحجاج بن أرطأة</w:t>
      </w:r>
      <w:r>
        <w:rPr>
          <w:rFonts w:eastAsia="Amiri" w:cs="Amiri" w:ascii="Amiri" w:hAnsi="Amiri"/>
          <w:color w:val="111111"/>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زيد المازني صاحب حديث الوضوء عن فضلاء الصحابة يعرف بابن أُم عمارة</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حبان في الثقات </w:t>
      </w:r>
      <w:r>
        <w:rPr>
          <w:rStyle w:val="FootnoteAnchor"/>
          <w:rtl w:val="true"/>
        </w:rPr>
        <w:footnoteReference w:id="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النزال بن سبرة الهلالي الكوفي، روى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وعثمان وأبي بكر وابن</w:t>
      </w:r>
    </w:p>
    <w:p>
      <w:pPr>
        <w:pStyle w:val="BookText"/>
        <w:rPr/>
      </w:pPr>
      <w:r>
        <w:rPr>
          <w:rFonts w:ascii="Amiri" w:hAnsi="Amiri" w:eastAsia="Amiri" w:cs="Amiri"/>
          <w:color w:val="111111"/>
          <w:sz w:val="28"/>
          <w:sz w:val="28"/>
          <w:szCs w:val="28"/>
          <w:rtl w:val="true"/>
          <w:lang w:bidi="ar-SA"/>
        </w:rPr>
        <w:t>مسعود، 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تابعي، ثقة من كبار التابعين، وذكره ابن حبان في الثقات</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خير بن يزيد، 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تابعي ثقة، وذكره ابن حبان في الثقات التابعين و جزم بصحبته عبد الصمد بن سعيد الحمصي في كتاب الصحابة</w:t>
      </w:r>
      <w:r>
        <w:rPr>
          <w:rFonts w:eastAsia="Amiri" w:cs="Amiri" w:ascii="Amiri" w:hAnsi="Amiri"/>
          <w:color w:val="111111"/>
          <w:sz w:val="28"/>
          <w:szCs w:val="28"/>
          <w:rtl w:val="true"/>
          <w:lang w:bidi="ar-SA"/>
        </w:rPr>
        <w:t>.</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 بن تميم بن غزية الأنصاري الخزرجي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أبيه وعن عمه عبد اللّه بن زيد وعن عويمر بن سعد، وثّقه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العجلي والنسائي وغيرهما، وحديثه في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وذكره ابن حبان في الثقات</w:t>
      </w:r>
      <w:r>
        <w:rPr>
          <w:rStyle w:val="FootnoteAnchor"/>
          <w:rtl w:val="true"/>
        </w:rPr>
        <w:footnoteReference w:id="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عباس بن عبد المطلب بن هاشم ابن عبد مناف، وكان يسمّى البحر لسعة علمه، و يسمّى</w:t>
      </w:r>
    </w:p>
    <w:p>
      <w:pPr>
        <w:pStyle w:val="BookText"/>
        <w:rPr/>
      </w:pPr>
      <w:r>
        <w:rPr>
          <w:rFonts w:ascii="Amiri" w:hAnsi="Amiri" w:eastAsia="Amiri" w:cs="Amiri"/>
          <w:color w:val="111111"/>
          <w:sz w:val="28"/>
          <w:sz w:val="28"/>
          <w:szCs w:val="28"/>
          <w:rtl w:val="true"/>
          <w:lang w:bidi="ar-SA"/>
        </w:rPr>
        <w:t>حبر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 اللّه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قد فاق الناس بخصال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 ما سبقه، وفقه فيما احتيج إليه من رأيه،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كان أعلم بما سبقه من حديث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ولا أفقه في رأي عنه، ولا أعلم بتفسير القرآن منه</w:t>
      </w:r>
      <w:r>
        <w:rPr>
          <w:rStyle w:val="FootnoteAnchor"/>
          <w:rtl w:val="true"/>
        </w:rPr>
        <w:footnoteReference w:id="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أوس بن أبي أوس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له أصحاب السنن الأربعة، أحاديث صحيحة من رواية الشاميين عنه</w:t>
      </w:r>
      <w:r>
        <w:rPr>
          <w:rStyle w:val="FootnoteAnchor"/>
          <w:rtl w:val="true"/>
        </w:rPr>
        <w:footnoteReference w:id="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شراحيل بن عبد، هو الإمام الحافظ الفقيه المتقي استاذ أبي حنيفة و شيخه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 والعجلي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الشعبي صحيح، لأنّه لا يكاد يرسل إلاّ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والشعبي في زمانه، والثوري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p>
    <w:p>
      <w:pPr>
        <w:pStyle w:val="BookText"/>
        <w:rPr/>
      </w:pPr>
      <w:r>
        <w:rPr>
          <w:rFonts w:ascii="IRNazanin" w:hAnsi="IRNazanin" w:eastAsia="IRNazanin"/>
          <w:color w:val="111111"/>
          <w:sz w:val="28"/>
          <w:sz w:val="28"/>
          <w:szCs w:val="28"/>
          <w:rtl w:val="true"/>
          <w:lang w:bidi="fa-IR"/>
        </w:rPr>
        <w:t>زمانه</w:t>
      </w:r>
      <w:r>
        <w:rPr>
          <w:rStyle w:val="FootnoteAnchor"/>
          <w:rtl w:val="true"/>
        </w:rPr>
        <w:footnoteReference w:id="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المدني مولى ابن عباس، ذكره 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علماء زمانه بالفقه والقرآن، وكان جابر بن 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من أعلم الناس، روى له أصحاب السنن الأربعة أحاديث صحيحة</w:t>
      </w:r>
      <w:r>
        <w:rPr>
          <w:rFonts w:eastAsia="Amiri" w:cs="Amiri" w:ascii="Amiri" w:hAnsi="Amiri"/>
          <w:color w:val="111111"/>
          <w:sz w:val="28"/>
          <w:szCs w:val="28"/>
          <w:rtl w:val="true"/>
          <w:lang w:bidi="ar-SA"/>
        </w:rPr>
        <w:t>.</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رفاعة بن رافع بن مالك بن العجلان أبو معاذ الزرقي، 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أوّل خلافة معاوية</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ذكره ابن حبان في الثقات</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عروة بن الزبير بن العوام القرشي أخو عبد اللّه بن الزبير، فقيه عالم، وكان من أفاضل أهل المدينة وعلمائهم، ذكره ابن حبان في الثقات</w:t>
      </w:r>
      <w:r>
        <w:rPr>
          <w:rFonts w:eastAsia="Amiri" w:cs="Amiri" w:ascii="Amiri" w:hAnsi="Amiri"/>
          <w:color w:val="111111"/>
          <w:sz w:val="28"/>
          <w:szCs w:val="28"/>
          <w:rtl w:val="true"/>
          <w:lang w:bidi="ar-SA"/>
        </w:rPr>
        <w:t>.</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قتادة بن عزيز الحافظ العلامة أبو الخطاب السدوسي البصري الضرير الأكمه المفسر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قتادة عالم بالتفسير وباختلاف العلماء، ووصفه بالحفظ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وأطنب في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أحفظ أهل البصرة، مات بواسط في الطاعون سنة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وذكره ابن حبان في الثقات</w:t>
      </w:r>
      <w:r>
        <w:rPr>
          <w:rStyle w:val="FootnoteAnchor"/>
          <w:rtl w:val="true"/>
        </w:rPr>
        <w:footnoteReference w:id="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أنس بن مالك بن النضر خادم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وهو ابن عشر سنين، وتوفي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عشرين سنة، انتقل إلى البصرة وتوفي بها عام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 بن أنس بن مالك قاضي البصرة، يروي عن أبيه، روى عنه مكحول وحميد الطويل</w:t>
      </w:r>
      <w:r>
        <w:rPr>
          <w:rFonts w:eastAsia="Amiri" w:cs="Amiri" w:ascii="Amiri" w:hAnsi="Amiri"/>
          <w:color w:val="111111"/>
          <w:sz w:val="28"/>
          <w:szCs w:val="28"/>
          <w:rtl w:val="true"/>
          <w:lang w:bidi="ar-SA"/>
        </w:rPr>
        <w:t>.</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حصين بن جندب الكوفي الجنبي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ظبيان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علي بن أبي طالب وسلمان،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والأعمش، مات سنة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ذكره ابن حبان في الثقات</w:t>
      </w:r>
      <w:r>
        <w:rPr>
          <w:rFonts w:eastAsia="Amiri" w:cs="Amiri" w:ascii="Amiri" w:hAnsi="Amiri"/>
          <w:color w:val="111111"/>
          <w:sz w:val="28"/>
          <w:szCs w:val="28"/>
          <w:rtl w:val="true"/>
          <w:lang w:bidi="ar-SA"/>
        </w:rPr>
        <w:t>.</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جبير بن نفير بن مالك بن عامر الحضرمي، يروي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ذر وأبي الدرداء، روى عنه أهل الشام،</w:t>
      </w:r>
    </w:p>
    <w:p>
      <w:pPr>
        <w:pStyle w:val="BookText"/>
        <w:rPr/>
      </w:pPr>
      <w:r>
        <w:rPr>
          <w:rFonts w:ascii="Amiri" w:hAnsi="Amiri" w:eastAsia="Amiri" w:cs="Amiri"/>
          <w:color w:val="111111"/>
          <w:sz w:val="28"/>
          <w:sz w:val="28"/>
          <w:szCs w:val="28"/>
          <w:rtl w:val="true"/>
          <w:lang w:bidi="ar-SA"/>
        </w:rPr>
        <w:t xml:space="preserve">كنيته أبو عبد الرحمن، مات سنة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بالشام، ذكره ابن حبان في الثقات</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إسماعيل بن أبي خالد البجلي الأحمسي أبو عبد اللّه الكوفي، 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رجلاً صالحاً ثقة ثبتاً وكان طحاناً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مروان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إسماعيل يسمّى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تميم بن زيد المازني، أبو عباد الأنصاري من بني النجّار، له صحبة، وحديثه عند ولده</w:t>
      </w:r>
      <w:r>
        <w:rPr>
          <w:rFonts w:eastAsia="Amiri" w:cs="Amiri" w:ascii="Amiri" w:hAnsi="Amiri"/>
          <w:color w:val="111111"/>
          <w:sz w:val="28"/>
          <w:szCs w:val="28"/>
          <w:rtl w:val="true"/>
          <w:lang w:bidi="ar-SA"/>
        </w:rPr>
        <w:t>.</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عطاء القداحي، يروي عن عبد اللّه بن عمر، و</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قيس، والد يعلى بن عطاء، ذكره ابن حبان في الثقات</w:t>
      </w:r>
      <w:r>
        <w:rPr>
          <w:rFonts w:eastAsia="Amiri" w:cs="Amiri" w:ascii="Amiri" w:hAnsi="Amiri"/>
          <w:color w:val="111111"/>
          <w:sz w:val="28"/>
          <w:szCs w:val="28"/>
          <w:rtl w:val="true"/>
          <w:lang w:bidi="ar-SA"/>
        </w:rPr>
        <w:t>.</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مالك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الحارث الأشعري الشامي الصحابي، روى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وعنه أبو سلام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مالك، طعن أبو مالك الأشعري وأبو عبيدة بن الجراح في يوم واحد، وتوفي في خلافة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تعجب فعجبٌ قول الشوكاني،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من أحد من الصحابة خلاف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 وابن عباس وأنس</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انّ اعتقاده بالغسل عاقه عن الفحص والتتبّع في السنن والمسانيد</w:t>
      </w:r>
      <w:r>
        <w:rPr>
          <w:rFonts w:eastAsia="Amiri" w:cs="Amiri" w:ascii="Amiri" w:hAnsi="Amiri"/>
          <w:color w:val="111111"/>
          <w:sz w:val="28"/>
          <w:szCs w:val="28"/>
          <w:rtl w:val="true"/>
          <w:lang w:bidi="ar-SA"/>
        </w:rPr>
        <w:t>.</w:t>
      </w:r>
      <w:bookmarkStart w:id="93" w:name="pg11414_142715"/>
    </w:p>
    <w:p>
      <w:pPr>
        <w:pStyle w:val="Heading2"/>
        <w:numPr>
          <w:ilvl w:val="1"/>
          <w:numId w:val="1"/>
        </w:numPr>
        <w:rPr/>
      </w:pPr>
      <w:bookmarkStart w:id="94" w:name="__RefHeading___Toc1258073_73709187"/>
      <w:bookmarkStart w:id="95" w:name="_Toc33"/>
      <w:bookmarkEnd w:id="93"/>
      <w:bookmarkEnd w:id="94"/>
      <w:r>
        <w:rPr/>
        <w:t>14</w:t>
      </w:r>
      <w:r>
        <w:rPr>
          <w:rtl w:val="true"/>
        </w:rPr>
        <w:t>-</w:t>
      </w:r>
      <w:r>
        <w:rPr>
          <w:rtl w:val="true"/>
        </w:rPr>
        <w:t>وضوء النبي صلَّى الله عليه وآله وسلَّم</w:t>
      </w:r>
      <w:bookmarkEnd w:id="95"/>
    </w:p>
    <w:p>
      <w:pPr>
        <w:pStyle w:val="Heading3"/>
        <w:numPr>
          <w:ilvl w:val="2"/>
          <w:numId w:val="1"/>
        </w:numPr>
        <w:rPr/>
      </w:pPr>
      <w:bookmarkStart w:id="96" w:name="__RefHeading___Toc1258075_73709187"/>
      <w:bookmarkStart w:id="97" w:name="_Toc34"/>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 xml:space="preserve">عن لسان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أئمّة أهل البيت هم المرجع الثاني للمسلمين بعد كتاب اللّه فيما اختلفوا فيه، فإنّهم حفظة سنن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وعيبة علمه، فقد نصّ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في حديث الثقلين الذي اتّفق المسلمون على نقله وصحته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وعترتي</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الترمذي عن زيد بن أرقم وهو الحديث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 الإمام أحمد من حديث زيد بن ثابت في الجزء الخامس من 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الطبراني في الكبير عن زيد بن ثابت أيضاً وهو الحديث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الكنز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 الحاكم في الجزء الثالث من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الاسناد على شرط الشيخين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 الذهبي في تلخيص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معترفاً بصحته على شرط الشيخين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 الإمام أحمد من حديث أبي سعيد الخدري في الجزء الثالث من 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10747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ابن أبي شيبة وأبو يعلى وابن سعد عن أبي سعيد وهو الحديث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 الكنز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ابن حجر في أواخر الفصل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هذه مكانة أهل البيت، فلنرجع إليهم في كيفيّة وضوء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فإنّهم ارتشفوا من عذب معين، وحفظوا سنةّ الرسول بنقل كابر عن كابر، وإليك ما رووه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أحمد بن محمد وأبي داود</w:t>
      </w:r>
    </w:p>
    <w:p>
      <w:pPr>
        <w:pStyle w:val="BookText"/>
        <w:rPr/>
      </w:pPr>
      <w:r>
        <w:rPr>
          <w:rFonts w:ascii="Amiri" w:hAnsi="Amiri" w:eastAsia="Amiri" w:cs="Amiri"/>
          <w:color w:val="111111"/>
          <w:sz w:val="28"/>
          <w:sz w:val="28"/>
          <w:szCs w:val="28"/>
          <w:rtl w:val="true"/>
          <w:lang w:bidi="ar-SA"/>
        </w:rPr>
        <w:t>جميعاً، عن الحسين بن سعيد، عن فضالة،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للوضوء حدّاً من تعدّاه لم يؤجر، وكان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يتلدّد،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وجهك ويديك، وتمسح رأسك ورجليك</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عن أبيه، ومحمد بن إسماعيل، عن الفضل ابن شاذان جميعاً، عن حماد بن عيسى،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ألا أحكي لكم وضوء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فدعا بقعب فيه شيء من ماء، ثم وضعه بين يديه، ثم حسر عن ذراعيه، ثم غمس فيه كفّه اليمنى،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إذا كانت الكفّ طاهرة، ثم غرف فملأها ماءً فوضعها على جبينه،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وسدله على أطراف لحيته، ثم أمرّ يده على وجهه وظاهر جبينه مرة واحدة، ثم غمس يده اليسرى فغرف بها ملأها،</w:t>
      </w:r>
    </w:p>
    <w:p>
      <w:pPr>
        <w:pStyle w:val="BookText"/>
        <w:rPr/>
      </w:pPr>
      <w:r>
        <w:rPr>
          <w:rFonts w:ascii="Amiri" w:hAnsi="Amiri" w:eastAsia="Amiri" w:cs="Amiri"/>
          <w:color w:val="111111"/>
          <w:sz w:val="28"/>
          <w:sz w:val="28"/>
          <w:szCs w:val="28"/>
          <w:rtl w:val="true"/>
          <w:lang w:bidi="ar-SA"/>
        </w:rPr>
        <w:t xml:space="preserve">ثم وضعه على مرفقه اليمنى وأمرّ كفّه على ساعده حتى جرى الماء على أطراف أصابعه، ثم غرف بيمينه ملأها، فوضعه على مرفقه اليسرى، وأمرّ كفّه على ساعده حتى جرى الماء على أطراف أصابعه، ومسح مقدم رأسه وظهر قدميه ببلّة يساره وبقية بلّة يمناه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وتر يحب الوتر، فقد يجزئك من الوضوء ثلاث غرفات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للوجه واثنتان للذراعين، وتمسح ببلة يمناك ناصيتك وما بقي من بلّة يمينك ظهر قدمك اليمنى، وتمسح ببلّة يسارك ظهر قدمك اليسرى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سأل رجل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وضوء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فحكى له مثل ذلك</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إبراهيم، عن أبيه، عن ابن أبي عمير، عن عمر بن أُذينة، عن زرارة وبكير أنّهما سألا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وضوء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فدعا بطست أو تور فيه ماء، فغمس يده اليمنى فغرف بها غرفة فصبّها على وجهه فغسل بها وجهه، ثم غمس كفّه اليسرى فغرف بها غرفة فأفرغ على ذراعه اليمنى فغسل بها ذراعه من المرفق إلى الكفّ لا يردها إلى المرفق، ثم غمس كفّه اليمنى فأفرغ بها على ذراعه اليسرى من المرفق وصنع بها مثل ما صنع باليمنى، ثم مسح رأسه وقدميه ببلل كفه، لم يحدث لهما ماءً جديداً،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يدخل أصابعه تحت الشراك،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قُمتُم إلى الصلاةِ فاغسِلُوا وجُوهَكُم وأيدِيَكُم</w:t>
      </w:r>
      <w:r>
        <w:rPr>
          <w:rFonts w:eastAsia="Amiri" w:cs="Amiri" w:ascii="Amiri" w:hAnsi="Amiri"/>
          <w:color w:val="111111"/>
          <w:sz w:val="28"/>
          <w:szCs w:val="28"/>
          <w:rtl w:val="true"/>
          <w:lang w:bidi="ar-SA"/>
        </w:rPr>
        <w:t>)) .</w:t>
      </w:r>
      <w:r>
        <w:rPr>
          <w:rStyle w:val="FootnoteAnchor"/>
          <w:rtl w:val="true"/>
        </w:rPr>
        <w:footnoteReference w:id="10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له أن يدع شيئاً من يديه إلى المرفقين إلاّ غسله، 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اغسلوا وجوهكم وأيديكم 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وامسحوا برءُوسكم وأرجلكم إلى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مسح بشيء من رأسه أو بشيء من قدميه ما بين الكعبين إلى أطراف الأصابع فقد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الكعبان؟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المفصل دون عظم الساق،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عظم الساق، والكعب أسفل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فالغرفة الواحدة تجزي للوجه وغرفة للذراع؟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بالغت فيها والثنتان تأتيان على ذلك كلّه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من أصحابنا، عن أحمد بن محمد، عن علي ابن الحكم، عن داود بن النعمان، عن أبي أيوب، عن بكير ابن أعين،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أحكي لكم وضوء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فأخذ بكفّه اليمنى كفّاً من ماء فغسل به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وجهه، ثم أخذ بيده اليسرى كفّاً من ماء فغسل به يده اليمنى، ثم أخذ بيده اليمنى كفّاً من ماء فغسل به يده اليسرى، ثم مسح بفضل يديه رأسه ورجليه</w:t>
      </w:r>
      <w:r>
        <w:rPr>
          <w:rFonts w:eastAsia="Amiri" w:cs="Amiri" w:ascii="Amiri" w:hAnsi="Amiri"/>
          <w:color w:val="111111"/>
          <w:sz w:val="28"/>
          <w:szCs w:val="28"/>
          <w:rtl w:val="true"/>
          <w:lang w:bidi="ar-SA"/>
        </w:rPr>
        <w:t>.</w:t>
      </w:r>
      <w:r>
        <w:rPr>
          <w:rStyle w:val="FootnoteAnchor"/>
          <w:rtl w:val="true"/>
        </w:rPr>
        <w:footnoteReference w:id="10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109"/>
      </w:r>
      <w:bookmarkStart w:id="98" w:name="pg11414_142722"/>
    </w:p>
    <w:p>
      <w:pPr>
        <w:pStyle w:val="Heading3"/>
        <w:numPr>
          <w:ilvl w:val="2"/>
          <w:numId w:val="1"/>
        </w:numPr>
        <w:rPr/>
      </w:pPr>
      <w:bookmarkStart w:id="99" w:name="__RefHeading___Toc1258077_73709187"/>
      <w:bookmarkStart w:id="100" w:name="_Toc35"/>
      <w:bookmarkEnd w:id="98"/>
      <w:bookmarkEnd w:id="99"/>
      <w:r>
        <w:rPr>
          <w:rtl w:val="true"/>
        </w:rPr>
        <w:t>خاتمة المطاف</w:t>
      </w:r>
      <w:bookmarkEnd w:id="100"/>
    </w:p>
    <w:p>
      <w:pPr>
        <w:pStyle w:val="Heading2"/>
        <w:numPr>
          <w:ilvl w:val="1"/>
          <w:numId w:val="1"/>
        </w:numPr>
        <w:rPr/>
      </w:pPr>
      <w:bookmarkStart w:id="101" w:name="__RefHeading___Toc1258079_73709187"/>
      <w:bookmarkStart w:id="102" w:name="_Toc36"/>
      <w:bookmarkEnd w:id="101"/>
      <w:r>
        <w:rPr>
          <w:rtl w:val="true"/>
        </w:rPr>
        <w:t>الآن حصحص الحق</w:t>
      </w:r>
      <w:bookmarkEnd w:id="102"/>
    </w:p>
    <w:p>
      <w:pPr>
        <w:pStyle w:val="BookText"/>
        <w:rPr/>
      </w:pPr>
      <w:r>
        <w:rPr>
          <w:rFonts w:ascii="Amiri" w:hAnsi="Amiri" w:eastAsia="Amiri" w:cs="Amiri"/>
          <w:color w:val="111111"/>
          <w:sz w:val="28"/>
          <w:sz w:val="28"/>
          <w:szCs w:val="28"/>
          <w:rtl w:val="true"/>
          <w:lang w:bidi="ar-SA"/>
        </w:rPr>
        <w:t>لقد بانت الحقيقة وظهرت بأجلى مظاهرها وذلك بالأُمور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تصريح الكتاب بمسح الأرجل وأنّ غسلها لا يوافق 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لفيفاً من أعلام الصحابة وسنامها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عيبة السنّة وحفظة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يمسحون ويُنكرون الغسل أشدّ الإنكار، وقد وقفت على رواياتهم الكثيرة البالغة حدّ التضافر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أئمّة أهل البيت، وفيهم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الإمامان الباقر والصادق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بيّنوا وضوء رسول اللّه، وانّه كان يمسح</w:t>
      </w:r>
    </w:p>
    <w:p>
      <w:pPr>
        <w:pStyle w:val="BookText"/>
        <w:rPr/>
      </w:pPr>
      <w:r>
        <w:rPr>
          <w:rFonts w:ascii="Amiri" w:hAnsi="Amiri" w:eastAsia="Amiri" w:cs="Amiri"/>
          <w:color w:val="111111"/>
          <w:sz w:val="28"/>
          <w:sz w:val="28"/>
          <w:szCs w:val="28"/>
          <w:rtl w:val="true"/>
          <w:lang w:bidi="ar-SA"/>
        </w:rPr>
        <w:t>الأرجل بدل غسلها، وقد مرت كلماتهم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ما دلّ على غسل الأرجل ففيه الصحيح، والضعيف ، بل الضعاف أكثر من الصحاح، فعلى الفقيه معالجة تعارض الروايات الدالّة على الغسل، بعرضها على الكتاب أوّلاً وعلى السنّة الدالة على المسح ثانياً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أمر المسلمين قاطبة بالأخذ بأقوال العترة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فالتمسّك بأقوالهم وأحاديثهم امتثال لقول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يصدر إلاّ عن الحق، فمن أخذ بالثقلين فقد تمسّك بما ينقذه من الضلالة، ومن أخذ بواحد منهما فقد خالف الرسول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علم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المعروف بالقول بالمسح، ويقول الرازي في الاقتداء بعليّ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اقتدى في دينه بعلي بن أبي طالب فقد اهتدى، والدليل</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أدر الحق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علي حيث دار</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الاجتهاد بمعنى بذل الجهد في استنباط الأحكام عن أدلّتها الشرعيّة فلماذا اختصّت هذه النعمة الكبرى بالأئمّة الأربعة دون سواهم، وكيف صار السلف أولى بها من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ونظيره يقتضي لزوم فتح باب الاجتهاد في أعصارنا هذه والإمعان في عطاء الكتاب والسنّة في حكم هذه المسألة ونظائرها ممّا ستمرّ عليك في هذه السلسلة متجرداً عن قول الأئمّة الأربعة ونظرائهم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الاجتهاد رمز خلود الدين وصلاحيّته للظروف والبيئات وليس من البدع المحدثة، بل كان مفتوحاً منذ زمن النبيّ وبعد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أُغلق لأُمور سياسية عام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المقريزي في بدء انحصار المذاهب في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فاستمرت ولاية القضاة الأربعة من سنة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لم يبق في مجموع أقطار الإسلام مذهب يعرف من مذاهب الإسلام غير هذه الأربعة وعودي من تمذهب بغيرها، وانكر عليه ولم يولّ قاض ولا قبلت شهادة أحد ما لم يكن مقلِّداً لأحد هذه المذاهب وأفتى فقهاؤهم في هذه الأمصار في طول هذه المدّة بوجوب اتّباع هذه المذاهب وتحريم عداها، والعمل على هذا إلى اليوم</w:t>
      </w:r>
      <w:r>
        <w:rPr>
          <w:rFonts w:eastAsia="Amiri" w:cs="Amiri" w:ascii="Amiri" w:hAnsi="Amiri"/>
          <w:color w:val="111111"/>
          <w:sz w:val="28"/>
          <w:szCs w:val="28"/>
          <w:rtl w:val="true"/>
          <w:lang w:bidi="ar-SA"/>
        </w:rPr>
        <w:t xml:space="preserve">. </w:t>
      </w:r>
      <w:r>
        <w:rPr>
          <w:rStyle w:val="FootnoteAnchor"/>
          <w:rtl w:val="true"/>
        </w:rPr>
        <w:footnoteReference w:id="11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بشرح النووي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أو التفسير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 xml:space="preserve">، ط سنة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أبي شيبة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باب من كان لا يرى المسح، الباب</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أبي شيبة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باب من كان لا يرى المسح، الباب</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لابن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للطبري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مبحث العطف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العطف على المحل ثمّ ذكر شروطه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النهر الماد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المتملي في شرح منية المصلي المعروف بالحلبي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 واعرابه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الخازن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 الباب الثامن، القاعدة الثانية،</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في أُصول الأحكام لابن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رشيد رضا،المنار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التأويل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باب صلاة المسافرين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علّق في الهامش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ولذا ترى حفاة الشيعة والعمال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كأهل الحرث وأمثالهم وسائر من لا يبالون بطهارة أرجلهم في غير أوقات العبادة المشروطة بالطهارة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أرادوا الوضوء غسلوا أرجلهم ثمّ توضّأوا فمسحوا عليها نقيّة جافّة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الفيصل العدد</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مقالة أبي عبدالرحمن الظاهري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26863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9/451</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26922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26908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26822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باب من رفع صوته بالعلم من كتاب العلم،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كلّها منقولة من 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التأويل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الدمشقي، تفسير القرآن العظيم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9/435</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Pr>
        <w:t>26856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أُنظر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حلية الأولياء للاصبهاني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4/310</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7/293</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تهذيب الأسماء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5/321</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9/313</w:t>
      </w:r>
      <w:r>
        <w:rPr>
          <w:rFonts w:ascii="IRNazanin" w:hAnsi="IRNazanin" w:eastAsia="IRNazanin"/>
          <w:b w:val="false"/>
          <w:b w:val="false"/>
          <w:bCs w:val="false"/>
          <w:i w:val="false"/>
          <w:i w:val="false"/>
          <w:iCs w:val="false"/>
          <w:color w:val="333333"/>
          <w:sz w:val="20"/>
          <w:sz w:val="20"/>
          <w:szCs w:val="20"/>
          <w:rtl w:val="true"/>
        </w:rPr>
        <w:t>، تهذيب الأسماء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العبر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متّفق عليه رواه أصحاب الصحاح والمسانيد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الطهارة، باب مقدار الماء الذي يجزي للوضوء والغسل ومن تعدّى في الوضوء،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الطهارة، باب صفة الوضوء،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الطهارة، باب صفة الوضوء،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الخطط المقريزية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image" Target="media/image2.jpeg"/><Relationship Id="rId105" Type="http://schemas.openxmlformats.org/officeDocument/2006/relationships/image" Target="media/image2.jpeg"/><Relationship Id="rId106" Type="http://schemas.openxmlformats.org/officeDocument/2006/relationships/footer" Target="footer99.xml"/><Relationship Id="rId107" Type="http://schemas.openxmlformats.org/officeDocument/2006/relationships/footnotes" Target="footnotes.xml"/><Relationship Id="rId108" Type="http://schemas.openxmlformats.org/officeDocument/2006/relationships/numbering" Target="numbering.xml"/><Relationship Id="rId109" Type="http://schemas.openxmlformats.org/officeDocument/2006/relationships/fontTable" Target="fontTable.xml"/><Relationship Id="rId110" Type="http://schemas.openxmlformats.org/officeDocument/2006/relationships/settings" Target="settings.xml"/><Relationship Id="rId1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102</Pages>
  <Words>10849</Words>
  <Characters>47767</Characters>
  <CharactersWithSpaces>57986</CharactersWithSpaces>
  <Paragraphs>777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2026-08-21T21:33:15Z</dcterms:created>
  <dc:creator>ghaemiyeh.com</dc:creator>
  <dc:description/>
  <dc:language>en-US</dc:language>
  <cp:lastModifiedBy/>
  <dcterms:modified xsi:type="dcterms:W3CDTF">2026-08-22T01:03:18Z</dcterms:modified>
  <cp:revision>1</cp:revision>
  <dc:subject/>
  <dc:title>سلسله المسائل الفقهیه جلد 1</dc:title>
</cp:coreProperties>
</file>

<file path=docProps/custom.xml><?xml version="1.0" encoding="utf-8"?>
<Properties xmlns="http://schemas.openxmlformats.org/officeDocument/2006/custom-properties" xmlns:vt="http://schemas.openxmlformats.org/officeDocument/2006/docPropsVTypes"/>
</file>