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المسائل تعلیق و شرح بر ذخیرة العباد نوشته علامه محقق شیخ محمدحسین غروی اصفهانی قدس سره و تکمیل آن تا پایان فقه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0987_1067777946">
            <w:r>
              <w:rPr>
                <w:webHidden/>
                <w:rStyle w:val="IndexLink"/>
                <w:rtl w:val="true"/>
              </w:rPr>
              <w:t>مشخصات کتاب</w:t>
            </w:r>
            <w:r>
              <w:rPr>
                <w:rStyle w:val="IndexLink"/>
                <w:rtl w:val="true"/>
              </w:rPr>
              <w:tab/>
            </w:r>
            <w:r>
              <w:rPr>
                <w:rStyle w:val="IndexLink"/>
              </w:rPr>
              <w:t>38</w:t>
            </w:r>
          </w:hyperlink>
        </w:p>
        <w:p>
          <w:pPr>
            <w:pStyle w:val="Contents2"/>
            <w:tabs>
              <w:tab w:val="clear" w:pos="8743"/>
              <w:tab w:val="right" w:pos="9026" w:leader="dot"/>
            </w:tabs>
            <w:rPr/>
          </w:pPr>
          <w:hyperlink w:anchor="__RefHeading___Toc3970989_1067777946">
            <w:r>
              <w:rPr>
                <w:webHidden/>
                <w:rStyle w:val="IndexLink"/>
                <w:rtl w:val="true"/>
              </w:rPr>
              <w:t>اشاره</w:t>
            </w:r>
            <w:r>
              <w:rPr>
                <w:rStyle w:val="IndexLink"/>
                <w:rtl w:val="true"/>
              </w:rPr>
              <w:tab/>
            </w:r>
            <w:r>
              <w:rPr>
                <w:rStyle w:val="IndexLink"/>
              </w:rPr>
              <w:t>38</w:t>
            </w:r>
          </w:hyperlink>
        </w:p>
        <w:p>
          <w:pPr>
            <w:pStyle w:val="Contents2"/>
            <w:tabs>
              <w:tab w:val="clear" w:pos="8743"/>
              <w:tab w:val="right" w:pos="9026" w:leader="dot"/>
            </w:tabs>
            <w:rPr/>
          </w:pPr>
          <w:hyperlink w:anchor="__RefHeading___Toc3970991_1067777946">
            <w:r>
              <w:rPr>
                <w:webHidden/>
                <w:rStyle w:val="IndexLink"/>
                <w:rtl w:val="true"/>
              </w:rPr>
              <w:t>تذكر</w:t>
            </w:r>
            <w:r>
              <w:rPr>
                <w:rStyle w:val="IndexLink"/>
                <w:rtl w:val="true"/>
              </w:rPr>
              <w:tab/>
            </w:r>
            <w:r>
              <w:rPr>
                <w:rStyle w:val="IndexLink"/>
              </w:rPr>
              <w:t>40</w:t>
            </w:r>
          </w:hyperlink>
        </w:p>
        <w:p>
          <w:pPr>
            <w:pStyle w:val="Contents2"/>
            <w:tabs>
              <w:tab w:val="clear" w:pos="8743"/>
              <w:tab w:val="right" w:pos="9026" w:leader="dot"/>
            </w:tabs>
            <w:rPr/>
          </w:pPr>
          <w:hyperlink w:anchor="__RefHeading___Toc3970993_1067777946">
            <w:r>
              <w:rPr>
                <w:webHidden/>
                <w:rStyle w:val="IndexLink"/>
                <w:rtl w:val="true"/>
              </w:rPr>
              <w:t>كتاب شفعه</w:t>
            </w:r>
            <w:r>
              <w:rPr>
                <w:rStyle w:val="IndexLink"/>
                <w:rtl w:val="true"/>
              </w:rPr>
              <w:tab/>
            </w:r>
            <w:r>
              <w:rPr>
                <w:rStyle w:val="IndexLink"/>
              </w:rPr>
              <w:t>42</w:t>
            </w:r>
          </w:hyperlink>
        </w:p>
        <w:p>
          <w:pPr>
            <w:pStyle w:val="Contents3"/>
            <w:tabs>
              <w:tab w:val="clear" w:pos="8459"/>
              <w:tab w:val="right" w:pos="9026" w:leader="dot"/>
            </w:tabs>
            <w:rPr/>
          </w:pPr>
          <w:hyperlink w:anchor="__RefHeading___Toc3970995_1067777946">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970997_1067777946">
            <w:r>
              <w:rPr>
                <w:webHidden/>
                <w:rStyle w:val="IndexLink"/>
                <w:rtl w:val="true"/>
              </w:rPr>
              <w:t>فصل اوّل متعلّق شفعه</w:t>
            </w:r>
            <w:r>
              <w:rPr>
                <w:rStyle w:val="IndexLink"/>
                <w:rtl w:val="true"/>
              </w:rPr>
              <w:tab/>
            </w:r>
            <w:r>
              <w:rPr>
                <w:rStyle w:val="IndexLink"/>
              </w:rPr>
              <w:t>44</w:t>
            </w:r>
          </w:hyperlink>
        </w:p>
        <w:p>
          <w:pPr>
            <w:pStyle w:val="Contents4"/>
            <w:tabs>
              <w:tab w:val="clear" w:pos="8176"/>
              <w:tab w:val="right" w:pos="9026" w:leader="dot"/>
            </w:tabs>
            <w:rPr/>
          </w:pPr>
          <w:hyperlink w:anchor="__RefHeading___Toc3970999_106777794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971001_1067777946">
            <w:r>
              <w:rPr>
                <w:webHidden/>
                <w:rStyle w:val="IndexLink"/>
                <w:rtl w:val="true"/>
              </w:rPr>
              <w:t>معناى شفعه</w:t>
            </w:r>
            <w:r>
              <w:rPr>
                <w:rStyle w:val="IndexLink"/>
                <w:rtl w:val="true"/>
              </w:rPr>
              <w:tab/>
            </w:r>
            <w:r>
              <w:rPr>
                <w:rStyle w:val="IndexLink"/>
              </w:rPr>
              <w:t>44</w:t>
            </w:r>
          </w:hyperlink>
        </w:p>
        <w:p>
          <w:pPr>
            <w:pStyle w:val="Contents4"/>
            <w:tabs>
              <w:tab w:val="clear" w:pos="8176"/>
              <w:tab w:val="right" w:pos="9026" w:leader="dot"/>
            </w:tabs>
            <w:rPr/>
          </w:pPr>
          <w:hyperlink w:anchor="__RefHeading___Toc3971003_1067777946">
            <w:r>
              <w:rPr>
                <w:webHidden/>
                <w:rStyle w:val="IndexLink"/>
                <w:rtl w:val="true"/>
              </w:rPr>
              <w:t>حكم شفعه در غير منقول و منقول</w:t>
            </w:r>
            <w:r>
              <w:rPr>
                <w:rStyle w:val="IndexLink"/>
                <w:rtl w:val="true"/>
              </w:rPr>
              <w:tab/>
            </w:r>
            <w:r>
              <w:rPr>
                <w:rStyle w:val="IndexLink"/>
              </w:rPr>
              <w:t>44</w:t>
            </w:r>
          </w:hyperlink>
        </w:p>
        <w:p>
          <w:pPr>
            <w:pStyle w:val="Contents4"/>
            <w:tabs>
              <w:tab w:val="clear" w:pos="8176"/>
              <w:tab w:val="right" w:pos="9026" w:leader="dot"/>
            </w:tabs>
            <w:rPr/>
          </w:pPr>
          <w:hyperlink w:anchor="__RefHeading___Toc3971005_1067777946">
            <w:r>
              <w:rPr>
                <w:webHidden/>
                <w:rStyle w:val="IndexLink"/>
                <w:rtl w:val="true"/>
              </w:rPr>
              <w:t>ثبوت يا عدم ثبوت شفعه در غرفۀ مشترك</w:t>
            </w:r>
            <w:r>
              <w:rPr>
                <w:rStyle w:val="IndexLink"/>
                <w:rtl w:val="true"/>
              </w:rPr>
              <w:tab/>
            </w:r>
            <w:r>
              <w:rPr>
                <w:rStyle w:val="IndexLink"/>
              </w:rPr>
              <w:t>45</w:t>
            </w:r>
          </w:hyperlink>
        </w:p>
        <w:p>
          <w:pPr>
            <w:pStyle w:val="Contents4"/>
            <w:tabs>
              <w:tab w:val="clear" w:pos="8176"/>
              <w:tab w:val="right" w:pos="9026" w:leader="dot"/>
            </w:tabs>
            <w:rPr/>
          </w:pPr>
          <w:hyperlink w:anchor="__RefHeading___Toc3971007_1067777946">
            <w:r>
              <w:rPr>
                <w:webHidden/>
                <w:rStyle w:val="IndexLink"/>
                <w:rtl w:val="true"/>
              </w:rPr>
              <w:t>شفعه در زراعت</w:t>
            </w:r>
            <w:r>
              <w:rPr>
                <w:rStyle w:val="IndexLink"/>
                <w:rtl w:val="true"/>
              </w:rPr>
              <w:tab/>
            </w:r>
            <w:r>
              <w:rPr>
                <w:rStyle w:val="IndexLink"/>
              </w:rPr>
              <w:t>45</w:t>
            </w:r>
          </w:hyperlink>
        </w:p>
        <w:p>
          <w:pPr>
            <w:pStyle w:val="Contents4"/>
            <w:tabs>
              <w:tab w:val="clear" w:pos="8176"/>
              <w:tab w:val="right" w:pos="9026" w:leader="dot"/>
            </w:tabs>
            <w:rPr/>
          </w:pPr>
          <w:hyperlink w:anchor="__RefHeading___Toc3971009_1067777946">
            <w:r>
              <w:rPr>
                <w:webHidden/>
                <w:rStyle w:val="IndexLink"/>
                <w:rtl w:val="true"/>
              </w:rPr>
              <w:t>عدم اعتبار قابليت قسمت در متعلق شفعه</w:t>
            </w:r>
            <w:r>
              <w:rPr>
                <w:rStyle w:val="IndexLink"/>
                <w:rtl w:val="true"/>
              </w:rPr>
              <w:tab/>
            </w:r>
            <w:r>
              <w:rPr>
                <w:rStyle w:val="IndexLink"/>
              </w:rPr>
              <w:t>46</w:t>
            </w:r>
          </w:hyperlink>
        </w:p>
        <w:p>
          <w:pPr>
            <w:pStyle w:val="Contents4"/>
            <w:tabs>
              <w:tab w:val="clear" w:pos="8176"/>
              <w:tab w:val="right" w:pos="9026" w:leader="dot"/>
            </w:tabs>
            <w:rPr/>
          </w:pPr>
          <w:hyperlink w:anchor="__RefHeading___Toc3971011_1067777946">
            <w:r>
              <w:rPr>
                <w:webHidden/>
                <w:rStyle w:val="IndexLink"/>
                <w:rtl w:val="true"/>
              </w:rPr>
              <w:t>شفعه در طريق و ذو الطريق در صورت بيع با هم</w:t>
            </w:r>
            <w:r>
              <w:rPr>
                <w:rStyle w:val="IndexLink"/>
                <w:rtl w:val="true"/>
              </w:rPr>
              <w:tab/>
            </w:r>
            <w:r>
              <w:rPr>
                <w:rStyle w:val="IndexLink"/>
              </w:rPr>
              <w:t>46</w:t>
            </w:r>
          </w:hyperlink>
        </w:p>
        <w:p>
          <w:pPr>
            <w:pStyle w:val="Contents4"/>
            <w:tabs>
              <w:tab w:val="clear" w:pos="8176"/>
              <w:tab w:val="right" w:pos="9026" w:leader="dot"/>
            </w:tabs>
            <w:rPr/>
          </w:pPr>
          <w:hyperlink w:anchor="__RefHeading___Toc3971013_1067777946">
            <w:r>
              <w:rPr>
                <w:webHidden/>
                <w:rStyle w:val="IndexLink"/>
                <w:rtl w:val="true"/>
              </w:rPr>
              <w:t>لحوق بئر و نهر به طريق، در حكم مذكور</w:t>
            </w:r>
            <w:r>
              <w:rPr>
                <w:rStyle w:val="IndexLink"/>
                <w:rtl w:val="true"/>
              </w:rPr>
              <w:tab/>
            </w:r>
            <w:r>
              <w:rPr>
                <w:rStyle w:val="IndexLink"/>
              </w:rPr>
              <w:t>47</w:t>
            </w:r>
          </w:hyperlink>
        </w:p>
        <w:p>
          <w:pPr>
            <w:pStyle w:val="Contents4"/>
            <w:tabs>
              <w:tab w:val="clear" w:pos="8176"/>
              <w:tab w:val="right" w:pos="9026" w:leader="dot"/>
            </w:tabs>
            <w:rPr/>
          </w:pPr>
          <w:hyperlink w:anchor="__RefHeading___Toc3971015_1067777946">
            <w:r>
              <w:rPr>
                <w:webHidden/>
                <w:rStyle w:val="IndexLink"/>
                <w:rtl w:val="true"/>
              </w:rPr>
              <w:t>بيع عرصۀ اختصاص با عرصۀ مشترك</w:t>
            </w:r>
            <w:r>
              <w:rPr>
                <w:rStyle w:val="IndexLink"/>
                <w:rtl w:val="true"/>
              </w:rPr>
              <w:tab/>
            </w:r>
            <w:r>
              <w:rPr>
                <w:rStyle w:val="IndexLink"/>
              </w:rPr>
              <w:t>47</w:t>
            </w:r>
          </w:hyperlink>
        </w:p>
        <w:p>
          <w:pPr>
            <w:pStyle w:val="Contents4"/>
            <w:tabs>
              <w:tab w:val="clear" w:pos="8176"/>
              <w:tab w:val="right" w:pos="9026" w:leader="dot"/>
            </w:tabs>
            <w:rPr/>
          </w:pPr>
          <w:hyperlink w:anchor="__RefHeading___Toc3971017_1067777946">
            <w:r>
              <w:rPr>
                <w:webHidden/>
                <w:rStyle w:val="IndexLink"/>
                <w:rtl w:val="true"/>
              </w:rPr>
              <w:t>اختصاص ثبوت شفعه به انتقال به بيع</w:t>
            </w:r>
            <w:r>
              <w:rPr>
                <w:rStyle w:val="IndexLink"/>
                <w:rtl w:val="true"/>
              </w:rPr>
              <w:tab/>
            </w:r>
            <w:r>
              <w:rPr>
                <w:rStyle w:val="IndexLink"/>
              </w:rPr>
              <w:t>47</w:t>
            </w:r>
          </w:hyperlink>
        </w:p>
        <w:p>
          <w:pPr>
            <w:pStyle w:val="Contents4"/>
            <w:tabs>
              <w:tab w:val="clear" w:pos="8176"/>
              <w:tab w:val="right" w:pos="9026" w:leader="dot"/>
            </w:tabs>
            <w:rPr/>
          </w:pPr>
          <w:hyperlink w:anchor="__RefHeading___Toc3971019_1067777946">
            <w:r>
              <w:rPr>
                <w:webHidden/>
                <w:rStyle w:val="IndexLink"/>
                <w:rtl w:val="true"/>
              </w:rPr>
              <w:t>حكم شفعه در خانه اى كه قسمتى از ان وقف است</w:t>
            </w:r>
            <w:r>
              <w:rPr>
                <w:rStyle w:val="IndexLink"/>
                <w:rtl w:val="true"/>
              </w:rPr>
              <w:tab/>
            </w:r>
            <w:r>
              <w:rPr>
                <w:rStyle w:val="IndexLink"/>
              </w:rPr>
              <w:t>48</w:t>
            </w:r>
          </w:hyperlink>
        </w:p>
        <w:p>
          <w:pPr>
            <w:pStyle w:val="Contents3"/>
            <w:tabs>
              <w:tab w:val="clear" w:pos="8459"/>
              <w:tab w:val="right" w:pos="9026" w:leader="dot"/>
            </w:tabs>
            <w:rPr/>
          </w:pPr>
          <w:hyperlink w:anchor="__RefHeading___Toc3971021_1067777946">
            <w:r>
              <w:rPr>
                <w:webHidden/>
                <w:rStyle w:val="IndexLink"/>
                <w:rtl w:val="true"/>
              </w:rPr>
              <w:t>فصل دوّم شفيع</w:t>
            </w:r>
            <w:r>
              <w:rPr>
                <w:rStyle w:val="IndexLink"/>
                <w:rtl w:val="true"/>
              </w:rPr>
              <w:tab/>
            </w:r>
            <w:r>
              <w:rPr>
                <w:rStyle w:val="IndexLink"/>
              </w:rPr>
              <w:t>49</w:t>
            </w:r>
          </w:hyperlink>
        </w:p>
        <w:p>
          <w:pPr>
            <w:pStyle w:val="Contents4"/>
            <w:tabs>
              <w:tab w:val="clear" w:pos="8176"/>
              <w:tab w:val="right" w:pos="9026" w:leader="dot"/>
            </w:tabs>
            <w:rPr/>
          </w:pPr>
          <w:hyperlink w:anchor="__RefHeading___Toc3971023_1067777946">
            <w:r>
              <w:rPr>
                <w:webHidden/>
                <w:rStyle w:val="IndexLink"/>
                <w:rtl w:val="true"/>
              </w:rPr>
              <w:t>اعتبار شركت به قدرت اداى ثمن و اسلام در شفيع</w:t>
            </w:r>
            <w:r>
              <w:rPr>
                <w:rStyle w:val="IndexLink"/>
                <w:rtl w:val="true"/>
              </w:rPr>
              <w:tab/>
            </w:r>
            <w:r>
              <w:rPr>
                <w:rStyle w:val="IndexLink"/>
              </w:rPr>
              <w:t>49</w:t>
            </w:r>
          </w:hyperlink>
        </w:p>
        <w:p>
          <w:pPr>
            <w:pStyle w:val="Contents4"/>
            <w:tabs>
              <w:tab w:val="clear" w:pos="8176"/>
              <w:tab w:val="right" w:pos="9026" w:leader="dot"/>
            </w:tabs>
            <w:rPr/>
          </w:pPr>
          <w:hyperlink w:anchor="__RefHeading___Toc3971025_1067777946">
            <w:r>
              <w:rPr>
                <w:webHidden/>
                <w:rStyle w:val="IndexLink"/>
                <w:rtl w:val="true"/>
              </w:rPr>
              <w:t>عدم شفعه بعد از تقسيم و تمييز مشترك</w:t>
            </w:r>
            <w:r>
              <w:rPr>
                <w:rStyle w:val="IndexLink"/>
                <w:rtl w:val="true"/>
              </w:rPr>
              <w:tab/>
            </w:r>
            <w:r>
              <w:rPr>
                <w:rStyle w:val="IndexLink"/>
              </w:rPr>
              <w:t>49</w:t>
            </w:r>
          </w:hyperlink>
        </w:p>
        <w:p>
          <w:pPr>
            <w:pStyle w:val="Contents4"/>
            <w:tabs>
              <w:tab w:val="clear" w:pos="8176"/>
              <w:tab w:val="right" w:pos="9026" w:leader="dot"/>
            </w:tabs>
            <w:rPr/>
          </w:pPr>
          <w:hyperlink w:anchor="__RefHeading___Toc3971027_1067777946">
            <w:r>
              <w:rPr>
                <w:webHidden/>
                <w:rStyle w:val="IndexLink"/>
                <w:rtl w:val="true"/>
              </w:rPr>
              <w:t>عدم شفعه با تعدد شريك و حكم كثرت شركا بعد از بيع</w:t>
            </w:r>
            <w:r>
              <w:rPr>
                <w:rStyle w:val="IndexLink"/>
                <w:rtl w:val="true"/>
              </w:rPr>
              <w:tab/>
            </w:r>
            <w:r>
              <w:rPr>
                <w:rStyle w:val="IndexLink"/>
              </w:rPr>
              <w:t>49</w:t>
            </w:r>
          </w:hyperlink>
        </w:p>
        <w:p>
          <w:pPr>
            <w:pStyle w:val="Contents4"/>
            <w:tabs>
              <w:tab w:val="clear" w:pos="8176"/>
              <w:tab w:val="right" w:pos="9026" w:leader="dot"/>
            </w:tabs>
            <w:rPr/>
          </w:pPr>
          <w:hyperlink w:anchor="__RefHeading___Toc3971029_1067777946">
            <w:r>
              <w:rPr>
                <w:webHidden/>
                <w:rStyle w:val="IndexLink"/>
                <w:rtl w:val="true"/>
              </w:rPr>
              <w:t>سقوط شفعه با عجز شريك از اداء ثمن</w:t>
            </w:r>
            <w:r>
              <w:rPr>
                <w:rStyle w:val="IndexLink"/>
                <w:rtl w:val="true"/>
              </w:rPr>
              <w:tab/>
            </w:r>
            <w:r>
              <w:rPr>
                <w:rStyle w:val="IndexLink"/>
              </w:rPr>
              <w:t>50</w:t>
            </w:r>
          </w:hyperlink>
        </w:p>
        <w:p>
          <w:pPr>
            <w:pStyle w:val="Contents4"/>
            <w:tabs>
              <w:tab w:val="clear" w:pos="8176"/>
              <w:tab w:val="right" w:pos="9026" w:leader="dot"/>
            </w:tabs>
            <w:rPr/>
          </w:pPr>
          <w:hyperlink w:anchor="__RefHeading___Toc3971031_1067777946">
            <w:r>
              <w:rPr>
                <w:webHidden/>
                <w:rStyle w:val="IndexLink"/>
                <w:rtl w:val="true"/>
              </w:rPr>
              <w:t>ادعاى غيبيت ثمن يا قدرت بر تحصيل و امهال وى</w:t>
            </w:r>
            <w:r>
              <w:rPr>
                <w:rStyle w:val="IndexLink"/>
                <w:rtl w:val="true"/>
              </w:rPr>
              <w:tab/>
            </w:r>
            <w:r>
              <w:rPr>
                <w:rStyle w:val="IndexLink"/>
              </w:rPr>
              <w:t>50</w:t>
            </w:r>
          </w:hyperlink>
        </w:p>
        <w:p>
          <w:pPr>
            <w:pStyle w:val="Contents4"/>
            <w:tabs>
              <w:tab w:val="clear" w:pos="8176"/>
              <w:tab w:val="right" w:pos="9026" w:leader="dot"/>
            </w:tabs>
            <w:rPr/>
          </w:pPr>
          <w:hyperlink w:anchor="__RefHeading___Toc3971033_1067777946">
            <w:r>
              <w:rPr>
                <w:webHidden/>
                <w:rStyle w:val="IndexLink"/>
                <w:rtl w:val="true"/>
              </w:rPr>
              <w:t>سقوط شفعه با مماطلۀ شريك</w:t>
            </w:r>
            <w:r>
              <w:rPr>
                <w:rStyle w:val="IndexLink"/>
                <w:rtl w:val="true"/>
              </w:rPr>
              <w:tab/>
            </w:r>
            <w:r>
              <w:rPr>
                <w:rStyle w:val="IndexLink"/>
              </w:rPr>
              <w:t>51</w:t>
            </w:r>
          </w:hyperlink>
        </w:p>
        <w:p>
          <w:pPr>
            <w:pStyle w:val="Contents4"/>
            <w:tabs>
              <w:tab w:val="clear" w:pos="8176"/>
              <w:tab w:val="right" w:pos="9026" w:leader="dot"/>
            </w:tabs>
            <w:rPr/>
          </w:pPr>
          <w:hyperlink w:anchor="__RefHeading___Toc3971035_1067777946">
            <w:r>
              <w:rPr>
                <w:webHidden/>
                <w:rStyle w:val="IndexLink"/>
                <w:rtl w:val="true"/>
              </w:rPr>
              <w:t>شروع سه روز مهلت</w:t>
            </w:r>
            <w:r>
              <w:rPr>
                <w:rStyle w:val="IndexLink"/>
                <w:rtl w:val="true"/>
              </w:rPr>
              <w:tab/>
            </w:r>
            <w:r>
              <w:rPr>
                <w:rStyle w:val="IndexLink"/>
              </w:rPr>
              <w:t>51</w:t>
            </w:r>
          </w:hyperlink>
        </w:p>
        <w:p>
          <w:pPr>
            <w:pStyle w:val="Contents4"/>
            <w:tabs>
              <w:tab w:val="clear" w:pos="8176"/>
              <w:tab w:val="right" w:pos="9026" w:leader="dot"/>
            </w:tabs>
            <w:rPr/>
          </w:pPr>
          <w:hyperlink w:anchor="__RefHeading___Toc3971037_1067777946">
            <w:r>
              <w:rPr>
                <w:webHidden/>
                <w:rStyle w:val="IndexLink"/>
                <w:rtl w:val="true"/>
              </w:rPr>
              <w:t>احتياج شفيع به مهلتى بيش از سه روز</w:t>
            </w:r>
            <w:r>
              <w:rPr>
                <w:rStyle w:val="IndexLink"/>
                <w:rtl w:val="true"/>
              </w:rPr>
              <w:tab/>
            </w:r>
            <w:r>
              <w:rPr>
                <w:rStyle w:val="IndexLink"/>
              </w:rPr>
              <w:t>51</w:t>
            </w:r>
          </w:hyperlink>
        </w:p>
        <w:p>
          <w:pPr>
            <w:pStyle w:val="Contents4"/>
            <w:tabs>
              <w:tab w:val="clear" w:pos="8176"/>
              <w:tab w:val="right" w:pos="9026" w:leader="dot"/>
            </w:tabs>
            <w:rPr/>
          </w:pPr>
          <w:hyperlink w:anchor="__RefHeading___Toc3971039_1067777946">
            <w:r>
              <w:rPr>
                <w:webHidden/>
                <w:rStyle w:val="IndexLink"/>
                <w:rtl w:val="true"/>
              </w:rPr>
              <w:t>عدم مانعيت غيبت شريك از استحقاق شفعه</w:t>
            </w:r>
            <w:r>
              <w:rPr>
                <w:rStyle w:val="IndexLink"/>
                <w:rtl w:val="true"/>
              </w:rPr>
              <w:tab/>
            </w:r>
            <w:r>
              <w:rPr>
                <w:rStyle w:val="IndexLink"/>
              </w:rPr>
              <w:t>51</w:t>
            </w:r>
          </w:hyperlink>
        </w:p>
        <w:p>
          <w:pPr>
            <w:pStyle w:val="Contents4"/>
            <w:tabs>
              <w:tab w:val="clear" w:pos="8176"/>
              <w:tab w:val="right" w:pos="9026" w:leader="dot"/>
            </w:tabs>
            <w:rPr/>
          </w:pPr>
          <w:hyperlink w:anchor="__RefHeading___Toc3971041_1067777946">
            <w:r>
              <w:rPr>
                <w:webHidden/>
                <w:rStyle w:val="IndexLink"/>
                <w:rtl w:val="true"/>
              </w:rPr>
              <w:t>حكم حاضرى كه بخاطر عذرى، متمكن از اخذ به شفعه نباشد</w:t>
            </w:r>
            <w:r>
              <w:rPr>
                <w:rStyle w:val="IndexLink"/>
                <w:rtl w:val="true"/>
              </w:rPr>
              <w:tab/>
            </w:r>
            <w:r>
              <w:rPr>
                <w:rStyle w:val="IndexLink"/>
              </w:rPr>
              <w:t>52</w:t>
            </w:r>
          </w:hyperlink>
        </w:p>
        <w:p>
          <w:pPr>
            <w:pStyle w:val="Contents4"/>
            <w:tabs>
              <w:tab w:val="clear" w:pos="8176"/>
              <w:tab w:val="right" w:pos="9026" w:leader="dot"/>
            </w:tabs>
            <w:rPr/>
          </w:pPr>
          <w:hyperlink w:anchor="__RefHeading___Toc3971043_1067777946">
            <w:r>
              <w:rPr>
                <w:webHidden/>
                <w:rStyle w:val="IndexLink"/>
                <w:rtl w:val="true"/>
              </w:rPr>
              <w:t>جريان فضولى در شفعه</w:t>
            </w:r>
            <w:r>
              <w:rPr>
                <w:rStyle w:val="IndexLink"/>
                <w:rtl w:val="true"/>
              </w:rPr>
              <w:tab/>
            </w:r>
            <w:r>
              <w:rPr>
                <w:rStyle w:val="IndexLink"/>
              </w:rPr>
              <w:t>52</w:t>
            </w:r>
          </w:hyperlink>
        </w:p>
        <w:p>
          <w:pPr>
            <w:pStyle w:val="Contents4"/>
            <w:tabs>
              <w:tab w:val="clear" w:pos="8176"/>
              <w:tab w:val="right" w:pos="9026" w:leader="dot"/>
            </w:tabs>
            <w:rPr/>
          </w:pPr>
          <w:hyperlink w:anchor="__RefHeading___Toc3971045_1067777946">
            <w:r>
              <w:rPr>
                <w:webHidden/>
                <w:rStyle w:val="IndexLink"/>
                <w:rtl w:val="true"/>
              </w:rPr>
              <w:t>ثبوت حق شفعه براى شريك سفيد</w:t>
            </w:r>
            <w:r>
              <w:rPr>
                <w:rStyle w:val="IndexLink"/>
                <w:rtl w:val="true"/>
              </w:rPr>
              <w:tab/>
            </w:r>
            <w:r>
              <w:rPr>
                <w:rStyle w:val="IndexLink"/>
              </w:rPr>
              <w:t>52</w:t>
            </w:r>
          </w:hyperlink>
        </w:p>
        <w:p>
          <w:pPr>
            <w:pStyle w:val="Contents4"/>
            <w:tabs>
              <w:tab w:val="clear" w:pos="8176"/>
              <w:tab w:val="right" w:pos="9026" w:leader="dot"/>
            </w:tabs>
            <w:rPr/>
          </w:pPr>
          <w:hyperlink w:anchor="__RefHeading___Toc3971047_1067777946">
            <w:r>
              <w:rPr>
                <w:webHidden/>
                <w:rStyle w:val="IndexLink"/>
                <w:rtl w:val="true"/>
              </w:rPr>
              <w:t>ثبوت شفعه براى مفلّس</w:t>
            </w:r>
            <w:r>
              <w:rPr>
                <w:rStyle w:val="IndexLink"/>
                <w:rtl w:val="true"/>
              </w:rPr>
              <w:tab/>
            </w:r>
            <w:r>
              <w:rPr>
                <w:rStyle w:val="IndexLink"/>
              </w:rPr>
              <w:t>53</w:t>
            </w:r>
          </w:hyperlink>
        </w:p>
        <w:p>
          <w:pPr>
            <w:pStyle w:val="Contents4"/>
            <w:tabs>
              <w:tab w:val="clear" w:pos="8176"/>
              <w:tab w:val="right" w:pos="9026" w:leader="dot"/>
            </w:tabs>
            <w:rPr/>
          </w:pPr>
          <w:hyperlink w:anchor="__RefHeading___Toc3971049_1067777946">
            <w:r>
              <w:rPr>
                <w:webHidden/>
                <w:rStyle w:val="IndexLink"/>
                <w:rtl w:val="true"/>
              </w:rPr>
              <w:t>اگر شفيع، متمكن از تاديۀ ثمن نشد</w:t>
            </w:r>
            <w:r>
              <w:rPr>
                <w:rStyle w:val="IndexLink"/>
                <w:rtl w:val="true"/>
              </w:rPr>
              <w:tab/>
            </w:r>
            <w:r>
              <w:rPr>
                <w:rStyle w:val="IndexLink"/>
              </w:rPr>
              <w:t>53</w:t>
            </w:r>
          </w:hyperlink>
        </w:p>
        <w:p>
          <w:pPr>
            <w:pStyle w:val="Contents4"/>
            <w:tabs>
              <w:tab w:val="clear" w:pos="8176"/>
              <w:tab w:val="right" w:pos="9026" w:leader="dot"/>
            </w:tabs>
            <w:rPr/>
          </w:pPr>
          <w:hyperlink w:anchor="__RefHeading___Toc3971051_1067777946">
            <w:r>
              <w:rPr>
                <w:webHidden/>
                <w:rStyle w:val="IndexLink"/>
                <w:rtl w:val="true"/>
              </w:rPr>
              <w:t>ثبوت شفعه براى صبى و مجنون و وظيفۀ ولى</w:t>
            </w:r>
            <w:r>
              <w:rPr>
                <w:rStyle w:val="IndexLink"/>
                <w:rtl w:val="true"/>
              </w:rPr>
              <w:tab/>
            </w:r>
            <w:r>
              <w:rPr>
                <w:rStyle w:val="IndexLink"/>
              </w:rPr>
              <w:t>53</w:t>
            </w:r>
          </w:hyperlink>
        </w:p>
        <w:p>
          <w:pPr>
            <w:pStyle w:val="Contents4"/>
            <w:tabs>
              <w:tab w:val="clear" w:pos="8176"/>
              <w:tab w:val="right" w:pos="9026" w:leader="dot"/>
            </w:tabs>
            <w:rPr/>
          </w:pPr>
          <w:hyperlink w:anchor="__RefHeading___Toc3971053_1067777946">
            <w:r>
              <w:rPr>
                <w:webHidden/>
                <w:rStyle w:val="IndexLink"/>
                <w:rtl w:val="true"/>
              </w:rPr>
              <w:t>ثبوت حق شفعه براى كافر</w:t>
            </w:r>
            <w:r>
              <w:rPr>
                <w:rStyle w:val="IndexLink"/>
                <w:rtl w:val="true"/>
              </w:rPr>
              <w:tab/>
            </w:r>
            <w:r>
              <w:rPr>
                <w:rStyle w:val="IndexLink"/>
              </w:rPr>
              <w:t>54</w:t>
            </w:r>
          </w:hyperlink>
        </w:p>
        <w:p>
          <w:pPr>
            <w:pStyle w:val="Contents4"/>
            <w:tabs>
              <w:tab w:val="clear" w:pos="8176"/>
              <w:tab w:val="right" w:pos="9026" w:leader="dot"/>
            </w:tabs>
            <w:rPr/>
          </w:pPr>
          <w:hyperlink w:anchor="__RefHeading___Toc3971055_1067777946">
            <w:r>
              <w:rPr>
                <w:webHidden/>
                <w:rStyle w:val="IndexLink"/>
                <w:rtl w:val="true"/>
              </w:rPr>
              <w:t>شفعه در موردى كه ولى، مال مشترك بين خود و مولّى عليه را بفروشد</w:t>
            </w:r>
            <w:r>
              <w:rPr>
                <w:rStyle w:val="IndexLink"/>
                <w:rtl w:val="true"/>
              </w:rPr>
              <w:tab/>
            </w:r>
            <w:r>
              <w:rPr>
                <w:rStyle w:val="IndexLink"/>
              </w:rPr>
              <w:t>54</w:t>
            </w:r>
          </w:hyperlink>
        </w:p>
        <w:p>
          <w:pPr>
            <w:pStyle w:val="Contents4"/>
            <w:tabs>
              <w:tab w:val="clear" w:pos="8176"/>
              <w:tab w:val="right" w:pos="9026" w:leader="dot"/>
            </w:tabs>
            <w:rPr/>
          </w:pPr>
          <w:hyperlink w:anchor="__RefHeading___Toc3971057_1067777946">
            <w:r>
              <w:rPr>
                <w:webHidden/>
                <w:rStyle w:val="IndexLink"/>
                <w:rtl w:val="true"/>
              </w:rPr>
              <w:t>ثبوت شفعه براى ولد و وصى نسبت به والد و موصى</w:t>
            </w:r>
            <w:r>
              <w:rPr>
                <w:rStyle w:val="IndexLink"/>
                <w:rtl w:val="true"/>
              </w:rPr>
              <w:tab/>
            </w:r>
            <w:r>
              <w:rPr>
                <w:rStyle w:val="IndexLink"/>
              </w:rPr>
              <w:t>55</w:t>
            </w:r>
          </w:hyperlink>
        </w:p>
        <w:p>
          <w:pPr>
            <w:pStyle w:val="Contents4"/>
            <w:tabs>
              <w:tab w:val="clear" w:pos="8176"/>
              <w:tab w:val="right" w:pos="9026" w:leader="dot"/>
            </w:tabs>
            <w:rPr/>
          </w:pPr>
          <w:hyperlink w:anchor="__RefHeading___Toc3971059_1067777946">
            <w:r>
              <w:rPr>
                <w:webHidden/>
                <w:rStyle w:val="IndexLink"/>
                <w:rtl w:val="true"/>
              </w:rPr>
              <w:t>ثبوت شفعه براى عبد و مكاتب</w:t>
            </w:r>
            <w:r>
              <w:rPr>
                <w:rStyle w:val="IndexLink"/>
                <w:rtl w:val="true"/>
              </w:rPr>
              <w:tab/>
            </w:r>
            <w:r>
              <w:rPr>
                <w:rStyle w:val="IndexLink"/>
              </w:rPr>
              <w:t>55</w:t>
            </w:r>
          </w:hyperlink>
        </w:p>
        <w:p>
          <w:pPr>
            <w:pStyle w:val="Contents4"/>
            <w:tabs>
              <w:tab w:val="clear" w:pos="8176"/>
              <w:tab w:val="right" w:pos="9026" w:leader="dot"/>
            </w:tabs>
            <w:rPr/>
          </w:pPr>
          <w:hyperlink w:anchor="__RefHeading___Toc3971061_1067777946">
            <w:r>
              <w:rPr>
                <w:webHidden/>
                <w:rStyle w:val="IndexLink"/>
                <w:rtl w:val="true"/>
              </w:rPr>
              <w:t>شفعه در مضاربه</w:t>
            </w:r>
            <w:r>
              <w:rPr>
                <w:rStyle w:val="IndexLink"/>
                <w:rtl w:val="true"/>
              </w:rPr>
              <w:tab/>
            </w:r>
            <w:r>
              <w:rPr>
                <w:rStyle w:val="IndexLink"/>
              </w:rPr>
              <w:t>55</w:t>
            </w:r>
          </w:hyperlink>
        </w:p>
        <w:p>
          <w:pPr>
            <w:pStyle w:val="Contents4"/>
            <w:tabs>
              <w:tab w:val="clear" w:pos="8176"/>
              <w:tab w:val="right" w:pos="9026" w:leader="dot"/>
            </w:tabs>
            <w:rPr/>
          </w:pPr>
          <w:hyperlink w:anchor="__RefHeading___Toc3971063_1067777946">
            <w:r>
              <w:rPr>
                <w:webHidden/>
                <w:rStyle w:val="IndexLink"/>
                <w:rtl w:val="true"/>
              </w:rPr>
              <w:t>تفريعات بر ثبوت شفعه با كثرت شفعا</w:t>
            </w:r>
            <w:r>
              <w:rPr>
                <w:rStyle w:val="IndexLink"/>
                <w:rtl w:val="true"/>
              </w:rPr>
              <w:tab/>
            </w:r>
            <w:r>
              <w:rPr>
                <w:rStyle w:val="IndexLink"/>
              </w:rPr>
              <w:t>56</w:t>
            </w:r>
          </w:hyperlink>
        </w:p>
        <w:p>
          <w:pPr>
            <w:pStyle w:val="Contents5"/>
            <w:tabs>
              <w:tab w:val="clear" w:pos="7892"/>
              <w:tab w:val="right" w:pos="9026" w:leader="dot"/>
            </w:tabs>
            <w:rPr/>
          </w:pPr>
          <w:hyperlink w:anchor="__RefHeading___Toc3971065_1067777946">
            <w:r>
              <w:rPr>
                <w:webHidden/>
                <w:rStyle w:val="IndexLink"/>
                <w:rtl w:val="true"/>
              </w:rPr>
              <w:t>تعدد شركا و عفو بعضى و اخذ به شفعۀ بعضى ديگر</w:t>
            </w:r>
            <w:r>
              <w:rPr>
                <w:rStyle w:val="IndexLink"/>
                <w:rtl w:val="true"/>
              </w:rPr>
              <w:tab/>
            </w:r>
            <w:r>
              <w:rPr>
                <w:rStyle w:val="IndexLink"/>
              </w:rPr>
              <w:t>56</w:t>
            </w:r>
          </w:hyperlink>
        </w:p>
        <w:p>
          <w:pPr>
            <w:pStyle w:val="Contents6"/>
            <w:tabs>
              <w:tab w:val="clear" w:pos="7609"/>
              <w:tab w:val="right" w:pos="9026" w:leader="dot"/>
            </w:tabs>
            <w:rPr/>
          </w:pPr>
          <w:hyperlink w:anchor="__RefHeading___Toc3971067_1067777946">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971069_1067777946">
            <w:r>
              <w:rPr>
                <w:webHidden/>
                <w:rStyle w:val="IndexLink"/>
                <w:rtl w:val="true"/>
              </w:rPr>
              <w:t>ثبوت خيار فسخ براى مشترى جاهل به تعدد شريك</w:t>
            </w:r>
            <w:r>
              <w:rPr>
                <w:rStyle w:val="IndexLink"/>
                <w:rtl w:val="true"/>
              </w:rPr>
              <w:tab/>
            </w:r>
            <w:r>
              <w:rPr>
                <w:rStyle w:val="IndexLink"/>
              </w:rPr>
              <w:t>56</w:t>
            </w:r>
          </w:hyperlink>
        </w:p>
        <w:p>
          <w:pPr>
            <w:pStyle w:val="Contents5"/>
            <w:tabs>
              <w:tab w:val="clear" w:pos="7892"/>
              <w:tab w:val="right" w:pos="9026" w:leader="dot"/>
            </w:tabs>
            <w:rPr/>
          </w:pPr>
          <w:hyperlink w:anchor="__RefHeading___Toc3971071_1067777946">
            <w:r>
              <w:rPr>
                <w:webHidden/>
                <w:rStyle w:val="IndexLink"/>
                <w:rtl w:val="true"/>
              </w:rPr>
              <w:t>حق شفعه براى غائب در صورت عدم اخذ يا عفو حاضر</w:t>
            </w:r>
            <w:r>
              <w:rPr>
                <w:rStyle w:val="IndexLink"/>
                <w:rtl w:val="true"/>
              </w:rPr>
              <w:tab/>
            </w:r>
            <w:r>
              <w:rPr>
                <w:rStyle w:val="IndexLink"/>
              </w:rPr>
              <w:t>57</w:t>
            </w:r>
          </w:hyperlink>
        </w:p>
        <w:p>
          <w:pPr>
            <w:pStyle w:val="Contents5"/>
            <w:tabs>
              <w:tab w:val="clear" w:pos="7892"/>
              <w:tab w:val="right" w:pos="9026" w:leader="dot"/>
            </w:tabs>
            <w:rPr/>
          </w:pPr>
          <w:hyperlink w:anchor="__RefHeading___Toc3971073_1067777946">
            <w:r>
              <w:rPr>
                <w:webHidden/>
                <w:rStyle w:val="IndexLink"/>
                <w:rtl w:val="true"/>
              </w:rPr>
              <w:t>حضور بعضى شركا و اخذ به شفعه و غيبت بعضى</w:t>
            </w:r>
            <w:r>
              <w:rPr>
                <w:rStyle w:val="IndexLink"/>
                <w:rtl w:val="true"/>
              </w:rPr>
              <w:tab/>
            </w:r>
            <w:r>
              <w:rPr>
                <w:rStyle w:val="IndexLink"/>
              </w:rPr>
              <w:t>57</w:t>
            </w:r>
          </w:hyperlink>
        </w:p>
        <w:p>
          <w:pPr>
            <w:pStyle w:val="Contents5"/>
            <w:tabs>
              <w:tab w:val="clear" w:pos="7892"/>
              <w:tab w:val="right" w:pos="9026" w:leader="dot"/>
            </w:tabs>
            <w:rPr/>
          </w:pPr>
          <w:hyperlink w:anchor="__RefHeading___Toc3971075_1067777946">
            <w:r>
              <w:rPr>
                <w:webHidden/>
                <w:rStyle w:val="IndexLink"/>
                <w:rtl w:val="true"/>
              </w:rPr>
              <w:t>لازمۀ استغلال اول شريك به ظهور ثمره</w:t>
            </w:r>
            <w:r>
              <w:rPr>
                <w:rStyle w:val="IndexLink"/>
                <w:rtl w:val="true"/>
              </w:rPr>
              <w:tab/>
            </w:r>
            <w:r>
              <w:rPr>
                <w:rStyle w:val="IndexLink"/>
              </w:rPr>
              <w:t>58</w:t>
            </w:r>
          </w:hyperlink>
        </w:p>
        <w:p>
          <w:pPr>
            <w:pStyle w:val="Contents5"/>
            <w:tabs>
              <w:tab w:val="clear" w:pos="7892"/>
              <w:tab w:val="right" w:pos="9026" w:leader="dot"/>
            </w:tabs>
            <w:rPr/>
          </w:pPr>
          <w:hyperlink w:anchor="__RefHeading___Toc3971077_1067777946">
            <w:r>
              <w:rPr>
                <w:webHidden/>
                <w:rStyle w:val="IndexLink"/>
                <w:rtl w:val="true"/>
              </w:rPr>
              <w:t>عدم جواز اناطۀ اخذ به شفعه به حضور سائر شركا</w:t>
            </w:r>
            <w:r>
              <w:rPr>
                <w:rStyle w:val="IndexLink"/>
                <w:rtl w:val="true"/>
              </w:rPr>
              <w:tab/>
            </w:r>
            <w:r>
              <w:rPr>
                <w:rStyle w:val="IndexLink"/>
              </w:rPr>
              <w:t>58</w:t>
            </w:r>
          </w:hyperlink>
        </w:p>
        <w:p>
          <w:pPr>
            <w:pStyle w:val="Contents5"/>
            <w:tabs>
              <w:tab w:val="clear" w:pos="7892"/>
              <w:tab w:val="right" w:pos="9026" w:leader="dot"/>
            </w:tabs>
            <w:rPr/>
          </w:pPr>
          <w:hyperlink w:anchor="__RefHeading___Toc3971079_1067777946">
            <w:r>
              <w:rPr>
                <w:webHidden/>
                <w:rStyle w:val="IndexLink"/>
                <w:rtl w:val="true"/>
              </w:rPr>
              <w:t>حكم درك مال با تغاير متعلّق اخذ</w:t>
            </w:r>
            <w:r>
              <w:rPr>
                <w:rStyle w:val="IndexLink"/>
                <w:rtl w:val="true"/>
              </w:rPr>
              <w:tab/>
            </w:r>
            <w:r>
              <w:rPr>
                <w:rStyle w:val="IndexLink"/>
              </w:rPr>
              <w:t>58</w:t>
            </w:r>
          </w:hyperlink>
        </w:p>
        <w:p>
          <w:pPr>
            <w:pStyle w:val="Contents5"/>
            <w:tabs>
              <w:tab w:val="clear" w:pos="7892"/>
              <w:tab w:val="right" w:pos="9026" w:leader="dot"/>
            </w:tabs>
            <w:rPr/>
          </w:pPr>
          <w:hyperlink w:anchor="__RefHeading___Toc3971081_1067777946">
            <w:r>
              <w:rPr>
                <w:webHidden/>
                <w:rStyle w:val="IndexLink"/>
                <w:rtl w:val="true"/>
              </w:rPr>
              <w:t>فروختن يكى از سه شريك، سهم خود را به شريك ديگر</w:t>
            </w:r>
            <w:r>
              <w:rPr>
                <w:rStyle w:val="IndexLink"/>
                <w:rtl w:val="true"/>
              </w:rPr>
              <w:tab/>
            </w:r>
            <w:r>
              <w:rPr>
                <w:rStyle w:val="IndexLink"/>
              </w:rPr>
              <w:t>58</w:t>
            </w:r>
          </w:hyperlink>
        </w:p>
        <w:p>
          <w:pPr>
            <w:pStyle w:val="Contents5"/>
            <w:tabs>
              <w:tab w:val="clear" w:pos="7892"/>
              <w:tab w:val="right" w:pos="9026" w:leader="dot"/>
            </w:tabs>
            <w:rPr/>
          </w:pPr>
          <w:hyperlink w:anchor="__RefHeading___Toc3971083_1067777946">
            <w:r>
              <w:rPr>
                <w:webHidden/>
                <w:rStyle w:val="IndexLink"/>
                <w:rtl w:val="true"/>
              </w:rPr>
              <w:t>صور مختلف تعدّد و وحدت شريك، بايع و مشترى</w:t>
            </w:r>
            <w:r>
              <w:rPr>
                <w:rStyle w:val="IndexLink"/>
                <w:rtl w:val="true"/>
              </w:rPr>
              <w:tab/>
            </w:r>
            <w:r>
              <w:rPr>
                <w:rStyle w:val="IndexLink"/>
              </w:rPr>
              <w:t>59</w:t>
            </w:r>
          </w:hyperlink>
        </w:p>
        <w:p>
          <w:pPr>
            <w:pStyle w:val="Contents5"/>
            <w:tabs>
              <w:tab w:val="clear" w:pos="7892"/>
              <w:tab w:val="right" w:pos="9026" w:leader="dot"/>
            </w:tabs>
            <w:rPr/>
          </w:pPr>
          <w:hyperlink w:anchor="__RefHeading___Toc3971085_1067777946">
            <w:r>
              <w:rPr>
                <w:webHidden/>
                <w:rStyle w:val="IndexLink"/>
                <w:rtl w:val="true"/>
              </w:rPr>
              <w:t>حق شركاى غير بايع در اخذ به شفعه</w:t>
            </w:r>
            <w:r>
              <w:rPr>
                <w:rStyle w:val="IndexLink"/>
                <w:rtl w:val="true"/>
              </w:rPr>
              <w:tab/>
            </w:r>
            <w:r>
              <w:rPr>
                <w:rStyle w:val="IndexLink"/>
              </w:rPr>
              <w:t>60</w:t>
            </w:r>
          </w:hyperlink>
        </w:p>
        <w:p>
          <w:pPr>
            <w:pStyle w:val="Contents5"/>
            <w:tabs>
              <w:tab w:val="clear" w:pos="7892"/>
              <w:tab w:val="right" w:pos="9026" w:leader="dot"/>
            </w:tabs>
            <w:rPr/>
          </w:pPr>
          <w:hyperlink w:anchor="__RefHeading___Toc3971087_1067777946">
            <w:r>
              <w:rPr>
                <w:webHidden/>
                <w:rStyle w:val="IndexLink"/>
                <w:rtl w:val="true"/>
              </w:rPr>
              <w:t>انتقال حق شفعه به وارث</w:t>
            </w:r>
            <w:r>
              <w:rPr>
                <w:rStyle w:val="IndexLink"/>
                <w:rtl w:val="true"/>
              </w:rPr>
              <w:tab/>
            </w:r>
            <w:r>
              <w:rPr>
                <w:rStyle w:val="IndexLink"/>
              </w:rPr>
              <w:t>61</w:t>
            </w:r>
          </w:hyperlink>
        </w:p>
        <w:p>
          <w:pPr>
            <w:pStyle w:val="Contents3"/>
            <w:tabs>
              <w:tab w:val="clear" w:pos="8459"/>
              <w:tab w:val="right" w:pos="9026" w:leader="dot"/>
            </w:tabs>
            <w:rPr/>
          </w:pPr>
          <w:hyperlink w:anchor="__RefHeading___Toc3971089_1067777946">
            <w:r>
              <w:rPr>
                <w:webHidden/>
                <w:rStyle w:val="IndexLink"/>
                <w:rtl w:val="true"/>
              </w:rPr>
              <w:t>فصل سوّم كيفيّت اخذ به شفعه</w:t>
            </w:r>
            <w:r>
              <w:rPr>
                <w:rStyle w:val="IndexLink"/>
                <w:rtl w:val="true"/>
              </w:rPr>
              <w:tab/>
            </w:r>
            <w:r>
              <w:rPr>
                <w:rStyle w:val="IndexLink"/>
              </w:rPr>
              <w:t>62</w:t>
            </w:r>
          </w:hyperlink>
        </w:p>
        <w:p>
          <w:pPr>
            <w:pStyle w:val="Contents4"/>
            <w:tabs>
              <w:tab w:val="clear" w:pos="8176"/>
              <w:tab w:val="right" w:pos="9026" w:leader="dot"/>
            </w:tabs>
            <w:rPr/>
          </w:pPr>
          <w:hyperlink w:anchor="__RefHeading___Toc3971091_1067777946">
            <w:r>
              <w:rPr>
                <w:webHidden/>
                <w:rStyle w:val="IndexLink"/>
                <w:rtl w:val="true"/>
              </w:rPr>
              <w:t>حدّ زمانى استحقاق شفعه</w:t>
            </w:r>
            <w:r>
              <w:rPr>
                <w:rStyle w:val="IndexLink"/>
                <w:rtl w:val="true"/>
              </w:rPr>
              <w:tab/>
            </w:r>
            <w:r>
              <w:rPr>
                <w:rStyle w:val="IndexLink"/>
              </w:rPr>
              <w:t>62</w:t>
            </w:r>
          </w:hyperlink>
        </w:p>
        <w:p>
          <w:pPr>
            <w:pStyle w:val="Contents4"/>
            <w:tabs>
              <w:tab w:val="clear" w:pos="8176"/>
              <w:tab w:val="right" w:pos="9026" w:leader="dot"/>
            </w:tabs>
            <w:rPr/>
          </w:pPr>
          <w:hyperlink w:anchor="__RefHeading___Toc3971093_1067777946">
            <w:r>
              <w:rPr>
                <w:webHidden/>
                <w:rStyle w:val="IndexLink"/>
                <w:rtl w:val="true"/>
              </w:rPr>
              <w:t>ثبوت شفعه در معاطات</w:t>
            </w:r>
            <w:r>
              <w:rPr>
                <w:rStyle w:val="IndexLink"/>
                <w:rtl w:val="true"/>
              </w:rPr>
              <w:tab/>
            </w:r>
            <w:r>
              <w:rPr>
                <w:rStyle w:val="IndexLink"/>
              </w:rPr>
              <w:t>62</w:t>
            </w:r>
          </w:hyperlink>
        </w:p>
        <w:p>
          <w:pPr>
            <w:pStyle w:val="Contents4"/>
            <w:tabs>
              <w:tab w:val="clear" w:pos="8176"/>
              <w:tab w:val="right" w:pos="9026" w:leader="dot"/>
            </w:tabs>
            <w:rPr/>
          </w:pPr>
          <w:hyperlink w:anchor="__RefHeading___Toc3971095_1067777946">
            <w:r>
              <w:rPr>
                <w:webHidden/>
                <w:rStyle w:val="IndexLink"/>
                <w:rtl w:val="true"/>
              </w:rPr>
              <w:t>تبعيض در اخذ به شفعه</w:t>
            </w:r>
            <w:r>
              <w:rPr>
                <w:rStyle w:val="IndexLink"/>
                <w:rtl w:val="true"/>
              </w:rPr>
              <w:tab/>
            </w:r>
            <w:r>
              <w:rPr>
                <w:rStyle w:val="IndexLink"/>
              </w:rPr>
              <w:t>62</w:t>
            </w:r>
          </w:hyperlink>
        </w:p>
        <w:p>
          <w:pPr>
            <w:pStyle w:val="Contents4"/>
            <w:tabs>
              <w:tab w:val="clear" w:pos="8176"/>
              <w:tab w:val="right" w:pos="9026" w:leader="dot"/>
            </w:tabs>
            <w:rPr/>
          </w:pPr>
          <w:hyperlink w:anchor="__RefHeading___Toc3971097_1067777946">
            <w:r>
              <w:rPr>
                <w:webHidden/>
                <w:rStyle w:val="IndexLink"/>
                <w:rtl w:val="true"/>
              </w:rPr>
              <w:t>غرامتهاى مشترى</w:t>
            </w:r>
            <w:r>
              <w:rPr>
                <w:rStyle w:val="IndexLink"/>
                <w:rtl w:val="true"/>
              </w:rPr>
              <w:tab/>
            </w:r>
            <w:r>
              <w:rPr>
                <w:rStyle w:val="IndexLink"/>
              </w:rPr>
              <w:t>63</w:t>
            </w:r>
          </w:hyperlink>
        </w:p>
        <w:p>
          <w:pPr>
            <w:pStyle w:val="Contents4"/>
            <w:tabs>
              <w:tab w:val="clear" w:pos="8176"/>
              <w:tab w:val="right" w:pos="9026" w:leader="dot"/>
            </w:tabs>
            <w:rPr/>
          </w:pPr>
          <w:hyperlink w:anchor="__RefHeading___Toc3971099_1067777946">
            <w:r>
              <w:rPr>
                <w:webHidden/>
                <w:rStyle w:val="IndexLink"/>
                <w:rtl w:val="true"/>
              </w:rPr>
              <w:t>زيادتيهاى بعد از عقد و نقيصه ضمن عقد</w:t>
            </w:r>
            <w:r>
              <w:rPr>
                <w:rStyle w:val="IndexLink"/>
                <w:rtl w:val="true"/>
              </w:rPr>
              <w:tab/>
            </w:r>
            <w:r>
              <w:rPr>
                <w:rStyle w:val="IndexLink"/>
              </w:rPr>
              <w:t>63</w:t>
            </w:r>
          </w:hyperlink>
        </w:p>
        <w:p>
          <w:pPr>
            <w:pStyle w:val="Contents4"/>
            <w:tabs>
              <w:tab w:val="clear" w:pos="8176"/>
              <w:tab w:val="right" w:pos="9026" w:leader="dot"/>
            </w:tabs>
            <w:rPr/>
          </w:pPr>
          <w:hyperlink w:anchor="__RefHeading___Toc3971101_1067777946">
            <w:r>
              <w:rPr>
                <w:webHidden/>
                <w:rStyle w:val="IndexLink"/>
                <w:rtl w:val="true"/>
              </w:rPr>
              <w:t>حظيظۀ بايع بعد از عقد، از ثمن</w:t>
            </w:r>
            <w:r>
              <w:rPr>
                <w:rStyle w:val="IndexLink"/>
                <w:rtl w:val="true"/>
              </w:rPr>
              <w:tab/>
            </w:r>
            <w:r>
              <w:rPr>
                <w:rStyle w:val="IndexLink"/>
              </w:rPr>
              <w:t>63</w:t>
            </w:r>
          </w:hyperlink>
        </w:p>
        <w:p>
          <w:pPr>
            <w:pStyle w:val="Contents4"/>
            <w:tabs>
              <w:tab w:val="clear" w:pos="8176"/>
              <w:tab w:val="right" w:pos="9026" w:leader="dot"/>
            </w:tabs>
            <w:rPr/>
          </w:pPr>
          <w:hyperlink w:anchor="__RefHeading___Toc3971103_1067777946">
            <w:r>
              <w:rPr>
                <w:webHidden/>
                <w:rStyle w:val="IndexLink"/>
                <w:rtl w:val="true"/>
              </w:rPr>
              <w:t>اعتبار معيت تقابض ثمن</w:t>
            </w:r>
            <w:r>
              <w:rPr>
                <w:rStyle w:val="IndexLink"/>
                <w:rtl w:val="true"/>
              </w:rPr>
              <w:tab/>
            </w:r>
            <w:r>
              <w:rPr>
                <w:rStyle w:val="IndexLink"/>
              </w:rPr>
              <w:t>64</w:t>
            </w:r>
          </w:hyperlink>
        </w:p>
        <w:p>
          <w:pPr>
            <w:pStyle w:val="Contents4"/>
            <w:tabs>
              <w:tab w:val="clear" w:pos="8176"/>
              <w:tab w:val="right" w:pos="9026" w:leader="dot"/>
            </w:tabs>
            <w:rPr/>
          </w:pPr>
          <w:hyperlink w:anchor="__RefHeading___Toc3971105_1067777946">
            <w:r>
              <w:rPr>
                <w:webHidden/>
                <w:rStyle w:val="IndexLink"/>
                <w:rtl w:val="true"/>
              </w:rPr>
              <w:t>نحوۀ تحقق اخذ به شفعه</w:t>
            </w:r>
            <w:r>
              <w:rPr>
                <w:rStyle w:val="IndexLink"/>
                <w:rtl w:val="true"/>
              </w:rPr>
              <w:tab/>
            </w:r>
            <w:r>
              <w:rPr>
                <w:rStyle w:val="IndexLink"/>
              </w:rPr>
              <w:t>64</w:t>
            </w:r>
          </w:hyperlink>
        </w:p>
        <w:p>
          <w:pPr>
            <w:pStyle w:val="Contents4"/>
            <w:tabs>
              <w:tab w:val="clear" w:pos="8176"/>
              <w:tab w:val="right" w:pos="9026" w:leader="dot"/>
            </w:tabs>
            <w:rPr/>
          </w:pPr>
          <w:hyperlink w:anchor="__RefHeading___Toc3971107_1067777946">
            <w:r>
              <w:rPr>
                <w:webHidden/>
                <w:rStyle w:val="IndexLink"/>
                <w:rtl w:val="true"/>
              </w:rPr>
              <w:t>واقع شدن شقص مشترك با متاع ديگر در يك معامله</w:t>
            </w:r>
            <w:r>
              <w:rPr>
                <w:rStyle w:val="IndexLink"/>
                <w:rtl w:val="true"/>
              </w:rPr>
              <w:tab/>
            </w:r>
            <w:r>
              <w:rPr>
                <w:rStyle w:val="IndexLink"/>
              </w:rPr>
              <w:t>64</w:t>
            </w:r>
          </w:hyperlink>
        </w:p>
        <w:p>
          <w:pPr>
            <w:pStyle w:val="Contents4"/>
            <w:tabs>
              <w:tab w:val="clear" w:pos="8176"/>
              <w:tab w:val="right" w:pos="9026" w:leader="dot"/>
            </w:tabs>
            <w:rPr/>
          </w:pPr>
          <w:hyperlink w:anchor="__RefHeading___Toc3971109_1067777946">
            <w:r>
              <w:rPr>
                <w:webHidden/>
                <w:rStyle w:val="IndexLink"/>
                <w:rtl w:val="true"/>
              </w:rPr>
              <w:t>حكم شفعه در قيمى</w:t>
            </w:r>
            <w:r>
              <w:rPr>
                <w:rStyle w:val="IndexLink"/>
                <w:rtl w:val="true"/>
              </w:rPr>
              <w:tab/>
            </w:r>
            <w:r>
              <w:rPr>
                <w:rStyle w:val="IndexLink"/>
              </w:rPr>
              <w:t>64</w:t>
            </w:r>
          </w:hyperlink>
        </w:p>
        <w:p>
          <w:pPr>
            <w:pStyle w:val="Contents4"/>
            <w:tabs>
              <w:tab w:val="clear" w:pos="8176"/>
              <w:tab w:val="right" w:pos="9026" w:leader="dot"/>
            </w:tabs>
            <w:rPr/>
          </w:pPr>
          <w:hyperlink w:anchor="__RefHeading___Toc3971111_1067777946">
            <w:r>
              <w:rPr>
                <w:webHidden/>
                <w:rStyle w:val="IndexLink"/>
                <w:rtl w:val="true"/>
              </w:rPr>
              <w:t>موارد جواز تاخير اخذ به شفعه</w:t>
            </w:r>
            <w:r>
              <w:rPr>
                <w:rStyle w:val="IndexLink"/>
                <w:rtl w:val="true"/>
              </w:rPr>
              <w:tab/>
            </w:r>
            <w:r>
              <w:rPr>
                <w:rStyle w:val="IndexLink"/>
              </w:rPr>
              <w:t>65</w:t>
            </w:r>
          </w:hyperlink>
        </w:p>
        <w:p>
          <w:pPr>
            <w:pStyle w:val="Contents4"/>
            <w:tabs>
              <w:tab w:val="clear" w:pos="8176"/>
              <w:tab w:val="right" w:pos="9026" w:leader="dot"/>
            </w:tabs>
            <w:rPr/>
          </w:pPr>
          <w:hyperlink w:anchor="__RefHeading___Toc3971113_1067777946">
            <w:r>
              <w:rPr>
                <w:webHidden/>
                <w:rStyle w:val="IndexLink"/>
                <w:rtl w:val="true"/>
              </w:rPr>
              <w:t>وجوب مبادرت به اخذ به شفعه در صورت امكان و علم</w:t>
            </w:r>
            <w:r>
              <w:rPr>
                <w:rStyle w:val="IndexLink"/>
                <w:rtl w:val="true"/>
              </w:rPr>
              <w:tab/>
            </w:r>
            <w:r>
              <w:rPr>
                <w:rStyle w:val="IndexLink"/>
              </w:rPr>
              <w:t>65</w:t>
            </w:r>
          </w:hyperlink>
        </w:p>
        <w:p>
          <w:pPr>
            <w:pStyle w:val="Contents4"/>
            <w:tabs>
              <w:tab w:val="clear" w:pos="8176"/>
              <w:tab w:val="right" w:pos="9026" w:leader="dot"/>
            </w:tabs>
            <w:rPr/>
          </w:pPr>
          <w:hyperlink w:anchor="__RefHeading___Toc3971115_1067777946">
            <w:r>
              <w:rPr>
                <w:webHidden/>
                <w:rStyle w:val="IndexLink"/>
                <w:rtl w:val="true"/>
              </w:rPr>
              <w:t>ادعاى عذر در ترك اخذ به شفعه توسط شفيع</w:t>
            </w:r>
            <w:r>
              <w:rPr>
                <w:rStyle w:val="IndexLink"/>
                <w:rtl w:val="true"/>
              </w:rPr>
              <w:tab/>
            </w:r>
            <w:r>
              <w:rPr>
                <w:rStyle w:val="IndexLink"/>
              </w:rPr>
              <w:t>66</w:t>
            </w:r>
          </w:hyperlink>
        </w:p>
        <w:p>
          <w:pPr>
            <w:pStyle w:val="Contents4"/>
            <w:tabs>
              <w:tab w:val="clear" w:pos="8176"/>
              <w:tab w:val="right" w:pos="9026" w:leader="dot"/>
            </w:tabs>
            <w:rPr/>
          </w:pPr>
          <w:hyperlink w:anchor="__RefHeading___Toc3971117_1067777946">
            <w:r>
              <w:rPr>
                <w:webHidden/>
                <w:rStyle w:val="IndexLink"/>
                <w:rtl w:val="true"/>
              </w:rPr>
              <w:t>سقوط يا عدم سقوط حق شفعه به تقايل متبايعين، و امثال آن</w:t>
            </w:r>
            <w:r>
              <w:rPr>
                <w:rStyle w:val="IndexLink"/>
                <w:rtl w:val="true"/>
              </w:rPr>
              <w:tab/>
            </w:r>
            <w:r>
              <w:rPr>
                <w:rStyle w:val="IndexLink"/>
              </w:rPr>
              <w:t>66</w:t>
            </w:r>
          </w:hyperlink>
        </w:p>
        <w:p>
          <w:pPr>
            <w:pStyle w:val="Contents4"/>
            <w:tabs>
              <w:tab w:val="clear" w:pos="8176"/>
              <w:tab w:val="right" w:pos="9026" w:leader="dot"/>
            </w:tabs>
            <w:rPr/>
          </w:pPr>
          <w:hyperlink w:anchor="__RefHeading___Toc3971119_1067777946">
            <w:r>
              <w:rPr>
                <w:webHidden/>
                <w:rStyle w:val="IndexLink"/>
                <w:rtl w:val="true"/>
              </w:rPr>
              <w:t>تصرّفات معامليّۀ مشترى تا زمان اخذ به شفعه و اقسام آن</w:t>
            </w:r>
            <w:r>
              <w:rPr>
                <w:rStyle w:val="IndexLink"/>
                <w:rtl w:val="true"/>
              </w:rPr>
              <w:tab/>
            </w:r>
            <w:r>
              <w:rPr>
                <w:rStyle w:val="IndexLink"/>
              </w:rPr>
              <w:t>68</w:t>
            </w:r>
          </w:hyperlink>
        </w:p>
        <w:p>
          <w:pPr>
            <w:pStyle w:val="Contents4"/>
            <w:tabs>
              <w:tab w:val="clear" w:pos="8176"/>
              <w:tab w:val="right" w:pos="9026" w:leader="dot"/>
            </w:tabs>
            <w:rPr/>
          </w:pPr>
          <w:hyperlink w:anchor="__RefHeading___Toc3971121_1067777946">
            <w:r>
              <w:rPr>
                <w:webHidden/>
                <w:rStyle w:val="IndexLink"/>
                <w:rtl w:val="true"/>
              </w:rPr>
              <w:t>انهدام يا عيب دار شدن مبيع قبل از اخذ به شفعه</w:t>
            </w:r>
            <w:r>
              <w:rPr>
                <w:rStyle w:val="IndexLink"/>
                <w:rtl w:val="true"/>
              </w:rPr>
              <w:tab/>
            </w:r>
            <w:r>
              <w:rPr>
                <w:rStyle w:val="IndexLink"/>
              </w:rPr>
              <w:t>69</w:t>
            </w:r>
          </w:hyperlink>
        </w:p>
        <w:p>
          <w:pPr>
            <w:pStyle w:val="Contents4"/>
            <w:tabs>
              <w:tab w:val="clear" w:pos="8176"/>
              <w:tab w:val="right" w:pos="9026" w:leader="dot"/>
            </w:tabs>
            <w:rPr/>
          </w:pPr>
          <w:hyperlink w:anchor="__RefHeading___Toc3971123_1067777946">
            <w:r>
              <w:rPr>
                <w:webHidden/>
                <w:rStyle w:val="IndexLink"/>
                <w:rtl w:val="true"/>
              </w:rPr>
              <w:t>غرس يا بناى مشترى در زمين مشترك قبل از اخذ به شفعه</w:t>
            </w:r>
            <w:r>
              <w:rPr>
                <w:rStyle w:val="IndexLink"/>
                <w:rtl w:val="true"/>
              </w:rPr>
              <w:tab/>
            </w:r>
            <w:r>
              <w:rPr>
                <w:rStyle w:val="IndexLink"/>
              </w:rPr>
              <w:t>69</w:t>
            </w:r>
          </w:hyperlink>
        </w:p>
        <w:p>
          <w:pPr>
            <w:pStyle w:val="Contents4"/>
            <w:tabs>
              <w:tab w:val="clear" w:pos="8176"/>
              <w:tab w:val="right" w:pos="9026" w:leader="dot"/>
            </w:tabs>
            <w:rPr/>
          </w:pPr>
          <w:hyperlink w:anchor="__RefHeading___Toc3971125_1067777946">
            <w:r>
              <w:rPr>
                <w:webHidden/>
                <w:rStyle w:val="IndexLink"/>
                <w:rtl w:val="true"/>
              </w:rPr>
              <w:t>امتناع مشترى از قلع و هبه، و امتناع شفيع از اسقاط شفعه</w:t>
            </w:r>
            <w:r>
              <w:rPr>
                <w:rStyle w:val="IndexLink"/>
                <w:rtl w:val="true"/>
              </w:rPr>
              <w:tab/>
            </w:r>
            <w:r>
              <w:rPr>
                <w:rStyle w:val="IndexLink"/>
              </w:rPr>
              <w:t>70</w:t>
            </w:r>
          </w:hyperlink>
        </w:p>
        <w:p>
          <w:pPr>
            <w:pStyle w:val="Contents4"/>
            <w:tabs>
              <w:tab w:val="clear" w:pos="8176"/>
              <w:tab w:val="right" w:pos="9026" w:leader="dot"/>
            </w:tabs>
            <w:rPr/>
          </w:pPr>
          <w:hyperlink w:anchor="__RefHeading___Toc3971127_1067777946">
            <w:r>
              <w:rPr>
                <w:webHidden/>
                <w:rStyle w:val="IndexLink"/>
                <w:rtl w:val="true"/>
              </w:rPr>
              <w:t>حكم زيادتيهاى متصله و منفصله در حال بيع</w:t>
            </w:r>
            <w:r>
              <w:rPr>
                <w:rStyle w:val="IndexLink"/>
                <w:rtl w:val="true"/>
              </w:rPr>
              <w:tab/>
            </w:r>
            <w:r>
              <w:rPr>
                <w:rStyle w:val="IndexLink"/>
              </w:rPr>
              <w:t>71</w:t>
            </w:r>
          </w:hyperlink>
        </w:p>
        <w:p>
          <w:pPr>
            <w:pStyle w:val="Contents4"/>
            <w:tabs>
              <w:tab w:val="clear" w:pos="8176"/>
              <w:tab w:val="right" w:pos="9026" w:leader="dot"/>
            </w:tabs>
            <w:rPr/>
          </w:pPr>
          <w:hyperlink w:anchor="__RefHeading___Toc3971129_1067777946">
            <w:r>
              <w:rPr>
                <w:webHidden/>
                <w:rStyle w:val="IndexLink"/>
                <w:rtl w:val="true"/>
              </w:rPr>
              <w:t>حكم منافع مبيع</w:t>
            </w:r>
            <w:r>
              <w:rPr>
                <w:rStyle w:val="IndexLink"/>
                <w:rtl w:val="true"/>
              </w:rPr>
              <w:tab/>
            </w:r>
            <w:r>
              <w:rPr>
                <w:rStyle w:val="IndexLink"/>
              </w:rPr>
              <w:t>71</w:t>
            </w:r>
          </w:hyperlink>
        </w:p>
        <w:p>
          <w:pPr>
            <w:pStyle w:val="Contents4"/>
            <w:tabs>
              <w:tab w:val="clear" w:pos="8176"/>
              <w:tab w:val="right" w:pos="9026" w:leader="dot"/>
            </w:tabs>
            <w:rPr/>
          </w:pPr>
          <w:hyperlink w:anchor="__RefHeading___Toc3971131_1067777946">
            <w:r>
              <w:rPr>
                <w:webHidden/>
                <w:rStyle w:val="IndexLink"/>
                <w:rtl w:val="true"/>
              </w:rPr>
              <w:t>حكم شكوفۀ درخت خرما</w:t>
            </w:r>
            <w:r>
              <w:rPr>
                <w:rStyle w:val="IndexLink"/>
                <w:rtl w:val="true"/>
              </w:rPr>
              <w:tab/>
            </w:r>
            <w:r>
              <w:rPr>
                <w:rStyle w:val="IndexLink"/>
              </w:rPr>
              <w:t>71</w:t>
            </w:r>
          </w:hyperlink>
        </w:p>
        <w:p>
          <w:pPr>
            <w:pStyle w:val="Contents4"/>
            <w:tabs>
              <w:tab w:val="clear" w:pos="8176"/>
              <w:tab w:val="right" w:pos="9026" w:leader="dot"/>
            </w:tabs>
            <w:rPr/>
          </w:pPr>
          <w:hyperlink w:anchor="__RefHeading___Toc3971133_1067777946">
            <w:r>
              <w:rPr>
                <w:webHidden/>
                <w:rStyle w:val="IndexLink"/>
                <w:rtl w:val="true"/>
              </w:rPr>
              <w:t>حكم اعمال شفعه در دو شقص از دو خانه</w:t>
            </w:r>
            <w:r>
              <w:rPr>
                <w:rStyle w:val="IndexLink"/>
                <w:rtl w:val="true"/>
              </w:rPr>
              <w:tab/>
            </w:r>
            <w:r>
              <w:rPr>
                <w:rStyle w:val="IndexLink"/>
              </w:rPr>
              <w:t>72</w:t>
            </w:r>
          </w:hyperlink>
        </w:p>
        <w:p>
          <w:pPr>
            <w:pStyle w:val="Contents4"/>
            <w:tabs>
              <w:tab w:val="clear" w:pos="8176"/>
              <w:tab w:val="right" w:pos="9026" w:leader="dot"/>
            </w:tabs>
            <w:rPr/>
          </w:pPr>
          <w:hyperlink w:anchor="__RefHeading___Toc3971135_1067777946">
            <w:r>
              <w:rPr>
                <w:webHidden/>
                <w:rStyle w:val="IndexLink"/>
                <w:rtl w:val="true"/>
              </w:rPr>
              <w:t>اگر ثمن در بيع شريك، مستحق للغير بود</w:t>
            </w:r>
            <w:r>
              <w:rPr>
                <w:rStyle w:val="IndexLink"/>
                <w:rtl w:val="true"/>
              </w:rPr>
              <w:tab/>
            </w:r>
            <w:r>
              <w:rPr>
                <w:rStyle w:val="IndexLink"/>
              </w:rPr>
              <w:t>72</w:t>
            </w:r>
          </w:hyperlink>
        </w:p>
        <w:p>
          <w:pPr>
            <w:pStyle w:val="Contents4"/>
            <w:tabs>
              <w:tab w:val="clear" w:pos="8176"/>
              <w:tab w:val="right" w:pos="9026" w:leader="dot"/>
            </w:tabs>
            <w:rPr/>
          </w:pPr>
          <w:hyperlink w:anchor="__RefHeading___Toc3971137_1067777946">
            <w:r>
              <w:rPr>
                <w:webHidden/>
                <w:rStyle w:val="IndexLink"/>
                <w:rtl w:val="true"/>
              </w:rPr>
              <w:t>ظهور عيب در مبيع قبل از اخذ به شفعه</w:t>
            </w:r>
            <w:r>
              <w:rPr>
                <w:rStyle w:val="IndexLink"/>
                <w:rtl w:val="true"/>
              </w:rPr>
              <w:tab/>
            </w:r>
            <w:r>
              <w:rPr>
                <w:rStyle w:val="IndexLink"/>
              </w:rPr>
              <w:t>72</w:t>
            </w:r>
          </w:hyperlink>
        </w:p>
        <w:p>
          <w:pPr>
            <w:pStyle w:val="Contents4"/>
            <w:tabs>
              <w:tab w:val="clear" w:pos="8176"/>
              <w:tab w:val="right" w:pos="9026" w:leader="dot"/>
            </w:tabs>
            <w:rPr/>
          </w:pPr>
          <w:hyperlink w:anchor="__RefHeading___Toc3971139_1067777946">
            <w:r>
              <w:rPr>
                <w:webHidden/>
                <w:rStyle w:val="IndexLink"/>
                <w:rtl w:val="true"/>
              </w:rPr>
              <w:t xml:space="preserve">فروع ششگانۀ </w:t>
            </w:r>
            <w:r>
              <w:rPr>
                <w:rStyle w:val="IndexLink"/>
                <w:rtl w:val="true"/>
              </w:rPr>
              <w:t>«</w:t>
            </w:r>
            <w:r>
              <w:rPr>
                <w:rStyle w:val="IndexLink"/>
                <w:rtl w:val="true"/>
              </w:rPr>
              <w:t>شرائع</w:t>
            </w:r>
            <w:r>
              <w:rPr>
                <w:rStyle w:val="IndexLink"/>
                <w:rtl w:val="true"/>
              </w:rPr>
              <w:t>»</w:t>
              <w:tab/>
            </w:r>
            <w:r>
              <w:rPr>
                <w:rStyle w:val="IndexLink"/>
              </w:rPr>
              <w:t>73</w:t>
            </w:r>
          </w:hyperlink>
        </w:p>
        <w:p>
          <w:pPr>
            <w:pStyle w:val="Contents5"/>
            <w:tabs>
              <w:tab w:val="clear" w:pos="7892"/>
              <w:tab w:val="right" w:pos="9026" w:leader="dot"/>
            </w:tabs>
            <w:rPr/>
          </w:pPr>
          <w:hyperlink w:anchor="__RefHeading___Toc3971141_1067777946">
            <w:r>
              <w:rPr>
                <w:webHidden/>
                <w:rStyle w:val="IndexLink"/>
                <w:rtl w:val="true"/>
              </w:rPr>
              <w:t>تأثير احتمال ترك شفعه از روى عذر در عدم سقوط</w:t>
            </w:r>
            <w:r>
              <w:rPr>
                <w:rStyle w:val="IndexLink"/>
                <w:rtl w:val="true"/>
              </w:rPr>
              <w:tab/>
            </w:r>
            <w:r>
              <w:rPr>
                <w:rStyle w:val="IndexLink"/>
              </w:rPr>
              <w:t>73</w:t>
            </w:r>
          </w:hyperlink>
        </w:p>
        <w:p>
          <w:pPr>
            <w:pStyle w:val="Contents5"/>
            <w:tabs>
              <w:tab w:val="clear" w:pos="7892"/>
              <w:tab w:val="right" w:pos="9026" w:leader="dot"/>
            </w:tabs>
            <w:rPr/>
          </w:pPr>
          <w:hyperlink w:anchor="__RefHeading___Toc3971143_1067777946">
            <w:r>
              <w:rPr>
                <w:webHidden/>
                <w:rStyle w:val="IndexLink"/>
                <w:rtl w:val="true"/>
              </w:rPr>
              <w:t>اعتبار علم به ثمن و مثمن و مقدار آنها در أخذ به شفعه</w:t>
            </w:r>
            <w:r>
              <w:rPr>
                <w:rStyle w:val="IndexLink"/>
                <w:rtl w:val="true"/>
              </w:rPr>
              <w:tab/>
            </w:r>
            <w:r>
              <w:rPr>
                <w:rStyle w:val="IndexLink"/>
              </w:rPr>
              <w:t>73</w:t>
            </w:r>
          </w:hyperlink>
        </w:p>
        <w:p>
          <w:pPr>
            <w:pStyle w:val="Contents5"/>
            <w:tabs>
              <w:tab w:val="clear" w:pos="7892"/>
              <w:tab w:val="right" w:pos="9026" w:leader="dot"/>
            </w:tabs>
            <w:rPr/>
          </w:pPr>
          <w:hyperlink w:anchor="__RefHeading___Toc3971145_1067777946">
            <w:r>
              <w:rPr>
                <w:webHidden/>
                <w:rStyle w:val="IndexLink"/>
                <w:rtl w:val="true"/>
              </w:rPr>
              <w:t>لزوم معيت بين تسليم شقص و تسليم ثمن</w:t>
            </w:r>
            <w:r>
              <w:rPr>
                <w:rStyle w:val="IndexLink"/>
                <w:rtl w:val="true"/>
              </w:rPr>
              <w:tab/>
            </w:r>
            <w:r>
              <w:rPr>
                <w:rStyle w:val="IndexLink"/>
              </w:rPr>
              <w:t>74</w:t>
            </w:r>
          </w:hyperlink>
        </w:p>
        <w:p>
          <w:pPr>
            <w:pStyle w:val="Contents5"/>
            <w:tabs>
              <w:tab w:val="clear" w:pos="7892"/>
              <w:tab w:val="right" w:pos="9026" w:leader="dot"/>
            </w:tabs>
            <w:rPr/>
          </w:pPr>
          <w:hyperlink w:anchor="__RefHeading___Toc3971147_1067777946">
            <w:r>
              <w:rPr>
                <w:webHidden/>
                <w:rStyle w:val="IndexLink"/>
                <w:rtl w:val="true"/>
              </w:rPr>
              <w:t>عدم سقوط حق شفعه با ترك آن با ابلاغ خلاف واقع به شفيع</w:t>
            </w:r>
            <w:r>
              <w:rPr>
                <w:rStyle w:val="IndexLink"/>
                <w:rtl w:val="true"/>
              </w:rPr>
              <w:tab/>
            </w:r>
            <w:r>
              <w:rPr>
                <w:rStyle w:val="IndexLink"/>
              </w:rPr>
              <w:t>74</w:t>
            </w:r>
          </w:hyperlink>
        </w:p>
        <w:p>
          <w:pPr>
            <w:pStyle w:val="Contents5"/>
            <w:tabs>
              <w:tab w:val="clear" w:pos="7892"/>
              <w:tab w:val="right" w:pos="9026" w:leader="dot"/>
            </w:tabs>
            <w:rPr/>
          </w:pPr>
          <w:hyperlink w:anchor="__RefHeading___Toc3971149_1067777946">
            <w:r>
              <w:rPr>
                <w:webHidden/>
                <w:rStyle w:val="IndexLink"/>
                <w:rtl w:val="true"/>
              </w:rPr>
              <w:t>شفعه در زمين مشغول به زراعت</w:t>
            </w:r>
            <w:r>
              <w:rPr>
                <w:rStyle w:val="IndexLink"/>
                <w:rtl w:val="true"/>
              </w:rPr>
              <w:tab/>
            </w:r>
            <w:r>
              <w:rPr>
                <w:rStyle w:val="IndexLink"/>
              </w:rPr>
              <w:t>74</w:t>
            </w:r>
          </w:hyperlink>
        </w:p>
        <w:p>
          <w:pPr>
            <w:pStyle w:val="Contents5"/>
            <w:tabs>
              <w:tab w:val="clear" w:pos="7892"/>
              <w:tab w:val="right" w:pos="9026" w:leader="dot"/>
            </w:tabs>
            <w:rPr/>
          </w:pPr>
          <w:hyperlink w:anchor="__RefHeading___Toc3971151_1067777946">
            <w:r>
              <w:rPr>
                <w:webHidden/>
                <w:rStyle w:val="IndexLink"/>
                <w:rtl w:val="true"/>
              </w:rPr>
              <w:t>عدم مشروعيت اقاله بين شفيع و بايع</w:t>
            </w:r>
            <w:r>
              <w:rPr>
                <w:rStyle w:val="IndexLink"/>
                <w:rtl w:val="true"/>
              </w:rPr>
              <w:tab/>
            </w:r>
            <w:r>
              <w:rPr>
                <w:rStyle w:val="IndexLink"/>
              </w:rPr>
              <w:t>75</w:t>
            </w:r>
          </w:hyperlink>
        </w:p>
        <w:p>
          <w:pPr>
            <w:pStyle w:val="Contents3"/>
            <w:tabs>
              <w:tab w:val="clear" w:pos="8459"/>
              <w:tab w:val="right" w:pos="9026" w:leader="dot"/>
            </w:tabs>
            <w:rPr/>
          </w:pPr>
          <w:hyperlink w:anchor="__RefHeading___Toc3971153_1067777946">
            <w:r>
              <w:rPr>
                <w:webHidden/>
                <w:rStyle w:val="IndexLink"/>
                <w:rtl w:val="true"/>
              </w:rPr>
              <w:t>فصل چهارم لواحق اخذ به شفعه</w:t>
            </w:r>
            <w:r>
              <w:rPr>
                <w:rStyle w:val="IndexLink"/>
                <w:rtl w:val="true"/>
              </w:rPr>
              <w:tab/>
            </w:r>
            <w:r>
              <w:rPr>
                <w:rStyle w:val="IndexLink"/>
              </w:rPr>
              <w:t>76</w:t>
            </w:r>
          </w:hyperlink>
        </w:p>
        <w:p>
          <w:pPr>
            <w:pStyle w:val="Contents4"/>
            <w:tabs>
              <w:tab w:val="clear" w:pos="8176"/>
              <w:tab w:val="right" w:pos="9026" w:leader="dot"/>
            </w:tabs>
            <w:rPr/>
          </w:pPr>
          <w:hyperlink w:anchor="__RefHeading___Toc3971155_1067777946">
            <w:r>
              <w:rPr>
                <w:webHidden/>
                <w:rStyle w:val="IndexLink"/>
              </w:rPr>
              <w:t>1</w:t>
            </w:r>
            <w:r>
              <w:rPr>
                <w:rStyle w:val="IndexLink"/>
                <w:rtl w:val="true"/>
              </w:rPr>
              <w:t xml:space="preserve">. </w:t>
            </w:r>
            <w:r>
              <w:rPr>
                <w:rStyle w:val="IndexLink"/>
                <w:rtl w:val="true"/>
              </w:rPr>
              <w:t>مسائل اخذ به شفعه</w:t>
            </w:r>
            <w:r>
              <w:rPr>
                <w:rStyle w:val="IndexLink"/>
                <w:rtl w:val="true"/>
              </w:rPr>
              <w:tab/>
            </w:r>
            <w:r>
              <w:rPr>
                <w:rStyle w:val="IndexLink"/>
              </w:rPr>
              <w:t>76</w:t>
            </w:r>
          </w:hyperlink>
        </w:p>
        <w:p>
          <w:pPr>
            <w:pStyle w:val="Contents5"/>
            <w:tabs>
              <w:tab w:val="clear" w:pos="7892"/>
              <w:tab w:val="right" w:pos="9026" w:leader="dot"/>
            </w:tabs>
            <w:rPr/>
          </w:pPr>
          <w:hyperlink w:anchor="__RefHeading___Toc3971157_1067777946">
            <w:r>
              <w:rPr>
                <w:webHidden/>
                <w:rStyle w:val="IndexLink"/>
                <w:rtl w:val="true"/>
              </w:rPr>
              <w:t>ثبوت شفعه در صورتى كه اشتراء به ثمن مؤجل باشد</w:t>
            </w:r>
            <w:r>
              <w:rPr>
                <w:rStyle w:val="IndexLink"/>
                <w:rtl w:val="true"/>
              </w:rPr>
              <w:tab/>
            </w:r>
            <w:r>
              <w:rPr>
                <w:rStyle w:val="IndexLink"/>
              </w:rPr>
              <w:t>76</w:t>
            </w:r>
          </w:hyperlink>
        </w:p>
        <w:p>
          <w:pPr>
            <w:pStyle w:val="Contents5"/>
            <w:tabs>
              <w:tab w:val="clear" w:pos="7892"/>
              <w:tab w:val="right" w:pos="9026" w:leader="dot"/>
            </w:tabs>
            <w:rPr/>
          </w:pPr>
          <w:hyperlink w:anchor="__RefHeading___Toc3971159_1067777946">
            <w:r>
              <w:rPr>
                <w:webHidden/>
                <w:rStyle w:val="IndexLink"/>
                <w:rtl w:val="true"/>
              </w:rPr>
              <w:t>توريث حق شفعه</w:t>
            </w:r>
            <w:r>
              <w:rPr>
                <w:rStyle w:val="IndexLink"/>
                <w:rtl w:val="true"/>
              </w:rPr>
              <w:tab/>
            </w:r>
            <w:r>
              <w:rPr>
                <w:rStyle w:val="IndexLink"/>
              </w:rPr>
              <w:t>76</w:t>
            </w:r>
          </w:hyperlink>
        </w:p>
        <w:p>
          <w:pPr>
            <w:pStyle w:val="Contents5"/>
            <w:tabs>
              <w:tab w:val="clear" w:pos="7892"/>
              <w:tab w:val="right" w:pos="9026" w:leader="dot"/>
            </w:tabs>
            <w:rPr/>
          </w:pPr>
          <w:hyperlink w:anchor="__RefHeading___Toc3971161_1067777946">
            <w:r>
              <w:rPr>
                <w:webHidden/>
                <w:rStyle w:val="IndexLink"/>
                <w:rtl w:val="true"/>
              </w:rPr>
              <w:t>نحوۀ توريث شفعه</w:t>
            </w:r>
            <w:r>
              <w:rPr>
                <w:rStyle w:val="IndexLink"/>
                <w:rtl w:val="true"/>
              </w:rPr>
              <w:tab/>
            </w:r>
            <w:r>
              <w:rPr>
                <w:rStyle w:val="IndexLink"/>
              </w:rPr>
              <w:t>76</w:t>
            </w:r>
          </w:hyperlink>
        </w:p>
        <w:p>
          <w:pPr>
            <w:pStyle w:val="Contents5"/>
            <w:tabs>
              <w:tab w:val="clear" w:pos="7892"/>
              <w:tab w:val="right" w:pos="9026" w:leader="dot"/>
            </w:tabs>
            <w:rPr/>
          </w:pPr>
          <w:hyperlink w:anchor="__RefHeading___Toc3971163_1067777946">
            <w:r>
              <w:rPr>
                <w:webHidden/>
                <w:rStyle w:val="IndexLink"/>
                <w:rtl w:val="true"/>
              </w:rPr>
              <w:t>فوت مفلَّس و توريث شفعه</w:t>
            </w:r>
            <w:r>
              <w:rPr>
                <w:rStyle w:val="IndexLink"/>
                <w:rtl w:val="true"/>
              </w:rPr>
              <w:tab/>
            </w:r>
            <w:r>
              <w:rPr>
                <w:rStyle w:val="IndexLink"/>
              </w:rPr>
              <w:t>77</w:t>
            </w:r>
          </w:hyperlink>
        </w:p>
        <w:p>
          <w:pPr>
            <w:pStyle w:val="Contents5"/>
            <w:tabs>
              <w:tab w:val="clear" w:pos="7892"/>
              <w:tab w:val="right" w:pos="9026" w:leader="dot"/>
            </w:tabs>
            <w:rPr/>
          </w:pPr>
          <w:hyperlink w:anchor="__RefHeading___Toc3971165_1067777946">
            <w:r>
              <w:rPr>
                <w:webHidden/>
                <w:rStyle w:val="IndexLink"/>
                <w:rtl w:val="true"/>
              </w:rPr>
              <w:t>وصيت به متعلَّق حق شفعه</w:t>
            </w:r>
            <w:r>
              <w:rPr>
                <w:rStyle w:val="IndexLink"/>
                <w:rtl w:val="true"/>
              </w:rPr>
              <w:tab/>
            </w:r>
            <w:r>
              <w:rPr>
                <w:rStyle w:val="IndexLink"/>
              </w:rPr>
              <w:t>77</w:t>
            </w:r>
          </w:hyperlink>
        </w:p>
        <w:p>
          <w:pPr>
            <w:pStyle w:val="Contents5"/>
            <w:tabs>
              <w:tab w:val="clear" w:pos="7892"/>
              <w:tab w:val="right" w:pos="9026" w:leader="dot"/>
            </w:tabs>
            <w:rPr/>
          </w:pPr>
          <w:hyperlink w:anchor="__RefHeading___Toc3971167_1067777946">
            <w:r>
              <w:rPr>
                <w:webHidden/>
                <w:rStyle w:val="IndexLink"/>
                <w:rtl w:val="true"/>
              </w:rPr>
              <w:t>وصيت به مشترك و فروختن شريك قبل از قبول وصى</w:t>
            </w:r>
            <w:r>
              <w:rPr>
                <w:rStyle w:val="IndexLink"/>
                <w:rtl w:val="true"/>
              </w:rPr>
              <w:tab/>
            </w:r>
            <w:r>
              <w:rPr>
                <w:rStyle w:val="IndexLink"/>
              </w:rPr>
              <w:t>77</w:t>
            </w:r>
          </w:hyperlink>
        </w:p>
        <w:p>
          <w:pPr>
            <w:pStyle w:val="Contents5"/>
            <w:tabs>
              <w:tab w:val="clear" w:pos="7892"/>
              <w:tab w:val="right" w:pos="9026" w:leader="dot"/>
            </w:tabs>
            <w:rPr/>
          </w:pPr>
          <w:hyperlink w:anchor="__RefHeading___Toc3971169_1067777946">
            <w:r>
              <w:rPr>
                <w:webHidden/>
                <w:rStyle w:val="IndexLink"/>
                <w:rtl w:val="true"/>
              </w:rPr>
              <w:t>بيع شفيع، نصيب خود را بعد از علم به شفعه</w:t>
            </w:r>
            <w:r>
              <w:rPr>
                <w:rStyle w:val="IndexLink"/>
                <w:rtl w:val="true"/>
              </w:rPr>
              <w:tab/>
            </w:r>
            <w:r>
              <w:rPr>
                <w:rStyle w:val="IndexLink"/>
              </w:rPr>
              <w:t>78</w:t>
            </w:r>
          </w:hyperlink>
        </w:p>
        <w:p>
          <w:pPr>
            <w:pStyle w:val="Contents5"/>
            <w:tabs>
              <w:tab w:val="clear" w:pos="7892"/>
              <w:tab w:val="right" w:pos="9026" w:leader="dot"/>
            </w:tabs>
            <w:rPr/>
          </w:pPr>
          <w:hyperlink w:anchor="__RefHeading___Toc3971171_1067777946">
            <w:r>
              <w:rPr>
                <w:webHidden/>
                <w:rStyle w:val="IndexLink"/>
                <w:rtl w:val="true"/>
              </w:rPr>
              <w:t>بيع شفيع پس از بيع شريك</w:t>
            </w:r>
            <w:r>
              <w:rPr>
                <w:rStyle w:val="IndexLink"/>
                <w:rtl w:val="true"/>
              </w:rPr>
              <w:tab/>
            </w:r>
            <w:r>
              <w:rPr>
                <w:rStyle w:val="IndexLink"/>
              </w:rPr>
              <w:t>78</w:t>
            </w:r>
          </w:hyperlink>
        </w:p>
        <w:p>
          <w:pPr>
            <w:pStyle w:val="Contents5"/>
            <w:tabs>
              <w:tab w:val="clear" w:pos="7892"/>
              <w:tab w:val="right" w:pos="9026" w:leader="dot"/>
            </w:tabs>
            <w:rPr/>
          </w:pPr>
          <w:hyperlink w:anchor="__RefHeading___Toc3971173_1067777946">
            <w:r>
              <w:rPr>
                <w:webHidden/>
                <w:rStyle w:val="IndexLink"/>
                <w:rtl w:val="true"/>
              </w:rPr>
              <w:t>بيع مشترك در مرض موت</w:t>
            </w:r>
            <w:r>
              <w:rPr>
                <w:rStyle w:val="IndexLink"/>
                <w:rtl w:val="true"/>
              </w:rPr>
              <w:tab/>
            </w:r>
            <w:r>
              <w:rPr>
                <w:rStyle w:val="IndexLink"/>
              </w:rPr>
              <w:t>79</w:t>
            </w:r>
          </w:hyperlink>
        </w:p>
        <w:p>
          <w:pPr>
            <w:pStyle w:val="Contents5"/>
            <w:tabs>
              <w:tab w:val="clear" w:pos="7892"/>
              <w:tab w:val="right" w:pos="9026" w:leader="dot"/>
            </w:tabs>
            <w:rPr/>
          </w:pPr>
          <w:hyperlink w:anchor="__RefHeading___Toc3971175_1067777946">
            <w:r>
              <w:rPr>
                <w:webHidden/>
                <w:rStyle w:val="IndexLink"/>
                <w:rtl w:val="true"/>
              </w:rPr>
              <w:t>سقوط حق شفعه با اسقاط شفيع به صلح معاوضى</w:t>
            </w:r>
            <w:r>
              <w:rPr>
                <w:rStyle w:val="IndexLink"/>
                <w:rtl w:val="true"/>
              </w:rPr>
              <w:tab/>
            </w:r>
            <w:r>
              <w:rPr>
                <w:rStyle w:val="IndexLink"/>
              </w:rPr>
              <w:t>81</w:t>
            </w:r>
          </w:hyperlink>
        </w:p>
        <w:p>
          <w:pPr>
            <w:pStyle w:val="Contents5"/>
            <w:tabs>
              <w:tab w:val="clear" w:pos="7892"/>
              <w:tab w:val="right" w:pos="9026" w:leader="dot"/>
            </w:tabs>
            <w:rPr/>
          </w:pPr>
          <w:hyperlink w:anchor="__RefHeading___Toc3971177_1067777946">
            <w:r>
              <w:rPr>
                <w:webHidden/>
                <w:rStyle w:val="IndexLink"/>
                <w:rtl w:val="true"/>
              </w:rPr>
              <w:t>عدم سقوط حق شفعه با شرط خيار شفيع و شرط ضمان وى و</w:t>
            </w:r>
            <w:r>
              <w:rPr>
                <w:rStyle w:val="IndexLink"/>
                <w:rtl w:val="true"/>
              </w:rPr>
              <w:t>...</w:t>
              <w:tab/>
            </w:r>
            <w:r>
              <w:rPr>
                <w:rStyle w:val="IndexLink"/>
              </w:rPr>
              <w:t>81</w:t>
            </w:r>
          </w:hyperlink>
        </w:p>
        <w:p>
          <w:pPr>
            <w:pStyle w:val="Contents5"/>
            <w:tabs>
              <w:tab w:val="clear" w:pos="7892"/>
              <w:tab w:val="right" w:pos="9026" w:leader="dot"/>
            </w:tabs>
            <w:rPr/>
          </w:pPr>
          <w:hyperlink w:anchor="__RefHeading___Toc3971179_1067777946">
            <w:r>
              <w:rPr>
                <w:webHidden/>
                <w:rStyle w:val="IndexLink"/>
                <w:rtl w:val="true"/>
              </w:rPr>
              <w:t>يافتن عيب در مبيع، پس از أخذ به شفعه</w:t>
            </w:r>
            <w:r>
              <w:rPr>
                <w:rStyle w:val="IndexLink"/>
                <w:rtl w:val="true"/>
              </w:rPr>
              <w:tab/>
            </w:r>
            <w:r>
              <w:rPr>
                <w:rStyle w:val="IndexLink"/>
              </w:rPr>
              <w:t>82</w:t>
            </w:r>
          </w:hyperlink>
        </w:p>
        <w:p>
          <w:pPr>
            <w:pStyle w:val="Contents5"/>
            <w:tabs>
              <w:tab w:val="clear" w:pos="7892"/>
              <w:tab w:val="right" w:pos="9026" w:leader="dot"/>
            </w:tabs>
            <w:rPr/>
          </w:pPr>
          <w:hyperlink w:anchor="__RefHeading___Toc3971181_1067777946">
            <w:r>
              <w:rPr>
                <w:webHidden/>
                <w:rStyle w:val="IndexLink"/>
                <w:rtl w:val="true"/>
              </w:rPr>
              <w:t>ظهور عيبِ سابق بر بيع، در ثمن، بعد از اخذ به شفعه</w:t>
            </w:r>
            <w:r>
              <w:rPr>
                <w:rStyle w:val="IndexLink"/>
                <w:rtl w:val="true"/>
              </w:rPr>
              <w:tab/>
            </w:r>
            <w:r>
              <w:rPr>
                <w:rStyle w:val="IndexLink"/>
              </w:rPr>
              <w:t>83</w:t>
            </w:r>
          </w:hyperlink>
        </w:p>
        <w:p>
          <w:pPr>
            <w:pStyle w:val="Contents5"/>
            <w:tabs>
              <w:tab w:val="clear" w:pos="7892"/>
              <w:tab w:val="right" w:pos="9026" w:leader="dot"/>
            </w:tabs>
            <w:rPr/>
          </w:pPr>
          <w:hyperlink w:anchor="__RefHeading___Toc3971183_1067777946">
            <w:r>
              <w:rPr>
                <w:webHidden/>
                <w:rStyle w:val="IndexLink"/>
                <w:rtl w:val="true"/>
              </w:rPr>
              <w:t>سبق فسخ بر اخذ به شفعه</w:t>
            </w:r>
            <w:r>
              <w:rPr>
                <w:rStyle w:val="IndexLink"/>
                <w:rtl w:val="true"/>
              </w:rPr>
              <w:tab/>
            </w:r>
            <w:r>
              <w:rPr>
                <w:rStyle w:val="IndexLink"/>
              </w:rPr>
              <w:t>83</w:t>
            </w:r>
          </w:hyperlink>
        </w:p>
        <w:p>
          <w:pPr>
            <w:pStyle w:val="Contents5"/>
            <w:tabs>
              <w:tab w:val="clear" w:pos="7892"/>
              <w:tab w:val="right" w:pos="9026" w:leader="dot"/>
            </w:tabs>
            <w:rPr/>
          </w:pPr>
          <w:hyperlink w:anchor="__RefHeading___Toc3971185_1067777946">
            <w:r>
              <w:rPr>
                <w:webHidden/>
                <w:rStyle w:val="IndexLink"/>
                <w:rtl w:val="true"/>
              </w:rPr>
              <w:t>اگر مشترى بعد از اخذ به شفعه، مالك شقص شد</w:t>
            </w:r>
            <w:r>
              <w:rPr>
                <w:rStyle w:val="IndexLink"/>
                <w:rtl w:val="true"/>
              </w:rPr>
              <w:tab/>
            </w:r>
            <w:r>
              <w:rPr>
                <w:rStyle w:val="IndexLink"/>
              </w:rPr>
              <w:t>83</w:t>
            </w:r>
          </w:hyperlink>
        </w:p>
        <w:p>
          <w:pPr>
            <w:pStyle w:val="Contents5"/>
            <w:tabs>
              <w:tab w:val="clear" w:pos="7892"/>
              <w:tab w:val="right" w:pos="9026" w:leader="dot"/>
            </w:tabs>
            <w:rPr/>
          </w:pPr>
          <w:hyperlink w:anchor="__RefHeading___Toc3971187_1067777946">
            <w:r>
              <w:rPr>
                <w:webHidden/>
                <w:rStyle w:val="IndexLink"/>
                <w:rtl w:val="true"/>
              </w:rPr>
              <w:t>رد بايع ثمن را به سبب عيب، قبل از اخذ به شفعه</w:t>
            </w:r>
            <w:r>
              <w:rPr>
                <w:rStyle w:val="IndexLink"/>
                <w:rtl w:val="true"/>
              </w:rPr>
              <w:tab/>
            </w:r>
            <w:r>
              <w:rPr>
                <w:rStyle w:val="IndexLink"/>
              </w:rPr>
              <w:t>84</w:t>
            </w:r>
          </w:hyperlink>
        </w:p>
        <w:p>
          <w:pPr>
            <w:pStyle w:val="Contents5"/>
            <w:tabs>
              <w:tab w:val="clear" w:pos="7892"/>
              <w:tab w:val="right" w:pos="9026" w:leader="dot"/>
            </w:tabs>
            <w:rPr/>
          </w:pPr>
          <w:hyperlink w:anchor="__RefHeading___Toc3971189_1067777946">
            <w:r>
              <w:rPr>
                <w:webHidden/>
                <w:rStyle w:val="IndexLink"/>
                <w:rtl w:val="true"/>
              </w:rPr>
              <w:t>حكم شفعه نسبت به نصب غائب براى مدعى اذن</w:t>
            </w:r>
            <w:r>
              <w:rPr>
                <w:rStyle w:val="IndexLink"/>
                <w:rtl w:val="true"/>
              </w:rPr>
              <w:tab/>
            </w:r>
            <w:r>
              <w:rPr>
                <w:rStyle w:val="IndexLink"/>
              </w:rPr>
              <w:t>84</w:t>
            </w:r>
          </w:hyperlink>
        </w:p>
        <w:p>
          <w:pPr>
            <w:pStyle w:val="Contents5"/>
            <w:tabs>
              <w:tab w:val="clear" w:pos="7892"/>
              <w:tab w:val="right" w:pos="9026" w:leader="dot"/>
            </w:tabs>
            <w:rPr/>
          </w:pPr>
          <w:hyperlink w:anchor="__RefHeading___Toc3971191_1067777946">
            <w:r>
              <w:rPr>
                <w:webHidden/>
                <w:rStyle w:val="IndexLink"/>
                <w:rtl w:val="true"/>
              </w:rPr>
              <w:t>اگر غائب، اذن در بيع را انكار كرد</w:t>
            </w:r>
            <w:r>
              <w:rPr>
                <w:rStyle w:val="IndexLink"/>
                <w:rtl w:val="true"/>
              </w:rPr>
              <w:tab/>
            </w:r>
            <w:r>
              <w:rPr>
                <w:rStyle w:val="IndexLink"/>
              </w:rPr>
              <w:t>85</w:t>
            </w:r>
          </w:hyperlink>
        </w:p>
        <w:p>
          <w:pPr>
            <w:pStyle w:val="Contents4"/>
            <w:tabs>
              <w:tab w:val="clear" w:pos="8176"/>
              <w:tab w:val="right" w:pos="9026" w:leader="dot"/>
            </w:tabs>
            <w:rPr/>
          </w:pPr>
          <w:hyperlink w:anchor="__RefHeading___Toc3971193_1067777946">
            <w:r>
              <w:rPr>
                <w:webHidden/>
                <w:rStyle w:val="IndexLink"/>
              </w:rPr>
              <w:t>2</w:t>
            </w:r>
            <w:r>
              <w:rPr>
                <w:rStyle w:val="IndexLink"/>
                <w:rtl w:val="true"/>
              </w:rPr>
              <w:t xml:space="preserve">. </w:t>
            </w:r>
            <w:r>
              <w:rPr>
                <w:rStyle w:val="IndexLink"/>
                <w:rtl w:val="true"/>
              </w:rPr>
              <w:t>آنچه با آن شفعه باطل مى شود</w:t>
            </w:r>
            <w:r>
              <w:rPr>
                <w:rStyle w:val="IndexLink"/>
                <w:rtl w:val="true"/>
              </w:rPr>
              <w:tab/>
            </w:r>
            <w:r>
              <w:rPr>
                <w:rStyle w:val="IndexLink"/>
              </w:rPr>
              <w:t>85</w:t>
            </w:r>
          </w:hyperlink>
        </w:p>
        <w:p>
          <w:pPr>
            <w:pStyle w:val="Contents5"/>
            <w:tabs>
              <w:tab w:val="clear" w:pos="7892"/>
              <w:tab w:val="right" w:pos="9026" w:leader="dot"/>
            </w:tabs>
            <w:rPr/>
          </w:pPr>
          <w:hyperlink w:anchor="__RefHeading___Toc3971195_1067777946">
            <w:r>
              <w:rPr>
                <w:webHidden/>
                <w:rStyle w:val="IndexLink"/>
                <w:rtl w:val="true"/>
              </w:rPr>
              <w:t>بطلان شفعه با ترك أخذ، در صورت وجود قيود و شرائط</w:t>
            </w:r>
            <w:r>
              <w:rPr>
                <w:rStyle w:val="IndexLink"/>
                <w:rtl w:val="true"/>
              </w:rPr>
              <w:tab/>
            </w:r>
            <w:r>
              <w:rPr>
                <w:rStyle w:val="IndexLink"/>
              </w:rPr>
              <w:t>85</w:t>
            </w:r>
          </w:hyperlink>
        </w:p>
        <w:p>
          <w:pPr>
            <w:pStyle w:val="Contents5"/>
            <w:tabs>
              <w:tab w:val="clear" w:pos="7892"/>
              <w:tab w:val="right" w:pos="9026" w:leader="dot"/>
            </w:tabs>
            <w:rPr/>
          </w:pPr>
          <w:hyperlink w:anchor="__RefHeading___Toc3971197_1067777946">
            <w:r>
              <w:rPr>
                <w:webHidden/>
                <w:rStyle w:val="IndexLink"/>
                <w:rtl w:val="true"/>
              </w:rPr>
              <w:t>تنزل از شفعه قبل از بيع</w:t>
            </w:r>
            <w:r>
              <w:rPr>
                <w:rStyle w:val="IndexLink"/>
                <w:rtl w:val="true"/>
              </w:rPr>
              <w:tab/>
            </w:r>
            <w:r>
              <w:rPr>
                <w:rStyle w:val="IndexLink"/>
              </w:rPr>
              <w:t>86</w:t>
            </w:r>
          </w:hyperlink>
        </w:p>
        <w:p>
          <w:pPr>
            <w:pStyle w:val="Contents5"/>
            <w:tabs>
              <w:tab w:val="clear" w:pos="7892"/>
              <w:tab w:val="right" w:pos="9026" w:leader="dot"/>
            </w:tabs>
            <w:rPr/>
          </w:pPr>
          <w:hyperlink w:anchor="__RefHeading___Toc3971199_1067777946">
            <w:r>
              <w:rPr>
                <w:webHidden/>
                <w:rStyle w:val="IndexLink"/>
                <w:rtl w:val="true"/>
              </w:rPr>
              <w:t>رسيدن خبر بيع به شريك و عدم مطالبۀ او، شفعه را</w:t>
            </w:r>
            <w:r>
              <w:rPr>
                <w:rStyle w:val="IndexLink"/>
                <w:rtl w:val="true"/>
              </w:rPr>
              <w:tab/>
            </w:r>
            <w:r>
              <w:rPr>
                <w:rStyle w:val="IndexLink"/>
              </w:rPr>
              <w:t>86</w:t>
            </w:r>
          </w:hyperlink>
        </w:p>
        <w:p>
          <w:pPr>
            <w:pStyle w:val="Contents5"/>
            <w:tabs>
              <w:tab w:val="clear" w:pos="7892"/>
              <w:tab w:val="right" w:pos="9026" w:leader="dot"/>
            </w:tabs>
            <w:rPr/>
          </w:pPr>
          <w:hyperlink w:anchor="__RefHeading___Toc3971201_1067777946">
            <w:r>
              <w:rPr>
                <w:webHidden/>
                <w:rStyle w:val="IndexLink"/>
                <w:rtl w:val="true"/>
              </w:rPr>
              <w:t>اعتراف متبايعين به تحقق بيع به نحوى كه مسقط شفعه باشد</w:t>
            </w:r>
            <w:r>
              <w:rPr>
                <w:rStyle w:val="IndexLink"/>
                <w:rtl w:val="true"/>
              </w:rPr>
              <w:tab/>
            </w:r>
            <w:r>
              <w:rPr>
                <w:rStyle w:val="IndexLink"/>
              </w:rPr>
              <w:t>86</w:t>
            </w:r>
          </w:hyperlink>
        </w:p>
        <w:p>
          <w:pPr>
            <w:pStyle w:val="Contents5"/>
            <w:tabs>
              <w:tab w:val="clear" w:pos="7892"/>
              <w:tab w:val="right" w:pos="9026" w:leader="dot"/>
            </w:tabs>
            <w:rPr/>
          </w:pPr>
          <w:hyperlink w:anchor="__RefHeading___Toc3971203_1067777946">
            <w:r>
              <w:rPr>
                <w:webHidden/>
                <w:rStyle w:val="IndexLink"/>
                <w:rtl w:val="true"/>
              </w:rPr>
              <w:t>جهل شفيع و مشترى به ثمن و خصوصيات آن</w:t>
            </w:r>
            <w:r>
              <w:rPr>
                <w:rStyle w:val="IndexLink"/>
                <w:rtl w:val="true"/>
              </w:rPr>
              <w:tab/>
            </w:r>
            <w:r>
              <w:rPr>
                <w:rStyle w:val="IndexLink"/>
              </w:rPr>
              <w:t>86</w:t>
            </w:r>
          </w:hyperlink>
        </w:p>
        <w:p>
          <w:pPr>
            <w:pStyle w:val="Contents5"/>
            <w:tabs>
              <w:tab w:val="clear" w:pos="7892"/>
              <w:tab w:val="right" w:pos="9026" w:leader="dot"/>
            </w:tabs>
            <w:rPr/>
          </w:pPr>
          <w:hyperlink w:anchor="__RefHeading___Toc3971205_1067777946">
            <w:r>
              <w:rPr>
                <w:webHidden/>
                <w:rStyle w:val="IndexLink"/>
                <w:rtl w:val="true"/>
              </w:rPr>
              <w:t>بطلان شفعه با تأخير شفيع و بودن مبيع در بعيد</w:t>
            </w:r>
            <w:r>
              <w:rPr>
                <w:rStyle w:val="IndexLink"/>
                <w:rtl w:val="true"/>
              </w:rPr>
              <w:tab/>
            </w:r>
            <w:r>
              <w:rPr>
                <w:rStyle w:val="IndexLink"/>
              </w:rPr>
              <w:t>87</w:t>
            </w:r>
          </w:hyperlink>
        </w:p>
        <w:p>
          <w:pPr>
            <w:pStyle w:val="Contents5"/>
            <w:tabs>
              <w:tab w:val="clear" w:pos="7892"/>
              <w:tab w:val="right" w:pos="9026" w:leader="dot"/>
            </w:tabs>
            <w:rPr/>
          </w:pPr>
          <w:hyperlink w:anchor="__RefHeading___Toc3971207_1067777946">
            <w:r>
              <w:rPr>
                <w:webHidden/>
                <w:rStyle w:val="IndexLink"/>
                <w:rtl w:val="true"/>
              </w:rPr>
              <w:t>بطلان شفعه به بطلان بيع</w:t>
            </w:r>
            <w:r>
              <w:rPr>
                <w:rStyle w:val="IndexLink"/>
                <w:rtl w:val="true"/>
              </w:rPr>
              <w:tab/>
            </w:r>
            <w:r>
              <w:rPr>
                <w:rStyle w:val="IndexLink"/>
              </w:rPr>
              <w:t>87</w:t>
            </w:r>
          </w:hyperlink>
        </w:p>
        <w:p>
          <w:pPr>
            <w:pStyle w:val="Contents5"/>
            <w:tabs>
              <w:tab w:val="clear" w:pos="7892"/>
              <w:tab w:val="right" w:pos="9026" w:leader="dot"/>
            </w:tabs>
            <w:rPr/>
          </w:pPr>
          <w:hyperlink w:anchor="__RefHeading___Toc3971209_1067777946">
            <w:r>
              <w:rPr>
                <w:webHidden/>
                <w:rStyle w:val="IndexLink"/>
                <w:rtl w:val="true"/>
              </w:rPr>
              <w:t>حيله اى براى اسقاط حق شفعه</w:t>
            </w:r>
            <w:r>
              <w:rPr>
                <w:rStyle w:val="IndexLink"/>
                <w:rtl w:val="true"/>
              </w:rPr>
              <w:tab/>
            </w:r>
            <w:r>
              <w:rPr>
                <w:rStyle w:val="IndexLink"/>
              </w:rPr>
              <w:t>88</w:t>
            </w:r>
          </w:hyperlink>
        </w:p>
        <w:p>
          <w:pPr>
            <w:pStyle w:val="Contents5"/>
            <w:tabs>
              <w:tab w:val="clear" w:pos="7892"/>
              <w:tab w:val="right" w:pos="9026" w:leader="dot"/>
            </w:tabs>
            <w:rPr/>
          </w:pPr>
          <w:hyperlink w:anchor="__RefHeading___Toc3971211_1067777946">
            <w:r>
              <w:rPr>
                <w:webHidden/>
                <w:rStyle w:val="IndexLink"/>
                <w:rtl w:val="true"/>
              </w:rPr>
              <w:t>اگر نقل، به غير مبيع باشد، شفعه اى در كار نيست</w:t>
            </w:r>
            <w:r>
              <w:rPr>
                <w:rStyle w:val="IndexLink"/>
                <w:rtl w:val="true"/>
              </w:rPr>
              <w:tab/>
            </w:r>
            <w:r>
              <w:rPr>
                <w:rStyle w:val="IndexLink"/>
              </w:rPr>
              <w:t>88</w:t>
            </w:r>
          </w:hyperlink>
        </w:p>
        <w:p>
          <w:pPr>
            <w:pStyle w:val="Contents5"/>
            <w:tabs>
              <w:tab w:val="clear" w:pos="7892"/>
              <w:tab w:val="right" w:pos="9026" w:leader="dot"/>
            </w:tabs>
            <w:rPr/>
          </w:pPr>
          <w:hyperlink w:anchor="__RefHeading___Toc3971213_1067777946">
            <w:r>
              <w:rPr>
                <w:webHidden/>
                <w:rStyle w:val="IndexLink"/>
                <w:rtl w:val="true"/>
              </w:rPr>
              <w:t>ادعاى عدم علم به ثمن و تأثير آن در ابطال حق شفعه</w:t>
            </w:r>
            <w:r>
              <w:rPr>
                <w:rStyle w:val="IndexLink"/>
                <w:rtl w:val="true"/>
              </w:rPr>
              <w:tab/>
            </w:r>
            <w:r>
              <w:rPr>
                <w:rStyle w:val="IndexLink"/>
              </w:rPr>
              <w:t>88</w:t>
            </w:r>
          </w:hyperlink>
        </w:p>
        <w:p>
          <w:pPr>
            <w:pStyle w:val="Contents5"/>
            <w:tabs>
              <w:tab w:val="clear" w:pos="7892"/>
              <w:tab w:val="right" w:pos="9026" w:leader="dot"/>
            </w:tabs>
            <w:rPr/>
          </w:pPr>
          <w:hyperlink w:anchor="__RefHeading___Toc3971215_1067777946">
            <w:r>
              <w:rPr>
                <w:webHidden/>
                <w:rStyle w:val="IndexLink"/>
                <w:rtl w:val="true"/>
              </w:rPr>
              <w:t>اگر شفيع، مدعى علم مشترى به ثمن بود</w:t>
            </w:r>
            <w:r>
              <w:rPr>
                <w:rStyle w:val="IndexLink"/>
                <w:rtl w:val="true"/>
              </w:rPr>
              <w:tab/>
            </w:r>
            <w:r>
              <w:rPr>
                <w:rStyle w:val="IndexLink"/>
              </w:rPr>
              <w:t>89</w:t>
            </w:r>
          </w:hyperlink>
        </w:p>
        <w:p>
          <w:pPr>
            <w:pStyle w:val="Contents5"/>
            <w:tabs>
              <w:tab w:val="clear" w:pos="7892"/>
              <w:tab w:val="right" w:pos="9026" w:leader="dot"/>
            </w:tabs>
            <w:rPr/>
          </w:pPr>
          <w:hyperlink w:anchor="__RefHeading___Toc3971217_1067777946">
            <w:r>
              <w:rPr>
                <w:webHidden/>
                <w:rStyle w:val="IndexLink"/>
                <w:rtl w:val="true"/>
              </w:rPr>
              <w:t>فرض مصادقه بر نسيان مشترى</w:t>
            </w:r>
            <w:r>
              <w:rPr>
                <w:rStyle w:val="IndexLink"/>
                <w:rtl w:val="true"/>
              </w:rPr>
              <w:tab/>
            </w:r>
            <w:r>
              <w:rPr>
                <w:rStyle w:val="IndexLink"/>
              </w:rPr>
              <w:t>89</w:t>
            </w:r>
          </w:hyperlink>
        </w:p>
        <w:p>
          <w:pPr>
            <w:pStyle w:val="Contents5"/>
            <w:tabs>
              <w:tab w:val="clear" w:pos="7892"/>
              <w:tab w:val="right" w:pos="9026" w:leader="dot"/>
            </w:tabs>
            <w:rPr/>
          </w:pPr>
          <w:hyperlink w:anchor="__RefHeading___Toc3971219_1067777946">
            <w:r>
              <w:rPr>
                <w:webHidden/>
                <w:rStyle w:val="IndexLink"/>
                <w:rtl w:val="true"/>
              </w:rPr>
              <w:t>ادعاى عدم علم به ثمن توسط مشترى</w:t>
            </w:r>
            <w:r>
              <w:rPr>
                <w:rStyle w:val="IndexLink"/>
                <w:rtl w:val="true"/>
              </w:rPr>
              <w:tab/>
            </w:r>
            <w:r>
              <w:rPr>
                <w:rStyle w:val="IndexLink"/>
              </w:rPr>
              <w:t>89</w:t>
            </w:r>
          </w:hyperlink>
        </w:p>
        <w:p>
          <w:pPr>
            <w:pStyle w:val="Contents5"/>
            <w:tabs>
              <w:tab w:val="clear" w:pos="7892"/>
              <w:tab w:val="right" w:pos="9026" w:leader="dot"/>
            </w:tabs>
            <w:rPr/>
          </w:pPr>
          <w:hyperlink w:anchor="__RefHeading___Toc3971221_1067777946">
            <w:r>
              <w:rPr>
                <w:webHidden/>
                <w:rStyle w:val="IndexLink"/>
                <w:rtl w:val="true"/>
              </w:rPr>
              <w:t>با فرض ادعاى جهل</w:t>
            </w:r>
            <w:r>
              <w:rPr>
                <w:rStyle w:val="IndexLink"/>
                <w:rtl w:val="true"/>
              </w:rPr>
              <w:tab/>
            </w:r>
            <w:r>
              <w:rPr>
                <w:rStyle w:val="IndexLink"/>
              </w:rPr>
              <w:t>90</w:t>
            </w:r>
          </w:hyperlink>
        </w:p>
        <w:p>
          <w:pPr>
            <w:pStyle w:val="Contents3"/>
            <w:tabs>
              <w:tab w:val="clear" w:pos="8459"/>
              <w:tab w:val="right" w:pos="9026" w:leader="dot"/>
            </w:tabs>
            <w:rPr/>
          </w:pPr>
          <w:hyperlink w:anchor="__RefHeading___Toc3971223_1067777946">
            <w:r>
              <w:rPr>
                <w:webHidden/>
                <w:rStyle w:val="IndexLink"/>
                <w:rtl w:val="true"/>
              </w:rPr>
              <w:t>فصل پنجم تنازع</w:t>
            </w:r>
            <w:r>
              <w:rPr>
                <w:rStyle w:val="IndexLink"/>
                <w:rtl w:val="true"/>
              </w:rPr>
              <w:tab/>
            </w:r>
            <w:r>
              <w:rPr>
                <w:rStyle w:val="IndexLink"/>
              </w:rPr>
              <w:t>91</w:t>
            </w:r>
          </w:hyperlink>
        </w:p>
        <w:p>
          <w:pPr>
            <w:pStyle w:val="Contents4"/>
            <w:tabs>
              <w:tab w:val="clear" w:pos="8176"/>
              <w:tab w:val="right" w:pos="9026" w:leader="dot"/>
            </w:tabs>
            <w:rPr/>
          </w:pPr>
          <w:hyperlink w:anchor="__RefHeading___Toc3971225_1067777946">
            <w:r>
              <w:rPr>
                <w:webHidden/>
                <w:rStyle w:val="IndexLink"/>
                <w:rtl w:val="true"/>
              </w:rPr>
              <w:t>اختلاف در قدر ثمن بين مشترى و شفيع</w:t>
            </w:r>
            <w:r>
              <w:rPr>
                <w:rStyle w:val="IndexLink"/>
                <w:rtl w:val="true"/>
              </w:rPr>
              <w:tab/>
            </w:r>
            <w:r>
              <w:rPr>
                <w:rStyle w:val="IndexLink"/>
              </w:rPr>
              <w:t>91</w:t>
            </w:r>
          </w:hyperlink>
        </w:p>
        <w:p>
          <w:pPr>
            <w:pStyle w:val="Contents4"/>
            <w:tabs>
              <w:tab w:val="clear" w:pos="8176"/>
              <w:tab w:val="right" w:pos="9026" w:leader="dot"/>
            </w:tabs>
            <w:rPr/>
          </w:pPr>
          <w:hyperlink w:anchor="__RefHeading___Toc3971227_1067777946">
            <w:r>
              <w:rPr>
                <w:webHidden/>
                <w:rStyle w:val="IndexLink"/>
                <w:rtl w:val="true"/>
              </w:rPr>
              <w:t>قبول شهادت بايع</w:t>
            </w:r>
            <w:r>
              <w:rPr>
                <w:rStyle w:val="IndexLink"/>
                <w:rtl w:val="true"/>
              </w:rPr>
              <w:tab/>
            </w:r>
            <w:r>
              <w:rPr>
                <w:rStyle w:val="IndexLink"/>
              </w:rPr>
              <w:t>91</w:t>
            </w:r>
          </w:hyperlink>
        </w:p>
        <w:p>
          <w:pPr>
            <w:pStyle w:val="Contents4"/>
            <w:tabs>
              <w:tab w:val="clear" w:pos="8176"/>
              <w:tab w:val="right" w:pos="9026" w:leader="dot"/>
            </w:tabs>
            <w:rPr/>
          </w:pPr>
          <w:hyperlink w:anchor="__RefHeading___Toc3971229_1067777946">
            <w:r>
              <w:rPr>
                <w:webHidden/>
                <w:rStyle w:val="IndexLink"/>
                <w:rtl w:val="true"/>
              </w:rPr>
              <w:t>اختلاف بين متبايعين در قدر ثمن</w:t>
            </w:r>
            <w:r>
              <w:rPr>
                <w:rStyle w:val="IndexLink"/>
                <w:rtl w:val="true"/>
              </w:rPr>
              <w:tab/>
            </w:r>
            <w:r>
              <w:rPr>
                <w:rStyle w:val="IndexLink"/>
              </w:rPr>
              <w:t>91</w:t>
            </w:r>
          </w:hyperlink>
        </w:p>
        <w:p>
          <w:pPr>
            <w:pStyle w:val="Contents4"/>
            <w:tabs>
              <w:tab w:val="clear" w:pos="8176"/>
              <w:tab w:val="right" w:pos="9026" w:leader="dot"/>
            </w:tabs>
            <w:rPr/>
          </w:pPr>
          <w:hyperlink w:anchor="__RefHeading___Toc3971231_1067777946">
            <w:r>
              <w:rPr>
                <w:webHidden/>
                <w:rStyle w:val="IndexLink"/>
                <w:rtl w:val="true"/>
              </w:rPr>
              <w:t>لازمۀ قضا براى هر كدام از شفيع و مشترى</w:t>
            </w:r>
            <w:r>
              <w:rPr>
                <w:rStyle w:val="IndexLink"/>
                <w:rtl w:val="true"/>
              </w:rPr>
              <w:tab/>
            </w:r>
            <w:r>
              <w:rPr>
                <w:rStyle w:val="IndexLink"/>
              </w:rPr>
              <w:t>92</w:t>
            </w:r>
          </w:hyperlink>
        </w:p>
        <w:p>
          <w:pPr>
            <w:pStyle w:val="Contents4"/>
            <w:tabs>
              <w:tab w:val="clear" w:pos="8176"/>
              <w:tab w:val="right" w:pos="9026" w:leader="dot"/>
            </w:tabs>
            <w:rPr/>
          </w:pPr>
          <w:hyperlink w:anchor="__RefHeading___Toc3971233_1067777946">
            <w:r>
              <w:rPr>
                <w:webHidden/>
                <w:rStyle w:val="IndexLink"/>
                <w:rtl w:val="true"/>
              </w:rPr>
              <w:t>اختلاف در قيمت ثمن بعد از تلف</w:t>
            </w:r>
            <w:r>
              <w:rPr>
                <w:rStyle w:val="IndexLink"/>
                <w:rtl w:val="true"/>
              </w:rPr>
              <w:tab/>
            </w:r>
            <w:r>
              <w:rPr>
                <w:rStyle w:val="IndexLink"/>
              </w:rPr>
              <w:t>92</w:t>
            </w:r>
          </w:hyperlink>
        </w:p>
        <w:p>
          <w:pPr>
            <w:pStyle w:val="Contents4"/>
            <w:tabs>
              <w:tab w:val="clear" w:pos="8176"/>
              <w:tab w:val="right" w:pos="9026" w:leader="dot"/>
            </w:tabs>
            <w:rPr/>
          </w:pPr>
          <w:hyperlink w:anchor="__RefHeading___Toc3971235_1067777946">
            <w:r>
              <w:rPr>
                <w:webHidden/>
                <w:rStyle w:val="IndexLink"/>
                <w:rtl w:val="true"/>
              </w:rPr>
              <w:t>اختلاف در غرس و بنا</w:t>
            </w:r>
            <w:r>
              <w:rPr>
                <w:rStyle w:val="IndexLink"/>
                <w:rtl w:val="true"/>
              </w:rPr>
              <w:tab/>
            </w:r>
            <w:r>
              <w:rPr>
                <w:rStyle w:val="IndexLink"/>
              </w:rPr>
              <w:t>93</w:t>
            </w:r>
          </w:hyperlink>
        </w:p>
        <w:p>
          <w:pPr>
            <w:pStyle w:val="Contents4"/>
            <w:tabs>
              <w:tab w:val="clear" w:pos="8176"/>
              <w:tab w:val="right" w:pos="9026" w:leader="dot"/>
            </w:tabs>
            <w:rPr/>
          </w:pPr>
          <w:hyperlink w:anchor="__RefHeading___Toc3971237_1067777946">
            <w:r>
              <w:rPr>
                <w:webHidden/>
                <w:rStyle w:val="IndexLink"/>
                <w:rtl w:val="true"/>
              </w:rPr>
              <w:t>ادعاى بيع نصيب خود و انكار مشترى</w:t>
            </w:r>
            <w:r>
              <w:rPr>
                <w:rStyle w:val="IndexLink"/>
                <w:rtl w:val="true"/>
              </w:rPr>
              <w:tab/>
            </w:r>
            <w:r>
              <w:rPr>
                <w:rStyle w:val="IndexLink"/>
              </w:rPr>
              <w:t>93</w:t>
            </w:r>
          </w:hyperlink>
        </w:p>
        <w:p>
          <w:pPr>
            <w:pStyle w:val="Contents4"/>
            <w:tabs>
              <w:tab w:val="clear" w:pos="8176"/>
              <w:tab w:val="right" w:pos="9026" w:leader="dot"/>
            </w:tabs>
            <w:rPr/>
          </w:pPr>
          <w:hyperlink w:anchor="__RefHeading___Toc3971239_1067777946">
            <w:r>
              <w:rPr>
                <w:webHidden/>
                <w:rStyle w:val="IndexLink"/>
                <w:rtl w:val="true"/>
              </w:rPr>
              <w:t>ادعاى تأخّر شراء مدّعى عليه</w:t>
            </w:r>
            <w:r>
              <w:rPr>
                <w:rStyle w:val="IndexLink"/>
                <w:rtl w:val="true"/>
              </w:rPr>
              <w:tab/>
            </w:r>
            <w:r>
              <w:rPr>
                <w:rStyle w:val="IndexLink"/>
              </w:rPr>
              <w:t>93</w:t>
            </w:r>
          </w:hyperlink>
        </w:p>
        <w:p>
          <w:pPr>
            <w:pStyle w:val="Contents4"/>
            <w:tabs>
              <w:tab w:val="clear" w:pos="8176"/>
              <w:tab w:val="right" w:pos="9026" w:leader="dot"/>
            </w:tabs>
            <w:rPr/>
          </w:pPr>
          <w:hyperlink w:anchor="__RefHeading___Toc3971241_1067777946">
            <w:r>
              <w:rPr>
                <w:webHidden/>
                <w:rStyle w:val="IndexLink"/>
                <w:rtl w:val="true"/>
              </w:rPr>
              <w:t>ادعاى سبقت در ملك شقص توسط هر دو</w:t>
            </w:r>
            <w:r>
              <w:rPr>
                <w:rStyle w:val="IndexLink"/>
                <w:rtl w:val="true"/>
              </w:rPr>
              <w:tab/>
            </w:r>
            <w:r>
              <w:rPr>
                <w:rStyle w:val="IndexLink"/>
              </w:rPr>
              <w:t>93</w:t>
            </w:r>
          </w:hyperlink>
        </w:p>
        <w:p>
          <w:pPr>
            <w:pStyle w:val="Contents4"/>
            <w:tabs>
              <w:tab w:val="clear" w:pos="8176"/>
              <w:tab w:val="right" w:pos="9026" w:leader="dot"/>
            </w:tabs>
            <w:rPr/>
          </w:pPr>
          <w:hyperlink w:anchor="__RefHeading___Toc3971243_1067777946">
            <w:r>
              <w:rPr>
                <w:webHidden/>
                <w:rStyle w:val="IndexLink"/>
                <w:rtl w:val="true"/>
              </w:rPr>
              <w:t>صور مختلفۀ شهادت بيّنه در فرض اختلاف</w:t>
            </w:r>
            <w:r>
              <w:rPr>
                <w:rStyle w:val="IndexLink"/>
                <w:rtl w:val="true"/>
              </w:rPr>
              <w:tab/>
            </w:r>
            <w:r>
              <w:rPr>
                <w:rStyle w:val="IndexLink"/>
              </w:rPr>
              <w:t>94</w:t>
            </w:r>
          </w:hyperlink>
        </w:p>
        <w:p>
          <w:pPr>
            <w:pStyle w:val="Contents4"/>
            <w:tabs>
              <w:tab w:val="clear" w:pos="8176"/>
              <w:tab w:val="right" w:pos="9026" w:leader="dot"/>
            </w:tabs>
            <w:rPr/>
          </w:pPr>
          <w:hyperlink w:anchor="__RefHeading___Toc3971245_1067777946">
            <w:r>
              <w:rPr>
                <w:webHidden/>
                <w:rStyle w:val="IndexLink"/>
                <w:rtl w:val="true"/>
              </w:rPr>
              <w:t>تخالف در ادعاى ملكيّت به بيع يا به ارث</w:t>
            </w:r>
            <w:r>
              <w:rPr>
                <w:rStyle w:val="IndexLink"/>
                <w:rtl w:val="true"/>
              </w:rPr>
              <w:tab/>
            </w:r>
            <w:r>
              <w:rPr>
                <w:rStyle w:val="IndexLink"/>
              </w:rPr>
              <w:t>95</w:t>
            </w:r>
          </w:hyperlink>
        </w:p>
        <w:p>
          <w:pPr>
            <w:pStyle w:val="Contents4"/>
            <w:tabs>
              <w:tab w:val="clear" w:pos="8176"/>
              <w:tab w:val="right" w:pos="9026" w:leader="dot"/>
            </w:tabs>
            <w:rPr/>
          </w:pPr>
          <w:hyperlink w:anchor="__RefHeading___Toc3971247_1067777946">
            <w:r>
              <w:rPr>
                <w:webHidden/>
                <w:rStyle w:val="IndexLink"/>
                <w:rtl w:val="true"/>
              </w:rPr>
              <w:t>ادعاى وديعه بودن توسط شريك</w:t>
            </w:r>
            <w:r>
              <w:rPr>
                <w:rStyle w:val="IndexLink"/>
                <w:rtl w:val="true"/>
              </w:rPr>
              <w:tab/>
            </w:r>
            <w:r>
              <w:rPr>
                <w:rStyle w:val="IndexLink"/>
              </w:rPr>
              <w:t>96</w:t>
            </w:r>
          </w:hyperlink>
        </w:p>
        <w:p>
          <w:pPr>
            <w:pStyle w:val="Contents4"/>
            <w:tabs>
              <w:tab w:val="clear" w:pos="8176"/>
              <w:tab w:val="right" w:pos="9026" w:leader="dot"/>
            </w:tabs>
            <w:rPr/>
          </w:pPr>
          <w:hyperlink w:anchor="__RefHeading___Toc3971249_1067777946">
            <w:r>
              <w:rPr>
                <w:webHidden/>
                <w:rStyle w:val="IndexLink"/>
                <w:rtl w:val="true"/>
              </w:rPr>
              <w:t>مناقشه در محكى از تذكره و دروس در فرق</w:t>
            </w:r>
            <w:r>
              <w:rPr>
                <w:rStyle w:val="IndexLink"/>
                <w:rtl w:val="true"/>
              </w:rPr>
              <w:tab/>
            </w:r>
            <w:r>
              <w:rPr>
                <w:rStyle w:val="IndexLink"/>
              </w:rPr>
              <w:t>96</w:t>
            </w:r>
          </w:hyperlink>
        </w:p>
        <w:p>
          <w:pPr>
            <w:pStyle w:val="Contents4"/>
            <w:tabs>
              <w:tab w:val="clear" w:pos="8176"/>
              <w:tab w:val="right" w:pos="9026" w:leader="dot"/>
            </w:tabs>
            <w:rPr/>
          </w:pPr>
          <w:hyperlink w:anchor="__RefHeading___Toc3971251_1067777946">
            <w:r>
              <w:rPr>
                <w:webHidden/>
                <w:rStyle w:val="IndexLink"/>
                <w:rtl w:val="true"/>
              </w:rPr>
              <w:t>تصادق بايع و مشترى بر غصبيت ثمن در بيع و لازمۀ آن</w:t>
            </w:r>
            <w:r>
              <w:rPr>
                <w:rStyle w:val="IndexLink"/>
                <w:rtl w:val="true"/>
              </w:rPr>
              <w:tab/>
            </w:r>
            <w:r>
              <w:rPr>
                <w:rStyle w:val="IndexLink"/>
              </w:rPr>
              <w:t>96</w:t>
            </w:r>
          </w:hyperlink>
        </w:p>
        <w:p>
          <w:pPr>
            <w:pStyle w:val="Contents4"/>
            <w:tabs>
              <w:tab w:val="clear" w:pos="8176"/>
              <w:tab w:val="right" w:pos="9026" w:leader="dot"/>
            </w:tabs>
            <w:rPr/>
          </w:pPr>
          <w:hyperlink w:anchor="__RefHeading___Toc3971253_1067777946">
            <w:r>
              <w:rPr>
                <w:webHidden/>
                <w:rStyle w:val="IndexLink"/>
                <w:rtl w:val="true"/>
              </w:rPr>
              <w:t>اقرار شفيع و مشترى بر غصبيت ثمن در بيع</w:t>
            </w:r>
            <w:r>
              <w:rPr>
                <w:rStyle w:val="IndexLink"/>
                <w:rtl w:val="true"/>
              </w:rPr>
              <w:tab/>
            </w:r>
            <w:r>
              <w:rPr>
                <w:rStyle w:val="IndexLink"/>
              </w:rPr>
              <w:t>97</w:t>
            </w:r>
          </w:hyperlink>
        </w:p>
        <w:p>
          <w:pPr>
            <w:pStyle w:val="Contents4"/>
            <w:tabs>
              <w:tab w:val="clear" w:pos="8176"/>
              <w:tab w:val="right" w:pos="9026" w:leader="dot"/>
            </w:tabs>
            <w:rPr/>
          </w:pPr>
          <w:hyperlink w:anchor="__RefHeading___Toc3971255_1067777946">
            <w:r>
              <w:rPr>
                <w:webHidden/>
                <w:rStyle w:val="IndexLink"/>
                <w:rtl w:val="true"/>
              </w:rPr>
              <w:t>ادعاى شراء شقص بر ذو اليد بر آن</w:t>
            </w:r>
            <w:r>
              <w:rPr>
                <w:rStyle w:val="IndexLink"/>
                <w:rtl w:val="true"/>
              </w:rPr>
              <w:tab/>
            </w:r>
            <w:r>
              <w:rPr>
                <w:rStyle w:val="IndexLink"/>
              </w:rPr>
              <w:t>97</w:t>
            </w:r>
          </w:hyperlink>
        </w:p>
        <w:p>
          <w:pPr>
            <w:pStyle w:val="Contents4"/>
            <w:tabs>
              <w:tab w:val="clear" w:pos="8176"/>
              <w:tab w:val="right" w:pos="9026" w:leader="dot"/>
            </w:tabs>
            <w:rPr/>
          </w:pPr>
          <w:hyperlink w:anchor="__RefHeading___Toc3971257_1067777946">
            <w:r>
              <w:rPr>
                <w:webHidden/>
                <w:rStyle w:val="IndexLink"/>
                <w:rtl w:val="true"/>
              </w:rPr>
              <w:t>ادعاى خريد براى طفل توسط مدّعى عليه</w:t>
            </w:r>
            <w:r>
              <w:rPr>
                <w:rStyle w:val="IndexLink"/>
                <w:rtl w:val="true"/>
              </w:rPr>
              <w:tab/>
            </w:r>
            <w:r>
              <w:rPr>
                <w:rStyle w:val="IndexLink"/>
              </w:rPr>
              <w:t>98</w:t>
            </w:r>
          </w:hyperlink>
        </w:p>
        <w:p>
          <w:pPr>
            <w:pStyle w:val="Contents4"/>
            <w:tabs>
              <w:tab w:val="clear" w:pos="8176"/>
              <w:tab w:val="right" w:pos="9026" w:leader="dot"/>
            </w:tabs>
            <w:rPr/>
          </w:pPr>
          <w:hyperlink w:anchor="__RefHeading___Toc3971259_1067777946">
            <w:r>
              <w:rPr>
                <w:webHidden/>
                <w:rStyle w:val="IndexLink"/>
                <w:rtl w:val="true"/>
              </w:rPr>
              <w:t>اقرار مدعى عليه به شراء با اعتراف به مالكيّت غير</w:t>
            </w:r>
            <w:r>
              <w:rPr>
                <w:rStyle w:val="IndexLink"/>
                <w:rtl w:val="true"/>
              </w:rPr>
              <w:tab/>
            </w:r>
            <w:r>
              <w:rPr>
                <w:rStyle w:val="IndexLink"/>
              </w:rPr>
              <w:t>98</w:t>
            </w:r>
          </w:hyperlink>
        </w:p>
        <w:p>
          <w:pPr>
            <w:pStyle w:val="Contents4"/>
            <w:tabs>
              <w:tab w:val="clear" w:pos="8176"/>
              <w:tab w:val="right" w:pos="9026" w:leader="dot"/>
            </w:tabs>
            <w:rPr/>
          </w:pPr>
          <w:hyperlink w:anchor="__RefHeading___Toc3971261_1067777946">
            <w:r>
              <w:rPr>
                <w:webHidden/>
                <w:rStyle w:val="IndexLink"/>
                <w:rtl w:val="true"/>
              </w:rPr>
              <w:t>انكار مالكيّت شفيع توسط مشترى</w:t>
            </w:r>
            <w:r>
              <w:rPr>
                <w:rStyle w:val="IndexLink"/>
                <w:rtl w:val="true"/>
              </w:rPr>
              <w:tab/>
            </w:r>
            <w:r>
              <w:rPr>
                <w:rStyle w:val="IndexLink"/>
              </w:rPr>
              <w:t>98</w:t>
            </w:r>
          </w:hyperlink>
        </w:p>
        <w:p>
          <w:pPr>
            <w:pStyle w:val="Contents4"/>
            <w:tabs>
              <w:tab w:val="clear" w:pos="8176"/>
              <w:tab w:val="right" w:pos="9026" w:leader="dot"/>
            </w:tabs>
            <w:rPr/>
          </w:pPr>
          <w:hyperlink w:anchor="__RefHeading___Toc3971263_1067777946">
            <w:r>
              <w:rPr>
                <w:webHidden/>
                <w:rStyle w:val="IndexLink"/>
                <w:rtl w:val="true"/>
              </w:rPr>
              <w:t>ادعاى عفو يك يا چند نفر از ورثه و اختلاف در آن</w:t>
            </w:r>
            <w:r>
              <w:rPr>
                <w:rStyle w:val="IndexLink"/>
                <w:rtl w:val="true"/>
              </w:rPr>
              <w:tab/>
            </w:r>
            <w:r>
              <w:rPr>
                <w:rStyle w:val="IndexLink"/>
              </w:rPr>
              <w:t>99</w:t>
            </w:r>
          </w:hyperlink>
        </w:p>
        <w:p>
          <w:pPr>
            <w:pStyle w:val="Contents4"/>
            <w:tabs>
              <w:tab w:val="clear" w:pos="8176"/>
              <w:tab w:val="right" w:pos="9026" w:leader="dot"/>
            </w:tabs>
            <w:rPr/>
          </w:pPr>
          <w:hyperlink w:anchor="__RefHeading___Toc3971265_1067777946">
            <w:r>
              <w:rPr>
                <w:webHidden/>
                <w:rStyle w:val="IndexLink"/>
                <w:rtl w:val="true"/>
              </w:rPr>
              <w:t>ادعاى عفو دو وارث شفعه</w:t>
            </w:r>
            <w:r>
              <w:rPr>
                <w:rStyle w:val="IndexLink"/>
                <w:rtl w:val="true"/>
              </w:rPr>
              <w:tab/>
            </w:r>
            <w:r>
              <w:rPr>
                <w:rStyle w:val="IndexLink"/>
              </w:rPr>
              <w:t>99</w:t>
            </w:r>
          </w:hyperlink>
        </w:p>
        <w:p>
          <w:pPr>
            <w:pStyle w:val="Contents4"/>
            <w:tabs>
              <w:tab w:val="clear" w:pos="8176"/>
              <w:tab w:val="right" w:pos="9026" w:leader="dot"/>
            </w:tabs>
            <w:rPr/>
          </w:pPr>
          <w:hyperlink w:anchor="__RefHeading___Toc3971267_1067777946">
            <w:r>
              <w:rPr>
                <w:webHidden/>
                <w:rStyle w:val="IndexLink"/>
                <w:rtl w:val="true"/>
              </w:rPr>
              <w:t>شهادت اجنبى به عفو يك نفر معيّن از دو وارث</w:t>
            </w:r>
            <w:r>
              <w:rPr>
                <w:rStyle w:val="IndexLink"/>
                <w:rtl w:val="true"/>
              </w:rPr>
              <w:tab/>
            </w:r>
            <w:r>
              <w:rPr>
                <w:rStyle w:val="IndexLink"/>
              </w:rPr>
              <w:t>100</w:t>
            </w:r>
          </w:hyperlink>
        </w:p>
        <w:p>
          <w:pPr>
            <w:pStyle w:val="Contents4"/>
            <w:tabs>
              <w:tab w:val="clear" w:pos="8176"/>
              <w:tab w:val="right" w:pos="9026" w:leader="dot"/>
            </w:tabs>
            <w:rPr/>
          </w:pPr>
          <w:hyperlink w:anchor="__RefHeading___Toc3971269_1067777946">
            <w:r>
              <w:rPr>
                <w:webHidden/>
                <w:rStyle w:val="IndexLink"/>
                <w:rtl w:val="true"/>
              </w:rPr>
              <w:t>اعتراف يكى از دو وارث به بطلان شراء</w:t>
            </w:r>
            <w:r>
              <w:rPr>
                <w:rStyle w:val="IndexLink"/>
                <w:rtl w:val="true"/>
              </w:rPr>
              <w:tab/>
            </w:r>
            <w:r>
              <w:rPr>
                <w:rStyle w:val="IndexLink"/>
              </w:rPr>
              <w:t>100</w:t>
            </w:r>
          </w:hyperlink>
        </w:p>
        <w:p>
          <w:pPr>
            <w:pStyle w:val="Contents4"/>
            <w:tabs>
              <w:tab w:val="clear" w:pos="8176"/>
              <w:tab w:val="right" w:pos="9026" w:leader="dot"/>
            </w:tabs>
            <w:rPr/>
          </w:pPr>
          <w:hyperlink w:anchor="__RefHeading___Toc3971271_1067777946">
            <w:r>
              <w:rPr>
                <w:webHidden/>
                <w:rStyle w:val="IndexLink"/>
                <w:rtl w:val="true"/>
              </w:rPr>
              <w:t>شهادت بايع بر عفو شفيع</w:t>
            </w:r>
            <w:r>
              <w:rPr>
                <w:rStyle w:val="IndexLink"/>
                <w:rtl w:val="true"/>
              </w:rPr>
              <w:tab/>
            </w:r>
            <w:r>
              <w:rPr>
                <w:rStyle w:val="IndexLink"/>
              </w:rPr>
              <w:t>100</w:t>
            </w:r>
          </w:hyperlink>
        </w:p>
        <w:p>
          <w:pPr>
            <w:pStyle w:val="Contents4"/>
            <w:tabs>
              <w:tab w:val="clear" w:pos="8176"/>
              <w:tab w:val="right" w:pos="9026" w:leader="dot"/>
            </w:tabs>
            <w:rPr/>
          </w:pPr>
          <w:hyperlink w:anchor="__RefHeading___Toc3971273_1067777946">
            <w:r>
              <w:rPr>
                <w:webHidden/>
                <w:rStyle w:val="IndexLink"/>
                <w:rtl w:val="true"/>
              </w:rPr>
              <w:t>طريق تملّك به شفعه</w:t>
            </w:r>
            <w:r>
              <w:rPr>
                <w:rStyle w:val="IndexLink"/>
                <w:rtl w:val="true"/>
              </w:rPr>
              <w:tab/>
            </w:r>
            <w:r>
              <w:rPr>
                <w:rStyle w:val="IndexLink"/>
              </w:rPr>
              <w:t>101</w:t>
            </w:r>
          </w:hyperlink>
        </w:p>
        <w:p>
          <w:pPr>
            <w:pStyle w:val="Contents2"/>
            <w:tabs>
              <w:tab w:val="clear" w:pos="8743"/>
              <w:tab w:val="right" w:pos="9026" w:leader="dot"/>
            </w:tabs>
            <w:rPr/>
          </w:pPr>
          <w:hyperlink w:anchor="__RefHeading___Toc3971275_1067777946">
            <w:r>
              <w:rPr>
                <w:webHidden/>
                <w:rStyle w:val="IndexLink"/>
                <w:rtl w:val="true"/>
              </w:rPr>
              <w:t>كتاب احياى موات</w:t>
            </w:r>
            <w:r>
              <w:rPr>
                <w:rStyle w:val="IndexLink"/>
                <w:rtl w:val="true"/>
              </w:rPr>
              <w:tab/>
            </w:r>
            <w:r>
              <w:rPr>
                <w:rStyle w:val="IndexLink"/>
              </w:rPr>
              <w:t>102</w:t>
            </w:r>
          </w:hyperlink>
        </w:p>
        <w:p>
          <w:pPr>
            <w:pStyle w:val="Contents3"/>
            <w:tabs>
              <w:tab w:val="clear" w:pos="8459"/>
              <w:tab w:val="right" w:pos="9026" w:leader="dot"/>
            </w:tabs>
            <w:rPr/>
          </w:pPr>
          <w:hyperlink w:anchor="__RefHeading___Toc3971277_1067777946">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971279_1067777946">
            <w:r>
              <w:rPr>
                <w:webHidden/>
                <w:rStyle w:val="IndexLink"/>
                <w:rtl w:val="true"/>
              </w:rPr>
              <w:t>فصل اوّل اقسام و احكام زمينها</w:t>
            </w:r>
            <w:r>
              <w:rPr>
                <w:rStyle w:val="IndexLink"/>
                <w:rtl w:val="true"/>
              </w:rPr>
              <w:tab/>
            </w:r>
            <w:r>
              <w:rPr>
                <w:rStyle w:val="IndexLink"/>
              </w:rPr>
              <w:t>104</w:t>
            </w:r>
          </w:hyperlink>
        </w:p>
        <w:p>
          <w:pPr>
            <w:pStyle w:val="Contents4"/>
            <w:tabs>
              <w:tab w:val="clear" w:pos="8176"/>
              <w:tab w:val="right" w:pos="9026" w:leader="dot"/>
            </w:tabs>
            <w:rPr/>
          </w:pPr>
          <w:hyperlink w:anchor="__RefHeading___Toc3971281_106777794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971283_1067777946">
            <w:r>
              <w:rPr>
                <w:webHidden/>
                <w:rStyle w:val="IndexLink"/>
                <w:rtl w:val="true"/>
              </w:rPr>
              <w:t>زمين موات</w:t>
            </w:r>
            <w:r>
              <w:rPr>
                <w:rStyle w:val="IndexLink"/>
                <w:rtl w:val="true"/>
              </w:rPr>
              <w:tab/>
            </w:r>
            <w:r>
              <w:rPr>
                <w:rStyle w:val="IndexLink"/>
              </w:rPr>
              <w:t>104</w:t>
            </w:r>
          </w:hyperlink>
        </w:p>
        <w:p>
          <w:pPr>
            <w:pStyle w:val="Contents4"/>
            <w:tabs>
              <w:tab w:val="clear" w:pos="8176"/>
              <w:tab w:val="right" w:pos="9026" w:leader="dot"/>
            </w:tabs>
            <w:rPr/>
          </w:pPr>
          <w:hyperlink w:anchor="__RefHeading___Toc3971285_1067777946">
            <w:r>
              <w:rPr>
                <w:webHidden/>
                <w:rStyle w:val="IndexLink"/>
                <w:rtl w:val="true"/>
              </w:rPr>
              <w:t>موات اصلى</w:t>
            </w:r>
            <w:r>
              <w:rPr>
                <w:rStyle w:val="IndexLink"/>
                <w:rtl w:val="true"/>
              </w:rPr>
              <w:tab/>
            </w:r>
            <w:r>
              <w:rPr>
                <w:rStyle w:val="IndexLink"/>
              </w:rPr>
              <w:t>105</w:t>
            </w:r>
          </w:hyperlink>
        </w:p>
        <w:p>
          <w:pPr>
            <w:pStyle w:val="Contents4"/>
            <w:tabs>
              <w:tab w:val="clear" w:pos="8176"/>
              <w:tab w:val="right" w:pos="9026" w:leader="dot"/>
            </w:tabs>
            <w:rPr/>
          </w:pPr>
          <w:hyperlink w:anchor="__RefHeading___Toc3971287_1067777946">
            <w:r>
              <w:rPr>
                <w:webHidden/>
                <w:rStyle w:val="IndexLink"/>
                <w:rtl w:val="true"/>
              </w:rPr>
              <w:t>موات بالعارض</w:t>
            </w:r>
            <w:r>
              <w:rPr>
                <w:rStyle w:val="IndexLink"/>
                <w:rtl w:val="true"/>
              </w:rPr>
              <w:tab/>
            </w:r>
            <w:r>
              <w:rPr>
                <w:rStyle w:val="IndexLink"/>
              </w:rPr>
              <w:t>105</w:t>
            </w:r>
          </w:hyperlink>
        </w:p>
        <w:p>
          <w:pPr>
            <w:pStyle w:val="Contents4"/>
            <w:tabs>
              <w:tab w:val="clear" w:pos="8176"/>
              <w:tab w:val="right" w:pos="9026" w:leader="dot"/>
            </w:tabs>
            <w:rPr/>
          </w:pPr>
          <w:hyperlink w:anchor="__RefHeading___Toc3971289_1067777946">
            <w:r>
              <w:rPr>
                <w:webHidden/>
                <w:rStyle w:val="IndexLink"/>
                <w:rtl w:val="true"/>
              </w:rPr>
              <w:t>اراضى عامره موات از مفتوح العنوه</w:t>
            </w:r>
            <w:r>
              <w:rPr>
                <w:rStyle w:val="IndexLink"/>
                <w:rtl w:val="true"/>
              </w:rPr>
              <w:tab/>
            </w:r>
            <w:r>
              <w:rPr>
                <w:rStyle w:val="IndexLink"/>
              </w:rPr>
              <w:t>106</w:t>
            </w:r>
          </w:hyperlink>
        </w:p>
        <w:p>
          <w:pPr>
            <w:pStyle w:val="Contents4"/>
            <w:tabs>
              <w:tab w:val="clear" w:pos="8176"/>
              <w:tab w:val="right" w:pos="9026" w:leader="dot"/>
            </w:tabs>
            <w:rPr/>
          </w:pPr>
          <w:hyperlink w:anchor="__RefHeading___Toc3971291_1067777946">
            <w:r>
              <w:rPr>
                <w:webHidden/>
                <w:rStyle w:val="IndexLink"/>
                <w:rtl w:val="true"/>
              </w:rPr>
              <w:t>زمين بى صاحب و مالك</w:t>
            </w:r>
            <w:r>
              <w:rPr>
                <w:rStyle w:val="IndexLink"/>
                <w:rtl w:val="true"/>
              </w:rPr>
              <w:tab/>
            </w:r>
            <w:r>
              <w:rPr>
                <w:rStyle w:val="IndexLink"/>
              </w:rPr>
              <w:t>107</w:t>
            </w:r>
          </w:hyperlink>
        </w:p>
        <w:p>
          <w:pPr>
            <w:pStyle w:val="Contents4"/>
            <w:tabs>
              <w:tab w:val="clear" w:pos="8176"/>
              <w:tab w:val="right" w:pos="9026" w:leader="dot"/>
            </w:tabs>
            <w:rPr/>
          </w:pPr>
          <w:hyperlink w:anchor="__RefHeading___Toc3971293_1067777946">
            <w:r>
              <w:rPr>
                <w:webHidden/>
                <w:rStyle w:val="IndexLink"/>
                <w:rtl w:val="true"/>
              </w:rPr>
              <w:t>خراب شدن اراضى معموره</w:t>
            </w:r>
            <w:r>
              <w:rPr>
                <w:rStyle w:val="IndexLink"/>
                <w:rtl w:val="true"/>
              </w:rPr>
              <w:tab/>
            </w:r>
            <w:r>
              <w:rPr>
                <w:rStyle w:val="IndexLink"/>
              </w:rPr>
              <w:t>107</w:t>
            </w:r>
          </w:hyperlink>
        </w:p>
        <w:p>
          <w:pPr>
            <w:pStyle w:val="Contents4"/>
            <w:tabs>
              <w:tab w:val="clear" w:pos="8176"/>
              <w:tab w:val="right" w:pos="9026" w:leader="dot"/>
            </w:tabs>
            <w:rPr/>
          </w:pPr>
          <w:hyperlink w:anchor="__RefHeading___Toc3971295_1067777946">
            <w:r>
              <w:rPr>
                <w:webHidden/>
                <w:rStyle w:val="IndexLink"/>
                <w:rtl w:val="true"/>
              </w:rPr>
              <w:t>عدم فرق بين مملوك به احيا و غير آن</w:t>
            </w:r>
            <w:r>
              <w:rPr>
                <w:rStyle w:val="IndexLink"/>
                <w:rtl w:val="true"/>
              </w:rPr>
              <w:tab/>
            </w:r>
            <w:r>
              <w:rPr>
                <w:rStyle w:val="IndexLink"/>
              </w:rPr>
              <w:t>108</w:t>
            </w:r>
          </w:hyperlink>
        </w:p>
        <w:p>
          <w:pPr>
            <w:pStyle w:val="Contents4"/>
            <w:tabs>
              <w:tab w:val="clear" w:pos="8176"/>
              <w:tab w:val="right" w:pos="9026" w:leader="dot"/>
            </w:tabs>
            <w:rPr/>
          </w:pPr>
          <w:hyperlink w:anchor="__RefHeading___Toc3971297_1067777946">
            <w:r>
              <w:rPr>
                <w:webHidden/>
                <w:rStyle w:val="IndexLink"/>
                <w:rtl w:val="true"/>
              </w:rPr>
              <w:t>اثاث و اجزاى باقى مانده بعد از خراب</w:t>
            </w:r>
            <w:r>
              <w:rPr>
                <w:rStyle w:val="IndexLink"/>
                <w:rtl w:val="true"/>
              </w:rPr>
              <w:tab/>
            </w:r>
            <w:r>
              <w:rPr>
                <w:rStyle w:val="IndexLink"/>
              </w:rPr>
              <w:t>108</w:t>
            </w:r>
          </w:hyperlink>
        </w:p>
        <w:p>
          <w:pPr>
            <w:pStyle w:val="Contents4"/>
            <w:tabs>
              <w:tab w:val="clear" w:pos="8176"/>
              <w:tab w:val="right" w:pos="9026" w:leader="dot"/>
            </w:tabs>
            <w:rPr/>
          </w:pPr>
          <w:hyperlink w:anchor="__RefHeading___Toc3971299_1067777946">
            <w:r>
              <w:rPr>
                <w:webHidden/>
                <w:rStyle w:val="IndexLink"/>
                <w:rtl w:val="true"/>
              </w:rPr>
              <w:t>خراب شدن زمين وقفى</w:t>
            </w:r>
            <w:r>
              <w:rPr>
                <w:rStyle w:val="IndexLink"/>
                <w:rtl w:val="true"/>
              </w:rPr>
              <w:tab/>
            </w:r>
            <w:r>
              <w:rPr>
                <w:rStyle w:val="IndexLink"/>
              </w:rPr>
              <w:t>109</w:t>
            </w:r>
          </w:hyperlink>
        </w:p>
        <w:p>
          <w:pPr>
            <w:pStyle w:val="Contents3"/>
            <w:tabs>
              <w:tab w:val="clear" w:pos="8459"/>
              <w:tab w:val="right" w:pos="9026" w:leader="dot"/>
            </w:tabs>
            <w:rPr/>
          </w:pPr>
          <w:hyperlink w:anchor="__RefHeading___Toc3971301_1067777946">
            <w:r>
              <w:rPr>
                <w:webHidden/>
                <w:rStyle w:val="IndexLink"/>
                <w:rtl w:val="true"/>
              </w:rPr>
              <w:t>فصل دوّم شرايط تملّك موات به احيا</w:t>
            </w:r>
            <w:r>
              <w:rPr>
                <w:rStyle w:val="IndexLink"/>
                <w:rtl w:val="true"/>
              </w:rPr>
              <w:tab/>
            </w:r>
            <w:r>
              <w:rPr>
                <w:rStyle w:val="IndexLink"/>
              </w:rPr>
              <w:t>110</w:t>
            </w:r>
          </w:hyperlink>
        </w:p>
        <w:p>
          <w:pPr>
            <w:pStyle w:val="Contents4"/>
            <w:tabs>
              <w:tab w:val="clear" w:pos="8176"/>
              <w:tab w:val="right" w:pos="9026" w:leader="dot"/>
            </w:tabs>
            <w:rPr/>
          </w:pPr>
          <w:hyperlink w:anchor="__RefHeading___Toc3971303_1067777946">
            <w:r>
              <w:rPr>
                <w:webHidden/>
                <w:rStyle w:val="IndexLink"/>
              </w:rPr>
              <w:t>1</w:t>
            </w:r>
            <w:r>
              <w:rPr>
                <w:rStyle w:val="IndexLink"/>
                <w:rtl w:val="true"/>
              </w:rPr>
              <w:t xml:space="preserve">. </w:t>
            </w:r>
            <w:r>
              <w:rPr>
                <w:rStyle w:val="IndexLink"/>
                <w:rtl w:val="true"/>
              </w:rPr>
              <w:t>نبودن زمين در يد مسلم يا مسالم</w:t>
            </w:r>
            <w:r>
              <w:rPr>
                <w:rStyle w:val="IndexLink"/>
                <w:rtl w:val="true"/>
              </w:rPr>
              <w:tab/>
            </w:r>
            <w:r>
              <w:rPr>
                <w:rStyle w:val="IndexLink"/>
              </w:rPr>
              <w:t>110</w:t>
            </w:r>
          </w:hyperlink>
        </w:p>
        <w:p>
          <w:pPr>
            <w:pStyle w:val="Contents4"/>
            <w:tabs>
              <w:tab w:val="clear" w:pos="8176"/>
              <w:tab w:val="right" w:pos="9026" w:leader="dot"/>
            </w:tabs>
            <w:rPr/>
          </w:pPr>
          <w:hyperlink w:anchor="__RefHeading___Toc3971305_1067777946">
            <w:r>
              <w:rPr>
                <w:webHidden/>
                <w:rStyle w:val="IndexLink"/>
              </w:rPr>
              <w:t>2</w:t>
            </w:r>
            <w:r>
              <w:rPr>
                <w:rStyle w:val="IndexLink"/>
                <w:rtl w:val="true"/>
              </w:rPr>
              <w:t xml:space="preserve">. </w:t>
            </w:r>
            <w:r>
              <w:rPr>
                <w:rStyle w:val="IndexLink"/>
                <w:rtl w:val="true"/>
              </w:rPr>
              <w:t>نبودن از حريم عامر</w:t>
            </w:r>
            <w:r>
              <w:rPr>
                <w:rStyle w:val="IndexLink"/>
                <w:rtl w:val="true"/>
              </w:rPr>
              <w:tab/>
            </w:r>
            <w:r>
              <w:rPr>
                <w:rStyle w:val="IndexLink"/>
              </w:rPr>
              <w:t>110</w:t>
            </w:r>
          </w:hyperlink>
        </w:p>
        <w:p>
          <w:pPr>
            <w:pStyle w:val="Contents5"/>
            <w:tabs>
              <w:tab w:val="clear" w:pos="7892"/>
              <w:tab w:val="right" w:pos="9026" w:leader="dot"/>
            </w:tabs>
            <w:rPr/>
          </w:pPr>
          <w:hyperlink w:anchor="__RefHeading___Toc3971307_1067777946">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971309_1067777946">
            <w:r>
              <w:rPr>
                <w:webHidden/>
                <w:rStyle w:val="IndexLink"/>
                <w:rtl w:val="true"/>
              </w:rPr>
              <w:t>حريم خانه</w:t>
            </w:r>
            <w:r>
              <w:rPr>
                <w:rStyle w:val="IndexLink"/>
                <w:rtl w:val="true"/>
              </w:rPr>
              <w:tab/>
            </w:r>
            <w:r>
              <w:rPr>
                <w:rStyle w:val="IndexLink"/>
              </w:rPr>
              <w:t>111</w:t>
            </w:r>
          </w:hyperlink>
        </w:p>
        <w:p>
          <w:pPr>
            <w:pStyle w:val="Contents5"/>
            <w:tabs>
              <w:tab w:val="clear" w:pos="7892"/>
              <w:tab w:val="right" w:pos="9026" w:leader="dot"/>
            </w:tabs>
            <w:rPr/>
          </w:pPr>
          <w:hyperlink w:anchor="__RefHeading___Toc3971311_1067777946">
            <w:r>
              <w:rPr>
                <w:webHidden/>
                <w:rStyle w:val="IndexLink"/>
                <w:rtl w:val="true"/>
              </w:rPr>
              <w:t>حريم قريه</w:t>
            </w:r>
            <w:r>
              <w:rPr>
                <w:rStyle w:val="IndexLink"/>
                <w:rtl w:val="true"/>
              </w:rPr>
              <w:tab/>
            </w:r>
            <w:r>
              <w:rPr>
                <w:rStyle w:val="IndexLink"/>
              </w:rPr>
              <w:t>111</w:t>
            </w:r>
          </w:hyperlink>
        </w:p>
        <w:p>
          <w:pPr>
            <w:pStyle w:val="Contents5"/>
            <w:tabs>
              <w:tab w:val="clear" w:pos="7892"/>
              <w:tab w:val="right" w:pos="9026" w:leader="dot"/>
            </w:tabs>
            <w:rPr/>
          </w:pPr>
          <w:hyperlink w:anchor="__RefHeading___Toc3971313_1067777946">
            <w:r>
              <w:rPr>
                <w:webHidden/>
                <w:rStyle w:val="IndexLink"/>
                <w:rtl w:val="true"/>
              </w:rPr>
              <w:t>جواز احياى غير عامر و حريم براى هر شخصى</w:t>
            </w:r>
            <w:r>
              <w:rPr>
                <w:rStyle w:val="IndexLink"/>
                <w:rtl w:val="true"/>
              </w:rPr>
              <w:tab/>
            </w:r>
            <w:r>
              <w:rPr>
                <w:rStyle w:val="IndexLink"/>
              </w:rPr>
              <w:t>112</w:t>
            </w:r>
          </w:hyperlink>
        </w:p>
        <w:p>
          <w:pPr>
            <w:pStyle w:val="Contents5"/>
            <w:tabs>
              <w:tab w:val="clear" w:pos="7892"/>
              <w:tab w:val="right" w:pos="9026" w:leader="dot"/>
            </w:tabs>
            <w:rPr/>
          </w:pPr>
          <w:hyperlink w:anchor="__RefHeading___Toc3971315_1067777946">
            <w:r>
              <w:rPr>
                <w:webHidden/>
                <w:rStyle w:val="IndexLink"/>
                <w:rtl w:val="true"/>
              </w:rPr>
              <w:t>حريم ديوار</w:t>
            </w:r>
            <w:r>
              <w:rPr>
                <w:rStyle w:val="IndexLink"/>
                <w:rtl w:val="true"/>
              </w:rPr>
              <w:tab/>
            </w:r>
            <w:r>
              <w:rPr>
                <w:rStyle w:val="IndexLink"/>
              </w:rPr>
              <w:t>112</w:t>
            </w:r>
          </w:hyperlink>
        </w:p>
        <w:p>
          <w:pPr>
            <w:pStyle w:val="Contents5"/>
            <w:tabs>
              <w:tab w:val="clear" w:pos="7892"/>
              <w:tab w:val="right" w:pos="9026" w:leader="dot"/>
            </w:tabs>
            <w:rPr/>
          </w:pPr>
          <w:hyperlink w:anchor="__RefHeading___Toc3971317_1067777946">
            <w:r>
              <w:rPr>
                <w:webHidden/>
                <w:rStyle w:val="IndexLink"/>
                <w:rtl w:val="true"/>
              </w:rPr>
              <w:t>حريم راه</w:t>
            </w:r>
            <w:r>
              <w:rPr>
                <w:rStyle w:val="IndexLink"/>
                <w:rtl w:val="true"/>
              </w:rPr>
              <w:tab/>
            </w:r>
            <w:r>
              <w:rPr>
                <w:rStyle w:val="IndexLink"/>
              </w:rPr>
              <w:t>112</w:t>
            </w:r>
          </w:hyperlink>
        </w:p>
        <w:p>
          <w:pPr>
            <w:pStyle w:val="Contents5"/>
            <w:tabs>
              <w:tab w:val="clear" w:pos="7892"/>
              <w:tab w:val="right" w:pos="9026" w:leader="dot"/>
            </w:tabs>
            <w:rPr/>
          </w:pPr>
          <w:hyperlink w:anchor="__RefHeading___Toc3971319_1067777946">
            <w:r>
              <w:rPr>
                <w:webHidden/>
                <w:rStyle w:val="IndexLink"/>
                <w:rtl w:val="true"/>
              </w:rPr>
              <w:t xml:space="preserve">مراد از طريق مبتكر در كلام فاضلين </w:t>
            </w:r>
            <w:r>
              <w:rPr>
                <w:rStyle w:val="IndexLink"/>
                <w:rtl w:val="true"/>
              </w:rPr>
              <w:t xml:space="preserve">- </w:t>
            </w:r>
            <w:r>
              <w:rPr>
                <w:rStyle w:val="IndexLink"/>
                <w:rtl w:val="true"/>
              </w:rPr>
              <w:t>قدس سرهما</w:t>
            </w:r>
            <w:r>
              <w:rPr>
                <w:rStyle w:val="IndexLink"/>
                <w:rtl w:val="true"/>
              </w:rPr>
              <w:tab/>
            </w:r>
            <w:r>
              <w:rPr>
                <w:rStyle w:val="IndexLink"/>
              </w:rPr>
              <w:t>113</w:t>
            </w:r>
          </w:hyperlink>
        </w:p>
        <w:p>
          <w:pPr>
            <w:pStyle w:val="Contents5"/>
            <w:tabs>
              <w:tab w:val="clear" w:pos="7892"/>
              <w:tab w:val="right" w:pos="9026" w:leader="dot"/>
            </w:tabs>
            <w:rPr/>
          </w:pPr>
          <w:hyperlink w:anchor="__RefHeading___Toc3971321_1067777946">
            <w:r>
              <w:rPr>
                <w:webHidden/>
                <w:rStyle w:val="IndexLink"/>
                <w:rtl w:val="true"/>
              </w:rPr>
              <w:t>انقطاع استطراق</w:t>
            </w:r>
            <w:r>
              <w:rPr>
                <w:rStyle w:val="IndexLink"/>
                <w:rtl w:val="true"/>
              </w:rPr>
              <w:tab/>
            </w:r>
            <w:r>
              <w:rPr>
                <w:rStyle w:val="IndexLink"/>
              </w:rPr>
              <w:t>113</w:t>
            </w:r>
          </w:hyperlink>
        </w:p>
        <w:p>
          <w:pPr>
            <w:pStyle w:val="Contents5"/>
            <w:tabs>
              <w:tab w:val="clear" w:pos="7892"/>
              <w:tab w:val="right" w:pos="9026" w:leader="dot"/>
            </w:tabs>
            <w:rPr/>
          </w:pPr>
          <w:hyperlink w:anchor="__RefHeading___Toc3971323_1067777946">
            <w:r>
              <w:rPr>
                <w:webHidden/>
                <w:rStyle w:val="IndexLink"/>
                <w:rtl w:val="true"/>
              </w:rPr>
              <w:t>حريم نهرها و قناتها</w:t>
            </w:r>
            <w:r>
              <w:rPr>
                <w:rStyle w:val="IndexLink"/>
                <w:rtl w:val="true"/>
              </w:rPr>
              <w:tab/>
            </w:r>
            <w:r>
              <w:rPr>
                <w:rStyle w:val="IndexLink"/>
              </w:rPr>
              <w:t>114</w:t>
            </w:r>
          </w:hyperlink>
        </w:p>
        <w:p>
          <w:pPr>
            <w:pStyle w:val="Contents5"/>
            <w:tabs>
              <w:tab w:val="clear" w:pos="7892"/>
              <w:tab w:val="right" w:pos="9026" w:leader="dot"/>
            </w:tabs>
            <w:rPr/>
          </w:pPr>
          <w:hyperlink w:anchor="__RefHeading___Toc3971325_1067777946">
            <w:r>
              <w:rPr>
                <w:webHidden/>
                <w:rStyle w:val="IndexLink"/>
                <w:rtl w:val="true"/>
              </w:rPr>
              <w:t>تنازع بين صاحب آب نهر و صاحب زمين اطراف</w:t>
            </w:r>
            <w:r>
              <w:rPr>
                <w:rStyle w:val="IndexLink"/>
                <w:rtl w:val="true"/>
              </w:rPr>
              <w:tab/>
            </w:r>
            <w:r>
              <w:rPr>
                <w:rStyle w:val="IndexLink"/>
              </w:rPr>
              <w:t>114</w:t>
            </w:r>
          </w:hyperlink>
        </w:p>
        <w:p>
          <w:pPr>
            <w:pStyle w:val="Contents5"/>
            <w:tabs>
              <w:tab w:val="clear" w:pos="7892"/>
              <w:tab w:val="right" w:pos="9026" w:leader="dot"/>
            </w:tabs>
            <w:rPr/>
          </w:pPr>
          <w:hyperlink w:anchor="__RefHeading___Toc3971327_1067777946">
            <w:r>
              <w:rPr>
                <w:webHidden/>
                <w:rStyle w:val="IndexLink"/>
                <w:rtl w:val="true"/>
              </w:rPr>
              <w:t>حريم چاه</w:t>
            </w:r>
            <w:r>
              <w:rPr>
                <w:rStyle w:val="IndexLink"/>
                <w:rtl w:val="true"/>
              </w:rPr>
              <w:tab/>
            </w:r>
            <w:r>
              <w:rPr>
                <w:rStyle w:val="IndexLink"/>
              </w:rPr>
              <w:t>114</w:t>
            </w:r>
          </w:hyperlink>
        </w:p>
        <w:p>
          <w:pPr>
            <w:pStyle w:val="Contents5"/>
            <w:tabs>
              <w:tab w:val="clear" w:pos="7892"/>
              <w:tab w:val="right" w:pos="9026" w:leader="dot"/>
            </w:tabs>
            <w:rPr/>
          </w:pPr>
          <w:hyperlink w:anchor="__RefHeading___Toc3971329_1067777946">
            <w:r>
              <w:rPr>
                <w:webHidden/>
                <w:rStyle w:val="IndexLink"/>
                <w:rtl w:val="true"/>
              </w:rPr>
              <w:t>حصول و ترتّب ضرر</w:t>
            </w:r>
            <w:r>
              <w:rPr>
                <w:rStyle w:val="IndexLink"/>
                <w:rtl w:val="true"/>
              </w:rPr>
              <w:tab/>
            </w:r>
            <w:r>
              <w:rPr>
                <w:rStyle w:val="IndexLink"/>
              </w:rPr>
              <w:t>115</w:t>
            </w:r>
          </w:hyperlink>
        </w:p>
        <w:p>
          <w:pPr>
            <w:pStyle w:val="Contents5"/>
            <w:tabs>
              <w:tab w:val="clear" w:pos="7892"/>
              <w:tab w:val="right" w:pos="9026" w:leader="dot"/>
            </w:tabs>
            <w:rPr/>
          </w:pPr>
          <w:hyperlink w:anchor="__RefHeading___Toc3971331_1067777946">
            <w:r>
              <w:rPr>
                <w:webHidden/>
                <w:rStyle w:val="IndexLink"/>
                <w:rtl w:val="true"/>
              </w:rPr>
              <w:t>حريم شاخه هاى درخت</w:t>
            </w:r>
            <w:r>
              <w:rPr>
                <w:rStyle w:val="IndexLink"/>
                <w:rtl w:val="true"/>
              </w:rPr>
              <w:tab/>
            </w:r>
            <w:r>
              <w:rPr>
                <w:rStyle w:val="IndexLink"/>
              </w:rPr>
              <w:t>115</w:t>
            </w:r>
          </w:hyperlink>
        </w:p>
        <w:p>
          <w:pPr>
            <w:pStyle w:val="Contents4"/>
            <w:tabs>
              <w:tab w:val="clear" w:pos="8176"/>
              <w:tab w:val="right" w:pos="9026" w:leader="dot"/>
            </w:tabs>
            <w:rPr/>
          </w:pPr>
          <w:hyperlink w:anchor="__RefHeading___Toc3971333_1067777946">
            <w:r>
              <w:rPr>
                <w:webHidden/>
                <w:rStyle w:val="IndexLink"/>
              </w:rPr>
              <w:t>3</w:t>
            </w:r>
            <w:r>
              <w:rPr>
                <w:rStyle w:val="IndexLink"/>
                <w:rtl w:val="true"/>
              </w:rPr>
              <w:t xml:space="preserve">. </w:t>
            </w:r>
            <w:r>
              <w:rPr>
                <w:rStyle w:val="IndexLink"/>
                <w:rtl w:val="true"/>
              </w:rPr>
              <w:t>نبودن از مشاهد و معابد</w:t>
            </w:r>
            <w:r>
              <w:rPr>
                <w:rStyle w:val="IndexLink"/>
                <w:rtl w:val="true"/>
              </w:rPr>
              <w:tab/>
            </w:r>
            <w:r>
              <w:rPr>
                <w:rStyle w:val="IndexLink"/>
              </w:rPr>
              <w:t>116</w:t>
            </w:r>
          </w:hyperlink>
        </w:p>
        <w:p>
          <w:pPr>
            <w:pStyle w:val="Contents4"/>
            <w:tabs>
              <w:tab w:val="clear" w:pos="8176"/>
              <w:tab w:val="right" w:pos="9026" w:leader="dot"/>
            </w:tabs>
            <w:rPr/>
          </w:pPr>
          <w:hyperlink w:anchor="__RefHeading___Toc3971335_1067777946">
            <w:r>
              <w:rPr>
                <w:webHidden/>
                <w:rStyle w:val="IndexLink"/>
              </w:rPr>
              <w:t>4</w:t>
            </w:r>
            <w:r>
              <w:rPr>
                <w:rStyle w:val="IndexLink"/>
                <w:rtl w:val="true"/>
              </w:rPr>
              <w:t xml:space="preserve">. </w:t>
            </w:r>
            <w:r>
              <w:rPr>
                <w:rStyle w:val="IndexLink"/>
                <w:rtl w:val="true"/>
              </w:rPr>
              <w:t>نبودن از موارد اقطاع امام اصل</w:t>
            </w:r>
            <w:r>
              <w:rPr>
                <w:rStyle w:val="IndexLink"/>
                <w:rtl w:val="true"/>
              </w:rPr>
              <w:tab/>
            </w:r>
            <w:r>
              <w:rPr>
                <w:rStyle w:val="IndexLink"/>
              </w:rPr>
              <w:t>116</w:t>
            </w:r>
          </w:hyperlink>
        </w:p>
        <w:p>
          <w:pPr>
            <w:pStyle w:val="Contents4"/>
            <w:tabs>
              <w:tab w:val="clear" w:pos="8176"/>
              <w:tab w:val="right" w:pos="9026" w:leader="dot"/>
            </w:tabs>
            <w:rPr/>
          </w:pPr>
          <w:hyperlink w:anchor="__RefHeading___Toc3971337_1067777946">
            <w:r>
              <w:rPr>
                <w:webHidden/>
                <w:rStyle w:val="IndexLink"/>
              </w:rPr>
              <w:t>5</w:t>
            </w:r>
            <w:r>
              <w:rPr>
                <w:rStyle w:val="IndexLink"/>
                <w:rtl w:val="true"/>
              </w:rPr>
              <w:t xml:space="preserve">. </w:t>
            </w:r>
            <w:r>
              <w:rPr>
                <w:rStyle w:val="IndexLink"/>
                <w:rtl w:val="true"/>
              </w:rPr>
              <w:t>عدم مسبوقيّت به تحجير و علامتگذارى غير</w:t>
            </w:r>
            <w:r>
              <w:rPr>
                <w:rStyle w:val="IndexLink"/>
                <w:rtl w:val="true"/>
              </w:rPr>
              <w:tab/>
            </w:r>
            <w:r>
              <w:rPr>
                <w:rStyle w:val="IndexLink"/>
              </w:rPr>
              <w:t>116</w:t>
            </w:r>
          </w:hyperlink>
        </w:p>
        <w:p>
          <w:pPr>
            <w:pStyle w:val="Contents5"/>
            <w:tabs>
              <w:tab w:val="clear" w:pos="7892"/>
              <w:tab w:val="right" w:pos="9026" w:leader="dot"/>
            </w:tabs>
            <w:rPr/>
          </w:pPr>
          <w:hyperlink w:anchor="__RefHeading___Toc3971339_1067777946">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971341_1067777946">
            <w:r>
              <w:rPr>
                <w:webHidden/>
                <w:rStyle w:val="IndexLink"/>
                <w:rtl w:val="true"/>
              </w:rPr>
              <w:t>اهمال محجّر در احيا</w:t>
            </w:r>
            <w:r>
              <w:rPr>
                <w:rStyle w:val="IndexLink"/>
                <w:rtl w:val="true"/>
              </w:rPr>
              <w:tab/>
            </w:r>
            <w:r>
              <w:rPr>
                <w:rStyle w:val="IndexLink"/>
              </w:rPr>
              <w:t>117</w:t>
            </w:r>
          </w:hyperlink>
        </w:p>
        <w:p>
          <w:pPr>
            <w:pStyle w:val="Contents4"/>
            <w:tabs>
              <w:tab w:val="clear" w:pos="8176"/>
              <w:tab w:val="right" w:pos="9026" w:leader="dot"/>
            </w:tabs>
            <w:rPr/>
          </w:pPr>
          <w:hyperlink w:anchor="__RefHeading___Toc3971343_1067777946">
            <w:r>
              <w:rPr>
                <w:webHidden/>
                <w:rStyle w:val="IndexLink"/>
              </w:rPr>
              <w:t>6</w:t>
            </w:r>
            <w:r>
              <w:rPr>
                <w:rStyle w:val="IndexLink"/>
                <w:rtl w:val="true"/>
              </w:rPr>
              <w:t xml:space="preserve">. </w:t>
            </w:r>
            <w:r>
              <w:rPr>
                <w:rStyle w:val="IndexLink"/>
                <w:rtl w:val="true"/>
              </w:rPr>
              <w:t>نبودن از قرقگاه نبى يا وصىّ او</w:t>
            </w:r>
            <w:r>
              <w:rPr>
                <w:rStyle w:val="IndexLink"/>
                <w:rtl w:val="true"/>
              </w:rPr>
              <w:tab/>
            </w:r>
            <w:r>
              <w:rPr>
                <w:rStyle w:val="IndexLink"/>
              </w:rPr>
              <w:t>117</w:t>
            </w:r>
          </w:hyperlink>
        </w:p>
        <w:p>
          <w:pPr>
            <w:pStyle w:val="Contents3"/>
            <w:tabs>
              <w:tab w:val="clear" w:pos="8459"/>
              <w:tab w:val="right" w:pos="9026" w:leader="dot"/>
            </w:tabs>
            <w:rPr/>
          </w:pPr>
          <w:hyperlink w:anchor="__RefHeading___Toc3971345_1067777946">
            <w:r>
              <w:rPr>
                <w:webHidden/>
                <w:rStyle w:val="IndexLink"/>
                <w:rtl w:val="true"/>
              </w:rPr>
              <w:t>فصل سوّم نحوه تحقق و صدق احيا</w:t>
            </w:r>
            <w:r>
              <w:rPr>
                <w:rStyle w:val="IndexLink"/>
                <w:rtl w:val="true"/>
              </w:rPr>
              <w:tab/>
            </w:r>
            <w:r>
              <w:rPr>
                <w:rStyle w:val="IndexLink"/>
              </w:rPr>
              <w:t>119</w:t>
            </w:r>
          </w:hyperlink>
        </w:p>
        <w:p>
          <w:pPr>
            <w:pStyle w:val="Contents4"/>
            <w:tabs>
              <w:tab w:val="clear" w:pos="8176"/>
              <w:tab w:val="right" w:pos="9026" w:leader="dot"/>
            </w:tabs>
            <w:rPr/>
          </w:pPr>
          <w:hyperlink w:anchor="__RefHeading___Toc3971347_1067777946">
            <w:r>
              <w:rPr>
                <w:webHidden/>
                <w:rStyle w:val="IndexLink"/>
                <w:rtl w:val="true"/>
              </w:rPr>
              <w:t>مقدّميّت تحجير</w:t>
            </w:r>
            <w:r>
              <w:rPr>
                <w:rStyle w:val="IndexLink"/>
                <w:rtl w:val="true"/>
              </w:rPr>
              <w:tab/>
            </w:r>
            <w:r>
              <w:rPr>
                <w:rStyle w:val="IndexLink"/>
              </w:rPr>
              <w:t>119</w:t>
            </w:r>
          </w:hyperlink>
        </w:p>
        <w:p>
          <w:pPr>
            <w:pStyle w:val="Contents4"/>
            <w:tabs>
              <w:tab w:val="clear" w:pos="8176"/>
              <w:tab w:val="right" w:pos="9026" w:leader="dot"/>
            </w:tabs>
            <w:rPr/>
          </w:pPr>
          <w:hyperlink w:anchor="__RefHeading___Toc3971349_1067777946">
            <w:r>
              <w:rPr>
                <w:webHidden/>
                <w:rStyle w:val="IndexLink"/>
                <w:rtl w:val="true"/>
              </w:rPr>
              <w:t>مملّكيّت احيا و ميزان صدق آن</w:t>
            </w:r>
            <w:r>
              <w:rPr>
                <w:rStyle w:val="IndexLink"/>
                <w:rtl w:val="true"/>
              </w:rPr>
              <w:tab/>
            </w:r>
            <w:r>
              <w:rPr>
                <w:rStyle w:val="IndexLink"/>
              </w:rPr>
              <w:t>119</w:t>
            </w:r>
          </w:hyperlink>
        </w:p>
        <w:p>
          <w:pPr>
            <w:pStyle w:val="Contents4"/>
            <w:tabs>
              <w:tab w:val="clear" w:pos="8176"/>
              <w:tab w:val="right" w:pos="9026" w:leader="dot"/>
            </w:tabs>
            <w:rPr/>
          </w:pPr>
          <w:hyperlink w:anchor="__RefHeading___Toc3971351_1067777946">
            <w:r>
              <w:rPr>
                <w:webHidden/>
                <w:rStyle w:val="IndexLink"/>
                <w:rtl w:val="true"/>
              </w:rPr>
              <w:t>ثبوت و عدم ثبوت اولويّت به وسيلۀ تحجير</w:t>
            </w:r>
            <w:r>
              <w:rPr>
                <w:rStyle w:val="IndexLink"/>
                <w:rtl w:val="true"/>
              </w:rPr>
              <w:tab/>
            </w:r>
            <w:r>
              <w:rPr>
                <w:rStyle w:val="IndexLink"/>
              </w:rPr>
              <w:t>120</w:t>
            </w:r>
          </w:hyperlink>
        </w:p>
        <w:p>
          <w:pPr>
            <w:pStyle w:val="Contents4"/>
            <w:tabs>
              <w:tab w:val="clear" w:pos="8176"/>
              <w:tab w:val="right" w:pos="9026" w:leader="dot"/>
            </w:tabs>
            <w:rPr/>
          </w:pPr>
          <w:hyperlink w:anchor="__RefHeading___Toc3971353_1067777946">
            <w:r>
              <w:rPr>
                <w:webHidden/>
                <w:rStyle w:val="IndexLink"/>
                <w:rtl w:val="true"/>
              </w:rPr>
              <w:t>انتقال تحجير</w:t>
            </w:r>
            <w:r>
              <w:rPr>
                <w:rStyle w:val="IndexLink"/>
                <w:rtl w:val="true"/>
              </w:rPr>
              <w:tab/>
            </w:r>
            <w:r>
              <w:rPr>
                <w:rStyle w:val="IndexLink"/>
              </w:rPr>
              <w:t>120</w:t>
            </w:r>
          </w:hyperlink>
        </w:p>
        <w:p>
          <w:pPr>
            <w:pStyle w:val="Contents4"/>
            <w:tabs>
              <w:tab w:val="clear" w:pos="8176"/>
              <w:tab w:val="right" w:pos="9026" w:leader="dot"/>
            </w:tabs>
            <w:rPr/>
          </w:pPr>
          <w:hyperlink w:anchor="__RefHeading___Toc3971355_1067777946">
            <w:r>
              <w:rPr>
                <w:webHidden/>
                <w:rStyle w:val="IndexLink"/>
                <w:rtl w:val="true"/>
              </w:rPr>
              <w:t>عدم لزوم قصد خصوصيت در احيا</w:t>
            </w:r>
            <w:r>
              <w:rPr>
                <w:rStyle w:val="IndexLink"/>
                <w:rtl w:val="true"/>
              </w:rPr>
              <w:tab/>
            </w:r>
            <w:r>
              <w:rPr>
                <w:rStyle w:val="IndexLink"/>
              </w:rPr>
              <w:t>120</w:t>
            </w:r>
          </w:hyperlink>
        </w:p>
        <w:p>
          <w:pPr>
            <w:pStyle w:val="Contents4"/>
            <w:tabs>
              <w:tab w:val="clear" w:pos="8176"/>
              <w:tab w:val="right" w:pos="9026" w:leader="dot"/>
            </w:tabs>
            <w:rPr/>
          </w:pPr>
          <w:hyperlink w:anchor="__RefHeading___Toc3971357_1067777946">
            <w:r>
              <w:rPr>
                <w:webHidden/>
                <w:rStyle w:val="IndexLink"/>
                <w:rtl w:val="true"/>
              </w:rPr>
              <w:t>اناطۀ تعيين حدود تحجير و احيا آن به قصد احيا</w:t>
            </w:r>
            <w:r>
              <w:rPr>
                <w:rStyle w:val="IndexLink"/>
                <w:rtl w:val="true"/>
              </w:rPr>
              <w:tab/>
            </w:r>
            <w:r>
              <w:rPr>
                <w:rStyle w:val="IndexLink"/>
              </w:rPr>
              <w:t>121</w:t>
            </w:r>
          </w:hyperlink>
        </w:p>
        <w:p>
          <w:pPr>
            <w:pStyle w:val="Contents4"/>
            <w:tabs>
              <w:tab w:val="clear" w:pos="8176"/>
              <w:tab w:val="right" w:pos="9026" w:leader="dot"/>
            </w:tabs>
            <w:rPr/>
          </w:pPr>
          <w:hyperlink w:anchor="__RefHeading___Toc3971359_1067777946">
            <w:r>
              <w:rPr>
                <w:webHidden/>
                <w:rStyle w:val="IndexLink"/>
                <w:rtl w:val="true"/>
              </w:rPr>
              <w:t>عدم لزوم مباشرت</w:t>
            </w:r>
            <w:r>
              <w:rPr>
                <w:rStyle w:val="IndexLink"/>
                <w:rtl w:val="true"/>
              </w:rPr>
              <w:tab/>
            </w:r>
            <w:r>
              <w:rPr>
                <w:rStyle w:val="IndexLink"/>
              </w:rPr>
              <w:t>121</w:t>
            </w:r>
          </w:hyperlink>
        </w:p>
        <w:p>
          <w:pPr>
            <w:pStyle w:val="Contents4"/>
            <w:tabs>
              <w:tab w:val="clear" w:pos="8176"/>
              <w:tab w:val="right" w:pos="9026" w:leader="dot"/>
            </w:tabs>
            <w:rPr/>
          </w:pPr>
          <w:hyperlink w:anchor="__RefHeading___Toc3971361_1067777946">
            <w:r>
              <w:rPr>
                <w:webHidden/>
                <w:rStyle w:val="IndexLink"/>
                <w:rtl w:val="true"/>
              </w:rPr>
              <w:t>از بين رفتن علامت تحجير</w:t>
            </w:r>
            <w:r>
              <w:rPr>
                <w:rStyle w:val="IndexLink"/>
                <w:rtl w:val="true"/>
              </w:rPr>
              <w:tab/>
            </w:r>
            <w:r>
              <w:rPr>
                <w:rStyle w:val="IndexLink"/>
              </w:rPr>
              <w:t>121</w:t>
            </w:r>
          </w:hyperlink>
        </w:p>
        <w:p>
          <w:pPr>
            <w:pStyle w:val="Contents4"/>
            <w:tabs>
              <w:tab w:val="clear" w:pos="8176"/>
              <w:tab w:val="right" w:pos="9026" w:leader="dot"/>
            </w:tabs>
            <w:rPr/>
          </w:pPr>
          <w:hyperlink w:anchor="__RefHeading___Toc3971363_1067777946">
            <w:r>
              <w:rPr>
                <w:webHidden/>
                <w:rStyle w:val="IndexLink"/>
                <w:rtl w:val="true"/>
              </w:rPr>
              <w:t>اهمال و تعطيل زمين توسط محجّر</w:t>
            </w:r>
            <w:r>
              <w:rPr>
                <w:rStyle w:val="IndexLink"/>
                <w:rtl w:val="true"/>
              </w:rPr>
              <w:tab/>
            </w:r>
            <w:r>
              <w:rPr>
                <w:rStyle w:val="IndexLink"/>
              </w:rPr>
              <w:t>121</w:t>
            </w:r>
          </w:hyperlink>
        </w:p>
        <w:p>
          <w:pPr>
            <w:pStyle w:val="Contents4"/>
            <w:tabs>
              <w:tab w:val="clear" w:pos="8176"/>
              <w:tab w:val="right" w:pos="9026" w:leader="dot"/>
            </w:tabs>
            <w:rPr/>
          </w:pPr>
          <w:hyperlink w:anchor="__RefHeading___Toc3971365_1067777946">
            <w:r>
              <w:rPr>
                <w:webHidden/>
                <w:rStyle w:val="IndexLink"/>
                <w:rtl w:val="true"/>
              </w:rPr>
              <w:t>اناطۀ مملّكيّت تحجير به امكان احيا</w:t>
            </w:r>
            <w:r>
              <w:rPr>
                <w:rStyle w:val="IndexLink"/>
                <w:rtl w:val="true"/>
              </w:rPr>
              <w:tab/>
            </w:r>
            <w:r>
              <w:rPr>
                <w:rStyle w:val="IndexLink"/>
              </w:rPr>
              <w:t>122</w:t>
            </w:r>
          </w:hyperlink>
        </w:p>
        <w:p>
          <w:pPr>
            <w:pStyle w:val="Contents4"/>
            <w:tabs>
              <w:tab w:val="clear" w:pos="8176"/>
              <w:tab w:val="right" w:pos="9026" w:leader="dot"/>
            </w:tabs>
            <w:rPr/>
          </w:pPr>
          <w:hyperlink w:anchor="__RefHeading___Toc3971367_1067777946">
            <w:r>
              <w:rPr>
                <w:webHidden/>
                <w:rStyle w:val="IndexLink"/>
                <w:rtl w:val="true"/>
              </w:rPr>
              <w:t>اناطۀ تحقق احيا به رساندن زمين به حدّ قابليّت فعلى</w:t>
            </w:r>
            <w:r>
              <w:rPr>
                <w:rStyle w:val="IndexLink"/>
                <w:rtl w:val="true"/>
              </w:rPr>
              <w:tab/>
            </w:r>
            <w:r>
              <w:rPr>
                <w:rStyle w:val="IndexLink"/>
              </w:rPr>
              <w:t>122</w:t>
            </w:r>
          </w:hyperlink>
        </w:p>
        <w:p>
          <w:pPr>
            <w:pStyle w:val="Contents3"/>
            <w:tabs>
              <w:tab w:val="clear" w:pos="8459"/>
              <w:tab w:val="right" w:pos="9026" w:leader="dot"/>
            </w:tabs>
            <w:rPr/>
          </w:pPr>
          <w:hyperlink w:anchor="__RefHeading___Toc3971369_1067777946">
            <w:r>
              <w:rPr>
                <w:webHidden/>
                <w:rStyle w:val="IndexLink"/>
                <w:rtl w:val="true"/>
              </w:rPr>
              <w:t>فصل چهارم امور مشتركة المنافع</w:t>
            </w:r>
            <w:r>
              <w:rPr>
                <w:rStyle w:val="IndexLink"/>
                <w:rtl w:val="true"/>
              </w:rPr>
              <w:tab/>
            </w:r>
            <w:r>
              <w:rPr>
                <w:rStyle w:val="IndexLink"/>
              </w:rPr>
              <w:t>124</w:t>
            </w:r>
          </w:hyperlink>
        </w:p>
        <w:p>
          <w:pPr>
            <w:pStyle w:val="Contents4"/>
            <w:tabs>
              <w:tab w:val="clear" w:pos="8176"/>
              <w:tab w:val="right" w:pos="9026" w:leader="dot"/>
            </w:tabs>
            <w:rPr/>
          </w:pPr>
          <w:hyperlink w:anchor="__RefHeading___Toc3971371_106777794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971373_1067777946">
            <w:r>
              <w:rPr>
                <w:webHidden/>
                <w:rStyle w:val="IndexLink"/>
              </w:rPr>
              <w:t>1</w:t>
            </w:r>
            <w:r>
              <w:rPr>
                <w:rStyle w:val="IndexLink"/>
                <w:rtl w:val="true"/>
              </w:rPr>
              <w:t xml:space="preserve">. </w:t>
            </w:r>
            <w:r>
              <w:rPr>
                <w:rStyle w:val="IndexLink"/>
                <w:rtl w:val="true"/>
              </w:rPr>
              <w:t>طُرُق و احكام آن</w:t>
            </w:r>
            <w:r>
              <w:rPr>
                <w:rStyle w:val="IndexLink"/>
                <w:rtl w:val="true"/>
              </w:rPr>
              <w:tab/>
            </w:r>
            <w:r>
              <w:rPr>
                <w:rStyle w:val="IndexLink"/>
              </w:rPr>
              <w:t>124</w:t>
            </w:r>
          </w:hyperlink>
        </w:p>
        <w:p>
          <w:pPr>
            <w:pStyle w:val="Contents5"/>
            <w:tabs>
              <w:tab w:val="clear" w:pos="7892"/>
              <w:tab w:val="right" w:pos="9026" w:leader="dot"/>
            </w:tabs>
            <w:rPr/>
          </w:pPr>
          <w:hyperlink w:anchor="__RefHeading___Toc3971375_1067777946">
            <w:r>
              <w:rPr>
                <w:webHidden/>
                <w:rStyle w:val="IndexLink"/>
                <w:rtl w:val="true"/>
              </w:rPr>
              <w:t>اشتراك عموم در طرق</w:t>
            </w:r>
            <w:r>
              <w:rPr>
                <w:rStyle w:val="IndexLink"/>
                <w:rtl w:val="true"/>
              </w:rPr>
              <w:tab/>
            </w:r>
            <w:r>
              <w:rPr>
                <w:rStyle w:val="IndexLink"/>
              </w:rPr>
              <w:t>124</w:t>
            </w:r>
          </w:hyperlink>
        </w:p>
        <w:p>
          <w:pPr>
            <w:pStyle w:val="Contents5"/>
            <w:tabs>
              <w:tab w:val="clear" w:pos="7892"/>
              <w:tab w:val="right" w:pos="9026" w:leader="dot"/>
            </w:tabs>
            <w:rPr/>
          </w:pPr>
          <w:hyperlink w:anchor="__RefHeading___Toc3971377_1067777946">
            <w:r>
              <w:rPr>
                <w:webHidden/>
                <w:rStyle w:val="IndexLink"/>
                <w:rtl w:val="true"/>
              </w:rPr>
              <w:t>ميزان تصرّف در طرق</w:t>
            </w:r>
            <w:r>
              <w:rPr>
                <w:rStyle w:val="IndexLink"/>
                <w:rtl w:val="true"/>
              </w:rPr>
              <w:tab/>
            </w:r>
            <w:r>
              <w:rPr>
                <w:rStyle w:val="IndexLink"/>
              </w:rPr>
              <w:t>124</w:t>
            </w:r>
          </w:hyperlink>
        </w:p>
        <w:p>
          <w:pPr>
            <w:pStyle w:val="Contents5"/>
            <w:tabs>
              <w:tab w:val="clear" w:pos="7892"/>
              <w:tab w:val="right" w:pos="9026" w:leader="dot"/>
            </w:tabs>
            <w:rPr/>
          </w:pPr>
          <w:hyperlink w:anchor="__RefHeading___Toc3971379_1067777946">
            <w:r>
              <w:rPr>
                <w:webHidden/>
                <w:rStyle w:val="IndexLink"/>
                <w:rtl w:val="true"/>
              </w:rPr>
              <w:t>گذاردن رحل و تأثير آن در جواز عود به محل</w:t>
            </w:r>
            <w:r>
              <w:rPr>
                <w:rStyle w:val="IndexLink"/>
                <w:rtl w:val="true"/>
              </w:rPr>
              <w:tab/>
            </w:r>
            <w:r>
              <w:rPr>
                <w:rStyle w:val="IndexLink"/>
              </w:rPr>
              <w:t>125</w:t>
            </w:r>
          </w:hyperlink>
        </w:p>
        <w:p>
          <w:pPr>
            <w:pStyle w:val="Contents5"/>
            <w:tabs>
              <w:tab w:val="clear" w:pos="7892"/>
              <w:tab w:val="right" w:pos="9026" w:leader="dot"/>
            </w:tabs>
            <w:rPr/>
          </w:pPr>
          <w:hyperlink w:anchor="__RefHeading___Toc3971381_1067777946">
            <w:r>
              <w:rPr>
                <w:webHidden/>
                <w:rStyle w:val="IndexLink"/>
                <w:rtl w:val="true"/>
              </w:rPr>
              <w:t>نصب سايه بان و امثال آن در جاده</w:t>
            </w:r>
            <w:r>
              <w:rPr>
                <w:rStyle w:val="IndexLink"/>
                <w:rtl w:val="true"/>
              </w:rPr>
              <w:tab/>
            </w:r>
            <w:r>
              <w:rPr>
                <w:rStyle w:val="IndexLink"/>
              </w:rPr>
              <w:t>125</w:t>
            </w:r>
          </w:hyperlink>
        </w:p>
        <w:p>
          <w:pPr>
            <w:pStyle w:val="Contents5"/>
            <w:tabs>
              <w:tab w:val="clear" w:pos="7892"/>
              <w:tab w:val="right" w:pos="9026" w:leader="dot"/>
            </w:tabs>
            <w:rPr/>
          </w:pPr>
          <w:hyperlink w:anchor="__RefHeading___Toc3971383_1067777946">
            <w:r>
              <w:rPr>
                <w:webHidden/>
                <w:rStyle w:val="IndexLink"/>
                <w:rtl w:val="true"/>
              </w:rPr>
              <w:t>اناطۀ جواز تصرّف به عدم معلوميّت ضرر</w:t>
            </w:r>
            <w:r>
              <w:rPr>
                <w:rStyle w:val="IndexLink"/>
                <w:rtl w:val="true"/>
              </w:rPr>
              <w:tab/>
            </w:r>
            <w:r>
              <w:rPr>
                <w:rStyle w:val="IndexLink"/>
              </w:rPr>
              <w:t>125</w:t>
            </w:r>
          </w:hyperlink>
        </w:p>
        <w:p>
          <w:pPr>
            <w:pStyle w:val="Contents5"/>
            <w:tabs>
              <w:tab w:val="clear" w:pos="7892"/>
              <w:tab w:val="right" w:pos="9026" w:leader="dot"/>
            </w:tabs>
            <w:rPr/>
          </w:pPr>
          <w:hyperlink w:anchor="__RefHeading___Toc3971385_1067777946">
            <w:r>
              <w:rPr>
                <w:webHidden/>
                <w:rStyle w:val="IndexLink"/>
                <w:rtl w:val="true"/>
              </w:rPr>
              <w:t>تصرّفاتى كه مصلحت طريق در آنها باشد</w:t>
            </w:r>
            <w:r>
              <w:rPr>
                <w:rStyle w:val="IndexLink"/>
                <w:rtl w:val="true"/>
              </w:rPr>
              <w:tab/>
            </w:r>
            <w:r>
              <w:rPr>
                <w:rStyle w:val="IndexLink"/>
              </w:rPr>
              <w:t>126</w:t>
            </w:r>
          </w:hyperlink>
        </w:p>
        <w:p>
          <w:pPr>
            <w:pStyle w:val="Contents5"/>
            <w:tabs>
              <w:tab w:val="clear" w:pos="7892"/>
              <w:tab w:val="right" w:pos="9026" w:leader="dot"/>
            </w:tabs>
            <w:rPr/>
          </w:pPr>
          <w:hyperlink w:anchor="__RefHeading___Toc3971387_1067777946">
            <w:r>
              <w:rPr>
                <w:webHidden/>
                <w:rStyle w:val="IndexLink"/>
                <w:rtl w:val="true"/>
              </w:rPr>
              <w:t>عدم جواز تحجير براى تملّك در مشتركات</w:t>
            </w:r>
            <w:r>
              <w:rPr>
                <w:rStyle w:val="IndexLink"/>
                <w:rtl w:val="true"/>
              </w:rPr>
              <w:tab/>
            </w:r>
            <w:r>
              <w:rPr>
                <w:rStyle w:val="IndexLink"/>
              </w:rPr>
              <w:t>126</w:t>
            </w:r>
          </w:hyperlink>
        </w:p>
        <w:p>
          <w:pPr>
            <w:pStyle w:val="Contents5"/>
            <w:tabs>
              <w:tab w:val="clear" w:pos="7892"/>
              <w:tab w:val="right" w:pos="9026" w:leader="dot"/>
            </w:tabs>
            <w:rPr/>
          </w:pPr>
          <w:hyperlink w:anchor="__RefHeading___Toc3971389_1067777946">
            <w:r>
              <w:rPr>
                <w:webHidden/>
                <w:rStyle w:val="IndexLink"/>
                <w:rtl w:val="true"/>
              </w:rPr>
              <w:t>سبقت دو نفر در انتفاع مشتركات</w:t>
            </w:r>
            <w:r>
              <w:rPr>
                <w:rStyle w:val="IndexLink"/>
                <w:rtl w:val="true"/>
              </w:rPr>
              <w:tab/>
            </w:r>
            <w:r>
              <w:rPr>
                <w:rStyle w:val="IndexLink"/>
              </w:rPr>
              <w:t>126</w:t>
            </w:r>
          </w:hyperlink>
        </w:p>
        <w:p>
          <w:pPr>
            <w:pStyle w:val="Contents5"/>
            <w:tabs>
              <w:tab w:val="clear" w:pos="7892"/>
              <w:tab w:val="right" w:pos="9026" w:leader="dot"/>
            </w:tabs>
            <w:rPr/>
          </w:pPr>
          <w:hyperlink w:anchor="__RefHeading___Toc3971391_1067777946">
            <w:r>
              <w:rPr>
                <w:webHidden/>
                <w:rStyle w:val="IndexLink"/>
                <w:rtl w:val="true"/>
              </w:rPr>
              <w:t>تصرّف در فضاى طرق</w:t>
            </w:r>
            <w:r>
              <w:rPr>
                <w:rStyle w:val="IndexLink"/>
                <w:rtl w:val="true"/>
              </w:rPr>
              <w:tab/>
            </w:r>
            <w:r>
              <w:rPr>
                <w:rStyle w:val="IndexLink"/>
              </w:rPr>
              <w:t>127</w:t>
            </w:r>
          </w:hyperlink>
        </w:p>
        <w:p>
          <w:pPr>
            <w:pStyle w:val="Contents5"/>
            <w:tabs>
              <w:tab w:val="clear" w:pos="7892"/>
              <w:tab w:val="right" w:pos="9026" w:leader="dot"/>
            </w:tabs>
            <w:rPr/>
          </w:pPr>
          <w:hyperlink w:anchor="__RefHeading___Toc3971393_1067777946">
            <w:r>
              <w:rPr>
                <w:webHidden/>
                <w:rStyle w:val="IndexLink"/>
                <w:rtl w:val="true"/>
              </w:rPr>
              <w:t>راه اختصاصى</w:t>
            </w:r>
            <w:r>
              <w:rPr>
                <w:rStyle w:val="IndexLink"/>
                <w:rtl w:val="true"/>
              </w:rPr>
              <w:tab/>
            </w:r>
            <w:r>
              <w:rPr>
                <w:rStyle w:val="IndexLink"/>
              </w:rPr>
              <w:t>127</w:t>
            </w:r>
          </w:hyperlink>
        </w:p>
        <w:p>
          <w:pPr>
            <w:pStyle w:val="Contents5"/>
            <w:tabs>
              <w:tab w:val="clear" w:pos="7892"/>
              <w:tab w:val="right" w:pos="9026" w:leader="dot"/>
            </w:tabs>
            <w:rPr/>
          </w:pPr>
          <w:hyperlink w:anchor="__RefHeading___Toc3971395_1067777946">
            <w:r>
              <w:rPr>
                <w:webHidden/>
                <w:rStyle w:val="IndexLink"/>
                <w:rtl w:val="true"/>
              </w:rPr>
              <w:t>نحوۀ اشتراك در راه غير نافذ</w:t>
            </w:r>
            <w:r>
              <w:rPr>
                <w:rStyle w:val="IndexLink"/>
                <w:rtl w:val="true"/>
              </w:rPr>
              <w:tab/>
            </w:r>
            <w:r>
              <w:rPr>
                <w:rStyle w:val="IndexLink"/>
              </w:rPr>
              <w:t>127</w:t>
            </w:r>
          </w:hyperlink>
        </w:p>
        <w:p>
          <w:pPr>
            <w:pStyle w:val="Contents5"/>
            <w:tabs>
              <w:tab w:val="clear" w:pos="7892"/>
              <w:tab w:val="right" w:pos="9026" w:leader="dot"/>
            </w:tabs>
            <w:rPr/>
          </w:pPr>
          <w:hyperlink w:anchor="__RefHeading___Toc3971397_1067777946">
            <w:r>
              <w:rPr>
                <w:webHidden/>
                <w:rStyle w:val="IndexLink"/>
                <w:rtl w:val="true"/>
              </w:rPr>
              <w:t>اناطۀ فتح باب به اذن همه به خلاف پنجره</w:t>
            </w:r>
            <w:r>
              <w:rPr>
                <w:rStyle w:val="IndexLink"/>
                <w:rtl w:val="true"/>
              </w:rPr>
              <w:tab/>
            </w:r>
            <w:r>
              <w:rPr>
                <w:rStyle w:val="IndexLink"/>
              </w:rPr>
              <w:t>128</w:t>
            </w:r>
          </w:hyperlink>
        </w:p>
        <w:p>
          <w:pPr>
            <w:pStyle w:val="Contents5"/>
            <w:tabs>
              <w:tab w:val="clear" w:pos="7892"/>
              <w:tab w:val="right" w:pos="9026" w:leader="dot"/>
            </w:tabs>
            <w:rPr/>
          </w:pPr>
          <w:hyperlink w:anchor="__RefHeading___Toc3971399_1067777946">
            <w:r>
              <w:rPr>
                <w:webHidden/>
                <w:rStyle w:val="IndexLink"/>
                <w:rtl w:val="true"/>
              </w:rPr>
              <w:t>نحوۀ محقق شدن راه عمومى</w:t>
            </w:r>
            <w:r>
              <w:rPr>
                <w:rStyle w:val="IndexLink"/>
                <w:rtl w:val="true"/>
              </w:rPr>
              <w:tab/>
            </w:r>
            <w:r>
              <w:rPr>
                <w:rStyle w:val="IndexLink"/>
              </w:rPr>
              <w:t>128</w:t>
            </w:r>
          </w:hyperlink>
        </w:p>
        <w:p>
          <w:pPr>
            <w:pStyle w:val="Contents4"/>
            <w:tabs>
              <w:tab w:val="clear" w:pos="8176"/>
              <w:tab w:val="right" w:pos="9026" w:leader="dot"/>
            </w:tabs>
            <w:rPr/>
          </w:pPr>
          <w:hyperlink w:anchor="__RefHeading___Toc3971401_1067777946">
            <w:r>
              <w:rPr>
                <w:webHidden/>
                <w:rStyle w:val="IndexLink"/>
              </w:rPr>
              <w:t>2</w:t>
            </w:r>
            <w:r>
              <w:rPr>
                <w:rStyle w:val="IndexLink"/>
                <w:rtl w:val="true"/>
              </w:rPr>
              <w:t xml:space="preserve">. </w:t>
            </w:r>
            <w:r>
              <w:rPr>
                <w:rStyle w:val="IndexLink"/>
                <w:rtl w:val="true"/>
              </w:rPr>
              <w:t>مساجد و احكام آن</w:t>
            </w:r>
            <w:r>
              <w:rPr>
                <w:rStyle w:val="IndexLink"/>
                <w:rtl w:val="true"/>
              </w:rPr>
              <w:tab/>
            </w:r>
            <w:r>
              <w:rPr>
                <w:rStyle w:val="IndexLink"/>
              </w:rPr>
              <w:t>130</w:t>
            </w:r>
          </w:hyperlink>
        </w:p>
        <w:p>
          <w:pPr>
            <w:pStyle w:val="Contents5"/>
            <w:tabs>
              <w:tab w:val="clear" w:pos="7892"/>
              <w:tab w:val="right" w:pos="9026" w:leader="dot"/>
            </w:tabs>
            <w:rPr/>
          </w:pPr>
          <w:hyperlink w:anchor="__RefHeading___Toc3971403_1067777946">
            <w:r>
              <w:rPr>
                <w:webHidden/>
                <w:rStyle w:val="IndexLink"/>
                <w:rtl w:val="true"/>
              </w:rPr>
              <w:t>سبقت در اخذ مكان در مسجد</w:t>
            </w:r>
            <w:r>
              <w:rPr>
                <w:rStyle w:val="IndexLink"/>
                <w:rtl w:val="true"/>
              </w:rPr>
              <w:tab/>
            </w:r>
            <w:r>
              <w:rPr>
                <w:rStyle w:val="IndexLink"/>
              </w:rPr>
              <w:t>130</w:t>
            </w:r>
          </w:hyperlink>
        </w:p>
        <w:p>
          <w:pPr>
            <w:pStyle w:val="Contents5"/>
            <w:tabs>
              <w:tab w:val="clear" w:pos="7892"/>
              <w:tab w:val="right" w:pos="9026" w:leader="dot"/>
            </w:tabs>
            <w:rPr/>
          </w:pPr>
          <w:hyperlink w:anchor="__RefHeading___Toc3971405_1067777946">
            <w:r>
              <w:rPr>
                <w:webHidden/>
                <w:rStyle w:val="IndexLink"/>
                <w:rtl w:val="true"/>
              </w:rPr>
              <w:t>لزوم عدم مزاحمت با نماز، قرائت قرآن و تدريس</w:t>
            </w:r>
            <w:r>
              <w:rPr>
                <w:rStyle w:val="IndexLink"/>
                <w:rtl w:val="true"/>
              </w:rPr>
              <w:tab/>
            </w:r>
            <w:r>
              <w:rPr>
                <w:rStyle w:val="IndexLink"/>
              </w:rPr>
              <w:t>130</w:t>
            </w:r>
          </w:hyperlink>
        </w:p>
        <w:p>
          <w:pPr>
            <w:pStyle w:val="Contents5"/>
            <w:tabs>
              <w:tab w:val="clear" w:pos="7892"/>
              <w:tab w:val="right" w:pos="9026" w:leader="dot"/>
            </w:tabs>
            <w:rPr/>
          </w:pPr>
          <w:hyperlink w:anchor="__RefHeading___Toc3971407_1067777946">
            <w:r>
              <w:rPr>
                <w:webHidden/>
                <w:rStyle w:val="IndexLink"/>
                <w:rtl w:val="true"/>
              </w:rPr>
              <w:t>رفع يد از مكان در مسجد</w:t>
            </w:r>
            <w:r>
              <w:rPr>
                <w:rStyle w:val="IndexLink"/>
                <w:rtl w:val="true"/>
              </w:rPr>
              <w:tab/>
            </w:r>
            <w:r>
              <w:rPr>
                <w:rStyle w:val="IndexLink"/>
              </w:rPr>
              <w:t>130</w:t>
            </w:r>
          </w:hyperlink>
        </w:p>
        <w:p>
          <w:pPr>
            <w:pStyle w:val="Contents5"/>
            <w:tabs>
              <w:tab w:val="clear" w:pos="7892"/>
              <w:tab w:val="right" w:pos="9026" w:leader="dot"/>
            </w:tabs>
            <w:rPr/>
          </w:pPr>
          <w:hyperlink w:anchor="__RefHeading___Toc3971409_1067777946">
            <w:r>
              <w:rPr>
                <w:webHidden/>
                <w:rStyle w:val="IndexLink"/>
                <w:rtl w:val="true"/>
              </w:rPr>
              <w:t>تصرّف در مكان ديگرى با رسيدن وقت نماز</w:t>
            </w:r>
            <w:r>
              <w:rPr>
                <w:rStyle w:val="IndexLink"/>
                <w:rtl w:val="true"/>
              </w:rPr>
              <w:tab/>
            </w:r>
            <w:r>
              <w:rPr>
                <w:rStyle w:val="IndexLink"/>
              </w:rPr>
              <w:t>131</w:t>
            </w:r>
          </w:hyperlink>
        </w:p>
        <w:p>
          <w:pPr>
            <w:pStyle w:val="Contents5"/>
            <w:tabs>
              <w:tab w:val="clear" w:pos="7892"/>
              <w:tab w:val="right" w:pos="9026" w:leader="dot"/>
            </w:tabs>
            <w:rPr/>
          </w:pPr>
          <w:hyperlink w:anchor="__RefHeading___Toc3971411_1067777946">
            <w:r>
              <w:rPr>
                <w:webHidden/>
                <w:rStyle w:val="IndexLink"/>
                <w:rtl w:val="true"/>
              </w:rPr>
              <w:t>آن چه با آن حق سبق يا بقاى آن حادث مى شود</w:t>
            </w:r>
            <w:r>
              <w:rPr>
                <w:rStyle w:val="IndexLink"/>
                <w:rtl w:val="true"/>
              </w:rPr>
              <w:tab/>
            </w:r>
            <w:r>
              <w:rPr>
                <w:rStyle w:val="IndexLink"/>
              </w:rPr>
              <w:t>131</w:t>
            </w:r>
          </w:hyperlink>
        </w:p>
        <w:p>
          <w:pPr>
            <w:pStyle w:val="Contents5"/>
            <w:tabs>
              <w:tab w:val="clear" w:pos="7892"/>
              <w:tab w:val="right" w:pos="9026" w:leader="dot"/>
            </w:tabs>
            <w:rPr/>
          </w:pPr>
          <w:hyperlink w:anchor="__RefHeading___Toc3971413_1067777946">
            <w:r>
              <w:rPr>
                <w:webHidden/>
                <w:rStyle w:val="IndexLink"/>
                <w:rtl w:val="true"/>
              </w:rPr>
              <w:t>توكيل در اخذ مكان در مسجد</w:t>
            </w:r>
            <w:r>
              <w:rPr>
                <w:rStyle w:val="IndexLink"/>
                <w:rtl w:val="true"/>
              </w:rPr>
              <w:tab/>
            </w:r>
            <w:r>
              <w:rPr>
                <w:rStyle w:val="IndexLink"/>
              </w:rPr>
              <w:t>131</w:t>
            </w:r>
          </w:hyperlink>
        </w:p>
        <w:p>
          <w:pPr>
            <w:pStyle w:val="Contents5"/>
            <w:tabs>
              <w:tab w:val="clear" w:pos="7892"/>
              <w:tab w:val="right" w:pos="9026" w:leader="dot"/>
            </w:tabs>
            <w:rPr/>
          </w:pPr>
          <w:hyperlink w:anchor="__RefHeading___Toc3971415_1067777946">
            <w:r>
              <w:rPr>
                <w:webHidden/>
                <w:rStyle w:val="IndexLink"/>
                <w:rtl w:val="true"/>
              </w:rPr>
              <w:t>عدم بطلان نماز با اخذ حق ديگرى</w:t>
            </w:r>
            <w:r>
              <w:rPr>
                <w:rStyle w:val="IndexLink"/>
                <w:rtl w:val="true"/>
              </w:rPr>
              <w:tab/>
            </w:r>
            <w:r>
              <w:rPr>
                <w:rStyle w:val="IndexLink"/>
              </w:rPr>
              <w:t>132</w:t>
            </w:r>
          </w:hyperlink>
        </w:p>
        <w:p>
          <w:pPr>
            <w:pStyle w:val="Contents5"/>
            <w:tabs>
              <w:tab w:val="clear" w:pos="7892"/>
              <w:tab w:val="right" w:pos="9026" w:leader="dot"/>
            </w:tabs>
            <w:rPr/>
          </w:pPr>
          <w:hyperlink w:anchor="__RefHeading___Toc3971417_1067777946">
            <w:r>
              <w:rPr>
                <w:webHidden/>
                <w:rStyle w:val="IndexLink"/>
                <w:rtl w:val="true"/>
              </w:rPr>
              <w:t>سبقت دو نفر در اخذ مكان</w:t>
            </w:r>
            <w:r>
              <w:rPr>
                <w:rStyle w:val="IndexLink"/>
                <w:rtl w:val="true"/>
              </w:rPr>
              <w:tab/>
            </w:r>
            <w:r>
              <w:rPr>
                <w:rStyle w:val="IndexLink"/>
              </w:rPr>
              <w:t>132</w:t>
            </w:r>
          </w:hyperlink>
        </w:p>
        <w:p>
          <w:pPr>
            <w:pStyle w:val="Contents4"/>
            <w:tabs>
              <w:tab w:val="clear" w:pos="8176"/>
              <w:tab w:val="right" w:pos="9026" w:leader="dot"/>
            </w:tabs>
            <w:rPr/>
          </w:pPr>
          <w:hyperlink w:anchor="__RefHeading___Toc3971419_1067777946">
            <w:r>
              <w:rPr>
                <w:webHidden/>
                <w:rStyle w:val="IndexLink"/>
              </w:rPr>
              <w:t>3</w:t>
            </w:r>
            <w:r>
              <w:rPr>
                <w:rStyle w:val="IndexLink"/>
                <w:rtl w:val="true"/>
              </w:rPr>
              <w:t xml:space="preserve">. </w:t>
            </w:r>
            <w:r>
              <w:rPr>
                <w:rStyle w:val="IndexLink"/>
                <w:rtl w:val="true"/>
              </w:rPr>
              <w:t>مشاهد مشرّفه</w:t>
            </w:r>
            <w:r>
              <w:rPr>
                <w:rStyle w:val="IndexLink"/>
                <w:rtl w:val="true"/>
              </w:rPr>
              <w:tab/>
            </w:r>
            <w:r>
              <w:rPr>
                <w:rStyle w:val="IndexLink"/>
              </w:rPr>
              <w:t>132</w:t>
            </w:r>
          </w:hyperlink>
        </w:p>
        <w:p>
          <w:pPr>
            <w:pStyle w:val="Contents5"/>
            <w:tabs>
              <w:tab w:val="clear" w:pos="7892"/>
              <w:tab w:val="right" w:pos="9026" w:leader="dot"/>
            </w:tabs>
            <w:rPr/>
          </w:pPr>
          <w:hyperlink w:anchor="__RefHeading___Toc3971421_1067777946">
            <w:r>
              <w:rPr>
                <w:webHidden/>
                <w:rStyle w:val="IndexLink"/>
                <w:rtl w:val="true"/>
              </w:rPr>
              <w:t>اشتراك مشاهد مشرّفه با مساجد در حكم سبق</w:t>
            </w:r>
            <w:r>
              <w:rPr>
                <w:rStyle w:val="IndexLink"/>
                <w:rtl w:val="true"/>
              </w:rPr>
              <w:tab/>
            </w:r>
            <w:r>
              <w:rPr>
                <w:rStyle w:val="IndexLink"/>
              </w:rPr>
              <w:t>132</w:t>
            </w:r>
          </w:hyperlink>
        </w:p>
        <w:p>
          <w:pPr>
            <w:pStyle w:val="Contents4"/>
            <w:tabs>
              <w:tab w:val="clear" w:pos="8176"/>
              <w:tab w:val="right" w:pos="9026" w:leader="dot"/>
            </w:tabs>
            <w:rPr/>
          </w:pPr>
          <w:hyperlink w:anchor="__RefHeading___Toc3971423_1067777946">
            <w:r>
              <w:rPr>
                <w:webHidden/>
                <w:rStyle w:val="IndexLink"/>
              </w:rPr>
              <w:t>4</w:t>
            </w:r>
            <w:r>
              <w:rPr>
                <w:rStyle w:val="IndexLink"/>
                <w:rtl w:val="true"/>
              </w:rPr>
              <w:t xml:space="preserve">. </w:t>
            </w:r>
            <w:r>
              <w:rPr>
                <w:rStyle w:val="IndexLink"/>
                <w:rtl w:val="true"/>
              </w:rPr>
              <w:t>مدارس علوم، و مساكن موقوفۀ بر فقرا و زوّار</w:t>
            </w:r>
            <w:r>
              <w:rPr>
                <w:rStyle w:val="IndexLink"/>
                <w:rtl w:val="true"/>
              </w:rPr>
              <w:tab/>
            </w:r>
            <w:r>
              <w:rPr>
                <w:rStyle w:val="IndexLink"/>
              </w:rPr>
              <w:t>133</w:t>
            </w:r>
          </w:hyperlink>
        </w:p>
        <w:p>
          <w:pPr>
            <w:pStyle w:val="Contents5"/>
            <w:tabs>
              <w:tab w:val="clear" w:pos="7892"/>
              <w:tab w:val="right" w:pos="9026" w:leader="dot"/>
            </w:tabs>
            <w:rPr/>
          </w:pPr>
          <w:hyperlink w:anchor="__RefHeading___Toc3971425_1067777946">
            <w:r>
              <w:rPr>
                <w:webHidden/>
                <w:rStyle w:val="IndexLink"/>
                <w:rtl w:val="true"/>
              </w:rPr>
              <w:t>حق سبق در مدارس و امثال آن</w:t>
            </w:r>
            <w:r>
              <w:rPr>
                <w:rStyle w:val="IndexLink"/>
                <w:rtl w:val="true"/>
              </w:rPr>
              <w:tab/>
            </w:r>
            <w:r>
              <w:rPr>
                <w:rStyle w:val="IndexLink"/>
              </w:rPr>
              <w:t>133</w:t>
            </w:r>
          </w:hyperlink>
        </w:p>
        <w:p>
          <w:pPr>
            <w:pStyle w:val="Contents5"/>
            <w:tabs>
              <w:tab w:val="clear" w:pos="7892"/>
              <w:tab w:val="right" w:pos="9026" w:leader="dot"/>
            </w:tabs>
            <w:rPr/>
          </w:pPr>
          <w:hyperlink w:anchor="__RefHeading___Toc3971427_1067777946">
            <w:r>
              <w:rPr>
                <w:webHidden/>
                <w:rStyle w:val="IndexLink"/>
                <w:rtl w:val="true"/>
              </w:rPr>
              <w:t>خارج شدن و بقا و عدم بقاى حق</w:t>
            </w:r>
            <w:r>
              <w:rPr>
                <w:rStyle w:val="IndexLink"/>
                <w:rtl w:val="true"/>
              </w:rPr>
              <w:tab/>
            </w:r>
            <w:r>
              <w:rPr>
                <w:rStyle w:val="IndexLink"/>
              </w:rPr>
              <w:t>133</w:t>
            </w:r>
          </w:hyperlink>
        </w:p>
        <w:p>
          <w:pPr>
            <w:pStyle w:val="Contents5"/>
            <w:tabs>
              <w:tab w:val="clear" w:pos="7892"/>
              <w:tab w:val="right" w:pos="9026" w:leader="dot"/>
            </w:tabs>
            <w:rPr/>
          </w:pPr>
          <w:hyperlink w:anchor="__RefHeading___Toc3971429_1067777946">
            <w:r>
              <w:rPr>
                <w:webHidden/>
                <w:rStyle w:val="IndexLink"/>
                <w:rtl w:val="true"/>
              </w:rPr>
              <w:t>نزاع در ادّعاى سبق</w:t>
            </w:r>
            <w:r>
              <w:rPr>
                <w:rStyle w:val="IndexLink"/>
                <w:rtl w:val="true"/>
              </w:rPr>
              <w:tab/>
            </w:r>
            <w:r>
              <w:rPr>
                <w:rStyle w:val="IndexLink"/>
              </w:rPr>
              <w:t>134</w:t>
            </w:r>
          </w:hyperlink>
        </w:p>
        <w:p>
          <w:pPr>
            <w:pStyle w:val="Contents3"/>
            <w:tabs>
              <w:tab w:val="clear" w:pos="8459"/>
              <w:tab w:val="right" w:pos="9026" w:leader="dot"/>
            </w:tabs>
            <w:rPr/>
          </w:pPr>
          <w:hyperlink w:anchor="__RefHeading___Toc3971431_1067777946">
            <w:r>
              <w:rPr>
                <w:webHidden/>
                <w:rStyle w:val="IndexLink"/>
                <w:rtl w:val="true"/>
              </w:rPr>
              <w:t>فصل پنجم معادن مشتركه</w:t>
            </w:r>
            <w:r>
              <w:rPr>
                <w:rStyle w:val="IndexLink"/>
                <w:rtl w:val="true"/>
              </w:rPr>
              <w:tab/>
            </w:r>
            <w:r>
              <w:rPr>
                <w:rStyle w:val="IndexLink"/>
              </w:rPr>
              <w:t>135</w:t>
            </w:r>
          </w:hyperlink>
        </w:p>
        <w:p>
          <w:pPr>
            <w:pStyle w:val="Contents4"/>
            <w:tabs>
              <w:tab w:val="clear" w:pos="8176"/>
              <w:tab w:val="right" w:pos="9026" w:leader="dot"/>
            </w:tabs>
            <w:rPr/>
          </w:pPr>
          <w:hyperlink w:anchor="__RefHeading___Toc3971433_1067777946">
            <w:r>
              <w:rPr>
                <w:webHidden/>
                <w:rStyle w:val="IndexLink"/>
              </w:rPr>
              <w:t>1</w:t>
            </w:r>
            <w:r>
              <w:rPr>
                <w:rStyle w:val="IndexLink"/>
                <w:rtl w:val="true"/>
              </w:rPr>
              <w:t xml:space="preserve">. </w:t>
            </w:r>
            <w:r>
              <w:rPr>
                <w:rStyle w:val="IndexLink"/>
                <w:rtl w:val="true"/>
              </w:rPr>
              <w:t>معادن ظاهره</w:t>
            </w:r>
            <w:r>
              <w:rPr>
                <w:rStyle w:val="IndexLink"/>
                <w:rtl w:val="true"/>
              </w:rPr>
              <w:tab/>
            </w:r>
            <w:r>
              <w:rPr>
                <w:rStyle w:val="IndexLink"/>
              </w:rPr>
              <w:t>135</w:t>
            </w:r>
          </w:hyperlink>
        </w:p>
        <w:p>
          <w:pPr>
            <w:pStyle w:val="Contents5"/>
            <w:tabs>
              <w:tab w:val="clear" w:pos="7892"/>
              <w:tab w:val="right" w:pos="9026" w:leader="dot"/>
            </w:tabs>
            <w:rPr/>
          </w:pPr>
          <w:hyperlink w:anchor="__RefHeading___Toc3971435_106777794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3971437_1067777946">
            <w:r>
              <w:rPr>
                <w:webHidden/>
                <w:rStyle w:val="IndexLink"/>
                <w:rtl w:val="true"/>
              </w:rPr>
              <w:t>محدودۀ اختيارات نايب عام</w:t>
            </w:r>
            <w:r>
              <w:rPr>
                <w:rStyle w:val="IndexLink"/>
                <w:rtl w:val="true"/>
              </w:rPr>
              <w:tab/>
            </w:r>
            <w:r>
              <w:rPr>
                <w:rStyle w:val="IndexLink"/>
              </w:rPr>
              <w:t>135</w:t>
            </w:r>
          </w:hyperlink>
        </w:p>
        <w:p>
          <w:pPr>
            <w:pStyle w:val="Contents5"/>
            <w:tabs>
              <w:tab w:val="clear" w:pos="7892"/>
              <w:tab w:val="right" w:pos="9026" w:leader="dot"/>
            </w:tabs>
            <w:rPr/>
          </w:pPr>
          <w:hyperlink w:anchor="__RefHeading___Toc3971439_1067777946">
            <w:r>
              <w:rPr>
                <w:webHidden/>
                <w:rStyle w:val="IndexLink"/>
                <w:rtl w:val="true"/>
              </w:rPr>
              <w:t>سبقت و تسابق در معادن ظاهره</w:t>
            </w:r>
            <w:r>
              <w:rPr>
                <w:rStyle w:val="IndexLink"/>
                <w:rtl w:val="true"/>
              </w:rPr>
              <w:tab/>
            </w:r>
            <w:r>
              <w:rPr>
                <w:rStyle w:val="IndexLink"/>
              </w:rPr>
              <w:t>136</w:t>
            </w:r>
          </w:hyperlink>
        </w:p>
        <w:p>
          <w:pPr>
            <w:pStyle w:val="Contents4"/>
            <w:tabs>
              <w:tab w:val="clear" w:pos="8176"/>
              <w:tab w:val="right" w:pos="9026" w:leader="dot"/>
            </w:tabs>
            <w:rPr/>
          </w:pPr>
          <w:hyperlink w:anchor="__RefHeading___Toc3971441_1067777946">
            <w:r>
              <w:rPr>
                <w:webHidden/>
                <w:rStyle w:val="IndexLink"/>
              </w:rPr>
              <w:t>2</w:t>
            </w:r>
            <w:r>
              <w:rPr>
                <w:rStyle w:val="IndexLink"/>
                <w:rtl w:val="true"/>
              </w:rPr>
              <w:t xml:space="preserve">. </w:t>
            </w:r>
            <w:r>
              <w:rPr>
                <w:rStyle w:val="IndexLink"/>
                <w:rtl w:val="true"/>
              </w:rPr>
              <w:t>معادن باطنه</w:t>
            </w:r>
            <w:r>
              <w:rPr>
                <w:rStyle w:val="IndexLink"/>
                <w:rtl w:val="true"/>
              </w:rPr>
              <w:tab/>
            </w:r>
            <w:r>
              <w:rPr>
                <w:rStyle w:val="IndexLink"/>
              </w:rPr>
              <w:t>137</w:t>
            </w:r>
          </w:hyperlink>
        </w:p>
        <w:p>
          <w:pPr>
            <w:pStyle w:val="Contents5"/>
            <w:tabs>
              <w:tab w:val="clear" w:pos="7892"/>
              <w:tab w:val="right" w:pos="9026" w:leader="dot"/>
            </w:tabs>
            <w:rPr/>
          </w:pPr>
          <w:hyperlink w:anchor="__RefHeading___Toc3971443_1067777946">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3971445_1067777946">
            <w:r>
              <w:rPr>
                <w:webHidden/>
                <w:rStyle w:val="IndexLink"/>
                <w:rtl w:val="true"/>
              </w:rPr>
              <w:t>تفارق معادن ظاهره و باطنه</w:t>
            </w:r>
            <w:r>
              <w:rPr>
                <w:rStyle w:val="IndexLink"/>
                <w:rtl w:val="true"/>
              </w:rPr>
              <w:tab/>
            </w:r>
            <w:r>
              <w:rPr>
                <w:rStyle w:val="IndexLink"/>
              </w:rPr>
              <w:t>137</w:t>
            </w:r>
          </w:hyperlink>
        </w:p>
        <w:p>
          <w:pPr>
            <w:pStyle w:val="Contents4"/>
            <w:tabs>
              <w:tab w:val="clear" w:pos="8176"/>
              <w:tab w:val="right" w:pos="9026" w:leader="dot"/>
            </w:tabs>
            <w:rPr/>
          </w:pPr>
          <w:hyperlink w:anchor="__RefHeading___Toc3971447_1067777946">
            <w:r>
              <w:rPr>
                <w:webHidden/>
                <w:rStyle w:val="IndexLink"/>
              </w:rPr>
              <w:t>3</w:t>
            </w:r>
            <w:r>
              <w:rPr>
                <w:rStyle w:val="IndexLink"/>
                <w:rtl w:val="true"/>
              </w:rPr>
              <w:t xml:space="preserve">. </w:t>
            </w:r>
            <w:r>
              <w:rPr>
                <w:rStyle w:val="IndexLink"/>
                <w:rtl w:val="true"/>
              </w:rPr>
              <w:t>آبها</w:t>
            </w:r>
            <w:r>
              <w:rPr>
                <w:rStyle w:val="IndexLink"/>
                <w:rtl w:val="true"/>
              </w:rPr>
              <w:tab/>
            </w:r>
            <w:r>
              <w:rPr>
                <w:rStyle w:val="IndexLink"/>
              </w:rPr>
              <w:t>138</w:t>
            </w:r>
          </w:hyperlink>
        </w:p>
        <w:p>
          <w:pPr>
            <w:pStyle w:val="Contents5"/>
            <w:tabs>
              <w:tab w:val="clear" w:pos="7892"/>
              <w:tab w:val="right" w:pos="9026" w:leader="dot"/>
            </w:tabs>
            <w:rPr/>
          </w:pPr>
          <w:hyperlink w:anchor="__RefHeading___Toc3971449_1067777946">
            <w:r>
              <w:rPr>
                <w:webHidden/>
                <w:rStyle w:val="IndexLink"/>
                <w:rtl w:val="true"/>
              </w:rPr>
              <w:t>اشتراك در آب و آتش و گياه</w:t>
            </w:r>
            <w:r>
              <w:rPr>
                <w:rStyle w:val="IndexLink"/>
                <w:rtl w:val="true"/>
              </w:rPr>
              <w:tab/>
            </w:r>
            <w:r>
              <w:rPr>
                <w:rStyle w:val="IndexLink"/>
              </w:rPr>
              <w:t>138</w:t>
            </w:r>
          </w:hyperlink>
        </w:p>
        <w:p>
          <w:pPr>
            <w:pStyle w:val="Contents5"/>
            <w:tabs>
              <w:tab w:val="clear" w:pos="7892"/>
              <w:tab w:val="right" w:pos="9026" w:leader="dot"/>
            </w:tabs>
            <w:rPr/>
          </w:pPr>
          <w:hyperlink w:anchor="__RefHeading___Toc3971451_1067777946">
            <w:r>
              <w:rPr>
                <w:webHidden/>
                <w:rStyle w:val="IndexLink"/>
                <w:rtl w:val="true"/>
              </w:rPr>
              <w:t>حفر چشمه و قنات و امثال آن</w:t>
            </w:r>
            <w:r>
              <w:rPr>
                <w:rStyle w:val="IndexLink"/>
                <w:rtl w:val="true"/>
              </w:rPr>
              <w:tab/>
            </w:r>
            <w:r>
              <w:rPr>
                <w:rStyle w:val="IndexLink"/>
              </w:rPr>
              <w:t>139</w:t>
            </w:r>
          </w:hyperlink>
        </w:p>
        <w:p>
          <w:pPr>
            <w:pStyle w:val="Contents5"/>
            <w:tabs>
              <w:tab w:val="clear" w:pos="7892"/>
              <w:tab w:val="right" w:pos="9026" w:leader="dot"/>
            </w:tabs>
            <w:rPr/>
          </w:pPr>
          <w:hyperlink w:anchor="__RefHeading___Toc3971453_1067777946">
            <w:r>
              <w:rPr>
                <w:webHidden/>
                <w:rStyle w:val="IndexLink"/>
                <w:rtl w:val="true"/>
              </w:rPr>
              <w:t>حفر در مباح يا موات به قصد موقت</w:t>
            </w:r>
            <w:r>
              <w:rPr>
                <w:rStyle w:val="IndexLink"/>
                <w:rtl w:val="true"/>
              </w:rPr>
              <w:tab/>
            </w:r>
            <w:r>
              <w:rPr>
                <w:rStyle w:val="IndexLink"/>
              </w:rPr>
              <w:t>139</w:t>
            </w:r>
          </w:hyperlink>
        </w:p>
        <w:p>
          <w:pPr>
            <w:pStyle w:val="Contents5"/>
            <w:tabs>
              <w:tab w:val="clear" w:pos="7892"/>
              <w:tab w:val="right" w:pos="9026" w:leader="dot"/>
            </w:tabs>
            <w:rPr/>
          </w:pPr>
          <w:hyperlink w:anchor="__RefHeading___Toc3971455_1067777946">
            <w:r>
              <w:rPr>
                <w:webHidden/>
                <w:rStyle w:val="IndexLink"/>
                <w:rtl w:val="true"/>
              </w:rPr>
              <w:t>تقسيم آب مشترك</w:t>
            </w:r>
            <w:r>
              <w:rPr>
                <w:rStyle w:val="IndexLink"/>
                <w:rtl w:val="true"/>
              </w:rPr>
              <w:tab/>
            </w:r>
            <w:r>
              <w:rPr>
                <w:rStyle w:val="IndexLink"/>
              </w:rPr>
              <w:t>140</w:t>
            </w:r>
          </w:hyperlink>
        </w:p>
        <w:p>
          <w:pPr>
            <w:pStyle w:val="Contents5"/>
            <w:tabs>
              <w:tab w:val="clear" w:pos="7892"/>
              <w:tab w:val="right" w:pos="9026" w:leader="dot"/>
            </w:tabs>
            <w:rPr/>
          </w:pPr>
          <w:hyperlink w:anchor="__RefHeading___Toc3971457_1067777946">
            <w:r>
              <w:rPr>
                <w:webHidden/>
                <w:rStyle w:val="IndexLink"/>
                <w:rtl w:val="true"/>
              </w:rPr>
              <w:t>آب وارد در نهر به سبب طغيان</w:t>
            </w:r>
            <w:r>
              <w:rPr>
                <w:rStyle w:val="IndexLink"/>
                <w:rtl w:val="true"/>
              </w:rPr>
              <w:tab/>
            </w:r>
            <w:r>
              <w:rPr>
                <w:rStyle w:val="IndexLink"/>
              </w:rPr>
              <w:t>141</w:t>
            </w:r>
          </w:hyperlink>
        </w:p>
        <w:p>
          <w:pPr>
            <w:pStyle w:val="Contents5"/>
            <w:tabs>
              <w:tab w:val="clear" w:pos="7892"/>
              <w:tab w:val="right" w:pos="9026" w:leader="dot"/>
            </w:tabs>
            <w:rPr/>
          </w:pPr>
          <w:hyperlink w:anchor="__RefHeading___Toc3971459_1067777946">
            <w:r>
              <w:rPr>
                <w:webHidden/>
                <w:rStyle w:val="IndexLink"/>
                <w:rtl w:val="true"/>
              </w:rPr>
              <w:t>تنازع در اخذ آب از نهر</w:t>
            </w:r>
            <w:r>
              <w:rPr>
                <w:rStyle w:val="IndexLink"/>
                <w:rtl w:val="true"/>
              </w:rPr>
              <w:tab/>
            </w:r>
            <w:r>
              <w:rPr>
                <w:rStyle w:val="IndexLink"/>
              </w:rPr>
              <w:t>141</w:t>
            </w:r>
          </w:hyperlink>
        </w:p>
        <w:p>
          <w:pPr>
            <w:pStyle w:val="Contents5"/>
            <w:tabs>
              <w:tab w:val="clear" w:pos="7892"/>
              <w:tab w:val="right" w:pos="9026" w:leader="dot"/>
            </w:tabs>
            <w:rPr/>
          </w:pPr>
          <w:hyperlink w:anchor="__RefHeading___Toc3971461_1067777946">
            <w:r>
              <w:rPr>
                <w:webHidden/>
                <w:rStyle w:val="IndexLink"/>
                <w:rtl w:val="true"/>
              </w:rPr>
              <w:t>ساخت آسياب بر نهر متعلق به جماعتى</w:t>
            </w:r>
            <w:r>
              <w:rPr>
                <w:rStyle w:val="IndexLink"/>
                <w:rtl w:val="true"/>
              </w:rPr>
              <w:tab/>
            </w:r>
            <w:r>
              <w:rPr>
                <w:rStyle w:val="IndexLink"/>
              </w:rPr>
              <w:t>142</w:t>
            </w:r>
          </w:hyperlink>
        </w:p>
        <w:p>
          <w:pPr>
            <w:pStyle w:val="Contents5"/>
            <w:tabs>
              <w:tab w:val="clear" w:pos="7892"/>
              <w:tab w:val="right" w:pos="9026" w:leader="dot"/>
            </w:tabs>
            <w:rPr/>
          </w:pPr>
          <w:hyperlink w:anchor="__RefHeading___Toc3971463_1067777946">
            <w:r>
              <w:rPr>
                <w:webHidden/>
                <w:rStyle w:val="IndexLink"/>
                <w:rtl w:val="true"/>
              </w:rPr>
              <w:t>مؤونۀ اصلاح و تعمير نهر</w:t>
            </w:r>
            <w:r>
              <w:rPr>
                <w:rStyle w:val="IndexLink"/>
                <w:rtl w:val="true"/>
              </w:rPr>
              <w:tab/>
            </w:r>
            <w:r>
              <w:rPr>
                <w:rStyle w:val="IndexLink"/>
              </w:rPr>
              <w:t>143</w:t>
            </w:r>
          </w:hyperlink>
        </w:p>
        <w:p>
          <w:pPr>
            <w:pStyle w:val="Contents3"/>
            <w:tabs>
              <w:tab w:val="clear" w:pos="8459"/>
              <w:tab w:val="right" w:pos="9026" w:leader="dot"/>
            </w:tabs>
            <w:rPr/>
          </w:pPr>
          <w:hyperlink w:anchor="__RefHeading___Toc3971465_1067777946">
            <w:r>
              <w:rPr>
                <w:webHidden/>
                <w:rStyle w:val="IndexLink"/>
                <w:rtl w:val="true"/>
              </w:rPr>
              <w:t>فصل ششم چند مسأله</w:t>
            </w:r>
            <w:r>
              <w:rPr>
                <w:rStyle w:val="IndexLink"/>
                <w:rtl w:val="true"/>
              </w:rPr>
              <w:tab/>
            </w:r>
            <w:r>
              <w:rPr>
                <w:rStyle w:val="IndexLink"/>
              </w:rPr>
              <w:t>144</w:t>
            </w:r>
          </w:hyperlink>
        </w:p>
        <w:p>
          <w:pPr>
            <w:pStyle w:val="Contents4"/>
            <w:tabs>
              <w:tab w:val="clear" w:pos="8176"/>
              <w:tab w:val="right" w:pos="9026" w:leader="dot"/>
            </w:tabs>
            <w:rPr/>
          </w:pPr>
          <w:hyperlink w:anchor="__RefHeading___Toc3971467_1067777946">
            <w:r>
              <w:rPr>
                <w:webHidden/>
                <w:rStyle w:val="IndexLink"/>
                <w:rtl w:val="true"/>
              </w:rPr>
              <w:t>حكم زمين موات در كنار نمك زار</w:t>
            </w:r>
            <w:r>
              <w:rPr>
                <w:rStyle w:val="IndexLink"/>
                <w:rtl w:val="true"/>
              </w:rPr>
              <w:tab/>
            </w:r>
            <w:r>
              <w:rPr>
                <w:rStyle w:val="IndexLink"/>
              </w:rPr>
              <w:t>144</w:t>
            </w:r>
          </w:hyperlink>
        </w:p>
        <w:p>
          <w:pPr>
            <w:pStyle w:val="Contents4"/>
            <w:tabs>
              <w:tab w:val="clear" w:pos="8176"/>
              <w:tab w:val="right" w:pos="9026" w:leader="dot"/>
            </w:tabs>
            <w:rPr/>
          </w:pPr>
          <w:hyperlink w:anchor="__RefHeading___Toc3971469_1067777946">
            <w:r>
              <w:rPr>
                <w:webHidden/>
                <w:rStyle w:val="IndexLink"/>
                <w:rtl w:val="true"/>
              </w:rPr>
              <w:t>مملكيّت احيا در معادن باطنه</w:t>
            </w:r>
            <w:r>
              <w:rPr>
                <w:rStyle w:val="IndexLink"/>
                <w:rtl w:val="true"/>
              </w:rPr>
              <w:tab/>
            </w:r>
            <w:r>
              <w:rPr>
                <w:rStyle w:val="IndexLink"/>
              </w:rPr>
              <w:t>144</w:t>
            </w:r>
          </w:hyperlink>
        </w:p>
        <w:p>
          <w:pPr>
            <w:pStyle w:val="Contents4"/>
            <w:tabs>
              <w:tab w:val="clear" w:pos="8176"/>
              <w:tab w:val="right" w:pos="9026" w:leader="dot"/>
            </w:tabs>
            <w:rPr/>
          </w:pPr>
          <w:hyperlink w:anchor="__RefHeading___Toc3971471_1067777946">
            <w:r>
              <w:rPr>
                <w:webHidden/>
                <w:rStyle w:val="IndexLink"/>
                <w:rtl w:val="true"/>
              </w:rPr>
              <w:t>پيدا شدن معدن باطنى در زمين موات</w:t>
            </w:r>
            <w:r>
              <w:rPr>
                <w:rStyle w:val="IndexLink"/>
                <w:rtl w:val="true"/>
              </w:rPr>
              <w:tab/>
            </w:r>
            <w:r>
              <w:rPr>
                <w:rStyle w:val="IndexLink"/>
              </w:rPr>
              <w:t>145</w:t>
            </w:r>
          </w:hyperlink>
        </w:p>
        <w:p>
          <w:pPr>
            <w:pStyle w:val="Contents5"/>
            <w:tabs>
              <w:tab w:val="clear" w:pos="7892"/>
              <w:tab w:val="right" w:pos="9026" w:leader="dot"/>
            </w:tabs>
            <w:rPr/>
          </w:pPr>
          <w:hyperlink w:anchor="__RefHeading___Toc3971473_1067777946">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3971475_1067777946">
            <w:r>
              <w:rPr>
                <w:webHidden/>
                <w:rStyle w:val="IndexLink"/>
                <w:rtl w:val="true"/>
              </w:rPr>
              <w:t>پيدا شدن گنج</w:t>
            </w:r>
            <w:r>
              <w:rPr>
                <w:rStyle w:val="IndexLink"/>
                <w:rtl w:val="true"/>
              </w:rPr>
              <w:tab/>
            </w:r>
            <w:r>
              <w:rPr>
                <w:rStyle w:val="IndexLink"/>
              </w:rPr>
              <w:t>145</w:t>
            </w:r>
          </w:hyperlink>
        </w:p>
        <w:p>
          <w:pPr>
            <w:pStyle w:val="Contents5"/>
            <w:tabs>
              <w:tab w:val="clear" w:pos="7892"/>
              <w:tab w:val="right" w:pos="9026" w:leader="dot"/>
            </w:tabs>
            <w:rPr/>
          </w:pPr>
          <w:hyperlink w:anchor="__RefHeading___Toc3971477_1067777946">
            <w:r>
              <w:rPr>
                <w:webHidden/>
                <w:rStyle w:val="IndexLink"/>
                <w:rtl w:val="true"/>
              </w:rPr>
              <w:t>مالك معدن باطن در موات و مفتوح العنوه</w:t>
            </w:r>
            <w:r>
              <w:rPr>
                <w:rStyle w:val="IndexLink"/>
                <w:rtl w:val="true"/>
              </w:rPr>
              <w:tab/>
            </w:r>
            <w:r>
              <w:rPr>
                <w:rStyle w:val="IndexLink"/>
              </w:rPr>
              <w:t>145</w:t>
            </w:r>
          </w:hyperlink>
        </w:p>
        <w:p>
          <w:pPr>
            <w:pStyle w:val="Contents5"/>
            <w:tabs>
              <w:tab w:val="clear" w:pos="7892"/>
              <w:tab w:val="right" w:pos="9026" w:leader="dot"/>
            </w:tabs>
            <w:rPr/>
          </w:pPr>
          <w:hyperlink w:anchor="__RefHeading___Toc3971479_1067777946">
            <w:r>
              <w:rPr>
                <w:webHidden/>
                <w:rStyle w:val="IndexLink"/>
                <w:rtl w:val="true"/>
              </w:rPr>
              <w:t>چاه حفر شده در مفتوح العنوه يا موقوفه</w:t>
            </w:r>
            <w:r>
              <w:rPr>
                <w:rStyle w:val="IndexLink"/>
                <w:rtl w:val="true"/>
              </w:rPr>
              <w:tab/>
            </w:r>
            <w:r>
              <w:rPr>
                <w:rStyle w:val="IndexLink"/>
              </w:rPr>
              <w:t>145</w:t>
            </w:r>
          </w:hyperlink>
        </w:p>
        <w:p>
          <w:pPr>
            <w:pStyle w:val="Contents5"/>
            <w:tabs>
              <w:tab w:val="clear" w:pos="7892"/>
              <w:tab w:val="right" w:pos="9026" w:leader="dot"/>
            </w:tabs>
            <w:rPr/>
          </w:pPr>
          <w:hyperlink w:anchor="__RefHeading___Toc3971481_1067777946">
            <w:r>
              <w:rPr>
                <w:webHidden/>
                <w:rStyle w:val="IndexLink"/>
                <w:rtl w:val="true"/>
              </w:rPr>
              <w:t>ظهور معدن در غير بلد اسلام</w:t>
            </w:r>
            <w:r>
              <w:rPr>
                <w:rStyle w:val="IndexLink"/>
                <w:rtl w:val="true"/>
              </w:rPr>
              <w:tab/>
            </w:r>
            <w:r>
              <w:rPr>
                <w:rStyle w:val="IndexLink"/>
              </w:rPr>
              <w:t>146</w:t>
            </w:r>
          </w:hyperlink>
        </w:p>
        <w:p>
          <w:pPr>
            <w:pStyle w:val="Contents4"/>
            <w:tabs>
              <w:tab w:val="clear" w:pos="8176"/>
              <w:tab w:val="right" w:pos="9026" w:leader="dot"/>
            </w:tabs>
            <w:rPr/>
          </w:pPr>
          <w:hyperlink w:anchor="__RefHeading___Toc3971483_1067777946">
            <w:r>
              <w:rPr>
                <w:webHidden/>
                <w:rStyle w:val="IndexLink"/>
                <w:rtl w:val="true"/>
              </w:rPr>
              <w:t>جعاله در معدن باطنى</w:t>
            </w:r>
            <w:r>
              <w:rPr>
                <w:rStyle w:val="IndexLink"/>
                <w:rtl w:val="true"/>
              </w:rPr>
              <w:tab/>
            </w:r>
            <w:r>
              <w:rPr>
                <w:rStyle w:val="IndexLink"/>
              </w:rPr>
              <w:t>146</w:t>
            </w:r>
          </w:hyperlink>
        </w:p>
        <w:p>
          <w:pPr>
            <w:pStyle w:val="Contents4"/>
            <w:tabs>
              <w:tab w:val="clear" w:pos="8176"/>
              <w:tab w:val="right" w:pos="9026" w:leader="dot"/>
            </w:tabs>
            <w:rPr/>
          </w:pPr>
          <w:hyperlink w:anchor="__RefHeading___Toc3971485_1067777946">
            <w:r>
              <w:rPr>
                <w:webHidden/>
                <w:rStyle w:val="IndexLink"/>
                <w:rtl w:val="true"/>
              </w:rPr>
              <w:t>عدم جواز منع صاحب آسياب سابق توسط مالك نهر</w:t>
            </w:r>
            <w:r>
              <w:rPr>
                <w:rStyle w:val="IndexLink"/>
                <w:rtl w:val="true"/>
              </w:rPr>
              <w:tab/>
            </w:r>
            <w:r>
              <w:rPr>
                <w:rStyle w:val="IndexLink"/>
              </w:rPr>
              <w:t>146</w:t>
            </w:r>
          </w:hyperlink>
        </w:p>
        <w:p>
          <w:pPr>
            <w:pStyle w:val="Contents2"/>
            <w:tabs>
              <w:tab w:val="clear" w:pos="8743"/>
              <w:tab w:val="right" w:pos="9026" w:leader="dot"/>
            </w:tabs>
            <w:rPr/>
          </w:pPr>
          <w:hyperlink w:anchor="__RefHeading___Toc3971487_1067777946">
            <w:r>
              <w:rPr>
                <w:webHidden/>
                <w:rStyle w:val="IndexLink"/>
                <w:rtl w:val="true"/>
              </w:rPr>
              <w:t>كتاب لقطه</w:t>
            </w:r>
            <w:r>
              <w:rPr>
                <w:rStyle w:val="IndexLink"/>
                <w:rtl w:val="true"/>
              </w:rPr>
              <w:tab/>
            </w:r>
            <w:r>
              <w:rPr>
                <w:rStyle w:val="IndexLink"/>
              </w:rPr>
              <w:t>148</w:t>
            </w:r>
          </w:hyperlink>
        </w:p>
        <w:p>
          <w:pPr>
            <w:pStyle w:val="Contents3"/>
            <w:tabs>
              <w:tab w:val="clear" w:pos="8459"/>
              <w:tab w:val="right" w:pos="9026" w:leader="dot"/>
            </w:tabs>
            <w:rPr/>
          </w:pPr>
          <w:hyperlink w:anchor="__RefHeading___Toc3971489_1067777946">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971491_1067777946">
            <w:r>
              <w:rPr>
                <w:webHidden/>
                <w:rStyle w:val="IndexLink"/>
                <w:rtl w:val="true"/>
              </w:rPr>
              <w:t>فصل اول انسان لقيط</w:t>
            </w:r>
            <w:r>
              <w:rPr>
                <w:rStyle w:val="IndexLink"/>
                <w:rtl w:val="true"/>
              </w:rPr>
              <w:tab/>
            </w:r>
            <w:r>
              <w:rPr>
                <w:rStyle w:val="IndexLink"/>
              </w:rPr>
              <w:t>150</w:t>
            </w:r>
          </w:hyperlink>
        </w:p>
        <w:p>
          <w:pPr>
            <w:pStyle w:val="Contents4"/>
            <w:tabs>
              <w:tab w:val="clear" w:pos="8176"/>
              <w:tab w:val="right" w:pos="9026" w:leader="dot"/>
            </w:tabs>
            <w:rPr/>
          </w:pPr>
          <w:hyperlink w:anchor="__RefHeading___Toc3971493_106777794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971495_1067777946">
            <w:r>
              <w:rPr>
                <w:webHidden/>
                <w:rStyle w:val="IndexLink"/>
                <w:rtl w:val="true"/>
              </w:rPr>
              <w:t>انواع لقطه</w:t>
            </w:r>
            <w:r>
              <w:rPr>
                <w:rStyle w:val="IndexLink"/>
                <w:rtl w:val="true"/>
              </w:rPr>
              <w:tab/>
            </w:r>
            <w:r>
              <w:rPr>
                <w:rStyle w:val="IndexLink"/>
              </w:rPr>
              <w:t>150</w:t>
            </w:r>
          </w:hyperlink>
        </w:p>
        <w:p>
          <w:pPr>
            <w:pStyle w:val="Contents5"/>
            <w:tabs>
              <w:tab w:val="clear" w:pos="7892"/>
              <w:tab w:val="right" w:pos="9026" w:leader="dot"/>
            </w:tabs>
            <w:rPr/>
          </w:pPr>
          <w:hyperlink w:anchor="__RefHeading___Toc3971497_1067777946">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971499_1067777946">
            <w:r>
              <w:rPr>
                <w:webHidden/>
                <w:rStyle w:val="IndexLink"/>
              </w:rPr>
              <w:t>1</w:t>
            </w:r>
            <w:r>
              <w:rPr>
                <w:rStyle w:val="IndexLink"/>
                <w:rtl w:val="true"/>
              </w:rPr>
              <w:t xml:space="preserve">. </w:t>
            </w:r>
            <w:r>
              <w:rPr>
                <w:rStyle w:val="IndexLink"/>
                <w:rtl w:val="true"/>
              </w:rPr>
              <w:t>لقيط</w:t>
            </w:r>
            <w:r>
              <w:rPr>
                <w:rStyle w:val="IndexLink"/>
                <w:rtl w:val="true"/>
              </w:rPr>
              <w:tab/>
            </w:r>
            <w:r>
              <w:rPr>
                <w:rStyle w:val="IndexLink"/>
              </w:rPr>
              <w:t>150</w:t>
            </w:r>
          </w:hyperlink>
        </w:p>
        <w:p>
          <w:pPr>
            <w:pStyle w:val="Contents6"/>
            <w:tabs>
              <w:tab w:val="clear" w:pos="7609"/>
              <w:tab w:val="right" w:pos="9026" w:leader="dot"/>
            </w:tabs>
            <w:rPr/>
          </w:pPr>
          <w:hyperlink w:anchor="__RefHeading___Toc3971501_1067777946">
            <w:r>
              <w:rPr>
                <w:webHidden/>
                <w:rStyle w:val="IndexLink"/>
                <w:rtl w:val="true"/>
              </w:rPr>
              <w:t>بچۀ گمشده</w:t>
            </w:r>
            <w:r>
              <w:rPr>
                <w:rStyle w:val="IndexLink"/>
                <w:rtl w:val="true"/>
              </w:rPr>
              <w:tab/>
            </w:r>
            <w:r>
              <w:rPr>
                <w:rStyle w:val="IndexLink"/>
              </w:rPr>
              <w:t>150</w:t>
            </w:r>
          </w:hyperlink>
        </w:p>
        <w:p>
          <w:pPr>
            <w:pStyle w:val="Contents6"/>
            <w:tabs>
              <w:tab w:val="clear" w:pos="7609"/>
              <w:tab w:val="right" w:pos="9026" w:leader="dot"/>
            </w:tabs>
            <w:rPr/>
          </w:pPr>
          <w:hyperlink w:anchor="__RefHeading___Toc3971503_1067777946">
            <w:r>
              <w:rPr>
                <w:webHidden/>
                <w:rStyle w:val="IndexLink"/>
                <w:rtl w:val="true"/>
              </w:rPr>
              <w:t>مراد از كافل</w:t>
            </w:r>
            <w:r>
              <w:rPr>
                <w:rStyle w:val="IndexLink"/>
                <w:rtl w:val="true"/>
              </w:rPr>
              <w:tab/>
            </w:r>
            <w:r>
              <w:rPr>
                <w:rStyle w:val="IndexLink"/>
              </w:rPr>
              <w:t>150</w:t>
            </w:r>
          </w:hyperlink>
        </w:p>
        <w:p>
          <w:pPr>
            <w:pStyle w:val="Contents6"/>
            <w:tabs>
              <w:tab w:val="clear" w:pos="7609"/>
              <w:tab w:val="right" w:pos="9026" w:leader="dot"/>
            </w:tabs>
            <w:rPr/>
          </w:pPr>
          <w:hyperlink w:anchor="__RefHeading___Toc3971505_1067777946">
            <w:r>
              <w:rPr>
                <w:webHidden/>
                <w:rStyle w:val="IndexLink"/>
                <w:rtl w:val="true"/>
              </w:rPr>
              <w:t>التقاط مملوك</w:t>
            </w:r>
            <w:r>
              <w:rPr>
                <w:rStyle w:val="IndexLink"/>
                <w:rtl w:val="true"/>
              </w:rPr>
              <w:tab/>
            </w:r>
            <w:r>
              <w:rPr>
                <w:rStyle w:val="IndexLink"/>
              </w:rPr>
              <w:t>151</w:t>
            </w:r>
          </w:hyperlink>
        </w:p>
        <w:p>
          <w:pPr>
            <w:pStyle w:val="Contents5"/>
            <w:tabs>
              <w:tab w:val="clear" w:pos="7892"/>
              <w:tab w:val="right" w:pos="9026" w:leader="dot"/>
            </w:tabs>
            <w:rPr/>
          </w:pPr>
          <w:hyperlink w:anchor="__RefHeading___Toc3971507_1067777946">
            <w:r>
              <w:rPr>
                <w:webHidden/>
                <w:rStyle w:val="IndexLink"/>
              </w:rPr>
              <w:t>2</w:t>
            </w:r>
            <w:r>
              <w:rPr>
                <w:rStyle w:val="IndexLink"/>
                <w:rtl w:val="true"/>
              </w:rPr>
              <w:t xml:space="preserve">. </w:t>
            </w:r>
            <w:r>
              <w:rPr>
                <w:rStyle w:val="IndexLink"/>
                <w:rtl w:val="true"/>
              </w:rPr>
              <w:t>ملتقِط</w:t>
            </w:r>
            <w:r>
              <w:rPr>
                <w:rStyle w:val="IndexLink"/>
                <w:rtl w:val="true"/>
              </w:rPr>
              <w:tab/>
            </w:r>
            <w:r>
              <w:rPr>
                <w:rStyle w:val="IndexLink"/>
              </w:rPr>
              <w:t>152</w:t>
            </w:r>
          </w:hyperlink>
        </w:p>
        <w:p>
          <w:pPr>
            <w:pStyle w:val="Contents6"/>
            <w:tabs>
              <w:tab w:val="clear" w:pos="7609"/>
              <w:tab w:val="right" w:pos="9026" w:leader="dot"/>
            </w:tabs>
            <w:rPr/>
          </w:pPr>
          <w:hyperlink w:anchor="__RefHeading___Toc3971509_1067777946">
            <w:r>
              <w:rPr>
                <w:webHidden/>
                <w:rStyle w:val="IndexLink"/>
                <w:rtl w:val="true"/>
              </w:rPr>
              <w:t>شرايط معتبر در تأثير التقاط</w:t>
            </w:r>
            <w:r>
              <w:rPr>
                <w:rStyle w:val="IndexLink"/>
                <w:rtl w:val="true"/>
              </w:rPr>
              <w:tab/>
            </w:r>
            <w:r>
              <w:rPr>
                <w:rStyle w:val="IndexLink"/>
              </w:rPr>
              <w:t>152</w:t>
            </w:r>
          </w:hyperlink>
        </w:p>
        <w:p>
          <w:pPr>
            <w:pStyle w:val="Contents6"/>
            <w:tabs>
              <w:tab w:val="clear" w:pos="7609"/>
              <w:tab w:val="right" w:pos="9026" w:leader="dot"/>
            </w:tabs>
            <w:rPr/>
          </w:pPr>
          <w:hyperlink w:anchor="__RefHeading___Toc3971511_1067777946">
            <w:r>
              <w:rPr>
                <w:webHidden/>
                <w:rStyle w:val="IndexLink"/>
                <w:rtl w:val="true"/>
              </w:rPr>
              <w:t>اعتبار يا عدم اعتبار اسلام در ملتقط</w:t>
            </w:r>
            <w:r>
              <w:rPr>
                <w:rStyle w:val="IndexLink"/>
                <w:rtl w:val="true"/>
              </w:rPr>
              <w:tab/>
            </w:r>
            <w:r>
              <w:rPr>
                <w:rStyle w:val="IndexLink"/>
              </w:rPr>
              <w:t>153</w:t>
            </w:r>
          </w:hyperlink>
        </w:p>
        <w:p>
          <w:pPr>
            <w:pStyle w:val="Contents6"/>
            <w:tabs>
              <w:tab w:val="clear" w:pos="7609"/>
              <w:tab w:val="right" w:pos="9026" w:leader="dot"/>
            </w:tabs>
            <w:rPr/>
          </w:pPr>
          <w:hyperlink w:anchor="__RefHeading___Toc3971513_1067777946">
            <w:r>
              <w:rPr>
                <w:webHidden/>
                <w:rStyle w:val="IndexLink"/>
                <w:rtl w:val="true"/>
              </w:rPr>
              <w:t>نفقۀ لقيط بدون مال و متبرّع</w:t>
            </w:r>
            <w:r>
              <w:rPr>
                <w:rStyle w:val="IndexLink"/>
                <w:rtl w:val="true"/>
              </w:rPr>
              <w:tab/>
            </w:r>
            <w:r>
              <w:rPr>
                <w:rStyle w:val="IndexLink"/>
              </w:rPr>
              <w:t>154</w:t>
            </w:r>
          </w:hyperlink>
        </w:p>
        <w:p>
          <w:pPr>
            <w:pStyle w:val="Contents5"/>
            <w:tabs>
              <w:tab w:val="clear" w:pos="7892"/>
              <w:tab w:val="right" w:pos="9026" w:leader="dot"/>
            </w:tabs>
            <w:rPr/>
          </w:pPr>
          <w:hyperlink w:anchor="__RefHeading___Toc3971515_1067777946">
            <w:r>
              <w:rPr>
                <w:webHidden/>
                <w:rStyle w:val="IndexLink"/>
              </w:rPr>
              <w:t>3</w:t>
            </w:r>
            <w:r>
              <w:rPr>
                <w:rStyle w:val="IndexLink"/>
                <w:rtl w:val="true"/>
              </w:rPr>
              <w:t xml:space="preserve">. </w:t>
            </w:r>
            <w:r>
              <w:rPr>
                <w:rStyle w:val="IndexLink"/>
                <w:rtl w:val="true"/>
              </w:rPr>
              <w:t>احكام التقاط</w:t>
            </w:r>
            <w:r>
              <w:rPr>
                <w:rStyle w:val="IndexLink"/>
                <w:rtl w:val="true"/>
              </w:rPr>
              <w:tab/>
            </w:r>
            <w:r>
              <w:rPr>
                <w:rStyle w:val="IndexLink"/>
              </w:rPr>
              <w:t>155</w:t>
            </w:r>
          </w:hyperlink>
        </w:p>
        <w:p>
          <w:pPr>
            <w:pStyle w:val="Contents6"/>
            <w:tabs>
              <w:tab w:val="clear" w:pos="7609"/>
              <w:tab w:val="right" w:pos="9026" w:leader="dot"/>
            </w:tabs>
            <w:rPr/>
          </w:pPr>
          <w:hyperlink w:anchor="__RefHeading___Toc3971517_1067777946">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3971519_1067777946">
            <w:r>
              <w:rPr>
                <w:webHidden/>
                <w:rStyle w:val="IndexLink"/>
                <w:rtl w:val="true"/>
              </w:rPr>
              <w:t>وجوب اخذ لقيط</w:t>
            </w:r>
            <w:r>
              <w:rPr>
                <w:rStyle w:val="IndexLink"/>
                <w:rtl w:val="true"/>
              </w:rPr>
              <w:tab/>
            </w:r>
            <w:r>
              <w:rPr>
                <w:rStyle w:val="IndexLink"/>
              </w:rPr>
              <w:t>155</w:t>
            </w:r>
          </w:hyperlink>
        </w:p>
        <w:p>
          <w:pPr>
            <w:pStyle w:val="Contents6"/>
            <w:tabs>
              <w:tab w:val="clear" w:pos="7609"/>
              <w:tab w:val="right" w:pos="9026" w:leader="dot"/>
            </w:tabs>
            <w:rPr/>
          </w:pPr>
          <w:hyperlink w:anchor="__RefHeading___Toc3971521_1067777946">
            <w:r>
              <w:rPr>
                <w:webHidden/>
                <w:rStyle w:val="IndexLink"/>
                <w:rtl w:val="true"/>
              </w:rPr>
              <w:t>آن چه در يد لقيط است</w:t>
            </w:r>
            <w:r>
              <w:rPr>
                <w:rStyle w:val="IndexLink"/>
                <w:rtl w:val="true"/>
              </w:rPr>
              <w:tab/>
            </w:r>
            <w:r>
              <w:rPr>
                <w:rStyle w:val="IndexLink"/>
              </w:rPr>
              <w:t>155</w:t>
            </w:r>
          </w:hyperlink>
        </w:p>
        <w:p>
          <w:pPr>
            <w:pStyle w:val="Contents6"/>
            <w:tabs>
              <w:tab w:val="clear" w:pos="7609"/>
              <w:tab w:val="right" w:pos="9026" w:leader="dot"/>
            </w:tabs>
            <w:rPr/>
          </w:pPr>
          <w:hyperlink w:anchor="__RefHeading___Toc3971523_1067777946">
            <w:r>
              <w:rPr>
                <w:webHidden/>
                <w:rStyle w:val="IndexLink"/>
                <w:rtl w:val="true"/>
              </w:rPr>
              <w:t>نفقۀ لقيط</w:t>
            </w:r>
            <w:r>
              <w:rPr>
                <w:rStyle w:val="IndexLink"/>
                <w:rtl w:val="true"/>
              </w:rPr>
              <w:tab/>
            </w:r>
            <w:r>
              <w:rPr>
                <w:rStyle w:val="IndexLink"/>
              </w:rPr>
              <w:t>155</w:t>
            </w:r>
          </w:hyperlink>
        </w:p>
        <w:p>
          <w:pPr>
            <w:pStyle w:val="Contents6"/>
            <w:tabs>
              <w:tab w:val="clear" w:pos="7609"/>
              <w:tab w:val="right" w:pos="9026" w:leader="dot"/>
            </w:tabs>
            <w:rPr/>
          </w:pPr>
          <w:hyperlink w:anchor="__RefHeading___Toc3971525_1067777946">
            <w:r>
              <w:rPr>
                <w:webHidden/>
                <w:rStyle w:val="IndexLink"/>
                <w:rtl w:val="true"/>
              </w:rPr>
              <w:t>اشهاد در اخذ لقيط</w:t>
            </w:r>
            <w:r>
              <w:rPr>
                <w:rStyle w:val="IndexLink"/>
                <w:rtl w:val="true"/>
              </w:rPr>
              <w:tab/>
            </w:r>
            <w:r>
              <w:rPr>
                <w:rStyle w:val="IndexLink"/>
              </w:rPr>
              <w:t>156</w:t>
            </w:r>
          </w:hyperlink>
        </w:p>
        <w:p>
          <w:pPr>
            <w:pStyle w:val="Contents6"/>
            <w:tabs>
              <w:tab w:val="clear" w:pos="7609"/>
              <w:tab w:val="right" w:pos="9026" w:leader="dot"/>
            </w:tabs>
            <w:rPr/>
          </w:pPr>
          <w:hyperlink w:anchor="__RefHeading___Toc3971527_1067777946">
            <w:r>
              <w:rPr>
                <w:webHidden/>
                <w:rStyle w:val="IndexLink"/>
                <w:rtl w:val="true"/>
              </w:rPr>
              <w:t>استيذان از حاكم شرع در انفاق بر لقيط</w:t>
            </w:r>
            <w:r>
              <w:rPr>
                <w:rStyle w:val="IndexLink"/>
                <w:rtl w:val="true"/>
              </w:rPr>
              <w:tab/>
            </w:r>
            <w:r>
              <w:rPr>
                <w:rStyle w:val="IndexLink"/>
              </w:rPr>
              <w:t>156</w:t>
            </w:r>
          </w:hyperlink>
        </w:p>
        <w:p>
          <w:pPr>
            <w:pStyle w:val="Contents6"/>
            <w:tabs>
              <w:tab w:val="clear" w:pos="7609"/>
              <w:tab w:val="right" w:pos="9026" w:leader="dot"/>
            </w:tabs>
            <w:rPr/>
          </w:pPr>
          <w:hyperlink w:anchor="__RefHeading___Toc3971529_1067777946">
            <w:r>
              <w:rPr>
                <w:webHidden/>
                <w:rStyle w:val="IndexLink"/>
                <w:rtl w:val="true"/>
              </w:rPr>
              <w:t>حكم به اسلامِ لقيط</w:t>
            </w:r>
            <w:r>
              <w:rPr>
                <w:rStyle w:val="IndexLink"/>
                <w:rtl w:val="true"/>
              </w:rPr>
              <w:tab/>
            </w:r>
            <w:r>
              <w:rPr>
                <w:rStyle w:val="IndexLink"/>
              </w:rPr>
              <w:t>156</w:t>
            </w:r>
          </w:hyperlink>
        </w:p>
        <w:p>
          <w:pPr>
            <w:pStyle w:val="Contents6"/>
            <w:tabs>
              <w:tab w:val="clear" w:pos="7609"/>
              <w:tab w:val="right" w:pos="9026" w:leader="dot"/>
            </w:tabs>
            <w:rPr/>
          </w:pPr>
          <w:hyperlink w:anchor="__RefHeading___Toc3971531_1067777946">
            <w:r>
              <w:rPr>
                <w:webHidden/>
                <w:rStyle w:val="IndexLink"/>
                <w:rtl w:val="true"/>
              </w:rPr>
              <w:t>عاقلۀ لقيط</w:t>
            </w:r>
            <w:r>
              <w:rPr>
                <w:rStyle w:val="IndexLink"/>
                <w:rtl w:val="true"/>
              </w:rPr>
              <w:tab/>
            </w:r>
            <w:r>
              <w:rPr>
                <w:rStyle w:val="IndexLink"/>
              </w:rPr>
              <w:t>157</w:t>
            </w:r>
          </w:hyperlink>
        </w:p>
        <w:p>
          <w:pPr>
            <w:pStyle w:val="Contents6"/>
            <w:tabs>
              <w:tab w:val="clear" w:pos="7609"/>
              <w:tab w:val="right" w:pos="9026" w:leader="dot"/>
            </w:tabs>
            <w:rPr/>
          </w:pPr>
          <w:hyperlink w:anchor="__RefHeading___Toc3971533_1067777946">
            <w:r>
              <w:rPr>
                <w:webHidden/>
                <w:rStyle w:val="IndexLink"/>
                <w:rtl w:val="true"/>
              </w:rPr>
              <w:t>جنايت بر لقيط صغير</w:t>
            </w:r>
            <w:r>
              <w:rPr>
                <w:rStyle w:val="IndexLink"/>
                <w:rtl w:val="true"/>
              </w:rPr>
              <w:tab/>
            </w:r>
            <w:r>
              <w:rPr>
                <w:rStyle w:val="IndexLink"/>
              </w:rPr>
              <w:t>157</w:t>
            </w:r>
          </w:hyperlink>
        </w:p>
        <w:p>
          <w:pPr>
            <w:pStyle w:val="Contents6"/>
            <w:tabs>
              <w:tab w:val="clear" w:pos="7609"/>
              <w:tab w:val="right" w:pos="9026" w:leader="dot"/>
            </w:tabs>
            <w:rPr/>
          </w:pPr>
          <w:hyperlink w:anchor="__RefHeading___Toc3971535_1067777946">
            <w:r>
              <w:rPr>
                <w:webHidden/>
                <w:rStyle w:val="IndexLink"/>
                <w:rtl w:val="true"/>
              </w:rPr>
              <w:t>قذف لقيط بالغ</w:t>
            </w:r>
            <w:r>
              <w:rPr>
                <w:rStyle w:val="IndexLink"/>
                <w:rtl w:val="true"/>
              </w:rPr>
              <w:tab/>
            </w:r>
            <w:r>
              <w:rPr>
                <w:rStyle w:val="IndexLink"/>
              </w:rPr>
              <w:t>159</w:t>
            </w:r>
          </w:hyperlink>
        </w:p>
        <w:p>
          <w:pPr>
            <w:pStyle w:val="Contents6"/>
            <w:tabs>
              <w:tab w:val="clear" w:pos="7609"/>
              <w:tab w:val="right" w:pos="9026" w:leader="dot"/>
            </w:tabs>
            <w:rPr/>
          </w:pPr>
          <w:hyperlink w:anchor="__RefHeading___Toc3971537_1067777946">
            <w:r>
              <w:rPr>
                <w:webHidden/>
                <w:rStyle w:val="IndexLink"/>
                <w:rtl w:val="true"/>
              </w:rPr>
              <w:t>قبول اقرار لقيط بعد از بلوغ و رشد</w:t>
            </w:r>
            <w:r>
              <w:rPr>
                <w:rStyle w:val="IndexLink"/>
                <w:rtl w:val="true"/>
              </w:rPr>
              <w:tab/>
            </w:r>
            <w:r>
              <w:rPr>
                <w:rStyle w:val="IndexLink"/>
              </w:rPr>
              <w:t>159</w:t>
            </w:r>
          </w:hyperlink>
        </w:p>
        <w:p>
          <w:pPr>
            <w:pStyle w:val="Contents6"/>
            <w:tabs>
              <w:tab w:val="clear" w:pos="7609"/>
              <w:tab w:val="right" w:pos="9026" w:leader="dot"/>
            </w:tabs>
            <w:rPr/>
          </w:pPr>
          <w:hyperlink w:anchor="__RefHeading___Toc3971539_1067777946">
            <w:r>
              <w:rPr>
                <w:webHidden/>
                <w:rStyle w:val="IndexLink"/>
                <w:rtl w:val="true"/>
              </w:rPr>
              <w:t>ادّعاى بنوّت لقيط</w:t>
            </w:r>
            <w:r>
              <w:rPr>
                <w:rStyle w:val="IndexLink"/>
                <w:rtl w:val="true"/>
              </w:rPr>
              <w:tab/>
            </w:r>
            <w:r>
              <w:rPr>
                <w:rStyle w:val="IndexLink"/>
              </w:rPr>
              <w:t>160</w:t>
            </w:r>
          </w:hyperlink>
        </w:p>
        <w:p>
          <w:pPr>
            <w:pStyle w:val="Contents5"/>
            <w:tabs>
              <w:tab w:val="clear" w:pos="7892"/>
              <w:tab w:val="right" w:pos="9026" w:leader="dot"/>
            </w:tabs>
            <w:rPr/>
          </w:pPr>
          <w:hyperlink w:anchor="__RefHeading___Toc3971541_1067777946">
            <w:r>
              <w:rPr>
                <w:webHidden/>
                <w:rStyle w:val="IndexLink"/>
              </w:rPr>
              <w:t>4</w:t>
            </w:r>
            <w:r>
              <w:rPr>
                <w:rStyle w:val="IndexLink"/>
                <w:rtl w:val="true"/>
              </w:rPr>
              <w:t xml:space="preserve">. </w:t>
            </w:r>
            <w:r>
              <w:rPr>
                <w:rStyle w:val="IndexLink"/>
                <w:rtl w:val="true"/>
              </w:rPr>
              <w:t>احكام نزاع</w:t>
            </w:r>
            <w:r>
              <w:rPr>
                <w:rStyle w:val="IndexLink"/>
                <w:rtl w:val="true"/>
              </w:rPr>
              <w:tab/>
            </w:r>
            <w:r>
              <w:rPr>
                <w:rStyle w:val="IndexLink"/>
              </w:rPr>
              <w:t>161</w:t>
            </w:r>
          </w:hyperlink>
        </w:p>
        <w:p>
          <w:pPr>
            <w:pStyle w:val="Contents6"/>
            <w:tabs>
              <w:tab w:val="clear" w:pos="7609"/>
              <w:tab w:val="right" w:pos="9026" w:leader="dot"/>
            </w:tabs>
            <w:rPr/>
          </w:pPr>
          <w:hyperlink w:anchor="__RefHeading___Toc3971543_1067777946">
            <w:r>
              <w:rPr>
                <w:webHidden/>
                <w:rStyle w:val="IndexLink"/>
                <w:rtl w:val="true"/>
              </w:rPr>
              <w:t>اختلاف لقيط و ملتقط در انفاق و قدر آن</w:t>
            </w:r>
            <w:r>
              <w:rPr>
                <w:rStyle w:val="IndexLink"/>
                <w:rtl w:val="true"/>
              </w:rPr>
              <w:tab/>
            </w:r>
            <w:r>
              <w:rPr>
                <w:rStyle w:val="IndexLink"/>
              </w:rPr>
              <w:t>161</w:t>
            </w:r>
          </w:hyperlink>
        </w:p>
        <w:p>
          <w:pPr>
            <w:pStyle w:val="Contents6"/>
            <w:tabs>
              <w:tab w:val="clear" w:pos="7609"/>
              <w:tab w:val="right" w:pos="9026" w:leader="dot"/>
            </w:tabs>
            <w:rPr/>
          </w:pPr>
          <w:hyperlink w:anchor="__RefHeading___Toc3971545_1067777946">
            <w:r>
              <w:rPr>
                <w:webHidden/>
                <w:rStyle w:val="IndexLink"/>
                <w:rtl w:val="true"/>
              </w:rPr>
              <w:t>عدم ضمان ملتقِط و امين بودن وى</w:t>
            </w:r>
            <w:r>
              <w:rPr>
                <w:rStyle w:val="IndexLink"/>
                <w:rtl w:val="true"/>
              </w:rPr>
              <w:tab/>
            </w:r>
            <w:r>
              <w:rPr>
                <w:rStyle w:val="IndexLink"/>
              </w:rPr>
              <w:t>161</w:t>
            </w:r>
          </w:hyperlink>
        </w:p>
        <w:p>
          <w:pPr>
            <w:pStyle w:val="Contents6"/>
            <w:tabs>
              <w:tab w:val="clear" w:pos="7609"/>
              <w:tab w:val="right" w:pos="9026" w:leader="dot"/>
            </w:tabs>
            <w:rPr/>
          </w:pPr>
          <w:hyperlink w:anchor="__RefHeading___Toc3971547_1067777946">
            <w:r>
              <w:rPr>
                <w:webHidden/>
                <w:rStyle w:val="IndexLink"/>
                <w:rtl w:val="true"/>
              </w:rPr>
              <w:t>تنازع دو ملتقط</w:t>
            </w:r>
            <w:r>
              <w:rPr>
                <w:rStyle w:val="IndexLink"/>
                <w:rtl w:val="true"/>
              </w:rPr>
              <w:tab/>
            </w:r>
            <w:r>
              <w:rPr>
                <w:rStyle w:val="IndexLink"/>
              </w:rPr>
              <w:t>162</w:t>
            </w:r>
          </w:hyperlink>
        </w:p>
        <w:p>
          <w:pPr>
            <w:pStyle w:val="Contents6"/>
            <w:tabs>
              <w:tab w:val="clear" w:pos="7609"/>
              <w:tab w:val="right" w:pos="9026" w:leader="dot"/>
            </w:tabs>
            <w:rPr/>
          </w:pPr>
          <w:hyperlink w:anchor="__RefHeading___Toc3971549_1067777946">
            <w:r>
              <w:rPr>
                <w:webHidden/>
                <w:rStyle w:val="IndexLink"/>
                <w:rtl w:val="true"/>
              </w:rPr>
              <w:t>فرضِ بودن لقيط در يد يكى از متنازعين</w:t>
            </w:r>
            <w:r>
              <w:rPr>
                <w:rStyle w:val="IndexLink"/>
                <w:rtl w:val="true"/>
              </w:rPr>
              <w:tab/>
            </w:r>
            <w:r>
              <w:rPr>
                <w:rStyle w:val="IndexLink"/>
              </w:rPr>
              <w:t>163</w:t>
            </w:r>
          </w:hyperlink>
        </w:p>
        <w:p>
          <w:pPr>
            <w:pStyle w:val="Contents6"/>
            <w:tabs>
              <w:tab w:val="clear" w:pos="7609"/>
              <w:tab w:val="right" w:pos="9026" w:leader="dot"/>
            </w:tabs>
            <w:rPr/>
          </w:pPr>
          <w:hyperlink w:anchor="__RefHeading___Toc3971551_1067777946">
            <w:r>
              <w:rPr>
                <w:webHidden/>
                <w:rStyle w:val="IndexLink"/>
                <w:rtl w:val="true"/>
              </w:rPr>
              <w:t xml:space="preserve">كلام </w:t>
            </w:r>
            <w:r>
              <w:rPr>
                <w:rStyle w:val="IndexLink"/>
                <w:rtl w:val="true"/>
              </w:rPr>
              <w:t>«</w:t>
            </w:r>
            <w:r>
              <w:rPr>
                <w:rStyle w:val="IndexLink"/>
                <w:rtl w:val="true"/>
              </w:rPr>
              <w:t>تحرير</w:t>
            </w:r>
            <w:r>
              <w:rPr>
                <w:rStyle w:val="IndexLink"/>
                <w:rtl w:val="true"/>
              </w:rPr>
              <w:t xml:space="preserve">» </w:t>
            </w:r>
            <w:r>
              <w:rPr>
                <w:rStyle w:val="IndexLink"/>
                <w:rtl w:val="true"/>
              </w:rPr>
              <w:t>در مقام</w:t>
            </w:r>
            <w:r>
              <w:rPr>
                <w:rStyle w:val="IndexLink"/>
                <w:rtl w:val="true"/>
              </w:rPr>
              <w:tab/>
            </w:r>
            <w:r>
              <w:rPr>
                <w:rStyle w:val="IndexLink"/>
              </w:rPr>
              <w:t>163</w:t>
            </w:r>
          </w:hyperlink>
        </w:p>
        <w:p>
          <w:pPr>
            <w:pStyle w:val="Contents6"/>
            <w:tabs>
              <w:tab w:val="clear" w:pos="7609"/>
              <w:tab w:val="right" w:pos="9026" w:leader="dot"/>
            </w:tabs>
            <w:rPr/>
          </w:pPr>
          <w:hyperlink w:anchor="__RefHeading___Toc3971553_1067777946">
            <w:r>
              <w:rPr>
                <w:webHidden/>
                <w:rStyle w:val="IndexLink"/>
                <w:rtl w:val="true"/>
              </w:rPr>
              <w:t>مناقشه در توصيف مدعى متاع و مدّعى لقطه</w:t>
            </w:r>
            <w:r>
              <w:rPr>
                <w:rStyle w:val="IndexLink"/>
                <w:rtl w:val="true"/>
              </w:rPr>
              <w:tab/>
            </w:r>
            <w:r>
              <w:rPr>
                <w:rStyle w:val="IndexLink"/>
              </w:rPr>
              <w:t>163</w:t>
            </w:r>
          </w:hyperlink>
        </w:p>
        <w:p>
          <w:pPr>
            <w:pStyle w:val="Contents6"/>
            <w:tabs>
              <w:tab w:val="clear" w:pos="7609"/>
              <w:tab w:val="right" w:pos="9026" w:leader="dot"/>
            </w:tabs>
            <w:rPr/>
          </w:pPr>
          <w:hyperlink w:anchor="__RefHeading___Toc3971555_1067777946">
            <w:r>
              <w:rPr>
                <w:webHidden/>
                <w:rStyle w:val="IndexLink"/>
                <w:rtl w:val="true"/>
              </w:rPr>
              <w:t>ادّعاى بنوّت توسط دو نفر</w:t>
            </w:r>
            <w:r>
              <w:rPr>
                <w:rStyle w:val="IndexLink"/>
                <w:rtl w:val="true"/>
              </w:rPr>
              <w:tab/>
            </w:r>
            <w:r>
              <w:rPr>
                <w:rStyle w:val="IndexLink"/>
              </w:rPr>
              <w:t>163</w:t>
            </w:r>
          </w:hyperlink>
        </w:p>
        <w:p>
          <w:pPr>
            <w:pStyle w:val="Contents6"/>
            <w:tabs>
              <w:tab w:val="clear" w:pos="7609"/>
              <w:tab w:val="right" w:pos="9026" w:leader="dot"/>
            </w:tabs>
            <w:rPr/>
          </w:pPr>
          <w:hyperlink w:anchor="__RefHeading___Toc3971557_1067777946">
            <w:r>
              <w:rPr>
                <w:webHidden/>
                <w:rStyle w:val="IndexLink"/>
                <w:rtl w:val="true"/>
              </w:rPr>
              <w:t>اختلاف مسلم و كافر و يا حرّ و عبد در ادّعاى بنوّت</w:t>
            </w:r>
            <w:r>
              <w:rPr>
                <w:rStyle w:val="IndexLink"/>
                <w:rtl w:val="true"/>
              </w:rPr>
              <w:tab/>
            </w:r>
            <w:r>
              <w:rPr>
                <w:rStyle w:val="IndexLink"/>
              </w:rPr>
              <w:t>164</w:t>
            </w:r>
          </w:hyperlink>
        </w:p>
        <w:p>
          <w:pPr>
            <w:pStyle w:val="Contents6"/>
            <w:tabs>
              <w:tab w:val="clear" w:pos="7609"/>
              <w:tab w:val="right" w:pos="9026" w:leader="dot"/>
            </w:tabs>
            <w:rPr/>
          </w:pPr>
          <w:hyperlink w:anchor="__RefHeading___Toc3971559_1067777946">
            <w:r>
              <w:rPr>
                <w:webHidden/>
                <w:rStyle w:val="IndexLink"/>
                <w:rtl w:val="true"/>
              </w:rPr>
              <w:t>نزاع بين مرد و زن در بنوّت</w:t>
            </w:r>
            <w:r>
              <w:rPr>
                <w:rStyle w:val="IndexLink"/>
                <w:rtl w:val="true"/>
              </w:rPr>
              <w:tab/>
            </w:r>
            <w:r>
              <w:rPr>
                <w:rStyle w:val="IndexLink"/>
              </w:rPr>
              <w:t>164</w:t>
            </w:r>
          </w:hyperlink>
        </w:p>
        <w:p>
          <w:pPr>
            <w:pStyle w:val="Contents3"/>
            <w:tabs>
              <w:tab w:val="clear" w:pos="8459"/>
              <w:tab w:val="right" w:pos="9026" w:leader="dot"/>
            </w:tabs>
            <w:rPr/>
          </w:pPr>
          <w:hyperlink w:anchor="__RefHeading___Toc3971561_1067777946">
            <w:r>
              <w:rPr>
                <w:webHidden/>
                <w:rStyle w:val="IndexLink"/>
                <w:rtl w:val="true"/>
              </w:rPr>
              <w:t>فصل دوّم حيوان لقيط</w:t>
            </w:r>
            <w:r>
              <w:rPr>
                <w:rStyle w:val="IndexLink"/>
                <w:rtl w:val="true"/>
              </w:rPr>
              <w:tab/>
            </w:r>
            <w:r>
              <w:rPr>
                <w:rStyle w:val="IndexLink"/>
              </w:rPr>
              <w:t>165</w:t>
            </w:r>
          </w:hyperlink>
        </w:p>
        <w:p>
          <w:pPr>
            <w:pStyle w:val="Contents4"/>
            <w:tabs>
              <w:tab w:val="clear" w:pos="8176"/>
              <w:tab w:val="right" w:pos="9026" w:leader="dot"/>
            </w:tabs>
            <w:rPr/>
          </w:pPr>
          <w:hyperlink w:anchor="__RefHeading___Toc3971563_1067777946">
            <w:r>
              <w:rPr>
                <w:webHidden/>
                <w:rStyle w:val="IndexLink"/>
                <w:rtl w:val="true"/>
              </w:rPr>
              <w:t>بيان امور مربوطه به آخذ و مأخوذ و حكم حيوان گمشده</w:t>
            </w:r>
            <w:r>
              <w:rPr>
                <w:rStyle w:val="IndexLink"/>
                <w:rtl w:val="true"/>
              </w:rPr>
              <w:tab/>
            </w:r>
            <w:r>
              <w:rPr>
                <w:rStyle w:val="IndexLink"/>
              </w:rPr>
              <w:t>165</w:t>
            </w:r>
          </w:hyperlink>
        </w:p>
        <w:p>
          <w:pPr>
            <w:pStyle w:val="Contents5"/>
            <w:tabs>
              <w:tab w:val="clear" w:pos="7892"/>
              <w:tab w:val="right" w:pos="9026" w:leader="dot"/>
            </w:tabs>
            <w:rPr/>
          </w:pPr>
          <w:hyperlink w:anchor="__RefHeading___Toc3971565_1067777946">
            <w:r>
              <w:rPr>
                <w:webHidden/>
                <w:rStyle w:val="IndexLink"/>
                <w:rtl w:val="true"/>
              </w:rPr>
              <w:t>مراد از ضالّه و حيوان گمشده</w:t>
            </w:r>
            <w:r>
              <w:rPr>
                <w:rStyle w:val="IndexLink"/>
                <w:rtl w:val="true"/>
              </w:rPr>
              <w:tab/>
            </w:r>
            <w:r>
              <w:rPr>
                <w:rStyle w:val="IndexLink"/>
              </w:rPr>
              <w:t>165</w:t>
            </w:r>
          </w:hyperlink>
        </w:p>
        <w:p>
          <w:pPr>
            <w:pStyle w:val="Contents5"/>
            <w:tabs>
              <w:tab w:val="clear" w:pos="7892"/>
              <w:tab w:val="right" w:pos="9026" w:leader="dot"/>
            </w:tabs>
            <w:rPr/>
          </w:pPr>
          <w:hyperlink w:anchor="__RefHeading___Toc3971567_1067777946">
            <w:r>
              <w:rPr>
                <w:webHidden/>
                <w:rStyle w:val="IndexLink"/>
                <w:rtl w:val="true"/>
              </w:rPr>
              <w:t>كراهت اخذ ضالّه</w:t>
            </w:r>
            <w:r>
              <w:rPr>
                <w:rStyle w:val="IndexLink"/>
                <w:rtl w:val="true"/>
              </w:rPr>
              <w:tab/>
            </w:r>
            <w:r>
              <w:rPr>
                <w:rStyle w:val="IndexLink"/>
              </w:rPr>
              <w:t>165</w:t>
            </w:r>
          </w:hyperlink>
        </w:p>
        <w:p>
          <w:pPr>
            <w:pStyle w:val="Contents5"/>
            <w:tabs>
              <w:tab w:val="clear" w:pos="7892"/>
              <w:tab w:val="right" w:pos="9026" w:leader="dot"/>
            </w:tabs>
            <w:rPr/>
          </w:pPr>
          <w:hyperlink w:anchor="__RefHeading___Toc3971569_1067777946">
            <w:r>
              <w:rPr>
                <w:webHidden/>
                <w:rStyle w:val="IndexLink"/>
                <w:rtl w:val="true"/>
              </w:rPr>
              <w:t>استحباب اشهاد عدلين</w:t>
            </w:r>
            <w:r>
              <w:rPr>
                <w:rStyle w:val="IndexLink"/>
                <w:rtl w:val="true"/>
              </w:rPr>
              <w:tab/>
            </w:r>
            <w:r>
              <w:rPr>
                <w:rStyle w:val="IndexLink"/>
              </w:rPr>
              <w:t>165</w:t>
            </w:r>
          </w:hyperlink>
        </w:p>
        <w:p>
          <w:pPr>
            <w:pStyle w:val="Contents5"/>
            <w:tabs>
              <w:tab w:val="clear" w:pos="7892"/>
              <w:tab w:val="right" w:pos="9026" w:leader="dot"/>
            </w:tabs>
            <w:rPr/>
          </w:pPr>
          <w:hyperlink w:anchor="__RefHeading___Toc3971571_1067777946">
            <w:r>
              <w:rPr>
                <w:webHidden/>
                <w:rStyle w:val="IndexLink"/>
                <w:rtl w:val="true"/>
              </w:rPr>
              <w:t>تفارق شتر و گوسفند در جواز اخذ</w:t>
            </w:r>
            <w:r>
              <w:rPr>
                <w:rStyle w:val="IndexLink"/>
                <w:rtl w:val="true"/>
              </w:rPr>
              <w:tab/>
            </w:r>
            <w:r>
              <w:rPr>
                <w:rStyle w:val="IndexLink"/>
              </w:rPr>
              <w:t>165</w:t>
            </w:r>
          </w:hyperlink>
        </w:p>
        <w:p>
          <w:pPr>
            <w:pStyle w:val="Contents5"/>
            <w:tabs>
              <w:tab w:val="clear" w:pos="7892"/>
              <w:tab w:val="right" w:pos="9026" w:leader="dot"/>
            </w:tabs>
            <w:rPr/>
          </w:pPr>
          <w:hyperlink w:anchor="__RefHeading___Toc3971573_1067777946">
            <w:r>
              <w:rPr>
                <w:webHidden/>
                <w:rStyle w:val="IndexLink"/>
                <w:rtl w:val="true"/>
              </w:rPr>
              <w:t>ثبوت ضمان در فرض عدم جواز اخذ</w:t>
            </w:r>
            <w:r>
              <w:rPr>
                <w:rStyle w:val="IndexLink"/>
                <w:rtl w:val="true"/>
              </w:rPr>
              <w:tab/>
            </w:r>
            <w:r>
              <w:rPr>
                <w:rStyle w:val="IndexLink"/>
              </w:rPr>
              <w:t>166</w:t>
            </w:r>
          </w:hyperlink>
        </w:p>
        <w:p>
          <w:pPr>
            <w:pStyle w:val="Contents5"/>
            <w:tabs>
              <w:tab w:val="clear" w:pos="7892"/>
              <w:tab w:val="right" w:pos="9026" w:leader="dot"/>
            </w:tabs>
            <w:rPr/>
          </w:pPr>
          <w:hyperlink w:anchor="__RefHeading___Toc3971575_1067777946">
            <w:r>
              <w:rPr>
                <w:webHidden/>
                <w:rStyle w:val="IndexLink"/>
                <w:rtl w:val="true"/>
              </w:rPr>
              <w:t>ميزان در ضمان</w:t>
            </w:r>
            <w:r>
              <w:rPr>
                <w:rStyle w:val="IndexLink"/>
                <w:rtl w:val="true"/>
              </w:rPr>
              <w:tab/>
            </w:r>
            <w:r>
              <w:rPr>
                <w:rStyle w:val="IndexLink"/>
              </w:rPr>
              <w:t>166</w:t>
            </w:r>
          </w:hyperlink>
        </w:p>
        <w:p>
          <w:pPr>
            <w:pStyle w:val="Contents5"/>
            <w:tabs>
              <w:tab w:val="clear" w:pos="7892"/>
              <w:tab w:val="right" w:pos="9026" w:leader="dot"/>
            </w:tabs>
            <w:rPr/>
          </w:pPr>
          <w:hyperlink w:anchor="__RefHeading___Toc3971577_1067777946">
            <w:r>
              <w:rPr>
                <w:webHidden/>
                <w:rStyle w:val="IndexLink"/>
                <w:rtl w:val="true"/>
              </w:rPr>
              <w:t>عدم لزوم اذن حاكم در مقام</w:t>
            </w:r>
            <w:r>
              <w:rPr>
                <w:rStyle w:val="IndexLink"/>
                <w:rtl w:val="true"/>
              </w:rPr>
              <w:tab/>
            </w:r>
            <w:r>
              <w:rPr>
                <w:rStyle w:val="IndexLink"/>
              </w:rPr>
              <w:t>166</w:t>
            </w:r>
          </w:hyperlink>
        </w:p>
        <w:p>
          <w:pPr>
            <w:pStyle w:val="Contents5"/>
            <w:tabs>
              <w:tab w:val="clear" w:pos="7892"/>
              <w:tab w:val="right" w:pos="9026" w:leader="dot"/>
            </w:tabs>
            <w:rPr/>
          </w:pPr>
          <w:hyperlink w:anchor="__RefHeading___Toc3971579_1067777946">
            <w:r>
              <w:rPr>
                <w:webHidden/>
                <w:rStyle w:val="IndexLink"/>
                <w:rtl w:val="true"/>
              </w:rPr>
              <w:t>رعايت معرضيّت تلف در جواز اخذ</w:t>
            </w:r>
            <w:r>
              <w:rPr>
                <w:rStyle w:val="IndexLink"/>
                <w:rtl w:val="true"/>
              </w:rPr>
              <w:tab/>
            </w:r>
            <w:r>
              <w:rPr>
                <w:rStyle w:val="IndexLink"/>
              </w:rPr>
              <w:t>167</w:t>
            </w:r>
          </w:hyperlink>
        </w:p>
        <w:p>
          <w:pPr>
            <w:pStyle w:val="Contents5"/>
            <w:tabs>
              <w:tab w:val="clear" w:pos="7892"/>
              <w:tab w:val="right" w:pos="9026" w:leader="dot"/>
            </w:tabs>
            <w:rPr/>
          </w:pPr>
          <w:hyperlink w:anchor="__RefHeading___Toc3971581_1067777946">
            <w:r>
              <w:rPr>
                <w:webHidden/>
                <w:rStyle w:val="IndexLink"/>
                <w:rtl w:val="true"/>
              </w:rPr>
              <w:t>اعراض از حيوان</w:t>
            </w:r>
            <w:r>
              <w:rPr>
                <w:rStyle w:val="IndexLink"/>
                <w:rtl w:val="true"/>
              </w:rPr>
              <w:tab/>
            </w:r>
            <w:r>
              <w:rPr>
                <w:rStyle w:val="IndexLink"/>
              </w:rPr>
              <w:t>168</w:t>
            </w:r>
          </w:hyperlink>
        </w:p>
        <w:p>
          <w:pPr>
            <w:pStyle w:val="Contents5"/>
            <w:tabs>
              <w:tab w:val="clear" w:pos="7892"/>
              <w:tab w:val="right" w:pos="9026" w:leader="dot"/>
            </w:tabs>
            <w:rPr/>
          </w:pPr>
          <w:hyperlink w:anchor="__RefHeading___Toc3971583_1067777946">
            <w:r>
              <w:rPr>
                <w:webHidden/>
                <w:rStyle w:val="IndexLink"/>
                <w:rtl w:val="true"/>
              </w:rPr>
              <w:t>عدم ضمان در صورت جواز اخذ تملّكى</w:t>
            </w:r>
            <w:r>
              <w:rPr>
                <w:rStyle w:val="IndexLink"/>
                <w:rtl w:val="true"/>
              </w:rPr>
              <w:tab/>
            </w:r>
            <w:r>
              <w:rPr>
                <w:rStyle w:val="IndexLink"/>
              </w:rPr>
              <w:t>168</w:t>
            </w:r>
          </w:hyperlink>
        </w:p>
        <w:p>
          <w:pPr>
            <w:pStyle w:val="Contents5"/>
            <w:tabs>
              <w:tab w:val="clear" w:pos="7892"/>
              <w:tab w:val="right" w:pos="9026" w:leader="dot"/>
            </w:tabs>
            <w:rPr/>
          </w:pPr>
          <w:hyperlink w:anchor="__RefHeading___Toc3971585_1067777946">
            <w:r>
              <w:rPr>
                <w:webHidden/>
                <w:rStyle w:val="IndexLink"/>
                <w:rtl w:val="true"/>
              </w:rPr>
              <w:t>پيدا نمودن گوسفند در صحرا</w:t>
            </w:r>
            <w:r>
              <w:rPr>
                <w:rStyle w:val="IndexLink"/>
                <w:rtl w:val="true"/>
              </w:rPr>
              <w:tab/>
            </w:r>
            <w:r>
              <w:rPr>
                <w:rStyle w:val="IndexLink"/>
              </w:rPr>
              <w:t>168</w:t>
            </w:r>
          </w:hyperlink>
        </w:p>
        <w:p>
          <w:pPr>
            <w:pStyle w:val="Contents3"/>
            <w:tabs>
              <w:tab w:val="clear" w:pos="8459"/>
              <w:tab w:val="right" w:pos="9026" w:leader="dot"/>
            </w:tabs>
            <w:rPr/>
          </w:pPr>
          <w:hyperlink w:anchor="__RefHeading___Toc3971587_1067777946">
            <w:r>
              <w:rPr>
                <w:webHidden/>
                <w:rStyle w:val="IndexLink"/>
                <w:rtl w:val="true"/>
              </w:rPr>
              <w:t>فصل سوّم لقطه به معناى اخص</w:t>
            </w:r>
            <w:r>
              <w:rPr>
                <w:rStyle w:val="IndexLink"/>
                <w:rtl w:val="true"/>
              </w:rPr>
              <w:tab/>
            </w:r>
            <w:r>
              <w:rPr>
                <w:rStyle w:val="IndexLink"/>
              </w:rPr>
              <w:t>170</w:t>
            </w:r>
          </w:hyperlink>
        </w:p>
        <w:p>
          <w:pPr>
            <w:pStyle w:val="Contents4"/>
            <w:tabs>
              <w:tab w:val="clear" w:pos="8176"/>
              <w:tab w:val="right" w:pos="9026" w:leader="dot"/>
            </w:tabs>
            <w:rPr/>
          </w:pPr>
          <w:hyperlink w:anchor="__RefHeading___Toc3971589_1067777946">
            <w:r>
              <w:rPr>
                <w:webHidden/>
                <w:rStyle w:val="IndexLink"/>
              </w:rPr>
              <w:t>1</w:t>
            </w:r>
            <w:r>
              <w:rPr>
                <w:rStyle w:val="IndexLink"/>
                <w:rtl w:val="true"/>
              </w:rPr>
              <w:t xml:space="preserve">. </w:t>
            </w:r>
            <w:r>
              <w:rPr>
                <w:rStyle w:val="IndexLink"/>
                <w:rtl w:val="true"/>
              </w:rPr>
              <w:t>بعضى از خصوصيات و احكام</w:t>
            </w:r>
            <w:r>
              <w:rPr>
                <w:rStyle w:val="IndexLink"/>
                <w:rtl w:val="true"/>
              </w:rPr>
              <w:tab/>
            </w:r>
            <w:r>
              <w:rPr>
                <w:rStyle w:val="IndexLink"/>
              </w:rPr>
              <w:t>170</w:t>
            </w:r>
          </w:hyperlink>
        </w:p>
        <w:p>
          <w:pPr>
            <w:pStyle w:val="Contents5"/>
            <w:tabs>
              <w:tab w:val="clear" w:pos="7892"/>
              <w:tab w:val="right" w:pos="9026" w:leader="dot"/>
            </w:tabs>
            <w:rPr/>
          </w:pPr>
          <w:hyperlink w:anchor="__RefHeading___Toc3971591_1067777946">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971593_1067777946">
            <w:r>
              <w:rPr>
                <w:webHidden/>
                <w:rStyle w:val="IndexLink"/>
                <w:rtl w:val="true"/>
              </w:rPr>
              <w:t>جواز اخذ مال كمتر از درهم و در غير حرم</w:t>
            </w:r>
            <w:r>
              <w:rPr>
                <w:rStyle w:val="IndexLink"/>
                <w:rtl w:val="true"/>
              </w:rPr>
              <w:tab/>
            </w:r>
            <w:r>
              <w:rPr>
                <w:rStyle w:val="IndexLink"/>
              </w:rPr>
              <w:t>170</w:t>
            </w:r>
          </w:hyperlink>
        </w:p>
        <w:p>
          <w:pPr>
            <w:pStyle w:val="Contents5"/>
            <w:tabs>
              <w:tab w:val="clear" w:pos="7892"/>
              <w:tab w:val="right" w:pos="9026" w:leader="dot"/>
            </w:tabs>
            <w:rPr/>
          </w:pPr>
          <w:hyperlink w:anchor="__RefHeading___Toc3971595_1067777946">
            <w:r>
              <w:rPr>
                <w:webHidden/>
                <w:rStyle w:val="IndexLink"/>
                <w:rtl w:val="true"/>
              </w:rPr>
              <w:t>مال مأخوذ در غير حرم</w:t>
            </w:r>
            <w:r>
              <w:rPr>
                <w:rStyle w:val="IndexLink"/>
                <w:rtl w:val="true"/>
              </w:rPr>
              <w:tab/>
            </w:r>
            <w:r>
              <w:rPr>
                <w:rStyle w:val="IndexLink"/>
              </w:rPr>
              <w:t>170</w:t>
            </w:r>
          </w:hyperlink>
        </w:p>
        <w:p>
          <w:pPr>
            <w:pStyle w:val="Contents5"/>
            <w:tabs>
              <w:tab w:val="clear" w:pos="7892"/>
              <w:tab w:val="right" w:pos="9026" w:leader="dot"/>
            </w:tabs>
            <w:rPr/>
          </w:pPr>
          <w:hyperlink w:anchor="__RefHeading___Toc3971597_1067777946">
            <w:r>
              <w:rPr>
                <w:webHidden/>
                <w:rStyle w:val="IndexLink"/>
                <w:rtl w:val="true"/>
              </w:rPr>
              <w:t>كراهت اخذِ مال پيدا شده در حرم</w:t>
            </w:r>
            <w:r>
              <w:rPr>
                <w:rStyle w:val="IndexLink"/>
                <w:rtl w:val="true"/>
              </w:rPr>
              <w:tab/>
            </w:r>
            <w:r>
              <w:rPr>
                <w:rStyle w:val="IndexLink"/>
              </w:rPr>
              <w:t>171</w:t>
            </w:r>
          </w:hyperlink>
        </w:p>
        <w:p>
          <w:pPr>
            <w:pStyle w:val="Contents5"/>
            <w:tabs>
              <w:tab w:val="clear" w:pos="7892"/>
              <w:tab w:val="right" w:pos="9026" w:leader="dot"/>
            </w:tabs>
            <w:rPr/>
          </w:pPr>
          <w:hyperlink w:anchor="__RefHeading___Toc3971599_1067777946">
            <w:r>
              <w:rPr>
                <w:webHidden/>
                <w:rStyle w:val="IndexLink"/>
                <w:rtl w:val="true"/>
              </w:rPr>
              <w:t>كراهت يا حرمت اخذ غير متمكّن از انشاد و تعريف</w:t>
            </w:r>
            <w:r>
              <w:rPr>
                <w:rStyle w:val="IndexLink"/>
                <w:rtl w:val="true"/>
              </w:rPr>
              <w:tab/>
            </w:r>
            <w:r>
              <w:rPr>
                <w:rStyle w:val="IndexLink"/>
              </w:rPr>
              <w:t>171</w:t>
            </w:r>
          </w:hyperlink>
        </w:p>
        <w:p>
          <w:pPr>
            <w:pStyle w:val="Contents5"/>
            <w:tabs>
              <w:tab w:val="clear" w:pos="7892"/>
              <w:tab w:val="right" w:pos="9026" w:leader="dot"/>
            </w:tabs>
            <w:rPr/>
          </w:pPr>
          <w:hyperlink w:anchor="__RefHeading___Toc3971601_1067777946">
            <w:r>
              <w:rPr>
                <w:webHidden/>
                <w:rStyle w:val="IndexLink"/>
                <w:rtl w:val="true"/>
              </w:rPr>
              <w:t>تعريف تا يك سال</w:t>
            </w:r>
            <w:r>
              <w:rPr>
                <w:rStyle w:val="IndexLink"/>
                <w:rtl w:val="true"/>
              </w:rPr>
              <w:tab/>
            </w:r>
            <w:r>
              <w:rPr>
                <w:rStyle w:val="IndexLink"/>
              </w:rPr>
              <w:t>171</w:t>
            </w:r>
          </w:hyperlink>
        </w:p>
        <w:p>
          <w:pPr>
            <w:pStyle w:val="Contents5"/>
            <w:tabs>
              <w:tab w:val="clear" w:pos="7892"/>
              <w:tab w:val="right" w:pos="9026" w:leader="dot"/>
            </w:tabs>
            <w:rPr/>
          </w:pPr>
          <w:hyperlink w:anchor="__RefHeading___Toc3971603_1067777946">
            <w:r>
              <w:rPr>
                <w:webHidden/>
                <w:rStyle w:val="IndexLink"/>
                <w:rtl w:val="true"/>
              </w:rPr>
              <w:t>يأس در كمتر از يك سال</w:t>
            </w:r>
            <w:r>
              <w:rPr>
                <w:rStyle w:val="IndexLink"/>
                <w:rtl w:val="true"/>
              </w:rPr>
              <w:tab/>
            </w:r>
            <w:r>
              <w:rPr>
                <w:rStyle w:val="IndexLink"/>
              </w:rPr>
              <w:t>171</w:t>
            </w:r>
          </w:hyperlink>
        </w:p>
        <w:p>
          <w:pPr>
            <w:pStyle w:val="Contents5"/>
            <w:tabs>
              <w:tab w:val="clear" w:pos="7892"/>
              <w:tab w:val="right" w:pos="9026" w:leader="dot"/>
            </w:tabs>
            <w:rPr/>
          </w:pPr>
          <w:hyperlink w:anchor="__RefHeading___Toc3971605_1067777946">
            <w:r>
              <w:rPr>
                <w:webHidden/>
                <w:rStyle w:val="IndexLink"/>
                <w:rtl w:val="true"/>
              </w:rPr>
              <w:t>تخيير بعد از تعريف واجب</w:t>
            </w:r>
            <w:r>
              <w:rPr>
                <w:rStyle w:val="IndexLink"/>
                <w:rtl w:val="true"/>
              </w:rPr>
              <w:tab/>
            </w:r>
            <w:r>
              <w:rPr>
                <w:rStyle w:val="IndexLink"/>
              </w:rPr>
              <w:t>172</w:t>
            </w:r>
          </w:hyperlink>
        </w:p>
        <w:p>
          <w:pPr>
            <w:pStyle w:val="Contents5"/>
            <w:tabs>
              <w:tab w:val="clear" w:pos="7892"/>
              <w:tab w:val="right" w:pos="9026" w:leader="dot"/>
            </w:tabs>
            <w:rPr/>
          </w:pPr>
          <w:hyperlink w:anchor="__RefHeading___Toc3971607_1067777946">
            <w:r>
              <w:rPr>
                <w:webHidden/>
                <w:rStyle w:val="IndexLink"/>
                <w:rtl w:val="true"/>
              </w:rPr>
              <w:t>تصدق بعد از تعريف واجب</w:t>
            </w:r>
            <w:r>
              <w:rPr>
                <w:rStyle w:val="IndexLink"/>
                <w:rtl w:val="true"/>
              </w:rPr>
              <w:tab/>
            </w:r>
            <w:r>
              <w:rPr>
                <w:rStyle w:val="IndexLink"/>
              </w:rPr>
              <w:t>172</w:t>
            </w:r>
          </w:hyperlink>
        </w:p>
        <w:p>
          <w:pPr>
            <w:pStyle w:val="Contents5"/>
            <w:tabs>
              <w:tab w:val="clear" w:pos="7892"/>
              <w:tab w:val="right" w:pos="9026" w:leader="dot"/>
            </w:tabs>
            <w:rPr/>
          </w:pPr>
          <w:hyperlink w:anchor="__RefHeading___Toc3971609_1067777946">
            <w:r>
              <w:rPr>
                <w:webHidden/>
                <w:rStyle w:val="IndexLink"/>
                <w:rtl w:val="true"/>
              </w:rPr>
              <w:t>پيدا شدن مالك بعد از تعريف و تصدّق</w:t>
            </w:r>
            <w:r>
              <w:rPr>
                <w:rStyle w:val="IndexLink"/>
                <w:rtl w:val="true"/>
              </w:rPr>
              <w:tab/>
            </w:r>
            <w:r>
              <w:rPr>
                <w:rStyle w:val="IndexLink"/>
              </w:rPr>
              <w:t>172</w:t>
            </w:r>
          </w:hyperlink>
        </w:p>
        <w:p>
          <w:pPr>
            <w:pStyle w:val="Contents5"/>
            <w:tabs>
              <w:tab w:val="clear" w:pos="7892"/>
              <w:tab w:val="right" w:pos="9026" w:leader="dot"/>
            </w:tabs>
            <w:rPr/>
          </w:pPr>
          <w:hyperlink w:anchor="__RefHeading___Toc3971611_1067777946">
            <w:r>
              <w:rPr>
                <w:webHidden/>
                <w:rStyle w:val="IndexLink"/>
                <w:rtl w:val="true"/>
              </w:rPr>
              <w:t>مال پيداشدۀ در غير حرم</w:t>
            </w:r>
            <w:r>
              <w:rPr>
                <w:rStyle w:val="IndexLink"/>
                <w:rtl w:val="true"/>
              </w:rPr>
              <w:tab/>
            </w:r>
            <w:r>
              <w:rPr>
                <w:rStyle w:val="IndexLink"/>
              </w:rPr>
              <w:t>173</w:t>
            </w:r>
          </w:hyperlink>
        </w:p>
        <w:p>
          <w:pPr>
            <w:pStyle w:val="Contents5"/>
            <w:tabs>
              <w:tab w:val="clear" w:pos="7892"/>
              <w:tab w:val="right" w:pos="9026" w:leader="dot"/>
            </w:tabs>
            <w:rPr/>
          </w:pPr>
          <w:hyperlink w:anchor="__RefHeading___Toc3971613_1067777946">
            <w:r>
              <w:rPr>
                <w:webHidden/>
                <w:rStyle w:val="IndexLink"/>
                <w:rtl w:val="true"/>
              </w:rPr>
              <w:t>اجناسى كه قابليّت بقاى تا يك سال را ندارند</w:t>
            </w:r>
            <w:r>
              <w:rPr>
                <w:rStyle w:val="IndexLink"/>
                <w:rtl w:val="true"/>
              </w:rPr>
              <w:tab/>
            </w:r>
            <w:r>
              <w:rPr>
                <w:rStyle w:val="IndexLink"/>
              </w:rPr>
              <w:t>173</w:t>
            </w:r>
          </w:hyperlink>
        </w:p>
        <w:p>
          <w:pPr>
            <w:pStyle w:val="Contents5"/>
            <w:tabs>
              <w:tab w:val="clear" w:pos="7892"/>
              <w:tab w:val="right" w:pos="9026" w:leader="dot"/>
            </w:tabs>
            <w:rPr/>
          </w:pPr>
          <w:hyperlink w:anchor="__RefHeading___Toc3971615_1067777946">
            <w:r>
              <w:rPr>
                <w:webHidden/>
                <w:rStyle w:val="IndexLink"/>
                <w:rtl w:val="true"/>
              </w:rPr>
              <w:t>اگر پيدا شده محتاج علاج باشد</w:t>
            </w:r>
            <w:r>
              <w:rPr>
                <w:rStyle w:val="IndexLink"/>
                <w:rtl w:val="true"/>
              </w:rPr>
              <w:tab/>
            </w:r>
            <w:r>
              <w:rPr>
                <w:rStyle w:val="IndexLink"/>
              </w:rPr>
              <w:t>173</w:t>
            </w:r>
          </w:hyperlink>
        </w:p>
        <w:p>
          <w:pPr>
            <w:pStyle w:val="Contents5"/>
            <w:tabs>
              <w:tab w:val="clear" w:pos="7892"/>
              <w:tab w:val="right" w:pos="9026" w:leader="dot"/>
            </w:tabs>
            <w:rPr/>
          </w:pPr>
          <w:hyperlink w:anchor="__RefHeading___Toc3971617_1067777946">
            <w:r>
              <w:rPr>
                <w:webHidden/>
                <w:rStyle w:val="IndexLink"/>
                <w:rtl w:val="true"/>
              </w:rPr>
              <w:t>آن چه برداشتن آن مكروه است</w:t>
            </w:r>
            <w:r>
              <w:rPr>
                <w:rStyle w:val="IndexLink"/>
                <w:rtl w:val="true"/>
              </w:rPr>
              <w:tab/>
            </w:r>
            <w:r>
              <w:rPr>
                <w:rStyle w:val="IndexLink"/>
              </w:rPr>
              <w:t>174</w:t>
            </w:r>
          </w:hyperlink>
        </w:p>
        <w:p>
          <w:pPr>
            <w:pStyle w:val="Contents5"/>
            <w:tabs>
              <w:tab w:val="clear" w:pos="7892"/>
              <w:tab w:val="right" w:pos="9026" w:leader="dot"/>
            </w:tabs>
            <w:rPr/>
          </w:pPr>
          <w:hyperlink w:anchor="__RefHeading___Toc3971619_1067777946">
            <w:r>
              <w:rPr>
                <w:webHidden/>
                <w:rStyle w:val="IndexLink"/>
                <w:rtl w:val="true"/>
              </w:rPr>
              <w:t>تساوى پوست با غير آن در حكم</w:t>
            </w:r>
            <w:r>
              <w:rPr>
                <w:rStyle w:val="IndexLink"/>
                <w:rtl w:val="true"/>
              </w:rPr>
              <w:tab/>
            </w:r>
            <w:r>
              <w:rPr>
                <w:rStyle w:val="IndexLink"/>
              </w:rPr>
              <w:t>174</w:t>
            </w:r>
          </w:hyperlink>
        </w:p>
        <w:p>
          <w:pPr>
            <w:pStyle w:val="Contents5"/>
            <w:tabs>
              <w:tab w:val="clear" w:pos="7892"/>
              <w:tab w:val="right" w:pos="9026" w:leader="dot"/>
            </w:tabs>
            <w:rPr/>
          </w:pPr>
          <w:hyperlink w:anchor="__RefHeading___Toc3971621_1067777946">
            <w:r>
              <w:rPr>
                <w:webHidden/>
                <w:rStyle w:val="IndexLink"/>
                <w:rtl w:val="true"/>
              </w:rPr>
              <w:t>استحباب مؤكّد اشهاد بر لقطه</w:t>
            </w:r>
            <w:r>
              <w:rPr>
                <w:rStyle w:val="IndexLink"/>
                <w:rtl w:val="true"/>
              </w:rPr>
              <w:tab/>
            </w:r>
            <w:r>
              <w:rPr>
                <w:rStyle w:val="IndexLink"/>
              </w:rPr>
              <w:t>174</w:t>
            </w:r>
          </w:hyperlink>
        </w:p>
        <w:p>
          <w:pPr>
            <w:pStyle w:val="Contents5"/>
            <w:tabs>
              <w:tab w:val="clear" w:pos="7892"/>
              <w:tab w:val="right" w:pos="9026" w:leader="dot"/>
            </w:tabs>
            <w:rPr/>
          </w:pPr>
          <w:hyperlink w:anchor="__RefHeading___Toc3971623_1067777946">
            <w:r>
              <w:rPr>
                <w:webHidden/>
                <w:rStyle w:val="IndexLink"/>
                <w:rtl w:val="true"/>
              </w:rPr>
              <w:t>مسائل پنج گانه</w:t>
            </w:r>
            <w:r>
              <w:rPr>
                <w:rStyle w:val="IndexLink"/>
                <w:rtl w:val="true"/>
              </w:rPr>
              <w:tab/>
            </w:r>
            <w:r>
              <w:rPr>
                <w:rStyle w:val="IndexLink"/>
              </w:rPr>
              <w:t>174</w:t>
            </w:r>
          </w:hyperlink>
        </w:p>
        <w:p>
          <w:pPr>
            <w:pStyle w:val="Contents6"/>
            <w:tabs>
              <w:tab w:val="clear" w:pos="7609"/>
              <w:tab w:val="right" w:pos="9026" w:leader="dot"/>
            </w:tabs>
            <w:rPr/>
          </w:pPr>
          <w:hyperlink w:anchor="__RefHeading___Toc3971625_1067777946">
            <w:r>
              <w:rPr>
                <w:webHidden/>
                <w:rStyle w:val="IndexLink"/>
                <w:rtl w:val="true"/>
              </w:rPr>
              <w:t>آن چه كه در بيابان يا خرابه ها يا زمينهاى بدون مالك پيدا شود</w:t>
            </w:r>
            <w:r>
              <w:rPr>
                <w:rStyle w:val="IndexLink"/>
                <w:rtl w:val="true"/>
              </w:rPr>
              <w:tab/>
            </w:r>
            <w:r>
              <w:rPr>
                <w:rStyle w:val="IndexLink"/>
              </w:rPr>
              <w:t>174</w:t>
            </w:r>
          </w:hyperlink>
        </w:p>
        <w:p>
          <w:pPr>
            <w:pStyle w:val="Contents6"/>
            <w:tabs>
              <w:tab w:val="clear" w:pos="7609"/>
              <w:tab w:val="right" w:pos="9026" w:leader="dot"/>
            </w:tabs>
            <w:rPr/>
          </w:pPr>
          <w:hyperlink w:anchor="__RefHeading___Toc3971627_1067777946">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3971629_1067777946">
            <w:r>
              <w:rPr>
                <w:webHidden/>
                <w:rStyle w:val="IndexLink"/>
                <w:rtl w:val="true"/>
              </w:rPr>
              <w:t>حكم گنج پيدا شده در زمين بدون مالك</w:t>
            </w:r>
            <w:r>
              <w:rPr>
                <w:rStyle w:val="IndexLink"/>
                <w:rtl w:val="true"/>
              </w:rPr>
              <w:tab/>
            </w:r>
            <w:r>
              <w:rPr>
                <w:rStyle w:val="IndexLink"/>
              </w:rPr>
              <w:t>175</w:t>
            </w:r>
          </w:hyperlink>
        </w:p>
        <w:p>
          <w:pPr>
            <w:pStyle w:val="Contents6"/>
            <w:tabs>
              <w:tab w:val="clear" w:pos="7609"/>
              <w:tab w:val="right" w:pos="9026" w:leader="dot"/>
            </w:tabs>
            <w:rPr/>
          </w:pPr>
          <w:hyperlink w:anchor="__RefHeading___Toc3971631_1067777946">
            <w:r>
              <w:rPr>
                <w:webHidden/>
                <w:rStyle w:val="IndexLink"/>
                <w:rtl w:val="true"/>
              </w:rPr>
              <w:t>مال پيدا شده در شكم حيوان</w:t>
            </w:r>
            <w:r>
              <w:rPr>
                <w:rStyle w:val="IndexLink"/>
                <w:rtl w:val="true"/>
              </w:rPr>
              <w:tab/>
            </w:r>
            <w:r>
              <w:rPr>
                <w:rStyle w:val="IndexLink"/>
              </w:rPr>
              <w:t>175</w:t>
            </w:r>
          </w:hyperlink>
        </w:p>
        <w:p>
          <w:pPr>
            <w:pStyle w:val="Contents6"/>
            <w:tabs>
              <w:tab w:val="clear" w:pos="7609"/>
              <w:tab w:val="right" w:pos="9026" w:leader="dot"/>
            </w:tabs>
            <w:rPr/>
          </w:pPr>
          <w:hyperlink w:anchor="__RefHeading___Toc3971633_1067777946">
            <w:r>
              <w:rPr>
                <w:webHidden/>
                <w:rStyle w:val="IndexLink"/>
                <w:rtl w:val="true"/>
              </w:rPr>
              <w:t>اگر دزدى مالى را به وديعه گذارد</w:t>
            </w:r>
            <w:r>
              <w:rPr>
                <w:rStyle w:val="IndexLink"/>
                <w:rtl w:val="true"/>
              </w:rPr>
              <w:tab/>
            </w:r>
            <w:r>
              <w:rPr>
                <w:rStyle w:val="IndexLink"/>
              </w:rPr>
              <w:t>176</w:t>
            </w:r>
          </w:hyperlink>
        </w:p>
        <w:p>
          <w:pPr>
            <w:pStyle w:val="Contents6"/>
            <w:tabs>
              <w:tab w:val="clear" w:pos="7609"/>
              <w:tab w:val="right" w:pos="9026" w:leader="dot"/>
            </w:tabs>
            <w:rPr/>
          </w:pPr>
          <w:hyperlink w:anchor="__RefHeading___Toc3971635_1067777946">
            <w:r>
              <w:rPr>
                <w:webHidden/>
                <w:rStyle w:val="IndexLink"/>
                <w:rtl w:val="true"/>
              </w:rPr>
              <w:t>حكم مالى كه در خانه يا صندوق شخصى يافت مى شود</w:t>
            </w:r>
            <w:r>
              <w:rPr>
                <w:rStyle w:val="IndexLink"/>
                <w:rtl w:val="true"/>
              </w:rPr>
              <w:tab/>
            </w:r>
            <w:r>
              <w:rPr>
                <w:rStyle w:val="IndexLink"/>
              </w:rPr>
              <w:t>176</w:t>
            </w:r>
          </w:hyperlink>
        </w:p>
        <w:p>
          <w:pPr>
            <w:pStyle w:val="Contents6"/>
            <w:tabs>
              <w:tab w:val="clear" w:pos="7609"/>
              <w:tab w:val="right" w:pos="9026" w:leader="dot"/>
            </w:tabs>
            <w:rPr/>
          </w:pPr>
          <w:hyperlink w:anchor="__RefHeading___Toc3971637_1067777946">
            <w:r>
              <w:rPr>
                <w:webHidden/>
                <w:rStyle w:val="IndexLink"/>
                <w:rtl w:val="true"/>
              </w:rPr>
              <w:t>مالكيّت بعد از تعريف يك سال يا يأس</w:t>
            </w:r>
            <w:r>
              <w:rPr>
                <w:rStyle w:val="IndexLink"/>
                <w:rtl w:val="true"/>
              </w:rPr>
              <w:tab/>
            </w:r>
            <w:r>
              <w:rPr>
                <w:rStyle w:val="IndexLink"/>
              </w:rPr>
              <w:t>177</w:t>
            </w:r>
          </w:hyperlink>
        </w:p>
        <w:p>
          <w:pPr>
            <w:pStyle w:val="Contents6"/>
            <w:tabs>
              <w:tab w:val="clear" w:pos="7609"/>
              <w:tab w:val="right" w:pos="9026" w:leader="dot"/>
            </w:tabs>
            <w:rPr/>
          </w:pPr>
          <w:hyperlink w:anchor="__RefHeading___Toc3971639_1067777946">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3971641_1067777946">
            <w:r>
              <w:rPr>
                <w:webHidden/>
                <w:rStyle w:val="IndexLink"/>
                <w:rtl w:val="true"/>
              </w:rPr>
              <w:t>مطالبه مالك بعد از تصدّق</w:t>
            </w:r>
            <w:r>
              <w:rPr>
                <w:rStyle w:val="IndexLink"/>
                <w:rtl w:val="true"/>
              </w:rPr>
              <w:tab/>
            </w:r>
            <w:r>
              <w:rPr>
                <w:rStyle w:val="IndexLink"/>
              </w:rPr>
              <w:t>177</w:t>
            </w:r>
          </w:hyperlink>
        </w:p>
        <w:p>
          <w:pPr>
            <w:pStyle w:val="Contents4"/>
            <w:tabs>
              <w:tab w:val="clear" w:pos="8176"/>
              <w:tab w:val="right" w:pos="9026" w:leader="dot"/>
            </w:tabs>
            <w:rPr/>
          </w:pPr>
          <w:hyperlink w:anchor="__RefHeading___Toc3971643_1067777946">
            <w:r>
              <w:rPr>
                <w:webHidden/>
                <w:rStyle w:val="IndexLink"/>
              </w:rPr>
              <w:t>2</w:t>
            </w:r>
            <w:r>
              <w:rPr>
                <w:rStyle w:val="IndexLink"/>
                <w:rtl w:val="true"/>
              </w:rPr>
              <w:t xml:space="preserve">. </w:t>
            </w:r>
            <w:r>
              <w:rPr>
                <w:rStyle w:val="IndexLink"/>
                <w:rtl w:val="true"/>
              </w:rPr>
              <w:t>اقسام و احكام ملتقِط</w:t>
            </w:r>
            <w:r>
              <w:rPr>
                <w:rStyle w:val="IndexLink"/>
                <w:rtl w:val="true"/>
              </w:rPr>
              <w:tab/>
            </w:r>
            <w:r>
              <w:rPr>
                <w:rStyle w:val="IndexLink"/>
              </w:rPr>
              <w:t>178</w:t>
            </w:r>
          </w:hyperlink>
        </w:p>
        <w:p>
          <w:pPr>
            <w:pStyle w:val="Contents5"/>
            <w:tabs>
              <w:tab w:val="clear" w:pos="7892"/>
              <w:tab w:val="right" w:pos="9026" w:leader="dot"/>
            </w:tabs>
            <w:rPr/>
          </w:pPr>
          <w:hyperlink w:anchor="__RefHeading___Toc3971645_1067777946">
            <w:r>
              <w:rPr>
                <w:webHidden/>
                <w:rStyle w:val="IndexLink"/>
                <w:rtl w:val="true"/>
              </w:rPr>
              <w:t>اگر صبىّ يا مجنون يا كافر چيزى را پيدا كند</w:t>
            </w:r>
            <w:r>
              <w:rPr>
                <w:rStyle w:val="IndexLink"/>
                <w:rtl w:val="true"/>
              </w:rPr>
              <w:tab/>
            </w:r>
            <w:r>
              <w:rPr>
                <w:rStyle w:val="IndexLink"/>
              </w:rPr>
              <w:t>178</w:t>
            </w:r>
          </w:hyperlink>
        </w:p>
        <w:p>
          <w:pPr>
            <w:pStyle w:val="Contents5"/>
            <w:tabs>
              <w:tab w:val="clear" w:pos="7892"/>
              <w:tab w:val="right" w:pos="9026" w:leader="dot"/>
            </w:tabs>
            <w:rPr/>
          </w:pPr>
          <w:hyperlink w:anchor="__RefHeading___Toc3971647_1067777946">
            <w:r>
              <w:rPr>
                <w:webHidden/>
                <w:rStyle w:val="IndexLink"/>
                <w:rtl w:val="true"/>
              </w:rPr>
              <w:t>اقسام عبيد در حكم مذكور</w:t>
            </w:r>
            <w:r>
              <w:rPr>
                <w:rStyle w:val="IndexLink"/>
                <w:rtl w:val="true"/>
              </w:rPr>
              <w:tab/>
            </w:r>
            <w:r>
              <w:rPr>
                <w:rStyle w:val="IndexLink"/>
              </w:rPr>
              <w:t>178</w:t>
            </w:r>
          </w:hyperlink>
        </w:p>
        <w:p>
          <w:pPr>
            <w:pStyle w:val="Contents5"/>
            <w:tabs>
              <w:tab w:val="clear" w:pos="7892"/>
              <w:tab w:val="right" w:pos="9026" w:leader="dot"/>
            </w:tabs>
            <w:rPr/>
          </w:pPr>
          <w:hyperlink w:anchor="__RefHeading___Toc3971649_1067777946">
            <w:r>
              <w:rPr>
                <w:webHidden/>
                <w:rStyle w:val="IndexLink"/>
                <w:rtl w:val="true"/>
              </w:rPr>
              <w:t>اگر دو نفر با هم چيزى را پيدا كنند</w:t>
            </w:r>
            <w:r>
              <w:rPr>
                <w:rStyle w:val="IndexLink"/>
                <w:rtl w:val="true"/>
              </w:rPr>
              <w:tab/>
            </w:r>
            <w:r>
              <w:rPr>
                <w:rStyle w:val="IndexLink"/>
              </w:rPr>
              <w:t>179</w:t>
            </w:r>
          </w:hyperlink>
        </w:p>
        <w:p>
          <w:pPr>
            <w:pStyle w:val="Contents4"/>
            <w:tabs>
              <w:tab w:val="clear" w:pos="8176"/>
              <w:tab w:val="right" w:pos="9026" w:leader="dot"/>
            </w:tabs>
            <w:rPr/>
          </w:pPr>
          <w:hyperlink w:anchor="__RefHeading___Toc3971651_1067777946">
            <w:r>
              <w:rPr>
                <w:webHidden/>
                <w:rStyle w:val="IndexLink"/>
              </w:rPr>
              <w:t>3</w:t>
            </w:r>
            <w:r>
              <w:rPr>
                <w:rStyle w:val="IndexLink"/>
                <w:rtl w:val="true"/>
              </w:rPr>
              <w:t xml:space="preserve">. </w:t>
            </w:r>
            <w:r>
              <w:rPr>
                <w:rStyle w:val="IndexLink"/>
                <w:rtl w:val="true"/>
              </w:rPr>
              <w:t>احكام لقطه</w:t>
            </w:r>
            <w:r>
              <w:rPr>
                <w:rStyle w:val="IndexLink"/>
                <w:rtl w:val="true"/>
              </w:rPr>
              <w:tab/>
            </w:r>
            <w:r>
              <w:rPr>
                <w:rStyle w:val="IndexLink"/>
              </w:rPr>
              <w:t>179</w:t>
            </w:r>
          </w:hyperlink>
        </w:p>
        <w:p>
          <w:pPr>
            <w:pStyle w:val="Contents5"/>
            <w:tabs>
              <w:tab w:val="clear" w:pos="7892"/>
              <w:tab w:val="right" w:pos="9026" w:leader="dot"/>
            </w:tabs>
            <w:rPr/>
          </w:pPr>
          <w:hyperlink w:anchor="__RefHeading___Toc3971653_1067777946">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971655_1067777946">
            <w:r>
              <w:rPr>
                <w:webHidden/>
                <w:rStyle w:val="IndexLink"/>
                <w:rtl w:val="true"/>
              </w:rPr>
              <w:t>زمان تعريف</w:t>
            </w:r>
            <w:r>
              <w:rPr>
                <w:rStyle w:val="IndexLink"/>
                <w:rtl w:val="true"/>
              </w:rPr>
              <w:tab/>
            </w:r>
            <w:r>
              <w:rPr>
                <w:rStyle w:val="IndexLink"/>
              </w:rPr>
              <w:t>179</w:t>
            </w:r>
          </w:hyperlink>
        </w:p>
        <w:p>
          <w:pPr>
            <w:pStyle w:val="Contents6"/>
            <w:tabs>
              <w:tab w:val="clear" w:pos="7609"/>
              <w:tab w:val="right" w:pos="9026" w:leader="dot"/>
            </w:tabs>
            <w:rPr/>
          </w:pPr>
          <w:hyperlink w:anchor="__RefHeading___Toc3971657_1067777946">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3971659_1067777946">
            <w:r>
              <w:rPr>
                <w:webHidden/>
                <w:rStyle w:val="IndexLink"/>
                <w:rtl w:val="true"/>
              </w:rPr>
              <w:t>صدق تعريف به كتابت و الصاق</w:t>
            </w:r>
            <w:r>
              <w:rPr>
                <w:rStyle w:val="IndexLink"/>
                <w:rtl w:val="true"/>
              </w:rPr>
              <w:tab/>
            </w:r>
            <w:r>
              <w:rPr>
                <w:rStyle w:val="IndexLink"/>
              </w:rPr>
              <w:t>180</w:t>
            </w:r>
          </w:hyperlink>
        </w:p>
        <w:p>
          <w:pPr>
            <w:pStyle w:val="Contents6"/>
            <w:tabs>
              <w:tab w:val="clear" w:pos="7609"/>
              <w:tab w:val="right" w:pos="9026" w:leader="dot"/>
            </w:tabs>
            <w:rPr/>
          </w:pPr>
          <w:hyperlink w:anchor="__RefHeading___Toc3971661_1067777946">
            <w:r>
              <w:rPr>
                <w:webHidden/>
                <w:rStyle w:val="IndexLink"/>
                <w:rtl w:val="true"/>
              </w:rPr>
              <w:t>خصوصيات لازمۀ در تعريف</w:t>
            </w:r>
            <w:r>
              <w:rPr>
                <w:rStyle w:val="IndexLink"/>
                <w:rtl w:val="true"/>
              </w:rPr>
              <w:tab/>
            </w:r>
            <w:r>
              <w:rPr>
                <w:rStyle w:val="IndexLink"/>
              </w:rPr>
              <w:t>180</w:t>
            </w:r>
          </w:hyperlink>
        </w:p>
        <w:p>
          <w:pPr>
            <w:pStyle w:val="Contents6"/>
            <w:tabs>
              <w:tab w:val="clear" w:pos="7609"/>
              <w:tab w:val="right" w:pos="9026" w:leader="dot"/>
            </w:tabs>
            <w:rPr/>
          </w:pPr>
          <w:hyperlink w:anchor="__RefHeading___Toc3971663_1067777946">
            <w:r>
              <w:rPr>
                <w:webHidden/>
                <w:rStyle w:val="IndexLink"/>
                <w:rtl w:val="true"/>
              </w:rPr>
              <w:t>تفحّص در مواضع احتمال</w:t>
            </w:r>
            <w:r>
              <w:rPr>
                <w:rStyle w:val="IndexLink"/>
                <w:rtl w:val="true"/>
              </w:rPr>
              <w:tab/>
            </w:r>
            <w:r>
              <w:rPr>
                <w:rStyle w:val="IndexLink"/>
              </w:rPr>
              <w:t>180</w:t>
            </w:r>
          </w:hyperlink>
        </w:p>
        <w:p>
          <w:pPr>
            <w:pStyle w:val="Contents6"/>
            <w:tabs>
              <w:tab w:val="clear" w:pos="7609"/>
              <w:tab w:val="right" w:pos="9026" w:leader="dot"/>
            </w:tabs>
            <w:rPr/>
          </w:pPr>
          <w:hyperlink w:anchor="__RefHeading___Toc3971665_1067777946">
            <w:r>
              <w:rPr>
                <w:webHidden/>
                <w:rStyle w:val="IndexLink"/>
                <w:rtl w:val="true"/>
              </w:rPr>
              <w:t>عدم لزوم مباشرت در تعريف</w:t>
            </w:r>
            <w:r>
              <w:rPr>
                <w:rStyle w:val="IndexLink"/>
                <w:rtl w:val="true"/>
              </w:rPr>
              <w:tab/>
            </w:r>
            <w:r>
              <w:rPr>
                <w:rStyle w:val="IndexLink"/>
              </w:rPr>
              <w:t>180</w:t>
            </w:r>
          </w:hyperlink>
        </w:p>
        <w:p>
          <w:pPr>
            <w:pStyle w:val="Contents5"/>
            <w:tabs>
              <w:tab w:val="clear" w:pos="7892"/>
              <w:tab w:val="right" w:pos="9026" w:leader="dot"/>
            </w:tabs>
            <w:rPr/>
          </w:pPr>
          <w:hyperlink w:anchor="__RefHeading___Toc3971667_1067777946">
            <w:r>
              <w:rPr>
                <w:webHidden/>
                <w:rStyle w:val="IndexLink"/>
                <w:rtl w:val="true"/>
              </w:rPr>
              <w:t>فرض دفع پيدا شده به حاكم</w:t>
            </w:r>
            <w:r>
              <w:rPr>
                <w:rStyle w:val="IndexLink"/>
                <w:rtl w:val="true"/>
              </w:rPr>
              <w:tab/>
            </w:r>
            <w:r>
              <w:rPr>
                <w:rStyle w:val="IndexLink"/>
              </w:rPr>
              <w:t>181</w:t>
            </w:r>
          </w:hyperlink>
        </w:p>
        <w:p>
          <w:pPr>
            <w:pStyle w:val="Contents5"/>
            <w:tabs>
              <w:tab w:val="clear" w:pos="7892"/>
              <w:tab w:val="right" w:pos="9026" w:leader="dot"/>
            </w:tabs>
            <w:rPr/>
          </w:pPr>
          <w:hyperlink w:anchor="__RefHeading___Toc3971669_1067777946">
            <w:r>
              <w:rPr>
                <w:webHidden/>
                <w:rStyle w:val="IndexLink"/>
                <w:rtl w:val="true"/>
              </w:rPr>
              <w:t>لزوم تكليفى و وضعى تعريف</w:t>
            </w:r>
            <w:r>
              <w:rPr>
                <w:rStyle w:val="IndexLink"/>
                <w:rtl w:val="true"/>
              </w:rPr>
              <w:tab/>
            </w:r>
            <w:r>
              <w:rPr>
                <w:rStyle w:val="IndexLink"/>
              </w:rPr>
              <w:t>181</w:t>
            </w:r>
          </w:hyperlink>
        </w:p>
        <w:p>
          <w:pPr>
            <w:pStyle w:val="Contents6"/>
            <w:tabs>
              <w:tab w:val="clear" w:pos="7609"/>
              <w:tab w:val="right" w:pos="9026" w:leader="dot"/>
            </w:tabs>
            <w:rPr/>
          </w:pPr>
          <w:hyperlink w:anchor="__RefHeading___Toc3971671_1067777946">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3971673_1067777946">
            <w:r>
              <w:rPr>
                <w:webHidden/>
                <w:rStyle w:val="IndexLink"/>
                <w:rtl w:val="true"/>
              </w:rPr>
              <w:t>عدم اعتبار قصد تملّك در تعريف</w:t>
            </w:r>
            <w:r>
              <w:rPr>
                <w:rStyle w:val="IndexLink"/>
                <w:rtl w:val="true"/>
              </w:rPr>
              <w:tab/>
            </w:r>
            <w:r>
              <w:rPr>
                <w:rStyle w:val="IndexLink"/>
              </w:rPr>
              <w:t>181</w:t>
            </w:r>
          </w:hyperlink>
        </w:p>
        <w:p>
          <w:pPr>
            <w:pStyle w:val="Contents6"/>
            <w:tabs>
              <w:tab w:val="clear" w:pos="7609"/>
              <w:tab w:val="right" w:pos="9026" w:leader="dot"/>
            </w:tabs>
            <w:rPr/>
          </w:pPr>
          <w:hyperlink w:anchor="__RefHeading___Toc3971675_1067777946">
            <w:r>
              <w:rPr>
                <w:webHidden/>
                <w:rStyle w:val="IndexLink"/>
                <w:rtl w:val="true"/>
              </w:rPr>
              <w:t>جواز حفظ بعد از تعريف</w:t>
            </w:r>
            <w:r>
              <w:rPr>
                <w:rStyle w:val="IndexLink"/>
                <w:rtl w:val="true"/>
              </w:rPr>
              <w:tab/>
            </w:r>
            <w:r>
              <w:rPr>
                <w:rStyle w:val="IndexLink"/>
              </w:rPr>
              <w:t>182</w:t>
            </w:r>
          </w:hyperlink>
        </w:p>
        <w:p>
          <w:pPr>
            <w:pStyle w:val="Contents6"/>
            <w:tabs>
              <w:tab w:val="clear" w:pos="7609"/>
              <w:tab w:val="right" w:pos="9026" w:leader="dot"/>
            </w:tabs>
            <w:rPr/>
          </w:pPr>
          <w:hyperlink w:anchor="__RefHeading___Toc3971677_1067777946">
            <w:r>
              <w:rPr>
                <w:webHidden/>
                <w:rStyle w:val="IndexLink"/>
                <w:rtl w:val="true"/>
              </w:rPr>
              <w:t>عدم جواز تملّك قبل از تعريف</w:t>
            </w:r>
            <w:r>
              <w:rPr>
                <w:rStyle w:val="IndexLink"/>
                <w:rtl w:val="true"/>
              </w:rPr>
              <w:tab/>
            </w:r>
            <w:r>
              <w:rPr>
                <w:rStyle w:val="IndexLink"/>
              </w:rPr>
              <w:t>182</w:t>
            </w:r>
          </w:hyperlink>
        </w:p>
        <w:p>
          <w:pPr>
            <w:pStyle w:val="Contents6"/>
            <w:tabs>
              <w:tab w:val="clear" w:pos="7609"/>
              <w:tab w:val="right" w:pos="9026" w:leader="dot"/>
            </w:tabs>
            <w:rPr/>
          </w:pPr>
          <w:hyperlink w:anchor="__RefHeading___Toc3971679_1067777946">
            <w:r>
              <w:rPr>
                <w:webHidden/>
                <w:rStyle w:val="IndexLink"/>
                <w:rtl w:val="true"/>
              </w:rPr>
              <w:t>يأس از وصول به صاحب</w:t>
            </w:r>
            <w:r>
              <w:rPr>
                <w:rStyle w:val="IndexLink"/>
                <w:rtl w:val="true"/>
              </w:rPr>
              <w:tab/>
            </w:r>
            <w:r>
              <w:rPr>
                <w:rStyle w:val="IndexLink"/>
              </w:rPr>
              <w:t>182</w:t>
            </w:r>
          </w:hyperlink>
        </w:p>
        <w:p>
          <w:pPr>
            <w:pStyle w:val="Contents6"/>
            <w:tabs>
              <w:tab w:val="clear" w:pos="7609"/>
              <w:tab w:val="right" w:pos="9026" w:leader="dot"/>
            </w:tabs>
            <w:rPr/>
          </w:pPr>
          <w:hyperlink w:anchor="__RefHeading___Toc3971681_1067777946">
            <w:r>
              <w:rPr>
                <w:webHidden/>
                <w:rStyle w:val="IndexLink"/>
                <w:rtl w:val="true"/>
              </w:rPr>
              <w:t>امين بودن يابنده و عدم ضمان وى</w:t>
            </w:r>
            <w:r>
              <w:rPr>
                <w:rStyle w:val="IndexLink"/>
                <w:rtl w:val="true"/>
              </w:rPr>
              <w:tab/>
            </w:r>
            <w:r>
              <w:rPr>
                <w:rStyle w:val="IndexLink"/>
              </w:rPr>
              <w:t>183</w:t>
            </w:r>
          </w:hyperlink>
        </w:p>
        <w:p>
          <w:pPr>
            <w:pStyle w:val="Contents6"/>
            <w:tabs>
              <w:tab w:val="clear" w:pos="7609"/>
              <w:tab w:val="right" w:pos="9026" w:leader="dot"/>
            </w:tabs>
            <w:rPr/>
          </w:pPr>
          <w:hyperlink w:anchor="__RefHeading___Toc3971683_1067777946">
            <w:r>
              <w:rPr>
                <w:webHidden/>
                <w:rStyle w:val="IndexLink"/>
                <w:rtl w:val="true"/>
              </w:rPr>
              <w:t>نماى منفصلِ شىء پيدا شده</w:t>
            </w:r>
            <w:r>
              <w:rPr>
                <w:rStyle w:val="IndexLink"/>
                <w:rtl w:val="true"/>
              </w:rPr>
              <w:tab/>
            </w:r>
            <w:r>
              <w:rPr>
                <w:rStyle w:val="IndexLink"/>
              </w:rPr>
              <w:t>183</w:t>
            </w:r>
          </w:hyperlink>
        </w:p>
        <w:p>
          <w:pPr>
            <w:pStyle w:val="Contents6"/>
            <w:tabs>
              <w:tab w:val="clear" w:pos="7609"/>
              <w:tab w:val="right" w:pos="9026" w:leader="dot"/>
            </w:tabs>
            <w:rPr/>
          </w:pPr>
          <w:hyperlink w:anchor="__RefHeading___Toc3971685_1067777946">
            <w:r>
              <w:rPr>
                <w:webHidden/>
                <w:rStyle w:val="IndexLink"/>
                <w:rtl w:val="true"/>
              </w:rPr>
              <w:t>عدم ضمان با عدم نيّت تملّك يا تصدّق</w:t>
            </w:r>
            <w:r>
              <w:rPr>
                <w:rStyle w:val="IndexLink"/>
                <w:rtl w:val="true"/>
              </w:rPr>
              <w:tab/>
            </w:r>
            <w:r>
              <w:rPr>
                <w:rStyle w:val="IndexLink"/>
              </w:rPr>
              <w:t>184</w:t>
            </w:r>
          </w:hyperlink>
        </w:p>
        <w:p>
          <w:pPr>
            <w:pStyle w:val="Contents6"/>
            <w:tabs>
              <w:tab w:val="clear" w:pos="7609"/>
              <w:tab w:val="right" w:pos="9026" w:leader="dot"/>
            </w:tabs>
            <w:rPr/>
          </w:pPr>
          <w:hyperlink w:anchor="__RefHeading___Toc3971687_1067777946">
            <w:r>
              <w:rPr>
                <w:webHidden/>
                <w:rStyle w:val="IndexLink"/>
                <w:rtl w:val="true"/>
              </w:rPr>
              <w:t>مطالبۀ عين يا غير آن</w:t>
            </w:r>
            <w:r>
              <w:rPr>
                <w:rStyle w:val="IndexLink"/>
                <w:rtl w:val="true"/>
              </w:rPr>
              <w:tab/>
            </w:r>
            <w:r>
              <w:rPr>
                <w:rStyle w:val="IndexLink"/>
              </w:rPr>
              <w:t>184</w:t>
            </w:r>
          </w:hyperlink>
        </w:p>
        <w:p>
          <w:pPr>
            <w:pStyle w:val="Contents6"/>
            <w:tabs>
              <w:tab w:val="clear" w:pos="7609"/>
              <w:tab w:val="right" w:pos="9026" w:leader="dot"/>
            </w:tabs>
            <w:rPr/>
          </w:pPr>
          <w:hyperlink w:anchor="__RefHeading___Toc3971689_1067777946">
            <w:r>
              <w:rPr>
                <w:webHidden/>
                <w:rStyle w:val="IndexLink"/>
                <w:rtl w:val="true"/>
              </w:rPr>
              <w:t>عيب دار شدن لقطه در نزد يابنده</w:t>
            </w:r>
            <w:r>
              <w:rPr>
                <w:rStyle w:val="IndexLink"/>
                <w:rtl w:val="true"/>
              </w:rPr>
              <w:tab/>
            </w:r>
            <w:r>
              <w:rPr>
                <w:rStyle w:val="IndexLink"/>
              </w:rPr>
              <w:t>185</w:t>
            </w:r>
          </w:hyperlink>
        </w:p>
        <w:p>
          <w:pPr>
            <w:pStyle w:val="Contents5"/>
            <w:tabs>
              <w:tab w:val="clear" w:pos="7892"/>
              <w:tab w:val="right" w:pos="9026" w:leader="dot"/>
            </w:tabs>
            <w:rPr/>
          </w:pPr>
          <w:hyperlink w:anchor="__RefHeading___Toc3971691_1067777946">
            <w:r>
              <w:rPr>
                <w:webHidden/>
                <w:rStyle w:val="IndexLink"/>
                <w:rtl w:val="true"/>
              </w:rPr>
              <w:t>التقاط مملوك</w:t>
            </w:r>
            <w:r>
              <w:rPr>
                <w:rStyle w:val="IndexLink"/>
                <w:rtl w:val="true"/>
              </w:rPr>
              <w:tab/>
            </w:r>
            <w:r>
              <w:rPr>
                <w:rStyle w:val="IndexLink"/>
              </w:rPr>
              <w:t>185</w:t>
            </w:r>
          </w:hyperlink>
        </w:p>
        <w:p>
          <w:pPr>
            <w:pStyle w:val="Contents5"/>
            <w:tabs>
              <w:tab w:val="clear" w:pos="7892"/>
              <w:tab w:val="right" w:pos="9026" w:leader="dot"/>
            </w:tabs>
            <w:rPr/>
          </w:pPr>
          <w:hyperlink w:anchor="__RefHeading___Toc3971693_1067777946">
            <w:r>
              <w:rPr>
                <w:webHidden/>
                <w:rStyle w:val="IndexLink"/>
                <w:rtl w:val="true"/>
              </w:rPr>
              <w:t>نحوۀ دفع لقطه از حيث علم و مظنه و</w:t>
            </w:r>
            <w:r>
              <w:rPr>
                <w:rStyle w:val="IndexLink"/>
                <w:rtl w:val="true"/>
              </w:rPr>
              <w:t>...</w:t>
              <w:tab/>
            </w:r>
            <w:r>
              <w:rPr>
                <w:rStyle w:val="IndexLink"/>
              </w:rPr>
              <w:t>185</w:t>
            </w:r>
          </w:hyperlink>
        </w:p>
        <w:p>
          <w:pPr>
            <w:pStyle w:val="Contents6"/>
            <w:tabs>
              <w:tab w:val="clear" w:pos="7609"/>
              <w:tab w:val="right" w:pos="9026" w:leader="dot"/>
            </w:tabs>
            <w:rPr/>
          </w:pPr>
          <w:hyperlink w:anchor="__RefHeading___Toc3971695_1067777946">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3971697_1067777946">
            <w:r>
              <w:rPr>
                <w:webHidden/>
                <w:rStyle w:val="IndexLink"/>
                <w:rtl w:val="true"/>
              </w:rPr>
              <w:t>ادّعاى مالكيّت ديگرى بعد از دفع با بيّنه</w:t>
            </w:r>
            <w:r>
              <w:rPr>
                <w:rStyle w:val="IndexLink"/>
                <w:rtl w:val="true"/>
              </w:rPr>
              <w:tab/>
            </w:r>
            <w:r>
              <w:rPr>
                <w:rStyle w:val="IndexLink"/>
              </w:rPr>
              <w:t>186</w:t>
            </w:r>
          </w:hyperlink>
        </w:p>
        <w:p>
          <w:pPr>
            <w:pStyle w:val="Contents6"/>
            <w:tabs>
              <w:tab w:val="clear" w:pos="7609"/>
              <w:tab w:val="right" w:pos="9026" w:leader="dot"/>
            </w:tabs>
            <w:rPr/>
          </w:pPr>
          <w:hyperlink w:anchor="__RefHeading___Toc3971699_1067777946">
            <w:r>
              <w:rPr>
                <w:webHidden/>
                <w:rStyle w:val="IndexLink"/>
                <w:rtl w:val="true"/>
              </w:rPr>
              <w:t>اقامه بيّنه بعد از تعريف سال</w:t>
            </w:r>
            <w:r>
              <w:rPr>
                <w:rStyle w:val="IndexLink"/>
                <w:rtl w:val="true"/>
              </w:rPr>
              <w:tab/>
            </w:r>
            <w:r>
              <w:rPr>
                <w:rStyle w:val="IndexLink"/>
              </w:rPr>
              <w:t>186</w:t>
            </w:r>
          </w:hyperlink>
        </w:p>
        <w:p>
          <w:pPr>
            <w:pStyle w:val="Contents5"/>
            <w:tabs>
              <w:tab w:val="clear" w:pos="7892"/>
              <w:tab w:val="right" w:pos="9026" w:leader="dot"/>
            </w:tabs>
            <w:rPr/>
          </w:pPr>
          <w:hyperlink w:anchor="__RefHeading___Toc3971701_1067777946">
            <w:r>
              <w:rPr>
                <w:webHidden/>
                <w:rStyle w:val="IndexLink"/>
                <w:rtl w:val="true"/>
              </w:rPr>
              <w:t>وفات يابنده</w:t>
            </w:r>
            <w:r>
              <w:rPr>
                <w:rStyle w:val="IndexLink"/>
                <w:rtl w:val="true"/>
              </w:rPr>
              <w:tab/>
            </w:r>
            <w:r>
              <w:rPr>
                <w:rStyle w:val="IndexLink"/>
              </w:rPr>
              <w:t>187</w:t>
            </w:r>
          </w:hyperlink>
        </w:p>
        <w:p>
          <w:pPr>
            <w:pStyle w:val="Contents2"/>
            <w:tabs>
              <w:tab w:val="clear" w:pos="8743"/>
              <w:tab w:val="right" w:pos="9026" w:leader="dot"/>
            </w:tabs>
            <w:rPr/>
          </w:pPr>
          <w:hyperlink w:anchor="__RefHeading___Toc3971703_1067777946">
            <w:r>
              <w:rPr>
                <w:webHidden/>
                <w:rStyle w:val="IndexLink"/>
                <w:rtl w:val="true"/>
              </w:rPr>
              <w:t>كتاب الارث</w:t>
            </w:r>
            <w:r>
              <w:rPr>
                <w:rStyle w:val="IndexLink"/>
                <w:rtl w:val="true"/>
              </w:rPr>
              <w:tab/>
            </w:r>
            <w:r>
              <w:rPr>
                <w:rStyle w:val="IndexLink"/>
              </w:rPr>
              <w:t>188</w:t>
            </w:r>
          </w:hyperlink>
        </w:p>
        <w:p>
          <w:pPr>
            <w:pStyle w:val="Contents3"/>
            <w:tabs>
              <w:tab w:val="clear" w:pos="8459"/>
              <w:tab w:val="right" w:pos="9026" w:leader="dot"/>
            </w:tabs>
            <w:rPr/>
          </w:pPr>
          <w:hyperlink w:anchor="__RefHeading___Toc3971705_1067777946">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3971707_1067777946">
            <w:r>
              <w:rPr>
                <w:webHidden/>
                <w:rStyle w:val="IndexLink"/>
                <w:rtl w:val="true"/>
              </w:rPr>
              <w:t>الفصل الاوّل فى موجبات الارث</w:t>
            </w:r>
            <w:r>
              <w:rPr>
                <w:rStyle w:val="IndexLink"/>
                <w:rtl w:val="true"/>
              </w:rPr>
              <w:tab/>
            </w:r>
            <w:r>
              <w:rPr>
                <w:rStyle w:val="IndexLink"/>
              </w:rPr>
              <w:t>190</w:t>
            </w:r>
          </w:hyperlink>
        </w:p>
        <w:p>
          <w:pPr>
            <w:pStyle w:val="Contents4"/>
            <w:tabs>
              <w:tab w:val="clear" w:pos="8176"/>
              <w:tab w:val="right" w:pos="9026" w:leader="dot"/>
            </w:tabs>
            <w:rPr/>
          </w:pPr>
          <w:hyperlink w:anchor="__RefHeading___Toc3971709_106777794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3971711_1067777946">
            <w:r>
              <w:rPr>
                <w:webHidden/>
                <w:rStyle w:val="IndexLink"/>
                <w:rtl w:val="true"/>
              </w:rPr>
              <w:t>مراتب النسب</w:t>
            </w:r>
            <w:r>
              <w:rPr>
                <w:rStyle w:val="IndexLink"/>
                <w:rtl w:val="true"/>
              </w:rPr>
              <w:tab/>
            </w:r>
            <w:r>
              <w:rPr>
                <w:rStyle w:val="IndexLink"/>
              </w:rPr>
              <w:t>190</w:t>
            </w:r>
          </w:hyperlink>
        </w:p>
        <w:p>
          <w:pPr>
            <w:pStyle w:val="Contents4"/>
            <w:tabs>
              <w:tab w:val="clear" w:pos="8176"/>
              <w:tab w:val="right" w:pos="9026" w:leader="dot"/>
            </w:tabs>
            <w:rPr/>
          </w:pPr>
          <w:hyperlink w:anchor="__RefHeading___Toc3971713_1067777946">
            <w:r>
              <w:rPr>
                <w:webHidden/>
                <w:rStyle w:val="IndexLink"/>
                <w:rtl w:val="true"/>
              </w:rPr>
              <w:t>السبب</w:t>
            </w:r>
            <w:r>
              <w:rPr>
                <w:rStyle w:val="IndexLink"/>
                <w:rtl w:val="true"/>
              </w:rPr>
              <w:tab/>
            </w:r>
            <w:r>
              <w:rPr>
                <w:rStyle w:val="IndexLink"/>
              </w:rPr>
              <w:t>191</w:t>
            </w:r>
          </w:hyperlink>
        </w:p>
        <w:p>
          <w:pPr>
            <w:pStyle w:val="Contents3"/>
            <w:tabs>
              <w:tab w:val="clear" w:pos="8459"/>
              <w:tab w:val="right" w:pos="9026" w:leader="dot"/>
            </w:tabs>
            <w:rPr/>
          </w:pPr>
          <w:hyperlink w:anchor="__RefHeading___Toc3971715_1067777946">
            <w:r>
              <w:rPr>
                <w:webHidden/>
                <w:rStyle w:val="IndexLink"/>
                <w:rtl w:val="true"/>
              </w:rPr>
              <w:t>الفصل الثاني في موانع الإرث</w:t>
            </w:r>
            <w:r>
              <w:rPr>
                <w:rStyle w:val="IndexLink"/>
                <w:rtl w:val="true"/>
              </w:rPr>
              <w:tab/>
            </w:r>
            <w:r>
              <w:rPr>
                <w:rStyle w:val="IndexLink"/>
              </w:rPr>
              <w:t>192</w:t>
            </w:r>
          </w:hyperlink>
        </w:p>
        <w:p>
          <w:pPr>
            <w:pStyle w:val="Contents4"/>
            <w:tabs>
              <w:tab w:val="clear" w:pos="8176"/>
              <w:tab w:val="right" w:pos="9026" w:leader="dot"/>
            </w:tabs>
            <w:rPr/>
          </w:pPr>
          <w:hyperlink w:anchor="__RefHeading___Toc3971717_106777794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971719_1067777946">
            <w:r>
              <w:rPr>
                <w:webHidden/>
                <w:rStyle w:val="IndexLink"/>
                <w:rtl w:val="true"/>
              </w:rPr>
              <w:t>الكفر</w:t>
            </w:r>
            <w:r>
              <w:rPr>
                <w:rStyle w:val="IndexLink"/>
                <w:rtl w:val="true"/>
              </w:rPr>
              <w:tab/>
            </w:r>
            <w:r>
              <w:rPr>
                <w:rStyle w:val="IndexLink"/>
              </w:rPr>
              <w:t>192</w:t>
            </w:r>
          </w:hyperlink>
        </w:p>
        <w:p>
          <w:pPr>
            <w:pStyle w:val="Contents5"/>
            <w:tabs>
              <w:tab w:val="clear" w:pos="7892"/>
              <w:tab w:val="right" w:pos="9026" w:leader="dot"/>
            </w:tabs>
            <w:rPr/>
          </w:pPr>
          <w:hyperlink w:anchor="__RefHeading___Toc3971721_1067777946">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971723_1067777946">
            <w:r>
              <w:rPr>
                <w:webHidden/>
                <w:rStyle w:val="IndexLink"/>
                <w:rtl w:val="true"/>
              </w:rPr>
              <w:t>المسلم يحجب الكفار</w:t>
            </w:r>
            <w:r>
              <w:rPr>
                <w:rStyle w:val="IndexLink"/>
                <w:rtl w:val="true"/>
              </w:rPr>
              <w:tab/>
            </w:r>
            <w:r>
              <w:rPr>
                <w:rStyle w:val="IndexLink"/>
              </w:rPr>
              <w:t>192</w:t>
            </w:r>
          </w:hyperlink>
        </w:p>
        <w:p>
          <w:pPr>
            <w:pStyle w:val="Contents5"/>
            <w:tabs>
              <w:tab w:val="clear" w:pos="7892"/>
              <w:tab w:val="right" w:pos="9026" w:leader="dot"/>
            </w:tabs>
            <w:rPr/>
          </w:pPr>
          <w:hyperlink w:anchor="__RefHeading___Toc3971725_1067777946">
            <w:r>
              <w:rPr>
                <w:webHidden/>
                <w:rStyle w:val="IndexLink"/>
                <w:rtl w:val="true"/>
              </w:rPr>
              <w:t>الامام يرث المسلم لو كان الوارث كفّاراً</w:t>
            </w:r>
            <w:r>
              <w:rPr>
                <w:rStyle w:val="IndexLink"/>
                <w:rtl w:val="true"/>
              </w:rPr>
              <w:tab/>
            </w:r>
            <w:r>
              <w:rPr>
                <w:rStyle w:val="IndexLink"/>
              </w:rPr>
              <w:t>192</w:t>
            </w:r>
          </w:hyperlink>
        </w:p>
        <w:p>
          <w:pPr>
            <w:pStyle w:val="Contents5"/>
            <w:tabs>
              <w:tab w:val="clear" w:pos="7892"/>
              <w:tab w:val="right" w:pos="9026" w:leader="dot"/>
            </w:tabs>
            <w:rPr/>
          </w:pPr>
          <w:hyperlink w:anchor="__RefHeading___Toc3971727_1067777946">
            <w:r>
              <w:rPr>
                <w:webHidden/>
                <w:rStyle w:val="IndexLink"/>
                <w:rtl w:val="true"/>
              </w:rPr>
              <w:t>الكافر يرث الكافر</w:t>
            </w:r>
            <w:r>
              <w:rPr>
                <w:rStyle w:val="IndexLink"/>
                <w:rtl w:val="true"/>
              </w:rPr>
              <w:tab/>
            </w:r>
            <w:r>
              <w:rPr>
                <w:rStyle w:val="IndexLink"/>
              </w:rPr>
              <w:t>193</w:t>
            </w:r>
          </w:hyperlink>
        </w:p>
        <w:p>
          <w:pPr>
            <w:pStyle w:val="Contents5"/>
            <w:tabs>
              <w:tab w:val="clear" w:pos="7892"/>
              <w:tab w:val="right" w:pos="9026" w:leader="dot"/>
            </w:tabs>
            <w:rPr/>
          </w:pPr>
          <w:hyperlink w:anchor="__RefHeading___Toc3971729_1067777946">
            <w:r>
              <w:rPr>
                <w:webHidden/>
                <w:rStyle w:val="IndexLink"/>
                <w:rtl w:val="true"/>
              </w:rPr>
              <w:t>حكم إسلام الكافر</w:t>
            </w:r>
            <w:r>
              <w:rPr>
                <w:rStyle w:val="IndexLink"/>
                <w:rtl w:val="true"/>
              </w:rPr>
              <w:tab/>
            </w:r>
            <w:r>
              <w:rPr>
                <w:rStyle w:val="IndexLink"/>
              </w:rPr>
              <w:t>193</w:t>
            </w:r>
          </w:hyperlink>
        </w:p>
        <w:p>
          <w:pPr>
            <w:pStyle w:val="Contents5"/>
            <w:tabs>
              <w:tab w:val="clear" w:pos="7892"/>
              <w:tab w:val="right" w:pos="9026" w:leader="dot"/>
            </w:tabs>
            <w:rPr/>
          </w:pPr>
          <w:hyperlink w:anchor="__RefHeading___Toc3971731_1067777946">
            <w:r>
              <w:rPr>
                <w:webHidden/>
                <w:rStyle w:val="IndexLink"/>
                <w:rtl w:val="true"/>
              </w:rPr>
              <w:t>المسلمون يتوارثون و إن اختلفوا فى المذاهب</w:t>
            </w:r>
            <w:r>
              <w:rPr>
                <w:rStyle w:val="IndexLink"/>
                <w:rtl w:val="true"/>
              </w:rPr>
              <w:tab/>
            </w:r>
            <w:r>
              <w:rPr>
                <w:rStyle w:val="IndexLink"/>
              </w:rPr>
              <w:t>193</w:t>
            </w:r>
          </w:hyperlink>
        </w:p>
        <w:p>
          <w:pPr>
            <w:pStyle w:val="Contents5"/>
            <w:tabs>
              <w:tab w:val="clear" w:pos="7892"/>
              <w:tab w:val="right" w:pos="9026" w:leader="dot"/>
            </w:tabs>
            <w:rPr/>
          </w:pPr>
          <w:hyperlink w:anchor="__RefHeading___Toc3971733_1067777946">
            <w:r>
              <w:rPr>
                <w:webHidden/>
                <w:rStyle w:val="IndexLink"/>
                <w:rtl w:val="true"/>
              </w:rPr>
              <w:t>الكفّار يتوارثون و إن اختلفوا فى النحل</w:t>
            </w:r>
            <w:r>
              <w:rPr>
                <w:rStyle w:val="IndexLink"/>
                <w:rtl w:val="true"/>
              </w:rPr>
              <w:tab/>
            </w:r>
            <w:r>
              <w:rPr>
                <w:rStyle w:val="IndexLink"/>
              </w:rPr>
              <w:t>194</w:t>
            </w:r>
          </w:hyperlink>
        </w:p>
        <w:p>
          <w:pPr>
            <w:pStyle w:val="Contents5"/>
            <w:tabs>
              <w:tab w:val="clear" w:pos="7892"/>
              <w:tab w:val="right" w:pos="9026" w:leader="dot"/>
            </w:tabs>
            <w:rPr/>
          </w:pPr>
          <w:hyperlink w:anchor="__RefHeading___Toc3971735_1067777946">
            <w:r>
              <w:rPr>
                <w:webHidden/>
                <w:rStyle w:val="IndexLink"/>
                <w:rtl w:val="true"/>
              </w:rPr>
              <w:t>فقد الوارث المسلم شرط فى توارث الكفّار</w:t>
            </w:r>
            <w:r>
              <w:rPr>
                <w:rStyle w:val="IndexLink"/>
                <w:rtl w:val="true"/>
              </w:rPr>
              <w:tab/>
            </w:r>
            <w:r>
              <w:rPr>
                <w:rStyle w:val="IndexLink"/>
              </w:rPr>
              <w:t>194</w:t>
            </w:r>
          </w:hyperlink>
        </w:p>
        <w:p>
          <w:pPr>
            <w:pStyle w:val="Contents5"/>
            <w:tabs>
              <w:tab w:val="clear" w:pos="7892"/>
              <w:tab w:val="right" w:pos="9026" w:leader="dot"/>
            </w:tabs>
            <w:rPr/>
          </w:pPr>
          <w:hyperlink w:anchor="__RefHeading___Toc3971737_1067777946">
            <w:r>
              <w:rPr>
                <w:webHidden/>
                <w:rStyle w:val="IndexLink"/>
                <w:rtl w:val="true"/>
              </w:rPr>
              <w:t>حكم أقسام المرتدّ</w:t>
            </w:r>
            <w:r>
              <w:rPr>
                <w:rStyle w:val="IndexLink"/>
                <w:rtl w:val="true"/>
              </w:rPr>
              <w:tab/>
            </w:r>
            <w:r>
              <w:rPr>
                <w:rStyle w:val="IndexLink"/>
              </w:rPr>
              <w:t>195</w:t>
            </w:r>
          </w:hyperlink>
        </w:p>
        <w:p>
          <w:pPr>
            <w:pStyle w:val="Contents4"/>
            <w:tabs>
              <w:tab w:val="clear" w:pos="8176"/>
              <w:tab w:val="right" w:pos="9026" w:leader="dot"/>
            </w:tabs>
            <w:rPr/>
          </w:pPr>
          <w:hyperlink w:anchor="__RefHeading___Toc3971739_1067777946">
            <w:r>
              <w:rPr>
                <w:webHidden/>
                <w:rStyle w:val="IndexLink"/>
                <w:rtl w:val="true"/>
              </w:rPr>
              <w:t>القتل</w:t>
            </w:r>
            <w:r>
              <w:rPr>
                <w:rStyle w:val="IndexLink"/>
                <w:rtl w:val="true"/>
              </w:rPr>
              <w:tab/>
            </w:r>
            <w:r>
              <w:rPr>
                <w:rStyle w:val="IndexLink"/>
              </w:rPr>
              <w:t>195</w:t>
            </w:r>
          </w:hyperlink>
        </w:p>
        <w:p>
          <w:pPr>
            <w:pStyle w:val="Contents5"/>
            <w:tabs>
              <w:tab w:val="clear" w:pos="7892"/>
              <w:tab w:val="right" w:pos="9026" w:leader="dot"/>
            </w:tabs>
            <w:rPr/>
          </w:pPr>
          <w:hyperlink w:anchor="__RefHeading___Toc3971741_1067777946">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3971743_1067777946">
            <w:r>
              <w:rPr>
                <w:webHidden/>
                <w:rStyle w:val="IndexLink"/>
                <w:rtl w:val="true"/>
              </w:rPr>
              <w:t>الدية حكمها حكم التركة</w:t>
            </w:r>
            <w:r>
              <w:rPr>
                <w:rStyle w:val="IndexLink"/>
                <w:rtl w:val="true"/>
              </w:rPr>
              <w:tab/>
            </w:r>
            <w:r>
              <w:rPr>
                <w:rStyle w:val="IndexLink"/>
              </w:rPr>
              <w:t>196</w:t>
            </w:r>
          </w:hyperlink>
        </w:p>
        <w:p>
          <w:pPr>
            <w:pStyle w:val="Contents4"/>
            <w:tabs>
              <w:tab w:val="clear" w:pos="8176"/>
              <w:tab w:val="right" w:pos="9026" w:leader="dot"/>
            </w:tabs>
            <w:rPr/>
          </w:pPr>
          <w:hyperlink w:anchor="__RefHeading___Toc3971745_1067777946">
            <w:r>
              <w:rPr>
                <w:webHidden/>
                <w:rStyle w:val="IndexLink"/>
                <w:rtl w:val="true"/>
              </w:rPr>
              <w:t>الرقّ‌</w:t>
            </w:r>
            <w:r>
              <w:rPr>
                <w:rStyle w:val="IndexLink"/>
                <w:rtl w:val="true"/>
              </w:rPr>
              <w:tab/>
            </w:r>
            <w:r>
              <w:rPr>
                <w:rStyle w:val="IndexLink"/>
              </w:rPr>
              <w:t>196</w:t>
            </w:r>
          </w:hyperlink>
        </w:p>
        <w:p>
          <w:pPr>
            <w:pStyle w:val="Contents3"/>
            <w:tabs>
              <w:tab w:val="clear" w:pos="8459"/>
              <w:tab w:val="right" w:pos="9026" w:leader="dot"/>
            </w:tabs>
            <w:rPr/>
          </w:pPr>
          <w:hyperlink w:anchor="__RefHeading___Toc3971747_1067777946">
            <w:r>
              <w:rPr>
                <w:webHidden/>
                <w:rStyle w:val="IndexLink"/>
                <w:rtl w:val="true"/>
              </w:rPr>
              <w:t>الفصل الثالث في بيان السهام المقدّرة في كتاب اللّٰه و بيان أهلها</w:t>
            </w:r>
            <w:r>
              <w:rPr>
                <w:rStyle w:val="IndexLink"/>
                <w:rtl w:val="true"/>
              </w:rPr>
              <w:tab/>
            </w:r>
            <w:r>
              <w:rPr>
                <w:rStyle w:val="IndexLink"/>
              </w:rPr>
              <w:t>198</w:t>
            </w:r>
          </w:hyperlink>
        </w:p>
        <w:p>
          <w:pPr>
            <w:pStyle w:val="Contents4"/>
            <w:tabs>
              <w:tab w:val="clear" w:pos="8176"/>
              <w:tab w:val="right" w:pos="9026" w:leader="dot"/>
            </w:tabs>
            <w:rPr/>
          </w:pPr>
          <w:hyperlink w:anchor="__RefHeading___Toc3971749_106777794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971751_1067777946">
            <w:r>
              <w:rPr>
                <w:webHidden/>
                <w:rStyle w:val="IndexLink"/>
                <w:rtl w:val="true"/>
              </w:rPr>
              <w:t>النصف</w:t>
            </w:r>
            <w:r>
              <w:rPr>
                <w:rStyle w:val="IndexLink"/>
                <w:rtl w:val="true"/>
              </w:rPr>
              <w:tab/>
            </w:r>
            <w:r>
              <w:rPr>
                <w:rStyle w:val="IndexLink"/>
              </w:rPr>
              <w:t>198</w:t>
            </w:r>
          </w:hyperlink>
        </w:p>
        <w:p>
          <w:pPr>
            <w:pStyle w:val="Contents4"/>
            <w:tabs>
              <w:tab w:val="clear" w:pos="8176"/>
              <w:tab w:val="right" w:pos="9026" w:leader="dot"/>
            </w:tabs>
            <w:rPr/>
          </w:pPr>
          <w:hyperlink w:anchor="__RefHeading___Toc3971753_1067777946">
            <w:r>
              <w:rPr>
                <w:webHidden/>
                <w:rStyle w:val="IndexLink"/>
                <w:rtl w:val="true"/>
              </w:rPr>
              <w:t>الربع</w:t>
            </w:r>
            <w:r>
              <w:rPr>
                <w:rStyle w:val="IndexLink"/>
                <w:rtl w:val="true"/>
              </w:rPr>
              <w:tab/>
            </w:r>
            <w:r>
              <w:rPr>
                <w:rStyle w:val="IndexLink"/>
              </w:rPr>
              <w:t>198</w:t>
            </w:r>
          </w:hyperlink>
        </w:p>
        <w:p>
          <w:pPr>
            <w:pStyle w:val="Contents4"/>
            <w:tabs>
              <w:tab w:val="clear" w:pos="8176"/>
              <w:tab w:val="right" w:pos="9026" w:leader="dot"/>
            </w:tabs>
            <w:rPr/>
          </w:pPr>
          <w:hyperlink w:anchor="__RefHeading___Toc3971755_1067777946">
            <w:r>
              <w:rPr>
                <w:webHidden/>
                <w:rStyle w:val="IndexLink"/>
                <w:rtl w:val="true"/>
              </w:rPr>
              <w:t>الثمن</w:t>
            </w:r>
            <w:r>
              <w:rPr>
                <w:rStyle w:val="IndexLink"/>
                <w:rtl w:val="true"/>
              </w:rPr>
              <w:tab/>
            </w:r>
            <w:r>
              <w:rPr>
                <w:rStyle w:val="IndexLink"/>
              </w:rPr>
              <w:t>198</w:t>
            </w:r>
          </w:hyperlink>
        </w:p>
        <w:p>
          <w:pPr>
            <w:pStyle w:val="Contents4"/>
            <w:tabs>
              <w:tab w:val="clear" w:pos="8176"/>
              <w:tab w:val="right" w:pos="9026" w:leader="dot"/>
            </w:tabs>
            <w:rPr/>
          </w:pPr>
          <w:hyperlink w:anchor="__RefHeading___Toc3971757_1067777946">
            <w:r>
              <w:rPr>
                <w:webHidden/>
                <w:rStyle w:val="IndexLink"/>
                <w:rtl w:val="true"/>
              </w:rPr>
              <w:t>الثلثان</w:t>
            </w:r>
            <w:r>
              <w:rPr>
                <w:rStyle w:val="IndexLink"/>
                <w:rtl w:val="true"/>
              </w:rPr>
              <w:tab/>
            </w:r>
            <w:r>
              <w:rPr>
                <w:rStyle w:val="IndexLink"/>
              </w:rPr>
              <w:t>199</w:t>
            </w:r>
          </w:hyperlink>
        </w:p>
        <w:p>
          <w:pPr>
            <w:pStyle w:val="Contents4"/>
            <w:tabs>
              <w:tab w:val="clear" w:pos="8176"/>
              <w:tab w:val="right" w:pos="9026" w:leader="dot"/>
            </w:tabs>
            <w:rPr/>
          </w:pPr>
          <w:hyperlink w:anchor="__RefHeading___Toc3971759_1067777946">
            <w:r>
              <w:rPr>
                <w:webHidden/>
                <w:rStyle w:val="IndexLink"/>
                <w:rtl w:val="true"/>
              </w:rPr>
              <w:t>الثلث</w:t>
            </w:r>
            <w:r>
              <w:rPr>
                <w:rStyle w:val="IndexLink"/>
                <w:rtl w:val="true"/>
              </w:rPr>
              <w:tab/>
            </w:r>
            <w:r>
              <w:rPr>
                <w:rStyle w:val="IndexLink"/>
              </w:rPr>
              <w:t>199</w:t>
            </w:r>
          </w:hyperlink>
        </w:p>
        <w:p>
          <w:pPr>
            <w:pStyle w:val="Contents4"/>
            <w:tabs>
              <w:tab w:val="clear" w:pos="8176"/>
              <w:tab w:val="right" w:pos="9026" w:leader="dot"/>
            </w:tabs>
            <w:rPr/>
          </w:pPr>
          <w:hyperlink w:anchor="__RefHeading___Toc3971761_1067777946">
            <w:r>
              <w:rPr>
                <w:webHidden/>
                <w:rStyle w:val="IndexLink"/>
                <w:rtl w:val="true"/>
              </w:rPr>
              <w:t>السدس</w:t>
            </w:r>
            <w:r>
              <w:rPr>
                <w:rStyle w:val="IndexLink"/>
                <w:rtl w:val="true"/>
              </w:rPr>
              <w:tab/>
            </w:r>
            <w:r>
              <w:rPr>
                <w:rStyle w:val="IndexLink"/>
              </w:rPr>
              <w:t>199</w:t>
            </w:r>
          </w:hyperlink>
        </w:p>
        <w:p>
          <w:pPr>
            <w:pStyle w:val="Contents4"/>
            <w:tabs>
              <w:tab w:val="clear" w:pos="8176"/>
              <w:tab w:val="right" w:pos="9026" w:leader="dot"/>
            </w:tabs>
            <w:rPr/>
          </w:pPr>
          <w:hyperlink w:anchor="__RefHeading___Toc3971763_1067777946">
            <w:r>
              <w:rPr>
                <w:webHidden/>
                <w:rStyle w:val="IndexLink"/>
                <w:rtl w:val="true"/>
              </w:rPr>
              <w:t>اجتماع بعض السهام مع بعض و عدم اجتماعها</w:t>
            </w:r>
            <w:r>
              <w:rPr>
                <w:rStyle w:val="IndexLink"/>
                <w:rtl w:val="true"/>
              </w:rPr>
              <w:tab/>
            </w:r>
            <w:r>
              <w:rPr>
                <w:rStyle w:val="IndexLink"/>
              </w:rPr>
              <w:t>199</w:t>
            </w:r>
          </w:hyperlink>
        </w:p>
        <w:p>
          <w:pPr>
            <w:pStyle w:val="Contents4"/>
            <w:tabs>
              <w:tab w:val="clear" w:pos="8176"/>
              <w:tab w:val="right" w:pos="9026" w:leader="dot"/>
            </w:tabs>
            <w:rPr/>
          </w:pPr>
          <w:hyperlink w:anchor="__RefHeading___Toc3971765_1067777946">
            <w:r>
              <w:rPr>
                <w:webHidden/>
                <w:rStyle w:val="IndexLink"/>
                <w:rtl w:val="true"/>
              </w:rPr>
              <w:t>مسئلتان</w:t>
            </w:r>
            <w:r>
              <w:rPr>
                <w:rStyle w:val="IndexLink"/>
                <w:rtl w:val="true"/>
              </w:rPr>
              <w:tab/>
            </w:r>
            <w:r>
              <w:rPr>
                <w:rStyle w:val="IndexLink"/>
              </w:rPr>
              <w:t>200</w:t>
            </w:r>
          </w:hyperlink>
        </w:p>
        <w:p>
          <w:pPr>
            <w:pStyle w:val="Contents5"/>
            <w:tabs>
              <w:tab w:val="clear" w:pos="7892"/>
              <w:tab w:val="right" w:pos="9026" w:leader="dot"/>
            </w:tabs>
            <w:rPr/>
          </w:pPr>
          <w:hyperlink w:anchor="__RefHeading___Toc3971767_1067777946">
            <w:r>
              <w:rPr>
                <w:webHidden/>
                <w:rStyle w:val="IndexLink"/>
                <w:rtl w:val="true"/>
              </w:rPr>
              <w:t>بطلان التعصيب</w:t>
            </w:r>
            <w:r>
              <w:rPr>
                <w:rStyle w:val="IndexLink"/>
                <w:rtl w:val="true"/>
              </w:rPr>
              <w:tab/>
            </w:r>
            <w:r>
              <w:rPr>
                <w:rStyle w:val="IndexLink"/>
              </w:rPr>
              <w:t>200</w:t>
            </w:r>
          </w:hyperlink>
        </w:p>
        <w:p>
          <w:pPr>
            <w:pStyle w:val="Contents5"/>
            <w:tabs>
              <w:tab w:val="clear" w:pos="7892"/>
              <w:tab w:val="right" w:pos="9026" w:leader="dot"/>
            </w:tabs>
            <w:rPr/>
          </w:pPr>
          <w:hyperlink w:anchor="__RefHeading___Toc3971769_1067777946">
            <w:r>
              <w:rPr>
                <w:webHidden/>
                <w:rStyle w:val="IndexLink"/>
                <w:rtl w:val="true"/>
              </w:rPr>
              <w:t>بطلان العول</w:t>
            </w:r>
            <w:r>
              <w:rPr>
                <w:rStyle w:val="IndexLink"/>
                <w:rtl w:val="true"/>
              </w:rPr>
              <w:tab/>
            </w:r>
            <w:r>
              <w:rPr>
                <w:rStyle w:val="IndexLink"/>
              </w:rPr>
              <w:t>200</w:t>
            </w:r>
          </w:hyperlink>
        </w:p>
        <w:p>
          <w:pPr>
            <w:pStyle w:val="Contents3"/>
            <w:tabs>
              <w:tab w:val="clear" w:pos="8459"/>
              <w:tab w:val="right" w:pos="9026" w:leader="dot"/>
            </w:tabs>
            <w:rPr/>
          </w:pPr>
          <w:hyperlink w:anchor="__RefHeading___Toc3971771_1067777946">
            <w:r>
              <w:rPr>
                <w:webHidden/>
                <w:rStyle w:val="IndexLink"/>
                <w:rtl w:val="true"/>
              </w:rPr>
              <w:t>الفصل الرابع في ميراث الانساب</w:t>
            </w:r>
            <w:r>
              <w:rPr>
                <w:rStyle w:val="IndexLink"/>
                <w:rtl w:val="true"/>
              </w:rPr>
              <w:tab/>
            </w:r>
            <w:r>
              <w:rPr>
                <w:rStyle w:val="IndexLink"/>
              </w:rPr>
              <w:t>201</w:t>
            </w:r>
          </w:hyperlink>
        </w:p>
        <w:p>
          <w:pPr>
            <w:pStyle w:val="Contents4"/>
            <w:tabs>
              <w:tab w:val="clear" w:pos="8176"/>
              <w:tab w:val="right" w:pos="9026" w:leader="dot"/>
            </w:tabs>
            <w:rPr/>
          </w:pPr>
          <w:hyperlink w:anchor="__RefHeading___Toc3971773_106777794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971775_1067777946">
            <w:r>
              <w:rPr>
                <w:webHidden/>
                <w:rStyle w:val="IndexLink"/>
                <w:rtl w:val="true"/>
              </w:rPr>
              <w:t>المرتبة الاُولىٰ‌</w:t>
            </w:r>
            <w:r>
              <w:rPr>
                <w:rStyle w:val="IndexLink"/>
                <w:rtl w:val="true"/>
              </w:rPr>
              <w:t xml:space="preserve">: </w:t>
            </w:r>
            <w:r>
              <w:rPr>
                <w:rStyle w:val="IndexLink"/>
                <w:rtl w:val="true"/>
              </w:rPr>
              <w:t>الآباء و الأولاد</w:t>
            </w:r>
            <w:r>
              <w:rPr>
                <w:rStyle w:val="IndexLink"/>
                <w:rtl w:val="true"/>
              </w:rPr>
              <w:tab/>
            </w:r>
            <w:r>
              <w:rPr>
                <w:rStyle w:val="IndexLink"/>
              </w:rPr>
              <w:t>201</w:t>
            </w:r>
          </w:hyperlink>
        </w:p>
        <w:p>
          <w:pPr>
            <w:pStyle w:val="Contents5"/>
            <w:tabs>
              <w:tab w:val="clear" w:pos="7892"/>
              <w:tab w:val="right" w:pos="9026" w:leader="dot"/>
            </w:tabs>
            <w:rPr/>
          </w:pPr>
          <w:hyperlink w:anchor="__RefHeading___Toc3971777_1067777946">
            <w:r>
              <w:rPr>
                <w:webHidden/>
                <w:rStyle w:val="IndexLink"/>
                <w:rtl w:val="true"/>
              </w:rPr>
              <w:t>انفراد الأب</w:t>
            </w:r>
            <w:r>
              <w:rPr>
                <w:rStyle w:val="IndexLink"/>
                <w:rtl w:val="true"/>
              </w:rPr>
              <w:tab/>
            </w:r>
            <w:r>
              <w:rPr>
                <w:rStyle w:val="IndexLink"/>
              </w:rPr>
              <w:t>201</w:t>
            </w:r>
          </w:hyperlink>
        </w:p>
        <w:p>
          <w:pPr>
            <w:pStyle w:val="Contents5"/>
            <w:tabs>
              <w:tab w:val="clear" w:pos="7892"/>
              <w:tab w:val="right" w:pos="9026" w:leader="dot"/>
            </w:tabs>
            <w:rPr/>
          </w:pPr>
          <w:hyperlink w:anchor="__RefHeading___Toc3971779_1067777946">
            <w:r>
              <w:rPr>
                <w:webHidden/>
                <w:rStyle w:val="IndexLink"/>
                <w:rtl w:val="true"/>
              </w:rPr>
              <w:t>انفراد الابن</w:t>
            </w:r>
            <w:r>
              <w:rPr>
                <w:rStyle w:val="IndexLink"/>
                <w:rtl w:val="true"/>
              </w:rPr>
              <w:tab/>
            </w:r>
            <w:r>
              <w:rPr>
                <w:rStyle w:val="IndexLink"/>
              </w:rPr>
              <w:t>201</w:t>
            </w:r>
          </w:hyperlink>
        </w:p>
        <w:p>
          <w:pPr>
            <w:pStyle w:val="Contents5"/>
            <w:tabs>
              <w:tab w:val="clear" w:pos="7892"/>
              <w:tab w:val="right" w:pos="9026" w:leader="dot"/>
            </w:tabs>
            <w:rPr/>
          </w:pPr>
          <w:hyperlink w:anchor="__RefHeading___Toc3971781_1067777946">
            <w:r>
              <w:rPr>
                <w:webHidden/>
                <w:rStyle w:val="IndexLink"/>
                <w:rtl w:val="true"/>
              </w:rPr>
              <w:t>اجتماع الأبوان مع الأولاد</w:t>
            </w:r>
            <w:r>
              <w:rPr>
                <w:rStyle w:val="IndexLink"/>
                <w:rtl w:val="true"/>
              </w:rPr>
              <w:tab/>
            </w:r>
            <w:r>
              <w:rPr>
                <w:rStyle w:val="IndexLink"/>
              </w:rPr>
              <w:t>201</w:t>
            </w:r>
          </w:hyperlink>
        </w:p>
        <w:p>
          <w:pPr>
            <w:pStyle w:val="Contents5"/>
            <w:tabs>
              <w:tab w:val="clear" w:pos="7892"/>
              <w:tab w:val="right" w:pos="9026" w:leader="dot"/>
            </w:tabs>
            <w:rPr/>
          </w:pPr>
          <w:hyperlink w:anchor="__RefHeading___Toc3971783_1067777946">
            <w:r>
              <w:rPr>
                <w:webHidden/>
                <w:rStyle w:val="IndexLink"/>
                <w:rtl w:val="true"/>
              </w:rPr>
              <w:t>مسائل</w:t>
            </w:r>
            <w:r>
              <w:rPr>
                <w:rStyle w:val="IndexLink"/>
                <w:rtl w:val="true"/>
              </w:rPr>
              <w:tab/>
            </w:r>
            <w:r>
              <w:rPr>
                <w:rStyle w:val="IndexLink"/>
              </w:rPr>
              <w:t>202</w:t>
            </w:r>
          </w:hyperlink>
        </w:p>
        <w:p>
          <w:pPr>
            <w:pStyle w:val="Contents6"/>
            <w:tabs>
              <w:tab w:val="clear" w:pos="7609"/>
              <w:tab w:val="right" w:pos="9026" w:leader="dot"/>
            </w:tabs>
            <w:rPr/>
          </w:pPr>
          <w:hyperlink w:anchor="__RefHeading___Toc3971785_1067777946">
            <w:r>
              <w:rPr>
                <w:webHidden/>
                <w:rStyle w:val="IndexLink"/>
                <w:rtl w:val="true"/>
              </w:rPr>
              <w:t>أولاد الأولاد يقومون مقام آبائهم و امّهاتهم</w:t>
            </w:r>
            <w:r>
              <w:rPr>
                <w:rStyle w:val="IndexLink"/>
                <w:rtl w:val="true"/>
              </w:rPr>
              <w:tab/>
            </w:r>
            <w:r>
              <w:rPr>
                <w:rStyle w:val="IndexLink"/>
              </w:rPr>
              <w:t>202</w:t>
            </w:r>
          </w:hyperlink>
        </w:p>
        <w:p>
          <w:pPr>
            <w:pStyle w:val="Contents6"/>
            <w:tabs>
              <w:tab w:val="clear" w:pos="7609"/>
              <w:tab w:val="right" w:pos="9026" w:leader="dot"/>
            </w:tabs>
            <w:rPr/>
          </w:pPr>
          <w:hyperlink w:anchor="__RefHeading___Toc3971787_1067777946">
            <w:r>
              <w:rPr>
                <w:webHidden/>
                <w:rStyle w:val="IndexLink"/>
                <w:rtl w:val="true"/>
              </w:rPr>
              <w:t>ما يحبى به الولد الأكبر</w:t>
            </w:r>
            <w:r>
              <w:rPr>
                <w:rStyle w:val="IndexLink"/>
                <w:rtl w:val="true"/>
              </w:rPr>
              <w:tab/>
            </w:r>
            <w:r>
              <w:rPr>
                <w:rStyle w:val="IndexLink"/>
              </w:rPr>
              <w:t>203</w:t>
            </w:r>
          </w:hyperlink>
        </w:p>
        <w:p>
          <w:pPr>
            <w:pStyle w:val="Contents6"/>
            <w:tabs>
              <w:tab w:val="clear" w:pos="7609"/>
              <w:tab w:val="right" w:pos="9026" w:leader="dot"/>
            </w:tabs>
            <w:rPr/>
          </w:pPr>
          <w:hyperlink w:anchor="__RefHeading___Toc3971789_1067777946">
            <w:r>
              <w:rPr>
                <w:webHidden/>
                <w:rStyle w:val="IndexLink"/>
                <w:rtl w:val="true"/>
              </w:rPr>
              <w:t>لا يرث الجدّ و الجدّة مع أحد الأبوين</w:t>
            </w:r>
            <w:r>
              <w:rPr>
                <w:rStyle w:val="IndexLink"/>
                <w:rtl w:val="true"/>
              </w:rPr>
              <w:tab/>
            </w:r>
            <w:r>
              <w:rPr>
                <w:rStyle w:val="IndexLink"/>
              </w:rPr>
              <w:t>203</w:t>
            </w:r>
          </w:hyperlink>
        </w:p>
        <w:p>
          <w:pPr>
            <w:pStyle w:val="Contents6"/>
            <w:tabs>
              <w:tab w:val="clear" w:pos="7609"/>
              <w:tab w:val="right" w:pos="9026" w:leader="dot"/>
            </w:tabs>
            <w:rPr/>
          </w:pPr>
          <w:hyperlink w:anchor="__RefHeading___Toc3971791_1067777946">
            <w:r>
              <w:rPr>
                <w:webHidden/>
                <w:rStyle w:val="IndexLink"/>
                <w:rtl w:val="true"/>
              </w:rPr>
              <w:t>الوالد الحاجب يشمل ولد الولد و إن نزل</w:t>
            </w:r>
            <w:r>
              <w:rPr>
                <w:rStyle w:val="IndexLink"/>
                <w:rtl w:val="true"/>
              </w:rPr>
              <w:tab/>
            </w:r>
            <w:r>
              <w:rPr>
                <w:rStyle w:val="IndexLink"/>
              </w:rPr>
              <w:t>204</w:t>
            </w:r>
          </w:hyperlink>
        </w:p>
        <w:p>
          <w:pPr>
            <w:pStyle w:val="Contents6"/>
            <w:tabs>
              <w:tab w:val="clear" w:pos="7609"/>
              <w:tab w:val="right" w:pos="9026" w:leader="dot"/>
            </w:tabs>
            <w:rPr/>
          </w:pPr>
          <w:hyperlink w:anchor="__RefHeading___Toc3971793_1067777946">
            <w:r>
              <w:rPr>
                <w:webHidden/>
                <w:rStyle w:val="IndexLink"/>
                <w:rtl w:val="true"/>
              </w:rPr>
              <w:t>لا يحجب الإخوة للأمّ الّا بشروط</w:t>
            </w:r>
            <w:r>
              <w:rPr>
                <w:rStyle w:val="IndexLink"/>
                <w:rtl w:val="true"/>
              </w:rPr>
              <w:tab/>
            </w:r>
            <w:r>
              <w:rPr>
                <w:rStyle w:val="IndexLink"/>
              </w:rPr>
              <w:t>204</w:t>
            </w:r>
          </w:hyperlink>
        </w:p>
        <w:p>
          <w:pPr>
            <w:pStyle w:val="Contents4"/>
            <w:tabs>
              <w:tab w:val="clear" w:pos="8176"/>
              <w:tab w:val="right" w:pos="9026" w:leader="dot"/>
            </w:tabs>
            <w:rPr/>
          </w:pPr>
          <w:hyperlink w:anchor="__RefHeading___Toc3971795_1067777946">
            <w:r>
              <w:rPr>
                <w:webHidden/>
                <w:rStyle w:val="IndexLink"/>
                <w:rtl w:val="true"/>
              </w:rPr>
              <w:t>المرتبة الثانية</w:t>
            </w:r>
            <w:r>
              <w:rPr>
                <w:rStyle w:val="IndexLink"/>
                <w:rtl w:val="true"/>
              </w:rPr>
              <w:t xml:space="preserve">: </w:t>
            </w:r>
            <w:r>
              <w:rPr>
                <w:rStyle w:val="IndexLink"/>
                <w:rtl w:val="true"/>
              </w:rPr>
              <w:t>الإخوة مطلقاً و الأجداد</w:t>
            </w:r>
            <w:r>
              <w:rPr>
                <w:rStyle w:val="IndexLink"/>
                <w:rtl w:val="true"/>
              </w:rPr>
              <w:tab/>
            </w:r>
            <w:r>
              <w:rPr>
                <w:rStyle w:val="IndexLink"/>
              </w:rPr>
              <w:t>204</w:t>
            </w:r>
          </w:hyperlink>
        </w:p>
        <w:p>
          <w:pPr>
            <w:pStyle w:val="Contents5"/>
            <w:tabs>
              <w:tab w:val="clear" w:pos="7892"/>
              <w:tab w:val="right" w:pos="9026" w:leader="dot"/>
            </w:tabs>
            <w:rPr/>
          </w:pPr>
          <w:hyperlink w:anchor="__RefHeading___Toc3971797_106777794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971799_1067777946">
            <w:r>
              <w:rPr>
                <w:webHidden/>
                <w:rStyle w:val="IndexLink"/>
                <w:rtl w:val="true"/>
              </w:rPr>
              <w:t>حجب كلالة الأبوين كلالة الأب</w:t>
            </w:r>
            <w:r>
              <w:rPr>
                <w:rStyle w:val="IndexLink"/>
                <w:rtl w:val="true"/>
              </w:rPr>
              <w:tab/>
            </w:r>
            <w:r>
              <w:rPr>
                <w:rStyle w:val="IndexLink"/>
              </w:rPr>
              <w:t>205</w:t>
            </w:r>
          </w:hyperlink>
        </w:p>
        <w:p>
          <w:pPr>
            <w:pStyle w:val="Contents5"/>
            <w:tabs>
              <w:tab w:val="clear" w:pos="7892"/>
              <w:tab w:val="right" w:pos="9026" w:leader="dot"/>
            </w:tabs>
            <w:rPr/>
          </w:pPr>
          <w:hyperlink w:anchor="__RefHeading___Toc3971801_1067777946">
            <w:r>
              <w:rPr>
                <w:webHidden/>
                <w:rStyle w:val="IndexLink"/>
                <w:rtl w:val="true"/>
              </w:rPr>
              <w:t>بيان ما للجدّ و الجدّة إذا انفردا أو اجتمعا مع الآخرين</w:t>
            </w:r>
            <w:r>
              <w:rPr>
                <w:rStyle w:val="IndexLink"/>
                <w:rtl w:val="true"/>
              </w:rPr>
              <w:tab/>
            </w:r>
            <w:r>
              <w:rPr>
                <w:rStyle w:val="IndexLink"/>
              </w:rPr>
              <w:t>205</w:t>
            </w:r>
          </w:hyperlink>
        </w:p>
        <w:p>
          <w:pPr>
            <w:pStyle w:val="Contents5"/>
            <w:tabs>
              <w:tab w:val="clear" w:pos="7892"/>
              <w:tab w:val="right" w:pos="9026" w:leader="dot"/>
            </w:tabs>
            <w:rPr/>
          </w:pPr>
          <w:hyperlink w:anchor="__RefHeading___Toc3971803_1067777946">
            <w:r>
              <w:rPr>
                <w:webHidden/>
                <w:rStyle w:val="IndexLink"/>
                <w:rtl w:val="true"/>
              </w:rPr>
              <w:t>مسئلتان</w:t>
            </w:r>
            <w:r>
              <w:rPr>
                <w:rStyle w:val="IndexLink"/>
                <w:rtl w:val="true"/>
              </w:rPr>
              <w:tab/>
            </w:r>
            <w:r>
              <w:rPr>
                <w:rStyle w:val="IndexLink"/>
              </w:rPr>
              <w:t>206</w:t>
            </w:r>
          </w:hyperlink>
        </w:p>
        <w:p>
          <w:pPr>
            <w:pStyle w:val="Contents6"/>
            <w:tabs>
              <w:tab w:val="clear" w:pos="7609"/>
              <w:tab w:val="right" w:pos="9026" w:leader="dot"/>
            </w:tabs>
            <w:rPr/>
          </w:pPr>
          <w:hyperlink w:anchor="__RefHeading___Toc3971805_1067777946">
            <w:r>
              <w:rPr>
                <w:webHidden/>
                <w:rStyle w:val="IndexLink"/>
                <w:rtl w:val="true"/>
              </w:rPr>
              <w:t>إذا اجتمع أربعة أجداد لأب و مثلهم لأمّ‌</w:t>
            </w:r>
            <w:r>
              <w:rPr>
                <w:rStyle w:val="IndexLink"/>
                <w:rtl w:val="true"/>
              </w:rPr>
              <w:tab/>
            </w:r>
            <w:r>
              <w:rPr>
                <w:rStyle w:val="IndexLink"/>
              </w:rPr>
              <w:t>206</w:t>
            </w:r>
          </w:hyperlink>
        </w:p>
        <w:p>
          <w:pPr>
            <w:pStyle w:val="Contents6"/>
            <w:tabs>
              <w:tab w:val="clear" w:pos="7609"/>
              <w:tab w:val="right" w:pos="9026" w:leader="dot"/>
            </w:tabs>
            <w:rPr/>
          </w:pPr>
          <w:hyperlink w:anchor="__RefHeading___Toc3971807_1067777946">
            <w:r>
              <w:rPr>
                <w:webHidden/>
                <w:rStyle w:val="IndexLink"/>
                <w:rtl w:val="true"/>
              </w:rPr>
              <w:t>مقاسمة الأجداد مع أولاد الإخوة</w:t>
            </w:r>
            <w:r>
              <w:rPr>
                <w:rStyle w:val="IndexLink"/>
                <w:rtl w:val="true"/>
              </w:rPr>
              <w:tab/>
            </w:r>
            <w:r>
              <w:rPr>
                <w:rStyle w:val="IndexLink"/>
              </w:rPr>
              <w:t>206</w:t>
            </w:r>
          </w:hyperlink>
        </w:p>
        <w:p>
          <w:pPr>
            <w:pStyle w:val="Contents4"/>
            <w:tabs>
              <w:tab w:val="clear" w:pos="8176"/>
              <w:tab w:val="right" w:pos="9026" w:leader="dot"/>
            </w:tabs>
            <w:rPr/>
          </w:pPr>
          <w:hyperlink w:anchor="__RefHeading___Toc3971809_1067777946">
            <w:r>
              <w:rPr>
                <w:webHidden/>
                <w:rStyle w:val="IndexLink"/>
                <w:rtl w:val="true"/>
              </w:rPr>
              <w:t>المرتبة الثالثة</w:t>
            </w:r>
            <w:r>
              <w:rPr>
                <w:rStyle w:val="IndexLink"/>
                <w:rtl w:val="true"/>
              </w:rPr>
              <w:t xml:space="preserve">: </w:t>
            </w:r>
            <w:r>
              <w:rPr>
                <w:rStyle w:val="IndexLink"/>
                <w:rtl w:val="true"/>
              </w:rPr>
              <w:t>الأعمام و الأخوال و العمّات و الخالات و أولادهم</w:t>
            </w:r>
            <w:r>
              <w:rPr>
                <w:rStyle w:val="IndexLink"/>
                <w:rtl w:val="true"/>
              </w:rPr>
              <w:tab/>
            </w:r>
            <w:r>
              <w:rPr>
                <w:rStyle w:val="IndexLink"/>
              </w:rPr>
              <w:t>207</w:t>
            </w:r>
          </w:hyperlink>
        </w:p>
        <w:p>
          <w:pPr>
            <w:pStyle w:val="Contents5"/>
            <w:tabs>
              <w:tab w:val="clear" w:pos="7892"/>
              <w:tab w:val="right" w:pos="9026" w:leader="dot"/>
            </w:tabs>
            <w:rPr/>
          </w:pPr>
          <w:hyperlink w:anchor="__RefHeading___Toc3971811_1067777946">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3971813_1067777946">
            <w:r>
              <w:rPr>
                <w:webHidden/>
                <w:rStyle w:val="IndexLink"/>
                <w:rtl w:val="true"/>
              </w:rPr>
              <w:t>حكم ما لو اجتمع العمومة و العمّات</w:t>
            </w:r>
            <w:r>
              <w:rPr>
                <w:rStyle w:val="IndexLink"/>
                <w:rtl w:val="true"/>
              </w:rPr>
              <w:tab/>
            </w:r>
            <w:r>
              <w:rPr>
                <w:rStyle w:val="IndexLink"/>
              </w:rPr>
              <w:t>207</w:t>
            </w:r>
          </w:hyperlink>
        </w:p>
        <w:p>
          <w:pPr>
            <w:pStyle w:val="Contents5"/>
            <w:tabs>
              <w:tab w:val="clear" w:pos="7892"/>
              <w:tab w:val="right" w:pos="9026" w:leader="dot"/>
            </w:tabs>
            <w:rPr/>
          </w:pPr>
          <w:hyperlink w:anchor="__RefHeading___Toc3971815_1067777946">
            <w:r>
              <w:rPr>
                <w:webHidden/>
                <w:rStyle w:val="IndexLink"/>
                <w:rtl w:val="true"/>
              </w:rPr>
              <w:t>لا يرث الأبعد مع وجود الأقرب</w:t>
            </w:r>
            <w:r>
              <w:rPr>
                <w:rStyle w:val="IndexLink"/>
                <w:rtl w:val="true"/>
              </w:rPr>
              <w:tab/>
            </w:r>
            <w:r>
              <w:rPr>
                <w:rStyle w:val="IndexLink"/>
              </w:rPr>
              <w:t>207</w:t>
            </w:r>
          </w:hyperlink>
        </w:p>
        <w:p>
          <w:pPr>
            <w:pStyle w:val="Contents5"/>
            <w:tabs>
              <w:tab w:val="clear" w:pos="7892"/>
              <w:tab w:val="right" w:pos="9026" w:leader="dot"/>
            </w:tabs>
            <w:rPr/>
          </w:pPr>
          <w:hyperlink w:anchor="__RefHeading___Toc3971817_1067777946">
            <w:r>
              <w:rPr>
                <w:webHidden/>
                <w:rStyle w:val="IndexLink"/>
                <w:rtl w:val="true"/>
              </w:rPr>
              <w:t>قسمة التركة بين الأخوال</w:t>
            </w:r>
            <w:r>
              <w:rPr>
                <w:rStyle w:val="IndexLink"/>
                <w:rtl w:val="true"/>
              </w:rPr>
              <w:tab/>
            </w:r>
            <w:r>
              <w:rPr>
                <w:rStyle w:val="IndexLink"/>
              </w:rPr>
              <w:t>207</w:t>
            </w:r>
          </w:hyperlink>
        </w:p>
        <w:p>
          <w:pPr>
            <w:pStyle w:val="Contents5"/>
            <w:tabs>
              <w:tab w:val="clear" w:pos="7892"/>
              <w:tab w:val="right" w:pos="9026" w:leader="dot"/>
            </w:tabs>
            <w:rPr/>
          </w:pPr>
          <w:hyperlink w:anchor="__RefHeading___Toc3971819_1067777946">
            <w:r>
              <w:rPr>
                <w:webHidden/>
                <w:rStyle w:val="IndexLink"/>
                <w:rtl w:val="true"/>
              </w:rPr>
              <w:t>حكم ما لو اجتمع الأعمام و الأخوال</w:t>
            </w:r>
            <w:r>
              <w:rPr>
                <w:rStyle w:val="IndexLink"/>
                <w:rtl w:val="true"/>
              </w:rPr>
              <w:tab/>
            </w:r>
            <w:r>
              <w:rPr>
                <w:rStyle w:val="IndexLink"/>
              </w:rPr>
              <w:t>208</w:t>
            </w:r>
          </w:hyperlink>
        </w:p>
        <w:p>
          <w:pPr>
            <w:pStyle w:val="Contents5"/>
            <w:tabs>
              <w:tab w:val="clear" w:pos="7892"/>
              <w:tab w:val="right" w:pos="9026" w:leader="dot"/>
            </w:tabs>
            <w:rPr/>
          </w:pPr>
          <w:hyperlink w:anchor="__RefHeading___Toc3971821_1067777946">
            <w:r>
              <w:rPr>
                <w:webHidden/>
                <w:rStyle w:val="IndexLink"/>
                <w:rtl w:val="true"/>
              </w:rPr>
              <w:t>حكم ما اجتمع مع الأعمام و الأخوال زوج أو زوجة</w:t>
            </w:r>
            <w:r>
              <w:rPr>
                <w:rStyle w:val="IndexLink"/>
                <w:rtl w:val="true"/>
              </w:rPr>
              <w:tab/>
            </w:r>
            <w:r>
              <w:rPr>
                <w:rStyle w:val="IndexLink"/>
              </w:rPr>
              <w:t>208</w:t>
            </w:r>
          </w:hyperlink>
        </w:p>
        <w:p>
          <w:pPr>
            <w:pStyle w:val="Contents5"/>
            <w:tabs>
              <w:tab w:val="clear" w:pos="7892"/>
              <w:tab w:val="right" w:pos="9026" w:leader="dot"/>
            </w:tabs>
            <w:rPr/>
          </w:pPr>
          <w:hyperlink w:anchor="__RefHeading___Toc3971823_1067777946">
            <w:r>
              <w:rPr>
                <w:webHidden/>
                <w:rStyle w:val="IndexLink"/>
                <w:rtl w:val="true"/>
              </w:rPr>
              <w:t>حكم ما لو انتفى الأعمام و الأخوال بلا واسطه</w:t>
            </w:r>
            <w:r>
              <w:rPr>
                <w:rStyle w:val="IndexLink"/>
                <w:rtl w:val="true"/>
              </w:rPr>
              <w:tab/>
            </w:r>
            <w:r>
              <w:rPr>
                <w:rStyle w:val="IndexLink"/>
              </w:rPr>
              <w:t>209</w:t>
            </w:r>
          </w:hyperlink>
        </w:p>
        <w:p>
          <w:pPr>
            <w:pStyle w:val="Contents5"/>
            <w:tabs>
              <w:tab w:val="clear" w:pos="7892"/>
              <w:tab w:val="right" w:pos="9026" w:leader="dot"/>
            </w:tabs>
            <w:rPr/>
          </w:pPr>
          <w:hyperlink w:anchor="__RefHeading___Toc3971825_1067777946">
            <w:r>
              <w:rPr>
                <w:webHidden/>
                <w:rStyle w:val="IndexLink"/>
                <w:rtl w:val="true"/>
              </w:rPr>
              <w:t>مسئلتان</w:t>
            </w:r>
            <w:r>
              <w:rPr>
                <w:rStyle w:val="IndexLink"/>
                <w:rtl w:val="true"/>
              </w:rPr>
              <w:tab/>
            </w:r>
            <w:r>
              <w:rPr>
                <w:rStyle w:val="IndexLink"/>
              </w:rPr>
              <w:t>209</w:t>
            </w:r>
          </w:hyperlink>
        </w:p>
        <w:p>
          <w:pPr>
            <w:pStyle w:val="Contents6"/>
            <w:tabs>
              <w:tab w:val="clear" w:pos="7609"/>
              <w:tab w:val="right" w:pos="9026" w:leader="dot"/>
            </w:tabs>
            <w:rPr/>
          </w:pPr>
          <w:hyperlink w:anchor="__RefHeading___Toc3971827_1067777946">
            <w:r>
              <w:rPr>
                <w:webHidden/>
                <w:rStyle w:val="IndexLink"/>
                <w:rtl w:val="true"/>
              </w:rPr>
              <w:t>حكم من اجتمع له سببان</w:t>
            </w:r>
            <w:r>
              <w:rPr>
                <w:rStyle w:val="IndexLink"/>
                <w:rtl w:val="true"/>
              </w:rPr>
              <w:tab/>
            </w:r>
            <w:r>
              <w:rPr>
                <w:rStyle w:val="IndexLink"/>
              </w:rPr>
              <w:t>209</w:t>
            </w:r>
          </w:hyperlink>
        </w:p>
        <w:p>
          <w:pPr>
            <w:pStyle w:val="Contents6"/>
            <w:tabs>
              <w:tab w:val="clear" w:pos="7609"/>
              <w:tab w:val="right" w:pos="9026" w:leader="dot"/>
            </w:tabs>
            <w:rPr/>
          </w:pPr>
          <w:hyperlink w:anchor="__RefHeading___Toc3971829_1067777946">
            <w:r>
              <w:rPr>
                <w:webHidden/>
                <w:rStyle w:val="IndexLink"/>
                <w:rtl w:val="true"/>
              </w:rPr>
              <w:t>حكم أولاد العمومة و الخؤولة فى مجامعتهم الزوج أو الزوجة</w:t>
            </w:r>
            <w:r>
              <w:rPr>
                <w:rStyle w:val="IndexLink"/>
                <w:rtl w:val="true"/>
              </w:rPr>
              <w:tab/>
            </w:r>
            <w:r>
              <w:rPr>
                <w:rStyle w:val="IndexLink"/>
              </w:rPr>
              <w:t>209</w:t>
            </w:r>
          </w:hyperlink>
        </w:p>
        <w:p>
          <w:pPr>
            <w:pStyle w:val="Contents3"/>
            <w:tabs>
              <w:tab w:val="clear" w:pos="8459"/>
              <w:tab w:val="right" w:pos="9026" w:leader="dot"/>
            </w:tabs>
            <w:rPr/>
          </w:pPr>
          <w:hyperlink w:anchor="__RefHeading___Toc3971831_1067777946">
            <w:r>
              <w:rPr>
                <w:webHidden/>
                <w:rStyle w:val="IndexLink"/>
                <w:rtl w:val="true"/>
              </w:rPr>
              <w:t>الفصل الخامس في ميراث الازواج</w:t>
            </w:r>
            <w:r>
              <w:rPr>
                <w:rStyle w:val="IndexLink"/>
                <w:rtl w:val="true"/>
              </w:rPr>
              <w:tab/>
            </w:r>
            <w:r>
              <w:rPr>
                <w:rStyle w:val="IndexLink"/>
              </w:rPr>
              <w:t>210</w:t>
            </w:r>
          </w:hyperlink>
        </w:p>
        <w:p>
          <w:pPr>
            <w:pStyle w:val="Contents4"/>
            <w:tabs>
              <w:tab w:val="clear" w:pos="8176"/>
              <w:tab w:val="right" w:pos="9026" w:leader="dot"/>
            </w:tabs>
            <w:rPr/>
          </w:pPr>
          <w:hyperlink w:anchor="__RefHeading___Toc3971833_1067777946">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971835_1067777946">
            <w:r>
              <w:rPr>
                <w:webHidden/>
                <w:rStyle w:val="IndexLink"/>
                <w:rtl w:val="true"/>
              </w:rPr>
              <w:t>الزوجة ترث ما دامت فى حبال الزوج</w:t>
            </w:r>
            <w:r>
              <w:rPr>
                <w:rStyle w:val="IndexLink"/>
                <w:rtl w:val="true"/>
              </w:rPr>
              <w:tab/>
            </w:r>
            <w:r>
              <w:rPr>
                <w:rStyle w:val="IndexLink"/>
              </w:rPr>
              <w:t>210</w:t>
            </w:r>
          </w:hyperlink>
        </w:p>
        <w:p>
          <w:pPr>
            <w:pStyle w:val="Contents4"/>
            <w:tabs>
              <w:tab w:val="clear" w:pos="8176"/>
              <w:tab w:val="right" w:pos="9026" w:leader="dot"/>
            </w:tabs>
            <w:rPr/>
          </w:pPr>
          <w:hyperlink w:anchor="__RefHeading___Toc3971837_1067777946">
            <w:r>
              <w:rPr>
                <w:webHidden/>
                <w:rStyle w:val="IndexLink"/>
                <w:rtl w:val="true"/>
              </w:rPr>
              <w:t>ما يرث منه الزوج و الزوجة</w:t>
            </w:r>
            <w:r>
              <w:rPr>
                <w:rStyle w:val="IndexLink"/>
                <w:rtl w:val="true"/>
              </w:rPr>
              <w:tab/>
            </w:r>
            <w:r>
              <w:rPr>
                <w:rStyle w:val="IndexLink"/>
              </w:rPr>
              <w:t>210</w:t>
            </w:r>
          </w:hyperlink>
        </w:p>
        <w:p>
          <w:pPr>
            <w:pStyle w:val="Contents4"/>
            <w:tabs>
              <w:tab w:val="clear" w:pos="8176"/>
              <w:tab w:val="right" w:pos="9026" w:leader="dot"/>
            </w:tabs>
            <w:rPr/>
          </w:pPr>
          <w:hyperlink w:anchor="__RefHeading___Toc3971839_1067777946">
            <w:r>
              <w:rPr>
                <w:webHidden/>
                <w:rStyle w:val="IndexLink"/>
                <w:rtl w:val="true"/>
              </w:rPr>
              <w:t>مسئلتان</w:t>
            </w:r>
            <w:r>
              <w:rPr>
                <w:rStyle w:val="IndexLink"/>
                <w:rtl w:val="true"/>
              </w:rPr>
              <w:tab/>
            </w:r>
            <w:r>
              <w:rPr>
                <w:rStyle w:val="IndexLink"/>
              </w:rPr>
              <w:t>211</w:t>
            </w:r>
          </w:hyperlink>
        </w:p>
        <w:p>
          <w:pPr>
            <w:pStyle w:val="Contents5"/>
            <w:tabs>
              <w:tab w:val="clear" w:pos="7892"/>
              <w:tab w:val="right" w:pos="9026" w:leader="dot"/>
            </w:tabs>
            <w:rPr/>
          </w:pPr>
          <w:hyperlink w:anchor="__RefHeading___Toc3971841_1067777946">
            <w:r>
              <w:rPr>
                <w:webHidden/>
                <w:rStyle w:val="IndexLink"/>
                <w:rtl w:val="true"/>
              </w:rPr>
              <w:t>حكم ما إذا طلّق ذو الأربع</w:t>
            </w:r>
            <w:r>
              <w:rPr>
                <w:rStyle w:val="IndexLink"/>
                <w:rtl w:val="true"/>
              </w:rPr>
              <w:t>...</w:t>
              <w:tab/>
            </w:r>
            <w:r>
              <w:rPr>
                <w:rStyle w:val="IndexLink"/>
              </w:rPr>
              <w:t>211</w:t>
            </w:r>
          </w:hyperlink>
        </w:p>
        <w:p>
          <w:pPr>
            <w:pStyle w:val="Contents5"/>
            <w:tabs>
              <w:tab w:val="clear" w:pos="7892"/>
              <w:tab w:val="right" w:pos="9026" w:leader="dot"/>
            </w:tabs>
            <w:rPr/>
          </w:pPr>
          <w:hyperlink w:anchor="__RefHeading___Toc3971843_1067777946">
            <w:r>
              <w:rPr>
                <w:webHidden/>
                <w:rStyle w:val="IndexLink"/>
                <w:rtl w:val="true"/>
              </w:rPr>
              <w:t>حكم نكاح المريض</w:t>
            </w:r>
            <w:r>
              <w:rPr>
                <w:rStyle w:val="IndexLink"/>
                <w:rtl w:val="true"/>
              </w:rPr>
              <w:tab/>
            </w:r>
            <w:r>
              <w:rPr>
                <w:rStyle w:val="IndexLink"/>
              </w:rPr>
              <w:t>211</w:t>
            </w:r>
          </w:hyperlink>
        </w:p>
        <w:p>
          <w:pPr>
            <w:pStyle w:val="Contents3"/>
            <w:tabs>
              <w:tab w:val="clear" w:pos="8459"/>
              <w:tab w:val="right" w:pos="9026" w:leader="dot"/>
            </w:tabs>
            <w:rPr/>
          </w:pPr>
          <w:hyperlink w:anchor="__RefHeading___Toc3971845_1067777946">
            <w:r>
              <w:rPr>
                <w:webHidden/>
                <w:rStyle w:val="IndexLink"/>
                <w:rtl w:val="true"/>
              </w:rPr>
              <w:t>الفصل السادس في الإرث بالولاء</w:t>
            </w:r>
            <w:r>
              <w:rPr>
                <w:rStyle w:val="IndexLink"/>
                <w:rtl w:val="true"/>
              </w:rPr>
              <w:tab/>
            </w:r>
            <w:r>
              <w:rPr>
                <w:rStyle w:val="IndexLink"/>
              </w:rPr>
              <w:t>212</w:t>
            </w:r>
          </w:hyperlink>
        </w:p>
        <w:p>
          <w:pPr>
            <w:pStyle w:val="Contents4"/>
            <w:tabs>
              <w:tab w:val="clear" w:pos="8176"/>
              <w:tab w:val="right" w:pos="9026" w:leader="dot"/>
            </w:tabs>
            <w:rPr/>
          </w:pPr>
          <w:hyperlink w:anchor="__RefHeading___Toc3971847_1067777946">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971849_1067777946">
            <w:r>
              <w:rPr>
                <w:webHidden/>
                <w:rStyle w:val="IndexLink"/>
                <w:rtl w:val="true"/>
              </w:rPr>
              <w:t>ولاء الإمامة</w:t>
            </w:r>
            <w:r>
              <w:rPr>
                <w:rStyle w:val="IndexLink"/>
                <w:rtl w:val="true"/>
              </w:rPr>
              <w:tab/>
            </w:r>
            <w:r>
              <w:rPr>
                <w:rStyle w:val="IndexLink"/>
              </w:rPr>
              <w:t>212</w:t>
            </w:r>
          </w:hyperlink>
        </w:p>
        <w:p>
          <w:pPr>
            <w:pStyle w:val="Contents4"/>
            <w:tabs>
              <w:tab w:val="clear" w:pos="8176"/>
              <w:tab w:val="right" w:pos="9026" w:leader="dot"/>
            </w:tabs>
            <w:rPr/>
          </w:pPr>
          <w:hyperlink w:anchor="__RefHeading___Toc3971851_1067777946">
            <w:r>
              <w:rPr>
                <w:webHidden/>
                <w:rStyle w:val="IndexLink"/>
                <w:rtl w:val="true"/>
              </w:rPr>
              <w:t>ولاء العتق</w:t>
            </w:r>
            <w:r>
              <w:rPr>
                <w:rStyle w:val="IndexLink"/>
                <w:rtl w:val="true"/>
              </w:rPr>
              <w:tab/>
            </w:r>
            <w:r>
              <w:rPr>
                <w:rStyle w:val="IndexLink"/>
              </w:rPr>
              <w:t>212</w:t>
            </w:r>
          </w:hyperlink>
        </w:p>
        <w:p>
          <w:pPr>
            <w:pStyle w:val="Contents4"/>
            <w:tabs>
              <w:tab w:val="clear" w:pos="8176"/>
              <w:tab w:val="right" w:pos="9026" w:leader="dot"/>
            </w:tabs>
            <w:rPr/>
          </w:pPr>
          <w:hyperlink w:anchor="__RefHeading___Toc3971853_1067777946">
            <w:r>
              <w:rPr>
                <w:webHidden/>
                <w:rStyle w:val="IndexLink"/>
                <w:rtl w:val="true"/>
              </w:rPr>
              <w:t>ولاء تضمّن الجريرة</w:t>
            </w:r>
            <w:r>
              <w:rPr>
                <w:rStyle w:val="IndexLink"/>
                <w:rtl w:val="true"/>
              </w:rPr>
              <w:tab/>
            </w:r>
            <w:r>
              <w:rPr>
                <w:rStyle w:val="IndexLink"/>
              </w:rPr>
              <w:t>214</w:t>
            </w:r>
          </w:hyperlink>
        </w:p>
        <w:p>
          <w:pPr>
            <w:pStyle w:val="Contents3"/>
            <w:tabs>
              <w:tab w:val="clear" w:pos="8459"/>
              <w:tab w:val="right" w:pos="9026" w:leader="dot"/>
            </w:tabs>
            <w:rPr/>
          </w:pPr>
          <w:hyperlink w:anchor="__RefHeading___Toc3971855_1067777946">
            <w:r>
              <w:rPr>
                <w:webHidden/>
                <w:rStyle w:val="IndexLink"/>
                <w:rtl w:val="true"/>
              </w:rPr>
              <w:t>الفصل السابع في ميراث ابن الملاعنة</w:t>
            </w:r>
            <w:r>
              <w:rPr>
                <w:rStyle w:val="IndexLink"/>
                <w:rtl w:val="true"/>
              </w:rPr>
              <w:tab/>
            </w:r>
            <w:r>
              <w:rPr>
                <w:rStyle w:val="IndexLink"/>
              </w:rPr>
              <w:t>215</w:t>
            </w:r>
          </w:hyperlink>
        </w:p>
        <w:p>
          <w:pPr>
            <w:pStyle w:val="Contents3"/>
            <w:tabs>
              <w:tab w:val="clear" w:pos="8459"/>
              <w:tab w:val="right" w:pos="9026" w:leader="dot"/>
            </w:tabs>
            <w:rPr/>
          </w:pPr>
          <w:hyperlink w:anchor="__RefHeading___Toc3971857_1067777946">
            <w:r>
              <w:rPr>
                <w:webHidden/>
                <w:rStyle w:val="IndexLink"/>
                <w:rtl w:val="true"/>
              </w:rPr>
              <w:t>الفصل الثامن في ميراث ولد الزنا</w:t>
            </w:r>
            <w:r>
              <w:rPr>
                <w:rStyle w:val="IndexLink"/>
                <w:rtl w:val="true"/>
              </w:rPr>
              <w:tab/>
            </w:r>
            <w:r>
              <w:rPr>
                <w:rStyle w:val="IndexLink"/>
              </w:rPr>
              <w:t>217</w:t>
            </w:r>
          </w:hyperlink>
        </w:p>
        <w:p>
          <w:pPr>
            <w:pStyle w:val="Contents3"/>
            <w:tabs>
              <w:tab w:val="clear" w:pos="8459"/>
              <w:tab w:val="right" w:pos="9026" w:leader="dot"/>
            </w:tabs>
            <w:rPr/>
          </w:pPr>
          <w:hyperlink w:anchor="__RefHeading___Toc3971859_1067777946">
            <w:r>
              <w:rPr>
                <w:webHidden/>
                <w:rStyle w:val="IndexLink"/>
                <w:rtl w:val="true"/>
              </w:rPr>
              <w:t>الفصل التاسع في ميراث الحمل</w:t>
            </w:r>
            <w:r>
              <w:rPr>
                <w:rStyle w:val="IndexLink"/>
                <w:rtl w:val="true"/>
              </w:rPr>
              <w:tab/>
            </w:r>
            <w:r>
              <w:rPr>
                <w:rStyle w:val="IndexLink"/>
              </w:rPr>
              <w:t>218</w:t>
            </w:r>
          </w:hyperlink>
        </w:p>
        <w:p>
          <w:pPr>
            <w:pStyle w:val="Contents4"/>
            <w:tabs>
              <w:tab w:val="clear" w:pos="8176"/>
              <w:tab w:val="right" w:pos="9026" w:leader="dot"/>
            </w:tabs>
            <w:rPr/>
          </w:pPr>
          <w:hyperlink w:anchor="__RefHeading___Toc3971861_1067777946">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3971863_1067777946">
            <w:r>
              <w:rPr>
                <w:webHidden/>
                <w:rStyle w:val="IndexLink"/>
                <w:rtl w:val="true"/>
              </w:rPr>
              <w:t>وارث دية الجنين</w:t>
            </w:r>
            <w:r>
              <w:rPr>
                <w:rStyle w:val="IndexLink"/>
                <w:rtl w:val="true"/>
              </w:rPr>
              <w:tab/>
            </w:r>
            <w:r>
              <w:rPr>
                <w:rStyle w:val="IndexLink"/>
              </w:rPr>
              <w:t>218</w:t>
            </w:r>
          </w:hyperlink>
        </w:p>
        <w:p>
          <w:pPr>
            <w:pStyle w:val="Contents4"/>
            <w:tabs>
              <w:tab w:val="clear" w:pos="8176"/>
              <w:tab w:val="right" w:pos="9026" w:leader="dot"/>
            </w:tabs>
            <w:rPr/>
          </w:pPr>
          <w:hyperlink w:anchor="__RefHeading___Toc3971865_1067777946">
            <w:r>
              <w:rPr>
                <w:webHidden/>
                <w:rStyle w:val="IndexLink"/>
                <w:rtl w:val="true"/>
              </w:rPr>
              <w:t>مسألة</w:t>
            </w:r>
            <w:r>
              <w:rPr>
                <w:rStyle w:val="IndexLink"/>
                <w:rtl w:val="true"/>
              </w:rPr>
              <w:tab/>
            </w:r>
            <w:r>
              <w:rPr>
                <w:rStyle w:val="IndexLink"/>
              </w:rPr>
              <w:t>219</w:t>
            </w:r>
          </w:hyperlink>
        </w:p>
        <w:p>
          <w:pPr>
            <w:pStyle w:val="Contents3"/>
            <w:tabs>
              <w:tab w:val="clear" w:pos="8459"/>
              <w:tab w:val="right" w:pos="9026" w:leader="dot"/>
            </w:tabs>
            <w:rPr/>
          </w:pPr>
          <w:hyperlink w:anchor="__RefHeading___Toc3971867_1067777946">
            <w:r>
              <w:rPr>
                <w:webHidden/>
                <w:rStyle w:val="IndexLink"/>
                <w:rtl w:val="true"/>
              </w:rPr>
              <w:t>الفصل العاشر في ميراث المفقود</w:t>
            </w:r>
            <w:r>
              <w:rPr>
                <w:rStyle w:val="IndexLink"/>
                <w:rtl w:val="true"/>
              </w:rPr>
              <w:tab/>
            </w:r>
            <w:r>
              <w:rPr>
                <w:rStyle w:val="IndexLink"/>
              </w:rPr>
              <w:t>220</w:t>
            </w:r>
          </w:hyperlink>
        </w:p>
        <w:p>
          <w:pPr>
            <w:pStyle w:val="Contents3"/>
            <w:tabs>
              <w:tab w:val="clear" w:pos="8459"/>
              <w:tab w:val="right" w:pos="9026" w:leader="dot"/>
            </w:tabs>
            <w:rPr/>
          </w:pPr>
          <w:hyperlink w:anchor="__RefHeading___Toc3971869_1067777946">
            <w:r>
              <w:rPr>
                <w:webHidden/>
                <w:rStyle w:val="IndexLink"/>
                <w:rtl w:val="true"/>
              </w:rPr>
              <w:t>الفصل الحادي عشر في ميراث الخنثى</w:t>
            </w:r>
            <w:r>
              <w:rPr>
                <w:rStyle w:val="IndexLink"/>
                <w:rtl w:val="true"/>
              </w:rPr>
              <w:tab/>
            </w:r>
            <w:r>
              <w:rPr>
                <w:rStyle w:val="IndexLink"/>
              </w:rPr>
              <w:t>221</w:t>
            </w:r>
          </w:hyperlink>
        </w:p>
        <w:p>
          <w:pPr>
            <w:pStyle w:val="Contents4"/>
            <w:tabs>
              <w:tab w:val="clear" w:pos="8176"/>
              <w:tab w:val="right" w:pos="9026" w:leader="dot"/>
            </w:tabs>
            <w:rPr/>
          </w:pPr>
          <w:hyperlink w:anchor="__RefHeading___Toc3971871_106777794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3971873_1067777946">
            <w:r>
              <w:rPr>
                <w:webHidden/>
                <w:rStyle w:val="IndexLink"/>
                <w:rtl w:val="true"/>
              </w:rPr>
              <w:t>من ليس له فرج أصلاً</w:t>
            </w:r>
            <w:r>
              <w:rPr>
                <w:rStyle w:val="IndexLink"/>
                <w:rtl w:val="true"/>
              </w:rPr>
              <w:tab/>
            </w:r>
            <w:r>
              <w:rPr>
                <w:rStyle w:val="IndexLink"/>
              </w:rPr>
              <w:t>221</w:t>
            </w:r>
          </w:hyperlink>
        </w:p>
        <w:p>
          <w:pPr>
            <w:pStyle w:val="Contents4"/>
            <w:tabs>
              <w:tab w:val="clear" w:pos="8176"/>
              <w:tab w:val="right" w:pos="9026" w:leader="dot"/>
            </w:tabs>
            <w:rPr/>
          </w:pPr>
          <w:hyperlink w:anchor="__RefHeading___Toc3971875_1067777946">
            <w:r>
              <w:rPr>
                <w:webHidden/>
                <w:rStyle w:val="IndexLink"/>
                <w:rtl w:val="true"/>
              </w:rPr>
              <w:t>ميراث من له رأسان أو بدنان</w:t>
            </w:r>
            <w:r>
              <w:rPr>
                <w:rStyle w:val="IndexLink"/>
                <w:rtl w:val="true"/>
              </w:rPr>
              <w:tab/>
            </w:r>
            <w:r>
              <w:rPr>
                <w:rStyle w:val="IndexLink"/>
              </w:rPr>
              <w:t>221</w:t>
            </w:r>
          </w:hyperlink>
        </w:p>
        <w:p>
          <w:pPr>
            <w:pStyle w:val="Contents3"/>
            <w:tabs>
              <w:tab w:val="clear" w:pos="8459"/>
              <w:tab w:val="right" w:pos="9026" w:leader="dot"/>
            </w:tabs>
            <w:rPr/>
          </w:pPr>
          <w:hyperlink w:anchor="__RefHeading___Toc3971877_1067777946">
            <w:r>
              <w:rPr>
                <w:webHidden/>
                <w:rStyle w:val="IndexLink"/>
                <w:rtl w:val="true"/>
              </w:rPr>
              <w:t>الفصل الثاني عشر في ميراث الغرقىٰ و المهدوم عليهم</w:t>
            </w:r>
            <w:r>
              <w:rPr>
                <w:rStyle w:val="IndexLink"/>
                <w:rtl w:val="true"/>
              </w:rPr>
              <w:tab/>
            </w:r>
            <w:r>
              <w:rPr>
                <w:rStyle w:val="IndexLink"/>
              </w:rPr>
              <w:t>222</w:t>
            </w:r>
          </w:hyperlink>
        </w:p>
        <w:p>
          <w:pPr>
            <w:pStyle w:val="Contents3"/>
            <w:tabs>
              <w:tab w:val="clear" w:pos="8459"/>
              <w:tab w:val="right" w:pos="9026" w:leader="dot"/>
            </w:tabs>
            <w:rPr/>
          </w:pPr>
          <w:hyperlink w:anchor="__RefHeading___Toc3971879_1067777946">
            <w:r>
              <w:rPr>
                <w:webHidden/>
                <w:rStyle w:val="IndexLink"/>
                <w:rtl w:val="true"/>
              </w:rPr>
              <w:t>الفصل الثالث عشر في ميراث المجوس</w:t>
            </w:r>
            <w:r>
              <w:rPr>
                <w:rStyle w:val="IndexLink"/>
                <w:rtl w:val="true"/>
              </w:rPr>
              <w:tab/>
            </w:r>
            <w:r>
              <w:rPr>
                <w:rStyle w:val="IndexLink"/>
              </w:rPr>
              <w:t>224</w:t>
            </w:r>
          </w:hyperlink>
        </w:p>
        <w:p>
          <w:pPr>
            <w:pStyle w:val="Contents3"/>
            <w:tabs>
              <w:tab w:val="clear" w:pos="8459"/>
              <w:tab w:val="right" w:pos="9026" w:leader="dot"/>
            </w:tabs>
            <w:rPr/>
          </w:pPr>
          <w:hyperlink w:anchor="__RefHeading___Toc3971881_1067777946">
            <w:r>
              <w:rPr>
                <w:webHidden/>
                <w:rStyle w:val="IndexLink"/>
                <w:rtl w:val="true"/>
              </w:rPr>
              <w:t>الفصل الرابع عشر في مختصر من حساب الفرائض</w:t>
            </w:r>
            <w:r>
              <w:rPr>
                <w:rStyle w:val="IndexLink"/>
                <w:rtl w:val="true"/>
              </w:rPr>
              <w:tab/>
            </w:r>
            <w:r>
              <w:rPr>
                <w:rStyle w:val="IndexLink"/>
              </w:rPr>
              <w:t>225</w:t>
            </w:r>
          </w:hyperlink>
        </w:p>
        <w:p>
          <w:pPr>
            <w:pStyle w:val="Contents4"/>
            <w:tabs>
              <w:tab w:val="clear" w:pos="8176"/>
              <w:tab w:val="right" w:pos="9026" w:leader="dot"/>
            </w:tabs>
            <w:rPr/>
          </w:pPr>
          <w:hyperlink w:anchor="__RefHeading___Toc3971883_1067777946">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971885_1067777946">
            <w:r>
              <w:rPr>
                <w:webHidden/>
                <w:rStyle w:val="IndexLink"/>
                <w:rtl w:val="true"/>
              </w:rPr>
              <w:t>مخارج الفروض</w:t>
            </w:r>
            <w:r>
              <w:rPr>
                <w:rStyle w:val="IndexLink"/>
                <w:rtl w:val="true"/>
              </w:rPr>
              <w:tab/>
            </w:r>
            <w:r>
              <w:rPr>
                <w:rStyle w:val="IndexLink"/>
              </w:rPr>
              <w:t>225</w:t>
            </w:r>
          </w:hyperlink>
        </w:p>
        <w:p>
          <w:pPr>
            <w:pStyle w:val="Contents5"/>
            <w:tabs>
              <w:tab w:val="clear" w:pos="7892"/>
              <w:tab w:val="right" w:pos="9026" w:leader="dot"/>
            </w:tabs>
            <w:rPr/>
          </w:pPr>
          <w:hyperlink w:anchor="__RefHeading___Toc3971887_1067777946">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3971889_1067777946">
            <w:r>
              <w:rPr>
                <w:webHidden/>
                <w:rStyle w:val="IndexLink"/>
                <w:rtl w:val="true"/>
              </w:rPr>
              <w:t>حكم ما لو كانت الفريضة بقدر السّهام</w:t>
            </w:r>
            <w:r>
              <w:rPr>
                <w:rStyle w:val="IndexLink"/>
                <w:rtl w:val="true"/>
              </w:rPr>
              <w:tab/>
            </w:r>
            <w:r>
              <w:rPr>
                <w:rStyle w:val="IndexLink"/>
              </w:rPr>
              <w:t>226</w:t>
            </w:r>
          </w:hyperlink>
        </w:p>
        <w:p>
          <w:pPr>
            <w:pStyle w:val="Contents5"/>
            <w:tabs>
              <w:tab w:val="clear" w:pos="7892"/>
              <w:tab w:val="right" w:pos="9026" w:leader="dot"/>
            </w:tabs>
            <w:rPr/>
          </w:pPr>
          <w:hyperlink w:anchor="__RefHeading___Toc3971891_1067777946">
            <w:r>
              <w:rPr>
                <w:webHidden/>
                <w:rStyle w:val="IndexLink"/>
                <w:rtl w:val="true"/>
              </w:rPr>
              <w:t>حكم ما لو قصرت الفريضة عن السهام</w:t>
            </w:r>
            <w:r>
              <w:rPr>
                <w:rStyle w:val="IndexLink"/>
                <w:rtl w:val="true"/>
              </w:rPr>
              <w:tab/>
            </w:r>
            <w:r>
              <w:rPr>
                <w:rStyle w:val="IndexLink"/>
              </w:rPr>
              <w:t>230</w:t>
            </w:r>
          </w:hyperlink>
        </w:p>
        <w:p>
          <w:pPr>
            <w:pStyle w:val="Contents5"/>
            <w:tabs>
              <w:tab w:val="clear" w:pos="7892"/>
              <w:tab w:val="right" w:pos="9026" w:leader="dot"/>
            </w:tabs>
            <w:rPr/>
          </w:pPr>
          <w:hyperlink w:anchor="__RefHeading___Toc3971893_1067777946">
            <w:r>
              <w:rPr>
                <w:webHidden/>
                <w:rStyle w:val="IndexLink"/>
                <w:rtl w:val="true"/>
              </w:rPr>
              <w:t>حكم ما لو زادت الفريضة عن السّهام</w:t>
            </w:r>
            <w:r>
              <w:rPr>
                <w:rStyle w:val="IndexLink"/>
                <w:rtl w:val="true"/>
              </w:rPr>
              <w:tab/>
            </w:r>
            <w:r>
              <w:rPr>
                <w:rStyle w:val="IndexLink"/>
              </w:rPr>
              <w:t>231</w:t>
            </w:r>
          </w:hyperlink>
        </w:p>
        <w:p>
          <w:pPr>
            <w:pStyle w:val="Contents4"/>
            <w:tabs>
              <w:tab w:val="clear" w:pos="8176"/>
              <w:tab w:val="right" w:pos="9026" w:leader="dot"/>
            </w:tabs>
            <w:rPr/>
          </w:pPr>
          <w:hyperlink w:anchor="__RefHeading___Toc3971895_1067777946">
            <w:r>
              <w:rPr>
                <w:webHidden/>
                <w:rStyle w:val="IndexLink"/>
                <w:rtl w:val="true"/>
              </w:rPr>
              <w:t>تتمة في المناسخات</w:t>
            </w:r>
            <w:r>
              <w:rPr>
                <w:rStyle w:val="IndexLink"/>
                <w:rtl w:val="true"/>
              </w:rPr>
              <w:tab/>
            </w:r>
            <w:r>
              <w:rPr>
                <w:rStyle w:val="IndexLink"/>
              </w:rPr>
              <w:t>231</w:t>
            </w:r>
          </w:hyperlink>
        </w:p>
        <w:p>
          <w:pPr>
            <w:pStyle w:val="Contents2"/>
            <w:tabs>
              <w:tab w:val="clear" w:pos="8743"/>
              <w:tab w:val="right" w:pos="9026" w:leader="dot"/>
            </w:tabs>
            <w:rPr/>
          </w:pPr>
          <w:hyperlink w:anchor="__RefHeading___Toc3971897_1067777946">
            <w:r>
              <w:rPr>
                <w:webHidden/>
                <w:rStyle w:val="IndexLink"/>
                <w:rtl w:val="true"/>
              </w:rPr>
              <w:t>كتاب شهادات</w:t>
            </w:r>
            <w:r>
              <w:rPr>
                <w:rStyle w:val="IndexLink"/>
                <w:rtl w:val="true"/>
              </w:rPr>
              <w:tab/>
            </w:r>
            <w:r>
              <w:rPr>
                <w:rStyle w:val="IndexLink"/>
              </w:rPr>
              <w:t>234</w:t>
            </w:r>
          </w:hyperlink>
        </w:p>
        <w:p>
          <w:pPr>
            <w:pStyle w:val="Contents3"/>
            <w:tabs>
              <w:tab w:val="clear" w:pos="8459"/>
              <w:tab w:val="right" w:pos="9026" w:leader="dot"/>
            </w:tabs>
            <w:rPr/>
          </w:pPr>
          <w:hyperlink w:anchor="__RefHeading___Toc3971899_1067777946">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3971901_1067777946">
            <w:r>
              <w:rPr>
                <w:webHidden/>
                <w:rStyle w:val="IndexLink"/>
                <w:rtl w:val="true"/>
              </w:rPr>
              <w:t>فصل اوّل معنى شهادت و صفات شاهد</w:t>
            </w:r>
            <w:r>
              <w:rPr>
                <w:rStyle w:val="IndexLink"/>
                <w:rtl w:val="true"/>
              </w:rPr>
              <w:tab/>
            </w:r>
            <w:r>
              <w:rPr>
                <w:rStyle w:val="IndexLink"/>
              </w:rPr>
              <w:t>236</w:t>
            </w:r>
          </w:hyperlink>
        </w:p>
        <w:p>
          <w:pPr>
            <w:pStyle w:val="Contents4"/>
            <w:tabs>
              <w:tab w:val="clear" w:pos="8176"/>
              <w:tab w:val="right" w:pos="9026" w:leader="dot"/>
            </w:tabs>
            <w:rPr/>
          </w:pPr>
          <w:hyperlink w:anchor="__RefHeading___Toc3971903_106777794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971905_1067777946">
            <w:r>
              <w:rPr>
                <w:webHidden/>
                <w:rStyle w:val="IndexLink"/>
                <w:rtl w:val="true"/>
              </w:rPr>
              <w:t>معنى شهادت</w:t>
            </w:r>
            <w:r>
              <w:rPr>
                <w:rStyle w:val="IndexLink"/>
                <w:rtl w:val="true"/>
              </w:rPr>
              <w:tab/>
            </w:r>
            <w:r>
              <w:rPr>
                <w:rStyle w:val="IndexLink"/>
              </w:rPr>
              <w:t>236</w:t>
            </w:r>
          </w:hyperlink>
        </w:p>
        <w:p>
          <w:pPr>
            <w:pStyle w:val="Contents4"/>
            <w:tabs>
              <w:tab w:val="clear" w:pos="8176"/>
              <w:tab w:val="right" w:pos="9026" w:leader="dot"/>
            </w:tabs>
            <w:rPr/>
          </w:pPr>
          <w:hyperlink w:anchor="__RefHeading___Toc3971907_1067777946">
            <w:r>
              <w:rPr>
                <w:webHidden/>
                <w:rStyle w:val="IndexLink"/>
                <w:rtl w:val="true"/>
              </w:rPr>
              <w:t>صفات شاهد</w:t>
            </w:r>
            <w:r>
              <w:rPr>
                <w:rStyle w:val="IndexLink"/>
                <w:rtl w:val="true"/>
              </w:rPr>
              <w:tab/>
            </w:r>
            <w:r>
              <w:rPr>
                <w:rStyle w:val="IndexLink"/>
              </w:rPr>
              <w:t>236</w:t>
            </w:r>
          </w:hyperlink>
        </w:p>
        <w:p>
          <w:pPr>
            <w:pStyle w:val="Contents5"/>
            <w:tabs>
              <w:tab w:val="clear" w:pos="7892"/>
              <w:tab w:val="right" w:pos="9026" w:leader="dot"/>
            </w:tabs>
            <w:rPr/>
          </w:pPr>
          <w:hyperlink w:anchor="__RefHeading___Toc3971909_1067777946">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3971911_1067777946">
            <w:r>
              <w:rPr>
                <w:webHidden/>
                <w:rStyle w:val="IndexLink"/>
                <w:rtl w:val="true"/>
              </w:rPr>
              <w:t>شرط اوّل</w:t>
            </w:r>
            <w:r>
              <w:rPr>
                <w:rStyle w:val="IndexLink"/>
                <w:rtl w:val="true"/>
              </w:rPr>
              <w:t xml:space="preserve">: </w:t>
            </w:r>
            <w:r>
              <w:rPr>
                <w:rStyle w:val="IndexLink"/>
                <w:rtl w:val="true"/>
              </w:rPr>
              <w:t>بلوغ</w:t>
            </w:r>
            <w:r>
              <w:rPr>
                <w:rStyle w:val="IndexLink"/>
                <w:rtl w:val="true"/>
              </w:rPr>
              <w:tab/>
            </w:r>
            <w:r>
              <w:rPr>
                <w:rStyle w:val="IndexLink"/>
              </w:rPr>
              <w:t>236</w:t>
            </w:r>
          </w:hyperlink>
        </w:p>
        <w:p>
          <w:pPr>
            <w:pStyle w:val="Contents5"/>
            <w:tabs>
              <w:tab w:val="clear" w:pos="7892"/>
              <w:tab w:val="right" w:pos="9026" w:leader="dot"/>
            </w:tabs>
            <w:rPr/>
          </w:pPr>
          <w:hyperlink w:anchor="__RefHeading___Toc3971913_1067777946">
            <w:r>
              <w:rPr>
                <w:webHidden/>
                <w:rStyle w:val="IndexLink"/>
                <w:rtl w:val="true"/>
              </w:rPr>
              <w:t>شرط دوّم</w:t>
            </w:r>
            <w:r>
              <w:rPr>
                <w:rStyle w:val="IndexLink"/>
                <w:rtl w:val="true"/>
              </w:rPr>
              <w:t xml:space="preserve">: </w:t>
            </w:r>
            <w:r>
              <w:rPr>
                <w:rStyle w:val="IndexLink"/>
                <w:rtl w:val="true"/>
              </w:rPr>
              <w:t>كمال عقل</w:t>
            </w:r>
            <w:r>
              <w:rPr>
                <w:rStyle w:val="IndexLink"/>
                <w:rtl w:val="true"/>
              </w:rPr>
              <w:tab/>
            </w:r>
            <w:r>
              <w:rPr>
                <w:rStyle w:val="IndexLink"/>
              </w:rPr>
              <w:t>237</w:t>
            </w:r>
          </w:hyperlink>
        </w:p>
        <w:p>
          <w:pPr>
            <w:pStyle w:val="Contents5"/>
            <w:tabs>
              <w:tab w:val="clear" w:pos="7892"/>
              <w:tab w:val="right" w:pos="9026" w:leader="dot"/>
            </w:tabs>
            <w:rPr/>
          </w:pPr>
          <w:hyperlink w:anchor="__RefHeading___Toc3971915_1067777946">
            <w:r>
              <w:rPr>
                <w:webHidden/>
                <w:rStyle w:val="IndexLink"/>
                <w:rtl w:val="true"/>
              </w:rPr>
              <w:t>شرط سوّم</w:t>
            </w:r>
            <w:r>
              <w:rPr>
                <w:rStyle w:val="IndexLink"/>
                <w:rtl w:val="true"/>
              </w:rPr>
              <w:t xml:space="preserve">: </w:t>
            </w:r>
            <w:r>
              <w:rPr>
                <w:rStyle w:val="IndexLink"/>
                <w:rtl w:val="true"/>
              </w:rPr>
              <w:t>اسلام</w:t>
            </w:r>
            <w:r>
              <w:rPr>
                <w:rStyle w:val="IndexLink"/>
                <w:rtl w:val="true"/>
              </w:rPr>
              <w:tab/>
            </w:r>
            <w:r>
              <w:rPr>
                <w:rStyle w:val="IndexLink"/>
              </w:rPr>
              <w:t>237</w:t>
            </w:r>
          </w:hyperlink>
        </w:p>
        <w:p>
          <w:pPr>
            <w:pStyle w:val="Contents6"/>
            <w:tabs>
              <w:tab w:val="clear" w:pos="7609"/>
              <w:tab w:val="right" w:pos="9026" w:leader="dot"/>
            </w:tabs>
            <w:rPr/>
          </w:pPr>
          <w:hyperlink w:anchor="__RefHeading___Toc3971917_1067777946">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3971919_1067777946">
            <w:r>
              <w:rPr>
                <w:webHidden/>
                <w:rStyle w:val="IndexLink"/>
                <w:rtl w:val="true"/>
              </w:rPr>
              <w:t>حكم شهادت نصّاب و معاندين</w:t>
            </w:r>
            <w:r>
              <w:rPr>
                <w:rStyle w:val="IndexLink"/>
                <w:rtl w:val="true"/>
              </w:rPr>
              <w:tab/>
            </w:r>
            <w:r>
              <w:rPr>
                <w:rStyle w:val="IndexLink"/>
              </w:rPr>
              <w:t>238</w:t>
            </w:r>
          </w:hyperlink>
        </w:p>
        <w:p>
          <w:pPr>
            <w:pStyle w:val="Contents6"/>
            <w:tabs>
              <w:tab w:val="clear" w:pos="7609"/>
              <w:tab w:val="right" w:pos="9026" w:leader="dot"/>
            </w:tabs>
            <w:rPr/>
          </w:pPr>
          <w:hyperlink w:anchor="__RefHeading___Toc3971921_1067777946">
            <w:r>
              <w:rPr>
                <w:webHidden/>
                <w:rStyle w:val="IndexLink"/>
                <w:rtl w:val="true"/>
              </w:rPr>
              <w:t>حكم شهادت مستضعف، شاكّ در دين و</w:t>
            </w:r>
            <w:r>
              <w:rPr>
                <w:rStyle w:val="IndexLink"/>
                <w:rtl w:val="true"/>
              </w:rPr>
              <w:t>...</w:t>
              <w:tab/>
            </w:r>
            <w:r>
              <w:rPr>
                <w:rStyle w:val="IndexLink"/>
              </w:rPr>
              <w:t>238</w:t>
            </w:r>
          </w:hyperlink>
        </w:p>
        <w:p>
          <w:pPr>
            <w:pStyle w:val="Contents6"/>
            <w:tabs>
              <w:tab w:val="clear" w:pos="7609"/>
              <w:tab w:val="right" w:pos="9026" w:leader="dot"/>
            </w:tabs>
            <w:rPr/>
          </w:pPr>
          <w:hyperlink w:anchor="__RefHeading___Toc3971923_1067777946">
            <w:r>
              <w:rPr>
                <w:webHidden/>
                <w:rStyle w:val="IndexLink"/>
                <w:rtl w:val="true"/>
              </w:rPr>
              <w:t>قبول شهادت ذمّى</w:t>
            </w:r>
            <w:r>
              <w:rPr>
                <w:rStyle w:val="IndexLink"/>
                <w:rtl w:val="true"/>
              </w:rPr>
              <w:tab/>
            </w:r>
            <w:r>
              <w:rPr>
                <w:rStyle w:val="IndexLink"/>
              </w:rPr>
              <w:t>239</w:t>
            </w:r>
          </w:hyperlink>
        </w:p>
        <w:p>
          <w:pPr>
            <w:pStyle w:val="Contents6"/>
            <w:tabs>
              <w:tab w:val="clear" w:pos="7609"/>
              <w:tab w:val="right" w:pos="9026" w:leader="dot"/>
            </w:tabs>
            <w:rPr/>
          </w:pPr>
          <w:hyperlink w:anchor="__RefHeading___Toc3971925_1067777946">
            <w:r>
              <w:rPr>
                <w:webHidden/>
                <w:rStyle w:val="IndexLink"/>
                <w:rtl w:val="true"/>
              </w:rPr>
              <w:t>نحوۀ اثبات ايمان شاهد</w:t>
            </w:r>
            <w:r>
              <w:rPr>
                <w:rStyle w:val="IndexLink"/>
                <w:rtl w:val="true"/>
              </w:rPr>
              <w:tab/>
            </w:r>
            <w:r>
              <w:rPr>
                <w:rStyle w:val="IndexLink"/>
              </w:rPr>
              <w:t>240</w:t>
            </w:r>
          </w:hyperlink>
        </w:p>
        <w:p>
          <w:pPr>
            <w:pStyle w:val="Contents6"/>
            <w:tabs>
              <w:tab w:val="clear" w:pos="7609"/>
              <w:tab w:val="right" w:pos="9026" w:leader="dot"/>
            </w:tabs>
            <w:rPr/>
          </w:pPr>
          <w:hyperlink w:anchor="__RefHeading___Toc3971927_1067777946">
            <w:r>
              <w:rPr>
                <w:webHidden/>
                <w:rStyle w:val="IndexLink"/>
                <w:rtl w:val="true"/>
              </w:rPr>
              <w:t>اطلاق قبول شهادت مؤمن</w:t>
            </w:r>
            <w:r>
              <w:rPr>
                <w:rStyle w:val="IndexLink"/>
                <w:rtl w:val="true"/>
              </w:rPr>
              <w:tab/>
            </w:r>
            <w:r>
              <w:rPr>
                <w:rStyle w:val="IndexLink"/>
              </w:rPr>
              <w:t>240</w:t>
            </w:r>
          </w:hyperlink>
        </w:p>
        <w:p>
          <w:pPr>
            <w:pStyle w:val="Contents6"/>
            <w:tabs>
              <w:tab w:val="clear" w:pos="7609"/>
              <w:tab w:val="right" w:pos="9026" w:leader="dot"/>
            </w:tabs>
            <w:rPr/>
          </w:pPr>
          <w:hyperlink w:anchor="__RefHeading___Toc3971929_1067777946">
            <w:r>
              <w:rPr>
                <w:webHidden/>
                <w:rStyle w:val="IndexLink"/>
                <w:rtl w:val="true"/>
              </w:rPr>
              <w:t>قبول شهادت ذمّى بر ذمّى</w:t>
            </w:r>
            <w:r>
              <w:rPr>
                <w:rStyle w:val="IndexLink"/>
                <w:rtl w:val="true"/>
              </w:rPr>
              <w:tab/>
            </w:r>
            <w:r>
              <w:rPr>
                <w:rStyle w:val="IndexLink"/>
              </w:rPr>
              <w:t>240</w:t>
            </w:r>
          </w:hyperlink>
        </w:p>
        <w:p>
          <w:pPr>
            <w:pStyle w:val="Contents5"/>
            <w:tabs>
              <w:tab w:val="clear" w:pos="7892"/>
              <w:tab w:val="right" w:pos="9026" w:leader="dot"/>
            </w:tabs>
            <w:rPr/>
          </w:pPr>
          <w:hyperlink w:anchor="__RefHeading___Toc3971931_1067777946">
            <w:r>
              <w:rPr>
                <w:webHidden/>
                <w:rStyle w:val="IndexLink"/>
                <w:rtl w:val="true"/>
              </w:rPr>
              <w:t>شرط چهارم</w:t>
            </w:r>
            <w:r>
              <w:rPr>
                <w:rStyle w:val="IndexLink"/>
                <w:rtl w:val="true"/>
              </w:rPr>
              <w:t xml:space="preserve">: </w:t>
            </w:r>
            <w:r>
              <w:rPr>
                <w:rStyle w:val="IndexLink"/>
                <w:rtl w:val="true"/>
              </w:rPr>
              <w:t>عدالت</w:t>
            </w:r>
            <w:r>
              <w:rPr>
                <w:rStyle w:val="IndexLink"/>
                <w:rtl w:val="true"/>
              </w:rPr>
              <w:tab/>
            </w:r>
            <w:r>
              <w:rPr>
                <w:rStyle w:val="IndexLink"/>
              </w:rPr>
              <w:t>240</w:t>
            </w:r>
          </w:hyperlink>
        </w:p>
        <w:p>
          <w:pPr>
            <w:pStyle w:val="Contents6"/>
            <w:tabs>
              <w:tab w:val="clear" w:pos="7609"/>
              <w:tab w:val="right" w:pos="9026" w:leader="dot"/>
            </w:tabs>
            <w:rPr/>
          </w:pPr>
          <w:hyperlink w:anchor="__RefHeading___Toc3971933_1067777946">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3971935_1067777946">
            <w:r>
              <w:rPr>
                <w:webHidden/>
                <w:rStyle w:val="IndexLink"/>
                <w:rtl w:val="true"/>
              </w:rPr>
              <w:t>معناى عدالت و نحوۀ زايل شدن و عود آن</w:t>
            </w:r>
            <w:r>
              <w:rPr>
                <w:rStyle w:val="IndexLink"/>
                <w:rtl w:val="true"/>
              </w:rPr>
              <w:tab/>
            </w:r>
            <w:r>
              <w:rPr>
                <w:rStyle w:val="IndexLink"/>
              </w:rPr>
              <w:t>241</w:t>
            </w:r>
          </w:hyperlink>
        </w:p>
        <w:p>
          <w:pPr>
            <w:pStyle w:val="Contents6"/>
            <w:tabs>
              <w:tab w:val="clear" w:pos="7609"/>
              <w:tab w:val="right" w:pos="9026" w:leader="dot"/>
            </w:tabs>
            <w:rPr/>
          </w:pPr>
          <w:hyperlink w:anchor="__RefHeading___Toc3971937_1067777946">
            <w:r>
              <w:rPr>
                <w:webHidden/>
                <w:rStyle w:val="IndexLink"/>
                <w:rtl w:val="true"/>
              </w:rPr>
              <w:t>مسائل مربوطه به مقام اشتراط عدالت</w:t>
            </w:r>
            <w:r>
              <w:rPr>
                <w:rStyle w:val="IndexLink"/>
                <w:rtl w:val="true"/>
              </w:rPr>
              <w:tab/>
            </w:r>
            <w:r>
              <w:rPr>
                <w:rStyle w:val="IndexLink"/>
              </w:rPr>
              <w:t>241</w:t>
            </w:r>
          </w:hyperlink>
        </w:p>
        <w:p>
          <w:pPr>
            <w:pStyle w:val="Contents6"/>
            <w:tabs>
              <w:tab w:val="clear" w:pos="7609"/>
              <w:tab w:val="right" w:pos="9026" w:leader="dot"/>
            </w:tabs>
            <w:rPr/>
          </w:pPr>
          <w:hyperlink w:anchor="__RefHeading___Toc3971939_1067777946">
            <w:r>
              <w:rPr>
                <w:webHidden/>
                <w:rStyle w:val="IndexLink"/>
                <w:rtl w:val="true"/>
              </w:rPr>
              <w:t>حكم شهادت كافر و مخالف</w:t>
            </w:r>
            <w:r>
              <w:rPr>
                <w:rStyle w:val="IndexLink"/>
                <w:rtl w:val="true"/>
              </w:rPr>
              <w:tab/>
            </w:r>
            <w:r>
              <w:rPr>
                <w:rStyle w:val="IndexLink"/>
              </w:rPr>
              <w:t>241</w:t>
            </w:r>
          </w:hyperlink>
        </w:p>
        <w:p>
          <w:pPr>
            <w:pStyle w:val="Contents6"/>
            <w:tabs>
              <w:tab w:val="clear" w:pos="7609"/>
              <w:tab w:val="right" w:pos="9026" w:leader="dot"/>
            </w:tabs>
            <w:rPr/>
          </w:pPr>
          <w:hyperlink w:anchor="__RefHeading___Toc3971941_1067777946">
            <w:r>
              <w:rPr>
                <w:webHidden/>
                <w:rStyle w:val="IndexLink"/>
                <w:rtl w:val="true"/>
              </w:rPr>
              <w:t>قذف محصنات و توبۀ از آن</w:t>
            </w:r>
            <w:r>
              <w:rPr>
                <w:rStyle w:val="IndexLink"/>
                <w:rtl w:val="true"/>
              </w:rPr>
              <w:tab/>
            </w:r>
            <w:r>
              <w:rPr>
                <w:rStyle w:val="IndexLink"/>
              </w:rPr>
              <w:t>241</w:t>
            </w:r>
          </w:hyperlink>
        </w:p>
        <w:p>
          <w:pPr>
            <w:pStyle w:val="Contents6"/>
            <w:tabs>
              <w:tab w:val="clear" w:pos="7609"/>
              <w:tab w:val="right" w:pos="9026" w:leader="dot"/>
            </w:tabs>
            <w:rPr/>
          </w:pPr>
          <w:hyperlink w:anchor="__RefHeading___Toc3971943_1067777946">
            <w:r>
              <w:rPr>
                <w:webHidden/>
                <w:rStyle w:val="IndexLink"/>
                <w:rtl w:val="true"/>
              </w:rPr>
              <w:t>حرمت شديد بازى با شطرنج و آلات قمار</w:t>
            </w:r>
            <w:r>
              <w:rPr>
                <w:rStyle w:val="IndexLink"/>
                <w:rtl w:val="true"/>
              </w:rPr>
              <w:tab/>
            </w:r>
            <w:r>
              <w:rPr>
                <w:rStyle w:val="IndexLink"/>
              </w:rPr>
              <w:t>242</w:t>
            </w:r>
          </w:hyperlink>
        </w:p>
        <w:p>
          <w:pPr>
            <w:pStyle w:val="Contents6"/>
            <w:tabs>
              <w:tab w:val="clear" w:pos="7609"/>
              <w:tab w:val="right" w:pos="9026" w:leader="dot"/>
            </w:tabs>
            <w:rPr/>
          </w:pPr>
          <w:hyperlink w:anchor="__RefHeading___Toc3971945_1067777946">
            <w:r>
              <w:rPr>
                <w:webHidden/>
                <w:rStyle w:val="IndexLink"/>
                <w:rtl w:val="true"/>
              </w:rPr>
              <w:t>شرب مسكر</w:t>
            </w:r>
            <w:r>
              <w:rPr>
                <w:rStyle w:val="IndexLink"/>
                <w:rtl w:val="true"/>
              </w:rPr>
              <w:tab/>
            </w:r>
            <w:r>
              <w:rPr>
                <w:rStyle w:val="IndexLink"/>
              </w:rPr>
              <w:t>242</w:t>
            </w:r>
          </w:hyperlink>
        </w:p>
        <w:p>
          <w:pPr>
            <w:pStyle w:val="Contents6"/>
            <w:tabs>
              <w:tab w:val="clear" w:pos="7609"/>
              <w:tab w:val="right" w:pos="9026" w:leader="dot"/>
            </w:tabs>
            <w:rPr/>
          </w:pPr>
          <w:hyperlink w:anchor="__RefHeading___Toc3971947_1067777946">
            <w:r>
              <w:rPr>
                <w:webHidden/>
                <w:rStyle w:val="IndexLink"/>
                <w:rtl w:val="true"/>
              </w:rPr>
              <w:t>غنا</w:t>
            </w:r>
            <w:r>
              <w:rPr>
                <w:rStyle w:val="IndexLink"/>
                <w:rtl w:val="true"/>
              </w:rPr>
              <w:tab/>
            </w:r>
            <w:r>
              <w:rPr>
                <w:rStyle w:val="IndexLink"/>
              </w:rPr>
              <w:t>243</w:t>
            </w:r>
          </w:hyperlink>
        </w:p>
        <w:p>
          <w:pPr>
            <w:pStyle w:val="Contents6"/>
            <w:tabs>
              <w:tab w:val="clear" w:pos="7609"/>
              <w:tab w:val="right" w:pos="9026" w:leader="dot"/>
            </w:tabs>
            <w:rPr/>
          </w:pPr>
          <w:hyperlink w:anchor="__RefHeading___Toc3971949_1067777946">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3971951_1067777946">
            <w:r>
              <w:rPr>
                <w:webHidden/>
                <w:rStyle w:val="IndexLink"/>
                <w:rtl w:val="true"/>
              </w:rPr>
              <w:t>حِداء</w:t>
            </w:r>
            <w:r>
              <w:rPr>
                <w:rStyle w:val="IndexLink"/>
                <w:rtl w:val="true"/>
              </w:rPr>
              <w:tab/>
            </w:r>
            <w:r>
              <w:rPr>
                <w:rStyle w:val="IndexLink"/>
              </w:rPr>
              <w:t>243</w:t>
            </w:r>
          </w:hyperlink>
        </w:p>
        <w:p>
          <w:pPr>
            <w:pStyle w:val="Contents6"/>
            <w:tabs>
              <w:tab w:val="clear" w:pos="7609"/>
              <w:tab w:val="right" w:pos="9026" w:leader="dot"/>
            </w:tabs>
            <w:rPr/>
          </w:pPr>
          <w:hyperlink w:anchor="__RefHeading___Toc3971953_1067777946">
            <w:r>
              <w:rPr>
                <w:webHidden/>
                <w:rStyle w:val="IndexLink"/>
                <w:rtl w:val="true"/>
              </w:rPr>
              <w:t>شِعر و موارد آن</w:t>
            </w:r>
            <w:r>
              <w:rPr>
                <w:rStyle w:val="IndexLink"/>
                <w:rtl w:val="true"/>
              </w:rPr>
              <w:tab/>
            </w:r>
            <w:r>
              <w:rPr>
                <w:rStyle w:val="IndexLink"/>
              </w:rPr>
              <w:t>244</w:t>
            </w:r>
          </w:hyperlink>
        </w:p>
        <w:p>
          <w:pPr>
            <w:pStyle w:val="Contents6"/>
            <w:tabs>
              <w:tab w:val="clear" w:pos="7609"/>
              <w:tab w:val="right" w:pos="9026" w:leader="dot"/>
            </w:tabs>
            <w:rPr/>
          </w:pPr>
          <w:hyperlink w:anchor="__RefHeading___Toc3971955_1067777946">
            <w:r>
              <w:rPr>
                <w:webHidden/>
                <w:rStyle w:val="IndexLink"/>
                <w:rtl w:val="true"/>
              </w:rPr>
              <w:t>لهو با آلات لهوى</w:t>
            </w:r>
            <w:r>
              <w:rPr>
                <w:rStyle w:val="IndexLink"/>
                <w:rtl w:val="true"/>
              </w:rPr>
              <w:tab/>
            </w:r>
            <w:r>
              <w:rPr>
                <w:rStyle w:val="IndexLink"/>
              </w:rPr>
              <w:t>244</w:t>
            </w:r>
          </w:hyperlink>
        </w:p>
        <w:p>
          <w:pPr>
            <w:pStyle w:val="Contents6"/>
            <w:tabs>
              <w:tab w:val="clear" w:pos="7609"/>
              <w:tab w:val="right" w:pos="9026" w:leader="dot"/>
            </w:tabs>
            <w:rPr/>
          </w:pPr>
          <w:hyperlink w:anchor="__RefHeading___Toc3971957_1067777946">
            <w:r>
              <w:rPr>
                <w:webHidden/>
                <w:rStyle w:val="IndexLink"/>
                <w:rtl w:val="true"/>
              </w:rPr>
              <w:t>حسد و بغض مؤمن</w:t>
            </w:r>
            <w:r>
              <w:rPr>
                <w:rStyle w:val="IndexLink"/>
                <w:rtl w:val="true"/>
              </w:rPr>
              <w:tab/>
            </w:r>
            <w:r>
              <w:rPr>
                <w:rStyle w:val="IndexLink"/>
              </w:rPr>
              <w:t>245</w:t>
            </w:r>
          </w:hyperlink>
        </w:p>
        <w:p>
          <w:pPr>
            <w:pStyle w:val="Contents6"/>
            <w:tabs>
              <w:tab w:val="clear" w:pos="7609"/>
              <w:tab w:val="right" w:pos="9026" w:leader="dot"/>
            </w:tabs>
            <w:rPr/>
          </w:pPr>
          <w:hyperlink w:anchor="__RefHeading___Toc3971959_1067777946">
            <w:r>
              <w:rPr>
                <w:webHidden/>
                <w:rStyle w:val="IndexLink"/>
                <w:rtl w:val="true"/>
              </w:rPr>
              <w:t>پوشيدن حرير محض</w:t>
            </w:r>
            <w:r>
              <w:rPr>
                <w:rStyle w:val="IndexLink"/>
                <w:rtl w:val="true"/>
              </w:rPr>
              <w:tab/>
            </w:r>
            <w:r>
              <w:rPr>
                <w:rStyle w:val="IndexLink"/>
              </w:rPr>
              <w:t>245</w:t>
            </w:r>
          </w:hyperlink>
        </w:p>
        <w:p>
          <w:pPr>
            <w:pStyle w:val="Contents6"/>
            <w:tabs>
              <w:tab w:val="clear" w:pos="7609"/>
              <w:tab w:val="right" w:pos="9026" w:leader="dot"/>
            </w:tabs>
            <w:rPr/>
          </w:pPr>
          <w:hyperlink w:anchor="__RefHeading___Toc3971961_1067777946">
            <w:r>
              <w:rPr>
                <w:webHidden/>
                <w:rStyle w:val="IndexLink"/>
                <w:rtl w:val="true"/>
              </w:rPr>
              <w:t>نگهدارى پرندگان</w:t>
            </w:r>
            <w:r>
              <w:rPr>
                <w:rStyle w:val="IndexLink"/>
                <w:rtl w:val="true"/>
              </w:rPr>
              <w:tab/>
            </w:r>
            <w:r>
              <w:rPr>
                <w:rStyle w:val="IndexLink"/>
              </w:rPr>
              <w:t>245</w:t>
            </w:r>
          </w:hyperlink>
        </w:p>
        <w:p>
          <w:pPr>
            <w:pStyle w:val="Contents6"/>
            <w:tabs>
              <w:tab w:val="clear" w:pos="7609"/>
              <w:tab w:val="right" w:pos="9026" w:leader="dot"/>
            </w:tabs>
            <w:rPr/>
          </w:pPr>
          <w:hyperlink w:anchor="__RefHeading___Toc3971963_1067777946">
            <w:r>
              <w:rPr>
                <w:webHidden/>
                <w:rStyle w:val="IndexLink"/>
                <w:rtl w:val="true"/>
              </w:rPr>
              <w:t>ميزان در ردّ و قبول شهادت</w:t>
            </w:r>
            <w:r>
              <w:rPr>
                <w:rStyle w:val="IndexLink"/>
                <w:rtl w:val="true"/>
              </w:rPr>
              <w:tab/>
            </w:r>
            <w:r>
              <w:rPr>
                <w:rStyle w:val="IndexLink"/>
              </w:rPr>
              <w:t>246</w:t>
            </w:r>
          </w:hyperlink>
        </w:p>
        <w:p>
          <w:pPr>
            <w:pStyle w:val="Contents5"/>
            <w:tabs>
              <w:tab w:val="clear" w:pos="7892"/>
              <w:tab w:val="right" w:pos="9026" w:leader="dot"/>
            </w:tabs>
            <w:rPr/>
          </w:pPr>
          <w:hyperlink w:anchor="__RefHeading___Toc3971965_1067777946">
            <w:r>
              <w:rPr>
                <w:webHidden/>
                <w:rStyle w:val="IndexLink"/>
                <w:rtl w:val="true"/>
              </w:rPr>
              <w:t>شرط پنجم</w:t>
            </w:r>
            <w:r>
              <w:rPr>
                <w:rStyle w:val="IndexLink"/>
                <w:rtl w:val="true"/>
              </w:rPr>
              <w:t xml:space="preserve">: </w:t>
            </w:r>
            <w:r>
              <w:rPr>
                <w:rStyle w:val="IndexLink"/>
                <w:rtl w:val="true"/>
              </w:rPr>
              <w:t>ارتفاع تهمت</w:t>
            </w:r>
            <w:r>
              <w:rPr>
                <w:rStyle w:val="IndexLink"/>
                <w:rtl w:val="true"/>
              </w:rPr>
              <w:tab/>
            </w:r>
            <w:r>
              <w:rPr>
                <w:rStyle w:val="IndexLink"/>
              </w:rPr>
              <w:t>246</w:t>
            </w:r>
          </w:hyperlink>
        </w:p>
        <w:p>
          <w:pPr>
            <w:pStyle w:val="Contents6"/>
            <w:tabs>
              <w:tab w:val="clear" w:pos="7609"/>
              <w:tab w:val="right" w:pos="9026" w:leader="dot"/>
            </w:tabs>
            <w:rPr/>
          </w:pPr>
          <w:hyperlink w:anchor="__RefHeading___Toc3971967_1067777946">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3971969_1067777946">
            <w:r>
              <w:rPr>
                <w:webHidden/>
                <w:rStyle w:val="IndexLink"/>
                <w:rtl w:val="true"/>
              </w:rPr>
              <w:t>عدم قبول شهادت صاحب نفع</w:t>
            </w:r>
            <w:r>
              <w:rPr>
                <w:rStyle w:val="IndexLink"/>
                <w:rtl w:val="true"/>
              </w:rPr>
              <w:tab/>
            </w:r>
            <w:r>
              <w:rPr>
                <w:rStyle w:val="IndexLink"/>
              </w:rPr>
              <w:t>246</w:t>
            </w:r>
          </w:hyperlink>
        </w:p>
        <w:p>
          <w:pPr>
            <w:pStyle w:val="Contents6"/>
            <w:tabs>
              <w:tab w:val="clear" w:pos="7609"/>
              <w:tab w:val="right" w:pos="9026" w:leader="dot"/>
            </w:tabs>
            <w:rPr/>
          </w:pPr>
          <w:hyperlink w:anchor="__RefHeading___Toc3971971_1067777946">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3971973_1067777946">
            <w:r>
              <w:rPr>
                <w:webHidden/>
                <w:rStyle w:val="IndexLink"/>
                <w:rtl w:val="true"/>
              </w:rPr>
              <w:t>شهادت صاحب دين بر عليه مديون محجور عليه</w:t>
            </w:r>
            <w:r>
              <w:rPr>
                <w:rStyle w:val="IndexLink"/>
                <w:rtl w:val="true"/>
              </w:rPr>
              <w:tab/>
            </w:r>
            <w:r>
              <w:rPr>
                <w:rStyle w:val="IndexLink"/>
              </w:rPr>
              <w:t>247</w:t>
            </w:r>
          </w:hyperlink>
        </w:p>
        <w:p>
          <w:pPr>
            <w:pStyle w:val="Contents6"/>
            <w:tabs>
              <w:tab w:val="clear" w:pos="7609"/>
              <w:tab w:val="right" w:pos="9026" w:leader="dot"/>
            </w:tabs>
            <w:rPr/>
          </w:pPr>
          <w:hyperlink w:anchor="__RefHeading___Toc3971975_1067777946">
            <w:r>
              <w:rPr>
                <w:webHidden/>
                <w:rStyle w:val="IndexLink"/>
                <w:rtl w:val="true"/>
              </w:rPr>
              <w:t>شهادت مالك براى مملوك</w:t>
            </w:r>
            <w:r>
              <w:rPr>
                <w:rStyle w:val="IndexLink"/>
                <w:rtl w:val="true"/>
              </w:rPr>
              <w:tab/>
            </w:r>
            <w:r>
              <w:rPr>
                <w:rStyle w:val="IndexLink"/>
              </w:rPr>
              <w:t>247</w:t>
            </w:r>
          </w:hyperlink>
        </w:p>
        <w:p>
          <w:pPr>
            <w:pStyle w:val="Contents6"/>
            <w:tabs>
              <w:tab w:val="clear" w:pos="7609"/>
              <w:tab w:val="right" w:pos="9026" w:leader="dot"/>
            </w:tabs>
            <w:rPr/>
          </w:pPr>
          <w:hyperlink w:anchor="__RefHeading___Toc3971977_1067777946">
            <w:r>
              <w:rPr>
                <w:webHidden/>
                <w:rStyle w:val="IndexLink"/>
                <w:rtl w:val="true"/>
              </w:rPr>
              <w:t>شهادت وصى و وكيل</w:t>
            </w:r>
            <w:r>
              <w:rPr>
                <w:rStyle w:val="IndexLink"/>
                <w:rtl w:val="true"/>
              </w:rPr>
              <w:tab/>
            </w:r>
            <w:r>
              <w:rPr>
                <w:rStyle w:val="IndexLink"/>
              </w:rPr>
              <w:t>247</w:t>
            </w:r>
          </w:hyperlink>
        </w:p>
        <w:p>
          <w:pPr>
            <w:pStyle w:val="Contents6"/>
            <w:tabs>
              <w:tab w:val="clear" w:pos="7609"/>
              <w:tab w:val="right" w:pos="9026" w:leader="dot"/>
            </w:tabs>
            <w:rPr/>
          </w:pPr>
          <w:hyperlink w:anchor="__RefHeading___Toc3971979_1067777946">
            <w:r>
              <w:rPr>
                <w:webHidden/>
                <w:rStyle w:val="IndexLink"/>
                <w:rtl w:val="true"/>
              </w:rPr>
              <w:t>اتحاد دفع ضرر با جلب نفع</w:t>
            </w:r>
            <w:r>
              <w:rPr>
                <w:rStyle w:val="IndexLink"/>
                <w:rtl w:val="true"/>
              </w:rPr>
              <w:tab/>
            </w:r>
            <w:r>
              <w:rPr>
                <w:rStyle w:val="IndexLink"/>
              </w:rPr>
              <w:t>248</w:t>
            </w:r>
          </w:hyperlink>
        </w:p>
        <w:p>
          <w:pPr>
            <w:pStyle w:val="Contents6"/>
            <w:tabs>
              <w:tab w:val="clear" w:pos="7609"/>
              <w:tab w:val="right" w:pos="9026" w:leader="dot"/>
            </w:tabs>
            <w:rPr/>
          </w:pPr>
          <w:hyperlink w:anchor="__RefHeading___Toc3971981_1067777946">
            <w:r>
              <w:rPr>
                <w:webHidden/>
                <w:rStyle w:val="IndexLink"/>
                <w:rtl w:val="true"/>
              </w:rPr>
              <w:t>عداوت دينى يا دنيوى</w:t>
            </w:r>
            <w:r>
              <w:rPr>
                <w:rStyle w:val="IndexLink"/>
                <w:rtl w:val="true"/>
              </w:rPr>
              <w:tab/>
            </w:r>
            <w:r>
              <w:rPr>
                <w:rStyle w:val="IndexLink"/>
              </w:rPr>
              <w:t>249</w:t>
            </w:r>
          </w:hyperlink>
        </w:p>
        <w:p>
          <w:pPr>
            <w:pStyle w:val="Contents6"/>
            <w:tabs>
              <w:tab w:val="clear" w:pos="7609"/>
              <w:tab w:val="right" w:pos="9026" w:leader="dot"/>
            </w:tabs>
            <w:rPr/>
          </w:pPr>
          <w:hyperlink w:anchor="__RefHeading___Toc3971983_1067777946">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3971985_1067777946">
            <w:r>
              <w:rPr>
                <w:webHidden/>
                <w:rStyle w:val="IndexLink"/>
                <w:rtl w:val="true"/>
              </w:rPr>
              <w:t>قذف شاهد توسط مشهود عليه</w:t>
            </w:r>
            <w:r>
              <w:rPr>
                <w:rStyle w:val="IndexLink"/>
                <w:rtl w:val="true"/>
              </w:rPr>
              <w:tab/>
            </w:r>
            <w:r>
              <w:rPr>
                <w:rStyle w:val="IndexLink"/>
              </w:rPr>
              <w:t>249</w:t>
            </w:r>
          </w:hyperlink>
        </w:p>
        <w:p>
          <w:pPr>
            <w:pStyle w:val="Contents6"/>
            <w:tabs>
              <w:tab w:val="clear" w:pos="7609"/>
              <w:tab w:val="right" w:pos="9026" w:leader="dot"/>
            </w:tabs>
            <w:rPr/>
          </w:pPr>
          <w:hyperlink w:anchor="__RefHeading___Toc3971987_1067777946">
            <w:r>
              <w:rPr>
                <w:webHidden/>
                <w:rStyle w:val="IndexLink"/>
                <w:rtl w:val="true"/>
              </w:rPr>
              <w:t>شهادت رفقا بر قاطع طريق</w:t>
            </w:r>
            <w:r>
              <w:rPr>
                <w:rStyle w:val="IndexLink"/>
                <w:rtl w:val="true"/>
              </w:rPr>
              <w:tab/>
            </w:r>
            <w:r>
              <w:rPr>
                <w:rStyle w:val="IndexLink"/>
              </w:rPr>
              <w:t>249</w:t>
            </w:r>
          </w:hyperlink>
        </w:p>
        <w:p>
          <w:pPr>
            <w:pStyle w:val="Contents6"/>
            <w:tabs>
              <w:tab w:val="clear" w:pos="7609"/>
              <w:tab w:val="right" w:pos="9026" w:leader="dot"/>
            </w:tabs>
            <w:rPr/>
          </w:pPr>
          <w:hyperlink w:anchor="__RefHeading___Toc3971989_1067777946">
            <w:r>
              <w:rPr>
                <w:webHidden/>
                <w:rStyle w:val="IndexLink"/>
                <w:rtl w:val="true"/>
              </w:rPr>
              <w:t>عدم مانعيت نسب از قبول شهادت</w:t>
            </w:r>
            <w:r>
              <w:rPr>
                <w:rStyle w:val="IndexLink"/>
                <w:rtl w:val="true"/>
              </w:rPr>
              <w:tab/>
            </w:r>
            <w:r>
              <w:rPr>
                <w:rStyle w:val="IndexLink"/>
              </w:rPr>
              <w:t>249</w:t>
            </w:r>
          </w:hyperlink>
        </w:p>
        <w:p>
          <w:pPr>
            <w:pStyle w:val="Contents6"/>
            <w:tabs>
              <w:tab w:val="clear" w:pos="7609"/>
              <w:tab w:val="right" w:pos="9026" w:leader="dot"/>
            </w:tabs>
            <w:rPr/>
          </w:pPr>
          <w:hyperlink w:anchor="__RefHeading___Toc3971991_1067777946">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3971993_1067777946">
            <w:r>
              <w:rPr>
                <w:webHidden/>
                <w:rStyle w:val="IndexLink"/>
                <w:rtl w:val="true"/>
              </w:rPr>
              <w:t>شهادت يكى از دو زوج بر له يا عليه ديگرى</w:t>
            </w:r>
            <w:r>
              <w:rPr>
                <w:rStyle w:val="IndexLink"/>
                <w:rtl w:val="true"/>
              </w:rPr>
              <w:tab/>
            </w:r>
            <w:r>
              <w:rPr>
                <w:rStyle w:val="IndexLink"/>
              </w:rPr>
              <w:t>250</w:t>
            </w:r>
          </w:hyperlink>
        </w:p>
        <w:p>
          <w:pPr>
            <w:pStyle w:val="Contents6"/>
            <w:tabs>
              <w:tab w:val="clear" w:pos="7609"/>
              <w:tab w:val="right" w:pos="9026" w:leader="dot"/>
            </w:tabs>
            <w:rPr/>
          </w:pPr>
          <w:hyperlink w:anchor="__RefHeading___Toc3971995_1067777946">
            <w:r>
              <w:rPr>
                <w:webHidden/>
                <w:rStyle w:val="IndexLink"/>
                <w:rtl w:val="true"/>
              </w:rPr>
              <w:t>شهادت دوست براى دوست</w:t>
            </w:r>
            <w:r>
              <w:rPr>
                <w:rStyle w:val="IndexLink"/>
                <w:rtl w:val="true"/>
              </w:rPr>
              <w:tab/>
            </w:r>
            <w:r>
              <w:rPr>
                <w:rStyle w:val="IndexLink"/>
              </w:rPr>
              <w:t>250</w:t>
            </w:r>
          </w:hyperlink>
        </w:p>
        <w:p>
          <w:pPr>
            <w:pStyle w:val="Contents6"/>
            <w:tabs>
              <w:tab w:val="clear" w:pos="7609"/>
              <w:tab w:val="right" w:pos="9026" w:leader="dot"/>
            </w:tabs>
            <w:rPr/>
          </w:pPr>
          <w:hyperlink w:anchor="__RefHeading___Toc3971997_1067777946">
            <w:r>
              <w:rPr>
                <w:webHidden/>
                <w:rStyle w:val="IndexLink"/>
                <w:rtl w:val="true"/>
              </w:rPr>
              <w:t>شهادت گدا</w:t>
            </w:r>
            <w:r>
              <w:rPr>
                <w:rStyle w:val="IndexLink"/>
                <w:rtl w:val="true"/>
              </w:rPr>
              <w:tab/>
            </w:r>
            <w:r>
              <w:rPr>
                <w:rStyle w:val="IndexLink"/>
              </w:rPr>
              <w:t>250</w:t>
            </w:r>
          </w:hyperlink>
        </w:p>
        <w:p>
          <w:pPr>
            <w:pStyle w:val="Contents6"/>
            <w:tabs>
              <w:tab w:val="clear" w:pos="7609"/>
              <w:tab w:val="right" w:pos="9026" w:leader="dot"/>
            </w:tabs>
            <w:rPr/>
          </w:pPr>
          <w:hyperlink w:anchor="__RefHeading___Toc3971999_1067777946">
            <w:r>
              <w:rPr>
                <w:webHidden/>
                <w:rStyle w:val="IndexLink"/>
                <w:rtl w:val="true"/>
              </w:rPr>
              <w:t>شهادت اجير و مهمان</w:t>
            </w:r>
            <w:r>
              <w:rPr>
                <w:rStyle w:val="IndexLink"/>
                <w:rtl w:val="true"/>
              </w:rPr>
              <w:tab/>
            </w:r>
            <w:r>
              <w:rPr>
                <w:rStyle w:val="IndexLink"/>
              </w:rPr>
              <w:t>251</w:t>
            </w:r>
          </w:hyperlink>
        </w:p>
        <w:p>
          <w:pPr>
            <w:pStyle w:val="Contents6"/>
            <w:tabs>
              <w:tab w:val="clear" w:pos="7609"/>
              <w:tab w:val="right" w:pos="9026" w:leader="dot"/>
            </w:tabs>
            <w:rPr/>
          </w:pPr>
          <w:hyperlink w:anchor="__RefHeading___Toc3972001_1067777946">
            <w:r>
              <w:rPr>
                <w:webHidden/>
                <w:rStyle w:val="IndexLink"/>
                <w:rtl w:val="true"/>
              </w:rPr>
              <w:t>لواحق باب متقدم اشتراط ارتفاع تهمت</w:t>
            </w:r>
            <w:r>
              <w:rPr>
                <w:rStyle w:val="IndexLink"/>
                <w:rtl w:val="true"/>
              </w:rPr>
              <w:tab/>
            </w:r>
            <w:r>
              <w:rPr>
                <w:rStyle w:val="IndexLink"/>
              </w:rPr>
              <w:t>251</w:t>
            </w:r>
          </w:hyperlink>
        </w:p>
        <w:p>
          <w:pPr>
            <w:pStyle w:val="Contents6"/>
            <w:tabs>
              <w:tab w:val="clear" w:pos="7609"/>
              <w:tab w:val="right" w:pos="9026" w:leader="dot"/>
            </w:tabs>
            <w:rPr/>
          </w:pPr>
          <w:hyperlink w:anchor="__RefHeading___Toc3972003_1067777946">
            <w:r>
              <w:rPr>
                <w:webHidden/>
                <w:rStyle w:val="IndexLink"/>
                <w:rtl w:val="true"/>
              </w:rPr>
              <w:t>موارد مختلف رفع مانع قبول شهادت</w:t>
            </w:r>
            <w:r>
              <w:rPr>
                <w:rStyle w:val="IndexLink"/>
                <w:rtl w:val="true"/>
              </w:rPr>
              <w:tab/>
            </w:r>
            <w:r>
              <w:rPr>
                <w:rStyle w:val="IndexLink"/>
              </w:rPr>
              <w:t>251</w:t>
            </w:r>
          </w:hyperlink>
        </w:p>
        <w:p>
          <w:pPr>
            <w:pStyle w:val="Contents6"/>
            <w:tabs>
              <w:tab w:val="clear" w:pos="7609"/>
              <w:tab w:val="right" w:pos="9026" w:leader="dot"/>
            </w:tabs>
            <w:rPr/>
          </w:pPr>
          <w:hyperlink w:anchor="__RefHeading___Toc3972005_1067777946">
            <w:r>
              <w:rPr>
                <w:webHidden/>
                <w:rStyle w:val="IndexLink"/>
                <w:rtl w:val="true"/>
              </w:rPr>
              <w:t>شهادت مملوك</w:t>
            </w:r>
            <w:r>
              <w:rPr>
                <w:rStyle w:val="IndexLink"/>
                <w:rtl w:val="true"/>
              </w:rPr>
              <w:tab/>
            </w:r>
            <w:r>
              <w:rPr>
                <w:rStyle w:val="IndexLink"/>
              </w:rPr>
              <w:t>252</w:t>
            </w:r>
          </w:hyperlink>
        </w:p>
        <w:p>
          <w:pPr>
            <w:pStyle w:val="Contents6"/>
            <w:tabs>
              <w:tab w:val="clear" w:pos="7609"/>
              <w:tab w:val="right" w:pos="9026" w:leader="dot"/>
            </w:tabs>
            <w:rPr/>
          </w:pPr>
          <w:hyperlink w:anchor="__RefHeading___Toc3972007_1067777946">
            <w:r>
              <w:rPr>
                <w:webHidden/>
                <w:rStyle w:val="IndexLink"/>
                <w:rtl w:val="true"/>
              </w:rPr>
              <w:t>عدم لزوم اشهاد در تحمّل شهادت</w:t>
            </w:r>
            <w:r>
              <w:rPr>
                <w:rStyle w:val="IndexLink"/>
                <w:rtl w:val="true"/>
              </w:rPr>
              <w:tab/>
            </w:r>
            <w:r>
              <w:rPr>
                <w:rStyle w:val="IndexLink"/>
              </w:rPr>
              <w:t>253</w:t>
            </w:r>
          </w:hyperlink>
        </w:p>
        <w:p>
          <w:pPr>
            <w:pStyle w:val="Contents6"/>
            <w:tabs>
              <w:tab w:val="clear" w:pos="7609"/>
              <w:tab w:val="right" w:pos="9026" w:leader="dot"/>
            </w:tabs>
            <w:rPr/>
          </w:pPr>
          <w:hyperlink w:anchor="__RefHeading___Toc3972009_1067777946">
            <w:r>
              <w:rPr>
                <w:webHidden/>
                <w:rStyle w:val="IndexLink"/>
                <w:rtl w:val="true"/>
              </w:rPr>
              <w:t>تفصيل بين حقوق الهيّه و آدميين در قبول و ردّ</w:t>
            </w:r>
            <w:r>
              <w:rPr>
                <w:rStyle w:val="IndexLink"/>
                <w:rtl w:val="true"/>
              </w:rPr>
              <w:tab/>
            </w:r>
            <w:r>
              <w:rPr>
                <w:rStyle w:val="IndexLink"/>
              </w:rPr>
              <w:t>254</w:t>
            </w:r>
          </w:hyperlink>
        </w:p>
        <w:p>
          <w:pPr>
            <w:pStyle w:val="Contents6"/>
            <w:tabs>
              <w:tab w:val="clear" w:pos="7609"/>
              <w:tab w:val="right" w:pos="9026" w:leader="dot"/>
            </w:tabs>
            <w:rPr/>
          </w:pPr>
          <w:hyperlink w:anchor="__RefHeading___Toc3972011_1067777946">
            <w:r>
              <w:rPr>
                <w:webHidden/>
                <w:rStyle w:val="IndexLink"/>
                <w:rtl w:val="true"/>
              </w:rPr>
              <w:t>ظهور مانع از قبول شهادت بعد از حكم حاكم</w:t>
            </w:r>
            <w:r>
              <w:rPr>
                <w:rStyle w:val="IndexLink"/>
                <w:rtl w:val="true"/>
              </w:rPr>
              <w:tab/>
            </w:r>
            <w:r>
              <w:rPr>
                <w:rStyle w:val="IndexLink"/>
              </w:rPr>
              <w:t>254</w:t>
            </w:r>
          </w:hyperlink>
        </w:p>
        <w:p>
          <w:pPr>
            <w:pStyle w:val="Contents6"/>
            <w:tabs>
              <w:tab w:val="clear" w:pos="7609"/>
              <w:tab w:val="right" w:pos="9026" w:leader="dot"/>
            </w:tabs>
            <w:rPr/>
          </w:pPr>
          <w:hyperlink w:anchor="__RefHeading___Toc3972013_1067777946">
            <w:r>
              <w:rPr>
                <w:webHidden/>
                <w:rStyle w:val="IndexLink"/>
                <w:rtl w:val="true"/>
              </w:rPr>
              <w:t>بعضى از خصوصيات توبه</w:t>
            </w:r>
            <w:r>
              <w:rPr>
                <w:rStyle w:val="IndexLink"/>
                <w:rtl w:val="true"/>
              </w:rPr>
              <w:tab/>
            </w:r>
            <w:r>
              <w:rPr>
                <w:rStyle w:val="IndexLink"/>
              </w:rPr>
              <w:t>255</w:t>
            </w:r>
          </w:hyperlink>
        </w:p>
        <w:p>
          <w:pPr>
            <w:pStyle w:val="Contents5"/>
            <w:tabs>
              <w:tab w:val="clear" w:pos="7892"/>
              <w:tab w:val="right" w:pos="9026" w:leader="dot"/>
            </w:tabs>
            <w:rPr/>
          </w:pPr>
          <w:hyperlink w:anchor="__RefHeading___Toc3972015_1067777946">
            <w:r>
              <w:rPr>
                <w:webHidden/>
                <w:rStyle w:val="IndexLink"/>
                <w:rtl w:val="true"/>
              </w:rPr>
              <w:t>شرط ششم</w:t>
            </w:r>
            <w:r>
              <w:rPr>
                <w:rStyle w:val="IndexLink"/>
                <w:rtl w:val="true"/>
              </w:rPr>
              <w:t xml:space="preserve">: </w:t>
            </w:r>
            <w:r>
              <w:rPr>
                <w:rStyle w:val="IndexLink"/>
                <w:rtl w:val="true"/>
              </w:rPr>
              <w:t>طهارت مولد</w:t>
            </w:r>
            <w:r>
              <w:rPr>
                <w:rStyle w:val="IndexLink"/>
                <w:rtl w:val="true"/>
              </w:rPr>
              <w:tab/>
            </w:r>
            <w:r>
              <w:rPr>
                <w:rStyle w:val="IndexLink"/>
              </w:rPr>
              <w:t>255</w:t>
            </w:r>
          </w:hyperlink>
        </w:p>
        <w:p>
          <w:pPr>
            <w:pStyle w:val="Contents3"/>
            <w:tabs>
              <w:tab w:val="clear" w:pos="8459"/>
              <w:tab w:val="right" w:pos="9026" w:leader="dot"/>
            </w:tabs>
            <w:rPr/>
          </w:pPr>
          <w:hyperlink w:anchor="__RefHeading___Toc3972017_1067777946">
            <w:r>
              <w:rPr>
                <w:webHidden/>
                <w:rStyle w:val="IndexLink"/>
                <w:rtl w:val="true"/>
              </w:rPr>
              <w:t>فصل دوّم مستندات شهادت</w:t>
            </w:r>
            <w:r>
              <w:rPr>
                <w:rStyle w:val="IndexLink"/>
                <w:rtl w:val="true"/>
              </w:rPr>
              <w:tab/>
            </w:r>
            <w:r>
              <w:rPr>
                <w:rStyle w:val="IndexLink"/>
              </w:rPr>
              <w:t>256</w:t>
            </w:r>
          </w:hyperlink>
        </w:p>
        <w:p>
          <w:pPr>
            <w:pStyle w:val="Contents4"/>
            <w:tabs>
              <w:tab w:val="clear" w:pos="8176"/>
              <w:tab w:val="right" w:pos="9026" w:leader="dot"/>
            </w:tabs>
            <w:rPr/>
          </w:pPr>
          <w:hyperlink w:anchor="__RefHeading___Toc3972019_1067777946">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972021_1067777946">
            <w:r>
              <w:rPr>
                <w:webHidden/>
                <w:rStyle w:val="IndexLink"/>
                <w:rtl w:val="true"/>
              </w:rPr>
              <w:t>كفايت اطمينان شخصى</w:t>
            </w:r>
            <w:r>
              <w:rPr>
                <w:rStyle w:val="IndexLink"/>
                <w:rtl w:val="true"/>
              </w:rPr>
              <w:tab/>
            </w:r>
            <w:r>
              <w:rPr>
                <w:rStyle w:val="IndexLink"/>
              </w:rPr>
              <w:t>256</w:t>
            </w:r>
          </w:hyperlink>
        </w:p>
        <w:p>
          <w:pPr>
            <w:pStyle w:val="Contents4"/>
            <w:tabs>
              <w:tab w:val="clear" w:pos="8176"/>
              <w:tab w:val="right" w:pos="9026" w:leader="dot"/>
            </w:tabs>
            <w:rPr/>
          </w:pPr>
          <w:hyperlink w:anchor="__RefHeading___Toc3972023_1067777946">
            <w:r>
              <w:rPr>
                <w:webHidden/>
                <w:rStyle w:val="IndexLink"/>
                <w:rtl w:val="true"/>
              </w:rPr>
              <w:t>ارجاع شهادت به استصحاب به علم سابق</w:t>
            </w:r>
            <w:r>
              <w:rPr>
                <w:rStyle w:val="IndexLink"/>
                <w:rtl w:val="true"/>
              </w:rPr>
              <w:tab/>
            </w:r>
            <w:r>
              <w:rPr>
                <w:rStyle w:val="IndexLink"/>
              </w:rPr>
              <w:t>256</w:t>
            </w:r>
          </w:hyperlink>
        </w:p>
        <w:p>
          <w:pPr>
            <w:pStyle w:val="Contents4"/>
            <w:tabs>
              <w:tab w:val="clear" w:pos="8176"/>
              <w:tab w:val="right" w:pos="9026" w:leader="dot"/>
            </w:tabs>
            <w:rPr/>
          </w:pPr>
          <w:hyperlink w:anchor="__RefHeading___Toc3972025_1067777946">
            <w:r>
              <w:rPr>
                <w:webHidden/>
                <w:rStyle w:val="IndexLink"/>
                <w:rtl w:val="true"/>
              </w:rPr>
              <w:t>عدم لزوم ابصار و سماع در مبصرات و مسموعات</w:t>
            </w:r>
            <w:r>
              <w:rPr>
                <w:rStyle w:val="IndexLink"/>
                <w:rtl w:val="true"/>
              </w:rPr>
              <w:tab/>
            </w:r>
            <w:r>
              <w:rPr>
                <w:rStyle w:val="IndexLink"/>
              </w:rPr>
              <w:t>256</w:t>
            </w:r>
          </w:hyperlink>
        </w:p>
        <w:p>
          <w:pPr>
            <w:pStyle w:val="Contents4"/>
            <w:tabs>
              <w:tab w:val="clear" w:pos="8176"/>
              <w:tab w:val="right" w:pos="9026" w:leader="dot"/>
            </w:tabs>
            <w:rPr/>
          </w:pPr>
          <w:hyperlink w:anchor="__RefHeading___Toc3972027_1067777946">
            <w:r>
              <w:rPr>
                <w:webHidden/>
                <w:rStyle w:val="IndexLink"/>
                <w:rtl w:val="true"/>
              </w:rPr>
              <w:t>شهادت كر و كور</w:t>
            </w:r>
            <w:r>
              <w:rPr>
                <w:rStyle w:val="IndexLink"/>
                <w:rtl w:val="true"/>
              </w:rPr>
              <w:tab/>
            </w:r>
            <w:r>
              <w:rPr>
                <w:rStyle w:val="IndexLink"/>
              </w:rPr>
              <w:t>257</w:t>
            </w:r>
          </w:hyperlink>
        </w:p>
        <w:p>
          <w:pPr>
            <w:pStyle w:val="Contents4"/>
            <w:tabs>
              <w:tab w:val="clear" w:pos="8176"/>
              <w:tab w:val="right" w:pos="9026" w:leader="dot"/>
            </w:tabs>
            <w:rPr/>
          </w:pPr>
          <w:hyperlink w:anchor="__RefHeading___Toc3972029_1067777946">
            <w:r>
              <w:rPr>
                <w:webHidden/>
                <w:rStyle w:val="IndexLink"/>
                <w:rtl w:val="true"/>
              </w:rPr>
              <w:t>حكم شهادت مطّلعِ بر شهادت عدلين</w:t>
            </w:r>
            <w:r>
              <w:rPr>
                <w:rStyle w:val="IndexLink"/>
                <w:rtl w:val="true"/>
              </w:rPr>
              <w:tab/>
            </w:r>
            <w:r>
              <w:rPr>
                <w:rStyle w:val="IndexLink"/>
              </w:rPr>
              <w:t>257</w:t>
            </w:r>
          </w:hyperlink>
        </w:p>
        <w:p>
          <w:pPr>
            <w:pStyle w:val="Contents4"/>
            <w:tabs>
              <w:tab w:val="clear" w:pos="8176"/>
              <w:tab w:val="right" w:pos="9026" w:leader="dot"/>
            </w:tabs>
            <w:rPr/>
          </w:pPr>
          <w:hyperlink w:anchor="__RefHeading___Toc3972031_1067777946">
            <w:r>
              <w:rPr>
                <w:webHidden/>
                <w:rStyle w:val="IndexLink"/>
                <w:rtl w:val="true"/>
              </w:rPr>
              <w:t>عدم دلالت سكوت بر تحمّل</w:t>
            </w:r>
            <w:r>
              <w:rPr>
                <w:rStyle w:val="IndexLink"/>
                <w:rtl w:val="true"/>
              </w:rPr>
              <w:tab/>
            </w:r>
            <w:r>
              <w:rPr>
                <w:rStyle w:val="IndexLink"/>
              </w:rPr>
              <w:t>257</w:t>
            </w:r>
          </w:hyperlink>
        </w:p>
        <w:p>
          <w:pPr>
            <w:pStyle w:val="Contents4"/>
            <w:tabs>
              <w:tab w:val="clear" w:pos="8176"/>
              <w:tab w:val="right" w:pos="9026" w:leader="dot"/>
            </w:tabs>
            <w:rPr/>
          </w:pPr>
          <w:hyperlink w:anchor="__RefHeading___Toc3972033_1067777946">
            <w:r>
              <w:rPr>
                <w:webHidden/>
                <w:rStyle w:val="IndexLink"/>
                <w:rtl w:val="true"/>
              </w:rPr>
              <w:t>استفاضه</w:t>
            </w:r>
            <w:r>
              <w:rPr>
                <w:rStyle w:val="IndexLink"/>
                <w:rtl w:val="true"/>
              </w:rPr>
              <w:tab/>
            </w:r>
            <w:r>
              <w:rPr>
                <w:rStyle w:val="IndexLink"/>
              </w:rPr>
              <w:t>257</w:t>
            </w:r>
          </w:hyperlink>
        </w:p>
        <w:p>
          <w:pPr>
            <w:pStyle w:val="Contents4"/>
            <w:tabs>
              <w:tab w:val="clear" w:pos="8176"/>
              <w:tab w:val="right" w:pos="9026" w:leader="dot"/>
            </w:tabs>
            <w:rPr/>
          </w:pPr>
          <w:hyperlink w:anchor="__RefHeading___Toc3972035_1067777946">
            <w:r>
              <w:rPr>
                <w:webHidden/>
                <w:rStyle w:val="IndexLink"/>
                <w:rtl w:val="true"/>
              </w:rPr>
              <w:t>عدم احتياج استفاضه به يد و تصرّف</w:t>
            </w:r>
            <w:r>
              <w:rPr>
                <w:rStyle w:val="IndexLink"/>
                <w:rtl w:val="true"/>
              </w:rPr>
              <w:tab/>
            </w:r>
            <w:r>
              <w:rPr>
                <w:rStyle w:val="IndexLink"/>
              </w:rPr>
              <w:t>258</w:t>
            </w:r>
          </w:hyperlink>
        </w:p>
        <w:p>
          <w:pPr>
            <w:pStyle w:val="Contents4"/>
            <w:tabs>
              <w:tab w:val="clear" w:pos="8176"/>
              <w:tab w:val="right" w:pos="9026" w:leader="dot"/>
            </w:tabs>
            <w:rPr/>
          </w:pPr>
          <w:hyperlink w:anchor="__RefHeading___Toc3972037_1067777946">
            <w:r>
              <w:rPr>
                <w:webHidden/>
                <w:rStyle w:val="IndexLink"/>
                <w:rtl w:val="true"/>
              </w:rPr>
              <w:t>چند مسأله</w:t>
            </w:r>
            <w:r>
              <w:rPr>
                <w:rStyle w:val="IndexLink"/>
                <w:rtl w:val="true"/>
              </w:rPr>
              <w:tab/>
            </w:r>
            <w:r>
              <w:rPr>
                <w:rStyle w:val="IndexLink"/>
              </w:rPr>
              <w:t>259</w:t>
            </w:r>
          </w:hyperlink>
        </w:p>
        <w:p>
          <w:pPr>
            <w:pStyle w:val="Contents5"/>
            <w:tabs>
              <w:tab w:val="clear" w:pos="7892"/>
              <w:tab w:val="right" w:pos="9026" w:leader="dot"/>
            </w:tabs>
            <w:rPr/>
          </w:pPr>
          <w:hyperlink w:anchor="__RefHeading___Toc3972039_1067777946">
            <w:r>
              <w:rPr>
                <w:webHidden/>
                <w:rStyle w:val="IndexLink"/>
                <w:rtl w:val="true"/>
              </w:rPr>
              <w:t>كفايت حجّت شرعيه بر ملك در جواز شهادت بر ملكيت</w:t>
            </w:r>
            <w:r>
              <w:rPr>
                <w:rStyle w:val="IndexLink"/>
                <w:rtl w:val="true"/>
              </w:rPr>
              <w:tab/>
            </w:r>
            <w:r>
              <w:rPr>
                <w:rStyle w:val="IndexLink"/>
              </w:rPr>
              <w:t>259</w:t>
            </w:r>
          </w:hyperlink>
        </w:p>
        <w:p>
          <w:pPr>
            <w:pStyle w:val="Contents5"/>
            <w:tabs>
              <w:tab w:val="clear" w:pos="7892"/>
              <w:tab w:val="right" w:pos="9026" w:leader="dot"/>
            </w:tabs>
            <w:rPr/>
          </w:pPr>
          <w:hyperlink w:anchor="__RefHeading___Toc3972041_1067777946">
            <w:r>
              <w:rPr>
                <w:webHidden/>
                <w:rStyle w:val="IndexLink"/>
                <w:rtl w:val="true"/>
              </w:rPr>
              <w:t>آن چه با استفاضه ثابت مى شود</w:t>
            </w:r>
            <w:r>
              <w:rPr>
                <w:rStyle w:val="IndexLink"/>
                <w:rtl w:val="true"/>
              </w:rPr>
              <w:tab/>
            </w:r>
            <w:r>
              <w:rPr>
                <w:rStyle w:val="IndexLink"/>
              </w:rPr>
              <w:t>259</w:t>
            </w:r>
          </w:hyperlink>
        </w:p>
        <w:p>
          <w:pPr>
            <w:pStyle w:val="Contents5"/>
            <w:tabs>
              <w:tab w:val="clear" w:pos="7892"/>
              <w:tab w:val="right" w:pos="9026" w:leader="dot"/>
            </w:tabs>
            <w:rPr/>
          </w:pPr>
          <w:hyperlink w:anchor="__RefHeading___Toc3972043_1067777946">
            <w:r>
              <w:rPr>
                <w:webHidden/>
                <w:rStyle w:val="IndexLink"/>
                <w:rtl w:val="true"/>
              </w:rPr>
              <w:t>جواز تحمّل و اداى شهادت توسط اخرس</w:t>
            </w:r>
            <w:r>
              <w:rPr>
                <w:rStyle w:val="IndexLink"/>
                <w:rtl w:val="true"/>
              </w:rPr>
              <w:tab/>
            </w:r>
            <w:r>
              <w:rPr>
                <w:rStyle w:val="IndexLink"/>
              </w:rPr>
              <w:t>259</w:t>
            </w:r>
          </w:hyperlink>
        </w:p>
        <w:p>
          <w:pPr>
            <w:pStyle w:val="Contents4"/>
            <w:tabs>
              <w:tab w:val="clear" w:pos="8176"/>
              <w:tab w:val="right" w:pos="9026" w:leader="dot"/>
            </w:tabs>
            <w:rPr/>
          </w:pPr>
          <w:hyperlink w:anchor="__RefHeading___Toc3972045_1067777946">
            <w:r>
              <w:rPr>
                <w:webHidden/>
                <w:rStyle w:val="IndexLink"/>
                <w:rtl w:val="true"/>
              </w:rPr>
              <w:t>امرى كه محتاج به ديدن و شنيدن است</w:t>
            </w:r>
            <w:r>
              <w:rPr>
                <w:rStyle w:val="IndexLink"/>
                <w:rtl w:val="true"/>
              </w:rPr>
              <w:tab/>
            </w:r>
            <w:r>
              <w:rPr>
                <w:rStyle w:val="IndexLink"/>
              </w:rPr>
              <w:t>260</w:t>
            </w:r>
          </w:hyperlink>
        </w:p>
        <w:p>
          <w:pPr>
            <w:pStyle w:val="Contents4"/>
            <w:tabs>
              <w:tab w:val="clear" w:pos="8176"/>
              <w:tab w:val="right" w:pos="9026" w:leader="dot"/>
            </w:tabs>
            <w:rPr/>
          </w:pPr>
          <w:hyperlink w:anchor="__RefHeading___Toc3972047_1067777946">
            <w:r>
              <w:rPr>
                <w:webHidden/>
                <w:rStyle w:val="IndexLink"/>
                <w:rtl w:val="true"/>
              </w:rPr>
              <w:t>موارد شهادت اعمى</w:t>
            </w:r>
            <w:r>
              <w:rPr>
                <w:rStyle w:val="IndexLink"/>
                <w:rtl w:val="true"/>
              </w:rPr>
              <w:tab/>
            </w:r>
            <w:r>
              <w:rPr>
                <w:rStyle w:val="IndexLink"/>
              </w:rPr>
              <w:t>260</w:t>
            </w:r>
          </w:hyperlink>
        </w:p>
        <w:p>
          <w:pPr>
            <w:pStyle w:val="Contents4"/>
            <w:tabs>
              <w:tab w:val="clear" w:pos="8176"/>
              <w:tab w:val="right" w:pos="9026" w:leader="dot"/>
            </w:tabs>
            <w:rPr/>
          </w:pPr>
          <w:hyperlink w:anchor="__RefHeading___Toc3972049_1067777946">
            <w:r>
              <w:rPr>
                <w:webHidden/>
                <w:rStyle w:val="IndexLink"/>
                <w:rtl w:val="true"/>
              </w:rPr>
              <w:t>كفايت شهادت اعمى درباره مقبوض به يد بدون اناطه بر ابصار</w:t>
            </w:r>
            <w:r>
              <w:rPr>
                <w:rStyle w:val="IndexLink"/>
                <w:rtl w:val="true"/>
              </w:rPr>
              <w:tab/>
            </w:r>
            <w:r>
              <w:rPr>
                <w:rStyle w:val="IndexLink"/>
              </w:rPr>
              <w:t>261</w:t>
            </w:r>
          </w:hyperlink>
        </w:p>
        <w:p>
          <w:pPr>
            <w:pStyle w:val="Contents3"/>
            <w:tabs>
              <w:tab w:val="clear" w:pos="8459"/>
              <w:tab w:val="right" w:pos="9026" w:leader="dot"/>
            </w:tabs>
            <w:rPr/>
          </w:pPr>
          <w:hyperlink w:anchor="__RefHeading___Toc3972051_1067777946">
            <w:r>
              <w:rPr>
                <w:webHidden/>
                <w:rStyle w:val="IndexLink"/>
                <w:rtl w:val="true"/>
              </w:rPr>
              <w:t>فصل سوّم اقسام حقوق</w:t>
            </w:r>
            <w:r>
              <w:rPr>
                <w:rStyle w:val="IndexLink"/>
                <w:rtl w:val="true"/>
              </w:rPr>
              <w:tab/>
            </w:r>
            <w:r>
              <w:rPr>
                <w:rStyle w:val="IndexLink"/>
              </w:rPr>
              <w:t>262</w:t>
            </w:r>
          </w:hyperlink>
        </w:p>
        <w:p>
          <w:pPr>
            <w:pStyle w:val="Contents4"/>
            <w:tabs>
              <w:tab w:val="clear" w:pos="8176"/>
              <w:tab w:val="right" w:pos="9026" w:leader="dot"/>
            </w:tabs>
            <w:rPr/>
          </w:pPr>
          <w:hyperlink w:anchor="__RefHeading___Toc3972053_1067777946">
            <w:r>
              <w:rPr>
                <w:webHidden/>
                <w:rStyle w:val="IndexLink"/>
                <w:rtl w:val="true"/>
              </w:rPr>
              <w:t>تعداد شاهد لازم در حق اللّٰه تعالى</w:t>
            </w:r>
            <w:r>
              <w:rPr>
                <w:rStyle w:val="IndexLink"/>
                <w:rtl w:val="true"/>
              </w:rPr>
              <w:tab/>
            </w:r>
            <w:r>
              <w:rPr>
                <w:rStyle w:val="IndexLink"/>
              </w:rPr>
              <w:t>262</w:t>
            </w:r>
          </w:hyperlink>
        </w:p>
        <w:p>
          <w:pPr>
            <w:pStyle w:val="Contents4"/>
            <w:tabs>
              <w:tab w:val="clear" w:pos="8176"/>
              <w:tab w:val="right" w:pos="9026" w:leader="dot"/>
            </w:tabs>
            <w:rPr/>
          </w:pPr>
          <w:hyperlink w:anchor="__RefHeading___Toc3972055_1067777946">
            <w:r>
              <w:rPr>
                <w:webHidden/>
                <w:rStyle w:val="IndexLink"/>
                <w:rtl w:val="true"/>
              </w:rPr>
              <w:t>آن چه فقط با دو مرد ثابت مى شود</w:t>
            </w:r>
            <w:r>
              <w:rPr>
                <w:rStyle w:val="IndexLink"/>
                <w:rtl w:val="true"/>
              </w:rPr>
              <w:tab/>
            </w:r>
            <w:r>
              <w:rPr>
                <w:rStyle w:val="IndexLink"/>
              </w:rPr>
              <w:t>263</w:t>
            </w:r>
          </w:hyperlink>
        </w:p>
        <w:p>
          <w:pPr>
            <w:pStyle w:val="Contents4"/>
            <w:tabs>
              <w:tab w:val="clear" w:pos="8176"/>
              <w:tab w:val="right" w:pos="9026" w:leader="dot"/>
            </w:tabs>
            <w:rPr/>
          </w:pPr>
          <w:hyperlink w:anchor="__RefHeading___Toc3972057_1067777946">
            <w:r>
              <w:rPr>
                <w:webHidden/>
                <w:rStyle w:val="IndexLink"/>
                <w:rtl w:val="true"/>
              </w:rPr>
              <w:t>دو مرد، يك شاهد و يمين، يك شاهد و دو زن</w:t>
            </w:r>
            <w:r>
              <w:rPr>
                <w:rStyle w:val="IndexLink"/>
                <w:rtl w:val="true"/>
              </w:rPr>
              <w:tab/>
            </w:r>
            <w:r>
              <w:rPr>
                <w:rStyle w:val="IndexLink"/>
              </w:rPr>
              <w:t>263</w:t>
            </w:r>
          </w:hyperlink>
        </w:p>
        <w:p>
          <w:pPr>
            <w:pStyle w:val="Contents4"/>
            <w:tabs>
              <w:tab w:val="clear" w:pos="8176"/>
              <w:tab w:val="right" w:pos="9026" w:leader="dot"/>
            </w:tabs>
            <w:rPr/>
          </w:pPr>
          <w:hyperlink w:anchor="__RefHeading___Toc3972059_1067777946">
            <w:r>
              <w:rPr>
                <w:webHidden/>
                <w:rStyle w:val="IndexLink"/>
                <w:rtl w:val="true"/>
              </w:rPr>
              <w:t>حكم وقف در تعداد شاهد</w:t>
            </w:r>
            <w:r>
              <w:rPr>
                <w:rStyle w:val="IndexLink"/>
                <w:rtl w:val="true"/>
              </w:rPr>
              <w:tab/>
            </w:r>
            <w:r>
              <w:rPr>
                <w:rStyle w:val="IndexLink"/>
              </w:rPr>
              <w:t>264</w:t>
            </w:r>
          </w:hyperlink>
        </w:p>
        <w:p>
          <w:pPr>
            <w:pStyle w:val="Contents4"/>
            <w:tabs>
              <w:tab w:val="clear" w:pos="8176"/>
              <w:tab w:val="right" w:pos="9026" w:leader="dot"/>
            </w:tabs>
            <w:rPr/>
          </w:pPr>
          <w:hyperlink w:anchor="__RefHeading___Toc3972061_1067777946">
            <w:r>
              <w:rPr>
                <w:webHidden/>
                <w:rStyle w:val="IndexLink"/>
                <w:rtl w:val="true"/>
              </w:rPr>
              <w:t>آن چه با شهادت مردها و زنها ثابت مى شود</w:t>
            </w:r>
            <w:r>
              <w:rPr>
                <w:rStyle w:val="IndexLink"/>
                <w:rtl w:val="true"/>
              </w:rPr>
              <w:tab/>
            </w:r>
            <w:r>
              <w:rPr>
                <w:rStyle w:val="IndexLink"/>
              </w:rPr>
              <w:t>264</w:t>
            </w:r>
          </w:hyperlink>
        </w:p>
        <w:p>
          <w:pPr>
            <w:pStyle w:val="Contents4"/>
            <w:tabs>
              <w:tab w:val="clear" w:pos="8176"/>
              <w:tab w:val="right" w:pos="9026" w:leader="dot"/>
            </w:tabs>
            <w:rPr/>
          </w:pPr>
          <w:hyperlink w:anchor="__RefHeading___Toc3972063_1067777946">
            <w:r>
              <w:rPr>
                <w:webHidden/>
                <w:rStyle w:val="IndexLink"/>
                <w:rtl w:val="true"/>
              </w:rPr>
              <w:t>شهادت خنثاى مشكل</w:t>
            </w:r>
            <w:r>
              <w:rPr>
                <w:rStyle w:val="IndexLink"/>
                <w:rtl w:val="true"/>
              </w:rPr>
              <w:tab/>
            </w:r>
            <w:r>
              <w:rPr>
                <w:rStyle w:val="IndexLink"/>
              </w:rPr>
              <w:t>265</w:t>
            </w:r>
          </w:hyperlink>
        </w:p>
        <w:p>
          <w:pPr>
            <w:pStyle w:val="Contents4"/>
            <w:tabs>
              <w:tab w:val="clear" w:pos="8176"/>
              <w:tab w:val="right" w:pos="9026" w:leader="dot"/>
            </w:tabs>
            <w:rPr/>
          </w:pPr>
          <w:hyperlink w:anchor="__RefHeading___Toc3972065_1067777946">
            <w:r>
              <w:rPr>
                <w:webHidden/>
                <w:rStyle w:val="IndexLink"/>
                <w:rtl w:val="true"/>
              </w:rPr>
              <w:t>مسائل ثلاثه</w:t>
            </w:r>
            <w:r>
              <w:rPr>
                <w:rStyle w:val="IndexLink"/>
                <w:rtl w:val="true"/>
              </w:rPr>
              <w:tab/>
            </w:r>
            <w:r>
              <w:rPr>
                <w:rStyle w:val="IndexLink"/>
              </w:rPr>
              <w:t>265</w:t>
            </w:r>
          </w:hyperlink>
        </w:p>
        <w:p>
          <w:pPr>
            <w:pStyle w:val="Contents5"/>
            <w:tabs>
              <w:tab w:val="clear" w:pos="7892"/>
              <w:tab w:val="right" w:pos="9026" w:leader="dot"/>
            </w:tabs>
            <w:rPr/>
          </w:pPr>
          <w:hyperlink w:anchor="__RefHeading___Toc3972067_1067777946">
            <w:r>
              <w:rPr>
                <w:webHidden/>
                <w:rStyle w:val="IndexLink"/>
                <w:rtl w:val="true"/>
              </w:rPr>
              <w:t>موارد اناطۀ صحت به شهادت</w:t>
            </w:r>
            <w:r>
              <w:rPr>
                <w:rStyle w:val="IndexLink"/>
                <w:rtl w:val="true"/>
              </w:rPr>
              <w:tab/>
            </w:r>
            <w:r>
              <w:rPr>
                <w:rStyle w:val="IndexLink"/>
              </w:rPr>
              <w:t>265</w:t>
            </w:r>
          </w:hyperlink>
        </w:p>
        <w:p>
          <w:pPr>
            <w:pStyle w:val="Contents5"/>
            <w:tabs>
              <w:tab w:val="clear" w:pos="7892"/>
              <w:tab w:val="right" w:pos="9026" w:leader="dot"/>
            </w:tabs>
            <w:rPr/>
          </w:pPr>
          <w:hyperlink w:anchor="__RefHeading___Toc3972069_1067777946">
            <w:r>
              <w:rPr>
                <w:webHidden/>
                <w:rStyle w:val="IndexLink"/>
                <w:rtl w:val="true"/>
              </w:rPr>
              <w:t>تابعيت نفوذ حكم در ظاهر و باطن از شهادت</w:t>
            </w:r>
            <w:r>
              <w:rPr>
                <w:rStyle w:val="IndexLink"/>
                <w:rtl w:val="true"/>
              </w:rPr>
              <w:tab/>
            </w:r>
            <w:r>
              <w:rPr>
                <w:rStyle w:val="IndexLink"/>
              </w:rPr>
              <w:t>266</w:t>
            </w:r>
          </w:hyperlink>
        </w:p>
        <w:p>
          <w:pPr>
            <w:pStyle w:val="Contents5"/>
            <w:tabs>
              <w:tab w:val="clear" w:pos="7892"/>
              <w:tab w:val="right" w:pos="9026" w:leader="dot"/>
            </w:tabs>
            <w:rPr/>
          </w:pPr>
          <w:hyperlink w:anchor="__RefHeading___Toc3972071_1067777946">
            <w:r>
              <w:rPr>
                <w:webHidden/>
                <w:rStyle w:val="IndexLink"/>
                <w:rtl w:val="true"/>
              </w:rPr>
              <w:t>استحباب تحمّل شهادت</w:t>
            </w:r>
            <w:r>
              <w:rPr>
                <w:rStyle w:val="IndexLink"/>
                <w:rtl w:val="true"/>
              </w:rPr>
              <w:tab/>
            </w:r>
            <w:r>
              <w:rPr>
                <w:rStyle w:val="IndexLink"/>
              </w:rPr>
              <w:t>266</w:t>
            </w:r>
          </w:hyperlink>
        </w:p>
        <w:p>
          <w:pPr>
            <w:pStyle w:val="Contents4"/>
            <w:tabs>
              <w:tab w:val="clear" w:pos="8176"/>
              <w:tab w:val="right" w:pos="9026" w:leader="dot"/>
            </w:tabs>
            <w:rPr/>
          </w:pPr>
          <w:hyperlink w:anchor="__RefHeading___Toc3972073_1067777946">
            <w:r>
              <w:rPr>
                <w:webHidden/>
                <w:rStyle w:val="IndexLink"/>
                <w:rtl w:val="true"/>
              </w:rPr>
              <w:t>فرض وجوب اداى شهادت</w:t>
            </w:r>
            <w:r>
              <w:rPr>
                <w:rStyle w:val="IndexLink"/>
                <w:rtl w:val="true"/>
              </w:rPr>
              <w:tab/>
            </w:r>
            <w:r>
              <w:rPr>
                <w:rStyle w:val="IndexLink"/>
              </w:rPr>
              <w:t>266</w:t>
            </w:r>
          </w:hyperlink>
        </w:p>
        <w:p>
          <w:pPr>
            <w:pStyle w:val="Contents4"/>
            <w:tabs>
              <w:tab w:val="clear" w:pos="8176"/>
              <w:tab w:val="right" w:pos="9026" w:leader="dot"/>
            </w:tabs>
            <w:rPr/>
          </w:pPr>
          <w:hyperlink w:anchor="__RefHeading___Toc3972075_1067777946">
            <w:r>
              <w:rPr>
                <w:webHidden/>
                <w:rStyle w:val="IndexLink"/>
                <w:rtl w:val="true"/>
              </w:rPr>
              <w:t>كفايت طلب عمومى صاحب حق در وجوب</w:t>
            </w:r>
            <w:r>
              <w:rPr>
                <w:rStyle w:val="IndexLink"/>
                <w:rtl w:val="true"/>
              </w:rPr>
              <w:tab/>
            </w:r>
            <w:r>
              <w:rPr>
                <w:rStyle w:val="IndexLink"/>
              </w:rPr>
              <w:t>267</w:t>
            </w:r>
          </w:hyperlink>
        </w:p>
        <w:p>
          <w:pPr>
            <w:pStyle w:val="Contents4"/>
            <w:tabs>
              <w:tab w:val="clear" w:pos="8176"/>
              <w:tab w:val="right" w:pos="9026" w:leader="dot"/>
            </w:tabs>
            <w:rPr/>
          </w:pPr>
          <w:hyperlink w:anchor="__RefHeading___Toc3972077_1067777946">
            <w:r>
              <w:rPr>
                <w:webHidden/>
                <w:rStyle w:val="IndexLink"/>
                <w:rtl w:val="true"/>
              </w:rPr>
              <w:t>احتمال حصول عدالت به توبه</w:t>
            </w:r>
            <w:r>
              <w:rPr>
                <w:rStyle w:val="IndexLink"/>
                <w:rtl w:val="true"/>
              </w:rPr>
              <w:tab/>
            </w:r>
            <w:r>
              <w:rPr>
                <w:rStyle w:val="IndexLink"/>
              </w:rPr>
              <w:t>267</w:t>
            </w:r>
          </w:hyperlink>
        </w:p>
        <w:p>
          <w:pPr>
            <w:pStyle w:val="Contents4"/>
            <w:tabs>
              <w:tab w:val="clear" w:pos="8176"/>
              <w:tab w:val="right" w:pos="9026" w:leader="dot"/>
            </w:tabs>
            <w:rPr/>
          </w:pPr>
          <w:hyperlink w:anchor="__RefHeading___Toc3972079_1067777946">
            <w:r>
              <w:rPr>
                <w:webHidden/>
                <w:rStyle w:val="IndexLink"/>
                <w:rtl w:val="true"/>
              </w:rPr>
              <w:t>فرض ترتّب ضرر بر شهادت شاهد</w:t>
            </w:r>
            <w:r>
              <w:rPr>
                <w:rStyle w:val="IndexLink"/>
                <w:rtl w:val="true"/>
              </w:rPr>
              <w:tab/>
            </w:r>
            <w:r>
              <w:rPr>
                <w:rStyle w:val="IndexLink"/>
              </w:rPr>
              <w:t>268</w:t>
            </w:r>
          </w:hyperlink>
        </w:p>
        <w:p>
          <w:pPr>
            <w:pStyle w:val="Contents3"/>
            <w:tabs>
              <w:tab w:val="clear" w:pos="8459"/>
              <w:tab w:val="right" w:pos="9026" w:leader="dot"/>
            </w:tabs>
            <w:rPr/>
          </w:pPr>
          <w:hyperlink w:anchor="__RefHeading___Toc3972081_1067777946">
            <w:r>
              <w:rPr>
                <w:webHidden/>
                <w:rStyle w:val="IndexLink"/>
                <w:rtl w:val="true"/>
              </w:rPr>
              <w:t>فصل چهارم شهادت بر شهادت</w:t>
            </w:r>
            <w:r>
              <w:rPr>
                <w:rStyle w:val="IndexLink"/>
                <w:rtl w:val="true"/>
              </w:rPr>
              <w:tab/>
            </w:r>
            <w:r>
              <w:rPr>
                <w:rStyle w:val="IndexLink"/>
              </w:rPr>
              <w:t>269</w:t>
            </w:r>
          </w:hyperlink>
        </w:p>
        <w:p>
          <w:pPr>
            <w:pStyle w:val="Contents4"/>
            <w:tabs>
              <w:tab w:val="clear" w:pos="8176"/>
              <w:tab w:val="right" w:pos="9026" w:leader="dot"/>
            </w:tabs>
            <w:rPr/>
          </w:pPr>
          <w:hyperlink w:anchor="__RefHeading___Toc3972083_1067777946">
            <w:r>
              <w:rPr>
                <w:webHidden/>
                <w:rStyle w:val="IndexLink"/>
                <w:rtl w:val="true"/>
              </w:rPr>
              <w:t>موارد قبول شهادت بر شهادت</w:t>
            </w:r>
            <w:r>
              <w:rPr>
                <w:rStyle w:val="IndexLink"/>
                <w:rtl w:val="true"/>
              </w:rPr>
              <w:tab/>
            </w:r>
            <w:r>
              <w:rPr>
                <w:rStyle w:val="IndexLink"/>
              </w:rPr>
              <w:t>269</w:t>
            </w:r>
          </w:hyperlink>
        </w:p>
        <w:p>
          <w:pPr>
            <w:pStyle w:val="Contents4"/>
            <w:tabs>
              <w:tab w:val="clear" w:pos="8176"/>
              <w:tab w:val="right" w:pos="9026" w:leader="dot"/>
            </w:tabs>
            <w:rPr/>
          </w:pPr>
          <w:hyperlink w:anchor="__RefHeading___Toc3972085_1067777946">
            <w:r>
              <w:rPr>
                <w:webHidden/>
                <w:rStyle w:val="IndexLink"/>
                <w:rtl w:val="true"/>
              </w:rPr>
              <w:t>حكم قبول و يا عدم قبول شهادت بر شهادت در موارد گوناگون</w:t>
            </w:r>
            <w:r>
              <w:rPr>
                <w:rStyle w:val="IndexLink"/>
                <w:rtl w:val="true"/>
              </w:rPr>
              <w:tab/>
            </w:r>
            <w:r>
              <w:rPr>
                <w:rStyle w:val="IndexLink"/>
              </w:rPr>
              <w:t>269</w:t>
            </w:r>
          </w:hyperlink>
        </w:p>
        <w:p>
          <w:pPr>
            <w:pStyle w:val="Contents4"/>
            <w:tabs>
              <w:tab w:val="clear" w:pos="8176"/>
              <w:tab w:val="right" w:pos="9026" w:leader="dot"/>
            </w:tabs>
            <w:rPr/>
          </w:pPr>
          <w:hyperlink w:anchor="__RefHeading___Toc3972087_1067777946">
            <w:r>
              <w:rPr>
                <w:webHidden/>
                <w:rStyle w:val="IndexLink"/>
                <w:rtl w:val="true"/>
              </w:rPr>
              <w:t>لزوم تعدد در شهادت فرع</w:t>
            </w:r>
            <w:r>
              <w:rPr>
                <w:rStyle w:val="IndexLink"/>
                <w:rtl w:val="true"/>
              </w:rPr>
              <w:tab/>
            </w:r>
            <w:r>
              <w:rPr>
                <w:rStyle w:val="IndexLink"/>
              </w:rPr>
              <w:t>270</w:t>
            </w:r>
          </w:hyperlink>
        </w:p>
        <w:p>
          <w:pPr>
            <w:pStyle w:val="Contents4"/>
            <w:tabs>
              <w:tab w:val="clear" w:pos="8176"/>
              <w:tab w:val="right" w:pos="9026" w:leader="dot"/>
            </w:tabs>
            <w:rPr/>
          </w:pPr>
          <w:hyperlink w:anchor="__RefHeading___Toc3972089_1067777946">
            <w:r>
              <w:rPr>
                <w:webHidden/>
                <w:rStyle w:val="IndexLink"/>
                <w:rtl w:val="true"/>
              </w:rPr>
              <w:t>استرعا و سماع</w:t>
            </w:r>
            <w:r>
              <w:rPr>
                <w:rStyle w:val="IndexLink"/>
                <w:rtl w:val="true"/>
              </w:rPr>
              <w:tab/>
            </w:r>
            <w:r>
              <w:rPr>
                <w:rStyle w:val="IndexLink"/>
              </w:rPr>
              <w:t>271</w:t>
            </w:r>
          </w:hyperlink>
        </w:p>
        <w:p>
          <w:pPr>
            <w:pStyle w:val="Contents4"/>
            <w:tabs>
              <w:tab w:val="clear" w:pos="8176"/>
              <w:tab w:val="right" w:pos="9026" w:leader="dot"/>
            </w:tabs>
            <w:rPr/>
          </w:pPr>
          <w:hyperlink w:anchor="__RefHeading___Toc3972091_1067777946">
            <w:r>
              <w:rPr>
                <w:webHidden/>
                <w:rStyle w:val="IndexLink"/>
                <w:rtl w:val="true"/>
              </w:rPr>
              <w:t>اولويت و احوطيّت تأكيد و توضيح در شهادت بر شهادت</w:t>
            </w:r>
            <w:r>
              <w:rPr>
                <w:rStyle w:val="IndexLink"/>
                <w:rtl w:val="true"/>
              </w:rPr>
              <w:tab/>
            </w:r>
            <w:r>
              <w:rPr>
                <w:rStyle w:val="IndexLink"/>
              </w:rPr>
              <w:t>271</w:t>
            </w:r>
          </w:hyperlink>
        </w:p>
        <w:p>
          <w:pPr>
            <w:pStyle w:val="Contents4"/>
            <w:tabs>
              <w:tab w:val="clear" w:pos="8176"/>
              <w:tab w:val="right" w:pos="9026" w:leader="dot"/>
            </w:tabs>
            <w:rPr/>
          </w:pPr>
          <w:hyperlink w:anchor="__RefHeading___Toc3972093_1067777946">
            <w:r>
              <w:rPr>
                <w:webHidden/>
                <w:rStyle w:val="IndexLink"/>
                <w:rtl w:val="true"/>
              </w:rPr>
              <w:t>شهادت فرع در وقت امكان حضور شاهد اصل</w:t>
            </w:r>
            <w:r>
              <w:rPr>
                <w:rStyle w:val="IndexLink"/>
                <w:rtl w:val="true"/>
              </w:rPr>
              <w:tab/>
            </w:r>
            <w:r>
              <w:rPr>
                <w:rStyle w:val="IndexLink"/>
              </w:rPr>
              <w:t>272</w:t>
            </w:r>
          </w:hyperlink>
        </w:p>
        <w:p>
          <w:pPr>
            <w:pStyle w:val="Contents4"/>
            <w:tabs>
              <w:tab w:val="clear" w:pos="8176"/>
              <w:tab w:val="right" w:pos="9026" w:leader="dot"/>
            </w:tabs>
            <w:rPr/>
          </w:pPr>
          <w:hyperlink w:anchor="__RefHeading___Toc3972095_1067777946">
            <w:r>
              <w:rPr>
                <w:webHidden/>
                <w:rStyle w:val="IndexLink"/>
                <w:rtl w:val="true"/>
              </w:rPr>
              <w:t>حدّ تعذّر</w:t>
            </w:r>
            <w:r>
              <w:rPr>
                <w:rStyle w:val="IndexLink"/>
                <w:rtl w:val="true"/>
              </w:rPr>
              <w:tab/>
            </w:r>
            <w:r>
              <w:rPr>
                <w:rStyle w:val="IndexLink"/>
              </w:rPr>
              <w:t>272</w:t>
            </w:r>
          </w:hyperlink>
        </w:p>
        <w:p>
          <w:pPr>
            <w:pStyle w:val="Contents4"/>
            <w:tabs>
              <w:tab w:val="clear" w:pos="8176"/>
              <w:tab w:val="right" w:pos="9026" w:leader="dot"/>
            </w:tabs>
            <w:rPr/>
          </w:pPr>
          <w:hyperlink w:anchor="__RefHeading___Toc3972097_1067777946">
            <w:r>
              <w:rPr>
                <w:webHidden/>
                <w:rStyle w:val="IndexLink"/>
                <w:rtl w:val="true"/>
              </w:rPr>
              <w:t>حضور اصل بعد از اقامۀ شهادت توسط فرع</w:t>
            </w:r>
            <w:r>
              <w:rPr>
                <w:rStyle w:val="IndexLink"/>
                <w:rtl w:val="true"/>
              </w:rPr>
              <w:tab/>
            </w:r>
            <w:r>
              <w:rPr>
                <w:rStyle w:val="IndexLink"/>
              </w:rPr>
              <w:t>272</w:t>
            </w:r>
          </w:hyperlink>
        </w:p>
        <w:p>
          <w:pPr>
            <w:pStyle w:val="Contents4"/>
            <w:tabs>
              <w:tab w:val="clear" w:pos="8176"/>
              <w:tab w:val="right" w:pos="9026" w:leader="dot"/>
            </w:tabs>
            <w:rPr/>
          </w:pPr>
          <w:hyperlink w:anchor="__RefHeading___Toc3972099_1067777946">
            <w:r>
              <w:rPr>
                <w:webHidden/>
                <w:rStyle w:val="IndexLink"/>
                <w:rtl w:val="true"/>
              </w:rPr>
              <w:t>عدم ثبوت احكام تعارض در شهادت</w:t>
            </w:r>
            <w:r>
              <w:rPr>
                <w:rStyle w:val="IndexLink"/>
                <w:rtl w:val="true"/>
              </w:rPr>
              <w:tab/>
            </w:r>
            <w:r>
              <w:rPr>
                <w:rStyle w:val="IndexLink"/>
              </w:rPr>
              <w:t>273</w:t>
            </w:r>
          </w:hyperlink>
        </w:p>
        <w:p>
          <w:pPr>
            <w:pStyle w:val="Contents4"/>
            <w:tabs>
              <w:tab w:val="clear" w:pos="8176"/>
              <w:tab w:val="right" w:pos="9026" w:leader="dot"/>
            </w:tabs>
            <w:rPr/>
          </w:pPr>
          <w:hyperlink w:anchor="__RefHeading___Toc3972101_1067777946">
            <w:r>
              <w:rPr>
                <w:webHidden/>
                <w:rStyle w:val="IndexLink"/>
                <w:rtl w:val="true"/>
              </w:rPr>
              <w:t>حضور اصل بعد از شهادت دو فرع</w:t>
            </w:r>
            <w:r>
              <w:rPr>
                <w:rStyle w:val="IndexLink"/>
                <w:rtl w:val="true"/>
              </w:rPr>
              <w:tab/>
            </w:r>
            <w:r>
              <w:rPr>
                <w:rStyle w:val="IndexLink"/>
              </w:rPr>
              <w:t>273</w:t>
            </w:r>
          </w:hyperlink>
        </w:p>
        <w:p>
          <w:pPr>
            <w:pStyle w:val="Contents4"/>
            <w:tabs>
              <w:tab w:val="clear" w:pos="8176"/>
              <w:tab w:val="right" w:pos="9026" w:leader="dot"/>
            </w:tabs>
            <w:rPr/>
          </w:pPr>
          <w:hyperlink w:anchor="__RefHeading___Toc3972103_1067777946">
            <w:r>
              <w:rPr>
                <w:webHidden/>
                <w:rStyle w:val="IndexLink"/>
                <w:rtl w:val="true"/>
              </w:rPr>
              <w:t>حصول عمى و جنون و غير آن در شاهد اصل</w:t>
            </w:r>
            <w:r>
              <w:rPr>
                <w:rStyle w:val="IndexLink"/>
                <w:rtl w:val="true"/>
              </w:rPr>
              <w:tab/>
            </w:r>
            <w:r>
              <w:rPr>
                <w:rStyle w:val="IndexLink"/>
              </w:rPr>
              <w:t>274</w:t>
            </w:r>
          </w:hyperlink>
        </w:p>
        <w:p>
          <w:pPr>
            <w:pStyle w:val="Contents4"/>
            <w:tabs>
              <w:tab w:val="clear" w:pos="8176"/>
              <w:tab w:val="right" w:pos="9026" w:leader="dot"/>
            </w:tabs>
            <w:rPr/>
          </w:pPr>
          <w:hyperlink w:anchor="__RefHeading___Toc3972105_1067777946">
            <w:r>
              <w:rPr>
                <w:webHidden/>
                <w:rStyle w:val="IndexLink"/>
                <w:rtl w:val="true"/>
              </w:rPr>
              <w:t>موارد قبول شهادت زنها بر شهادت</w:t>
            </w:r>
            <w:r>
              <w:rPr>
                <w:rStyle w:val="IndexLink"/>
                <w:rtl w:val="true"/>
              </w:rPr>
              <w:tab/>
            </w:r>
            <w:r>
              <w:rPr>
                <w:rStyle w:val="IndexLink"/>
              </w:rPr>
              <w:t>275</w:t>
            </w:r>
          </w:hyperlink>
        </w:p>
        <w:p>
          <w:pPr>
            <w:pStyle w:val="Contents4"/>
            <w:tabs>
              <w:tab w:val="clear" w:pos="8176"/>
              <w:tab w:val="right" w:pos="9026" w:leader="dot"/>
            </w:tabs>
            <w:rPr/>
          </w:pPr>
          <w:hyperlink w:anchor="__RefHeading___Toc3972107_1067777946">
            <w:r>
              <w:rPr>
                <w:webHidden/>
                <w:rStyle w:val="IndexLink"/>
                <w:rtl w:val="true"/>
              </w:rPr>
              <w:t>شهادت بر اقرار</w:t>
            </w:r>
            <w:r>
              <w:rPr>
                <w:rStyle w:val="IndexLink"/>
                <w:rtl w:val="true"/>
              </w:rPr>
              <w:tab/>
            </w:r>
            <w:r>
              <w:rPr>
                <w:rStyle w:val="IndexLink"/>
              </w:rPr>
              <w:t>275</w:t>
            </w:r>
          </w:hyperlink>
        </w:p>
        <w:p>
          <w:pPr>
            <w:pStyle w:val="Contents4"/>
            <w:tabs>
              <w:tab w:val="clear" w:pos="8176"/>
              <w:tab w:val="right" w:pos="9026" w:leader="dot"/>
            </w:tabs>
            <w:rPr/>
          </w:pPr>
          <w:hyperlink w:anchor="__RefHeading___Toc3972109_1067777946">
            <w:r>
              <w:rPr>
                <w:webHidden/>
                <w:rStyle w:val="IndexLink"/>
                <w:rtl w:val="true"/>
              </w:rPr>
              <w:t>تسميه و تعديل شاهد اصل</w:t>
            </w:r>
            <w:r>
              <w:rPr>
                <w:rStyle w:val="IndexLink"/>
                <w:rtl w:val="true"/>
              </w:rPr>
              <w:tab/>
            </w:r>
            <w:r>
              <w:rPr>
                <w:rStyle w:val="IndexLink"/>
              </w:rPr>
              <w:t>276</w:t>
            </w:r>
          </w:hyperlink>
        </w:p>
        <w:p>
          <w:pPr>
            <w:pStyle w:val="Contents4"/>
            <w:tabs>
              <w:tab w:val="clear" w:pos="8176"/>
              <w:tab w:val="right" w:pos="9026" w:leader="dot"/>
            </w:tabs>
            <w:rPr/>
          </w:pPr>
          <w:hyperlink w:anchor="__RefHeading___Toc3972111_1067777946">
            <w:r>
              <w:rPr>
                <w:webHidden/>
                <w:rStyle w:val="IndexLink"/>
                <w:rtl w:val="true"/>
              </w:rPr>
              <w:t>عدم اعتبار اربعه در شاهد فرع</w:t>
            </w:r>
            <w:r>
              <w:rPr>
                <w:rStyle w:val="IndexLink"/>
                <w:rtl w:val="true"/>
              </w:rPr>
              <w:tab/>
            </w:r>
            <w:r>
              <w:rPr>
                <w:rStyle w:val="IndexLink"/>
              </w:rPr>
              <w:t>276</w:t>
            </w:r>
          </w:hyperlink>
        </w:p>
        <w:p>
          <w:pPr>
            <w:pStyle w:val="Contents3"/>
            <w:tabs>
              <w:tab w:val="clear" w:pos="8459"/>
              <w:tab w:val="right" w:pos="9026" w:leader="dot"/>
            </w:tabs>
            <w:rPr/>
          </w:pPr>
          <w:hyperlink w:anchor="__RefHeading___Toc3972113_1067777946">
            <w:r>
              <w:rPr>
                <w:webHidden/>
                <w:rStyle w:val="IndexLink"/>
                <w:rtl w:val="true"/>
              </w:rPr>
              <w:t>فصل پنجم توارد شهود بر معناى واحد</w:t>
            </w:r>
            <w:r>
              <w:rPr>
                <w:rStyle w:val="IndexLink"/>
                <w:rtl w:val="true"/>
              </w:rPr>
              <w:tab/>
            </w:r>
            <w:r>
              <w:rPr>
                <w:rStyle w:val="IndexLink"/>
              </w:rPr>
              <w:t>277</w:t>
            </w:r>
          </w:hyperlink>
        </w:p>
        <w:p>
          <w:pPr>
            <w:pStyle w:val="Contents4"/>
            <w:tabs>
              <w:tab w:val="clear" w:pos="8176"/>
              <w:tab w:val="right" w:pos="9026" w:leader="dot"/>
            </w:tabs>
            <w:rPr/>
          </w:pPr>
          <w:hyperlink w:anchor="__RefHeading___Toc3972115_1067777946">
            <w:r>
              <w:rPr>
                <w:webHidden/>
                <w:rStyle w:val="IndexLink"/>
                <w:rtl w:val="true"/>
              </w:rPr>
              <w:t>اعتبار وحدت مضمون شهادت</w:t>
            </w:r>
            <w:r>
              <w:rPr>
                <w:rStyle w:val="IndexLink"/>
                <w:rtl w:val="true"/>
              </w:rPr>
              <w:tab/>
            </w:r>
            <w:r>
              <w:rPr>
                <w:rStyle w:val="IndexLink"/>
              </w:rPr>
              <w:t>277</w:t>
            </w:r>
          </w:hyperlink>
        </w:p>
        <w:p>
          <w:pPr>
            <w:pStyle w:val="Contents4"/>
            <w:tabs>
              <w:tab w:val="clear" w:pos="8176"/>
              <w:tab w:val="right" w:pos="9026" w:leader="dot"/>
            </w:tabs>
            <w:rPr/>
          </w:pPr>
          <w:hyperlink w:anchor="__RefHeading___Toc3972117_1067777946">
            <w:r>
              <w:rPr>
                <w:webHidden/>
                <w:rStyle w:val="IndexLink"/>
                <w:rtl w:val="true"/>
              </w:rPr>
              <w:t>اختلاف در زمان تحقق مورد شهادت</w:t>
            </w:r>
            <w:r>
              <w:rPr>
                <w:rStyle w:val="IndexLink"/>
                <w:rtl w:val="true"/>
              </w:rPr>
              <w:tab/>
            </w:r>
            <w:r>
              <w:rPr>
                <w:rStyle w:val="IndexLink"/>
              </w:rPr>
              <w:t>278</w:t>
            </w:r>
          </w:hyperlink>
        </w:p>
        <w:p>
          <w:pPr>
            <w:pStyle w:val="Contents4"/>
            <w:tabs>
              <w:tab w:val="clear" w:pos="8176"/>
              <w:tab w:val="right" w:pos="9026" w:leader="dot"/>
            </w:tabs>
            <w:rPr/>
          </w:pPr>
          <w:hyperlink w:anchor="__RefHeading___Toc3972119_1067777946">
            <w:r>
              <w:rPr>
                <w:webHidden/>
                <w:rStyle w:val="IndexLink"/>
                <w:rtl w:val="true"/>
              </w:rPr>
              <w:t>اختلاف در جنس و نوع مسروق</w:t>
            </w:r>
            <w:r>
              <w:rPr>
                <w:rStyle w:val="IndexLink"/>
                <w:rtl w:val="true"/>
              </w:rPr>
              <w:tab/>
            </w:r>
            <w:r>
              <w:rPr>
                <w:rStyle w:val="IndexLink"/>
              </w:rPr>
              <w:t>278</w:t>
            </w:r>
          </w:hyperlink>
        </w:p>
        <w:p>
          <w:pPr>
            <w:pStyle w:val="Contents5"/>
            <w:tabs>
              <w:tab w:val="clear" w:pos="7892"/>
              <w:tab w:val="right" w:pos="9026" w:leader="dot"/>
            </w:tabs>
            <w:rPr/>
          </w:pPr>
          <w:hyperlink w:anchor="__RefHeading___Toc3972121_1067777946">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3972123_1067777946">
            <w:r>
              <w:rPr>
                <w:webHidden/>
                <w:rStyle w:val="IndexLink"/>
                <w:rtl w:val="true"/>
              </w:rPr>
              <w:t>تعارض دو بيّنه</w:t>
            </w:r>
            <w:r>
              <w:rPr>
                <w:rStyle w:val="IndexLink"/>
                <w:rtl w:val="true"/>
              </w:rPr>
              <w:tab/>
            </w:r>
            <w:r>
              <w:rPr>
                <w:rStyle w:val="IndexLink"/>
              </w:rPr>
              <w:t>278</w:t>
            </w:r>
          </w:hyperlink>
        </w:p>
        <w:p>
          <w:pPr>
            <w:pStyle w:val="Contents4"/>
            <w:tabs>
              <w:tab w:val="clear" w:pos="8176"/>
              <w:tab w:val="right" w:pos="9026" w:leader="dot"/>
            </w:tabs>
            <w:rPr/>
          </w:pPr>
          <w:hyperlink w:anchor="__RefHeading___Toc3972125_1067777946">
            <w:r>
              <w:rPr>
                <w:webHidden/>
                <w:rStyle w:val="IndexLink"/>
                <w:rtl w:val="true"/>
              </w:rPr>
              <w:t>قبول يا عدم قبول مورد متّفق عليه در دو شهادت</w:t>
            </w:r>
            <w:r>
              <w:rPr>
                <w:rStyle w:val="IndexLink"/>
                <w:rtl w:val="true"/>
              </w:rPr>
              <w:tab/>
            </w:r>
            <w:r>
              <w:rPr>
                <w:rStyle w:val="IndexLink"/>
              </w:rPr>
              <w:t>279</w:t>
            </w:r>
          </w:hyperlink>
        </w:p>
        <w:p>
          <w:pPr>
            <w:pStyle w:val="Contents4"/>
            <w:tabs>
              <w:tab w:val="clear" w:pos="8176"/>
              <w:tab w:val="right" w:pos="9026" w:leader="dot"/>
            </w:tabs>
            <w:rPr/>
          </w:pPr>
          <w:hyperlink w:anchor="__RefHeading___Toc3972127_1067777946">
            <w:r>
              <w:rPr>
                <w:webHidden/>
                <w:rStyle w:val="IndexLink"/>
                <w:rtl w:val="true"/>
              </w:rPr>
              <w:t>شهادت يكى بر هزار و ديگرى بر دو هزار</w:t>
            </w:r>
            <w:r>
              <w:rPr>
                <w:rStyle w:val="IndexLink"/>
                <w:rtl w:val="true"/>
              </w:rPr>
              <w:tab/>
            </w:r>
            <w:r>
              <w:rPr>
                <w:rStyle w:val="IndexLink"/>
              </w:rPr>
              <w:t>280</w:t>
            </w:r>
          </w:hyperlink>
        </w:p>
        <w:p>
          <w:pPr>
            <w:pStyle w:val="Contents4"/>
            <w:tabs>
              <w:tab w:val="clear" w:pos="8176"/>
              <w:tab w:val="right" w:pos="9026" w:leader="dot"/>
            </w:tabs>
            <w:rPr/>
          </w:pPr>
          <w:hyperlink w:anchor="__RefHeading___Toc3972129_1067777946">
            <w:r>
              <w:rPr>
                <w:webHidden/>
                <w:rStyle w:val="IndexLink"/>
                <w:rtl w:val="true"/>
              </w:rPr>
              <w:t>وظيفه در صورت سقوط بينتين</w:t>
            </w:r>
            <w:r>
              <w:rPr>
                <w:rStyle w:val="IndexLink"/>
                <w:rtl w:val="true"/>
              </w:rPr>
              <w:tab/>
            </w:r>
            <w:r>
              <w:rPr>
                <w:rStyle w:val="IndexLink"/>
              </w:rPr>
              <w:t>280</w:t>
            </w:r>
          </w:hyperlink>
        </w:p>
        <w:p>
          <w:pPr>
            <w:pStyle w:val="Contents4"/>
            <w:tabs>
              <w:tab w:val="clear" w:pos="8176"/>
              <w:tab w:val="right" w:pos="9026" w:leader="dot"/>
            </w:tabs>
            <w:rPr/>
          </w:pPr>
          <w:hyperlink w:anchor="__RefHeading___Toc3972131_1067777946">
            <w:r>
              <w:rPr>
                <w:webHidden/>
                <w:rStyle w:val="IndexLink"/>
                <w:rtl w:val="true"/>
              </w:rPr>
              <w:t>شهادت يكى بر وقوع فعلى در صبح و ديگرى در شب</w:t>
            </w:r>
            <w:r>
              <w:rPr>
                <w:rStyle w:val="IndexLink"/>
                <w:rtl w:val="true"/>
              </w:rPr>
              <w:tab/>
            </w:r>
            <w:r>
              <w:rPr>
                <w:rStyle w:val="IndexLink"/>
              </w:rPr>
              <w:t>281</w:t>
            </w:r>
          </w:hyperlink>
        </w:p>
        <w:p>
          <w:pPr>
            <w:pStyle w:val="Contents4"/>
            <w:tabs>
              <w:tab w:val="clear" w:pos="8176"/>
              <w:tab w:val="right" w:pos="9026" w:leader="dot"/>
            </w:tabs>
            <w:rPr/>
          </w:pPr>
          <w:hyperlink w:anchor="__RefHeading___Toc3972133_1067777946">
            <w:r>
              <w:rPr>
                <w:webHidden/>
                <w:rStyle w:val="IndexLink"/>
                <w:rtl w:val="true"/>
              </w:rPr>
              <w:t>شهادت يكى بر اقرار به عربيّت و ديگرى بر اقرار به عجميّت</w:t>
            </w:r>
            <w:r>
              <w:rPr>
                <w:rStyle w:val="IndexLink"/>
                <w:rtl w:val="true"/>
              </w:rPr>
              <w:tab/>
            </w:r>
            <w:r>
              <w:rPr>
                <w:rStyle w:val="IndexLink"/>
              </w:rPr>
              <w:t>281</w:t>
            </w:r>
          </w:hyperlink>
        </w:p>
        <w:p>
          <w:pPr>
            <w:pStyle w:val="Contents4"/>
            <w:tabs>
              <w:tab w:val="clear" w:pos="8176"/>
              <w:tab w:val="right" w:pos="9026" w:leader="dot"/>
            </w:tabs>
            <w:rPr/>
          </w:pPr>
          <w:hyperlink w:anchor="__RefHeading___Toc3972135_1067777946">
            <w:r>
              <w:rPr>
                <w:webHidden/>
                <w:rStyle w:val="IndexLink"/>
                <w:rtl w:val="true"/>
              </w:rPr>
              <w:t>فرض ديگر اختلاف در زمان</w:t>
            </w:r>
            <w:r>
              <w:rPr>
                <w:rStyle w:val="IndexLink"/>
                <w:rtl w:val="true"/>
              </w:rPr>
              <w:tab/>
            </w:r>
            <w:r>
              <w:rPr>
                <w:rStyle w:val="IndexLink"/>
              </w:rPr>
              <w:t>282</w:t>
            </w:r>
          </w:hyperlink>
        </w:p>
        <w:p>
          <w:pPr>
            <w:pStyle w:val="Contents4"/>
            <w:tabs>
              <w:tab w:val="clear" w:pos="8176"/>
              <w:tab w:val="right" w:pos="9026" w:leader="dot"/>
            </w:tabs>
            <w:rPr/>
          </w:pPr>
          <w:hyperlink w:anchor="__RefHeading___Toc3972137_1067777946">
            <w:r>
              <w:rPr>
                <w:webHidden/>
                <w:rStyle w:val="IndexLink"/>
                <w:rtl w:val="true"/>
              </w:rPr>
              <w:t>فرض قابليت براى تعدّد</w:t>
            </w:r>
            <w:r>
              <w:rPr>
                <w:rStyle w:val="IndexLink"/>
                <w:rtl w:val="true"/>
              </w:rPr>
              <w:tab/>
            </w:r>
            <w:r>
              <w:rPr>
                <w:rStyle w:val="IndexLink"/>
              </w:rPr>
              <w:t>282</w:t>
            </w:r>
          </w:hyperlink>
        </w:p>
        <w:p>
          <w:pPr>
            <w:pStyle w:val="Contents4"/>
            <w:tabs>
              <w:tab w:val="clear" w:pos="8176"/>
              <w:tab w:val="right" w:pos="9026" w:leader="dot"/>
            </w:tabs>
            <w:rPr/>
          </w:pPr>
          <w:hyperlink w:anchor="__RefHeading___Toc3972139_1067777946">
            <w:r>
              <w:rPr>
                <w:webHidden/>
                <w:rStyle w:val="IndexLink"/>
                <w:rtl w:val="true"/>
              </w:rPr>
              <w:t>شهادت دو نفر بر فعلى و دو نفر ديگر بر غير آن</w:t>
            </w:r>
            <w:r>
              <w:rPr>
                <w:rStyle w:val="IndexLink"/>
                <w:rtl w:val="true"/>
              </w:rPr>
              <w:tab/>
            </w:r>
            <w:r>
              <w:rPr>
                <w:rStyle w:val="IndexLink"/>
              </w:rPr>
              <w:t>282</w:t>
            </w:r>
          </w:hyperlink>
        </w:p>
        <w:p>
          <w:pPr>
            <w:pStyle w:val="Contents3"/>
            <w:tabs>
              <w:tab w:val="clear" w:pos="8459"/>
              <w:tab w:val="right" w:pos="9026" w:leader="dot"/>
            </w:tabs>
            <w:rPr/>
          </w:pPr>
          <w:hyperlink w:anchor="__RefHeading___Toc3972141_1067777946">
            <w:r>
              <w:rPr>
                <w:webHidden/>
                <w:rStyle w:val="IndexLink"/>
                <w:rtl w:val="true"/>
              </w:rPr>
              <w:t>فصل ششم عوارض شهادت</w:t>
            </w:r>
            <w:r>
              <w:rPr>
                <w:rStyle w:val="IndexLink"/>
                <w:rtl w:val="true"/>
              </w:rPr>
              <w:tab/>
            </w:r>
            <w:r>
              <w:rPr>
                <w:rStyle w:val="IndexLink"/>
              </w:rPr>
              <w:t>283</w:t>
            </w:r>
          </w:hyperlink>
        </w:p>
        <w:p>
          <w:pPr>
            <w:pStyle w:val="Contents4"/>
            <w:tabs>
              <w:tab w:val="clear" w:pos="8176"/>
              <w:tab w:val="right" w:pos="9026" w:leader="dot"/>
            </w:tabs>
            <w:rPr/>
          </w:pPr>
          <w:hyperlink w:anchor="__RefHeading___Toc3972143_1067777946">
            <w:r>
              <w:rPr>
                <w:webHidden/>
                <w:rStyle w:val="IndexLink"/>
                <w:rtl w:val="true"/>
              </w:rPr>
              <w:t>فوت يا جنون شاهد بعد از شهادت و قبل از حكم</w:t>
            </w:r>
            <w:r>
              <w:rPr>
                <w:rStyle w:val="IndexLink"/>
                <w:rtl w:val="true"/>
              </w:rPr>
              <w:tab/>
            </w:r>
            <w:r>
              <w:rPr>
                <w:rStyle w:val="IndexLink"/>
              </w:rPr>
              <w:t>283</w:t>
            </w:r>
          </w:hyperlink>
        </w:p>
        <w:p>
          <w:pPr>
            <w:pStyle w:val="Contents4"/>
            <w:tabs>
              <w:tab w:val="clear" w:pos="8176"/>
              <w:tab w:val="right" w:pos="9026" w:leader="dot"/>
            </w:tabs>
            <w:rPr/>
          </w:pPr>
          <w:hyperlink w:anchor="__RefHeading___Toc3972145_1067777946">
            <w:r>
              <w:rPr>
                <w:webHidden/>
                <w:rStyle w:val="IndexLink"/>
                <w:rtl w:val="true"/>
              </w:rPr>
              <w:t>فسق شاهد بعد از شهادت و قبل از حكم</w:t>
            </w:r>
            <w:r>
              <w:rPr>
                <w:rStyle w:val="IndexLink"/>
                <w:rtl w:val="true"/>
              </w:rPr>
              <w:tab/>
            </w:r>
            <w:r>
              <w:rPr>
                <w:rStyle w:val="IndexLink"/>
              </w:rPr>
              <w:t>283</w:t>
            </w:r>
          </w:hyperlink>
        </w:p>
        <w:p>
          <w:pPr>
            <w:pStyle w:val="Contents4"/>
            <w:tabs>
              <w:tab w:val="clear" w:pos="8176"/>
              <w:tab w:val="right" w:pos="9026" w:leader="dot"/>
            </w:tabs>
            <w:rPr/>
          </w:pPr>
          <w:hyperlink w:anchor="__RefHeading___Toc3972147_1067777946">
            <w:r>
              <w:rPr>
                <w:webHidden/>
                <w:rStyle w:val="IndexLink"/>
                <w:rtl w:val="true"/>
              </w:rPr>
              <w:t>شهادت مدّعى براى نفس</w:t>
            </w:r>
            <w:r>
              <w:rPr>
                <w:rStyle w:val="IndexLink"/>
                <w:rtl w:val="true"/>
              </w:rPr>
              <w:tab/>
            </w:r>
            <w:r>
              <w:rPr>
                <w:rStyle w:val="IndexLink"/>
              </w:rPr>
              <w:t>284</w:t>
            </w:r>
          </w:hyperlink>
        </w:p>
        <w:p>
          <w:pPr>
            <w:pStyle w:val="Contents4"/>
            <w:tabs>
              <w:tab w:val="clear" w:pos="8176"/>
              <w:tab w:val="right" w:pos="9026" w:leader="dot"/>
            </w:tabs>
            <w:rPr/>
          </w:pPr>
          <w:hyperlink w:anchor="__RefHeading___Toc3972149_1067777946">
            <w:r>
              <w:rPr>
                <w:webHidden/>
                <w:rStyle w:val="IndexLink"/>
                <w:rtl w:val="true"/>
              </w:rPr>
              <w:t>رجوع شاهد از شهادت</w:t>
            </w:r>
            <w:r>
              <w:rPr>
                <w:rStyle w:val="IndexLink"/>
                <w:rtl w:val="true"/>
              </w:rPr>
              <w:tab/>
            </w:r>
            <w:r>
              <w:rPr>
                <w:rStyle w:val="IndexLink"/>
              </w:rPr>
              <w:t>284</w:t>
            </w:r>
          </w:hyperlink>
        </w:p>
        <w:p>
          <w:pPr>
            <w:pStyle w:val="Contents5"/>
            <w:tabs>
              <w:tab w:val="clear" w:pos="7892"/>
              <w:tab w:val="right" w:pos="9026" w:leader="dot"/>
            </w:tabs>
            <w:rPr/>
          </w:pPr>
          <w:hyperlink w:anchor="__RefHeading___Toc3972151_1067777946">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3972153_1067777946">
            <w:r>
              <w:rPr>
                <w:webHidden/>
                <w:rStyle w:val="IndexLink"/>
                <w:rtl w:val="true"/>
              </w:rPr>
              <w:t>حكم رجوع كنندۀ از شهادت</w:t>
            </w:r>
            <w:r>
              <w:rPr>
                <w:rStyle w:val="IndexLink"/>
                <w:rtl w:val="true"/>
              </w:rPr>
              <w:tab/>
            </w:r>
            <w:r>
              <w:rPr>
                <w:rStyle w:val="IndexLink"/>
              </w:rPr>
              <w:t>284</w:t>
            </w:r>
          </w:hyperlink>
        </w:p>
        <w:p>
          <w:pPr>
            <w:pStyle w:val="Contents5"/>
            <w:tabs>
              <w:tab w:val="clear" w:pos="7892"/>
              <w:tab w:val="right" w:pos="9026" w:leader="dot"/>
            </w:tabs>
            <w:rPr/>
          </w:pPr>
          <w:hyperlink w:anchor="__RefHeading___Toc3972155_1067777946">
            <w:r>
              <w:rPr>
                <w:webHidden/>
                <w:rStyle w:val="IndexLink"/>
                <w:rtl w:val="true"/>
              </w:rPr>
              <w:t>رجوع بين حكم و استيفا</w:t>
            </w:r>
            <w:r>
              <w:rPr>
                <w:rStyle w:val="IndexLink"/>
                <w:rtl w:val="true"/>
              </w:rPr>
              <w:tab/>
            </w:r>
            <w:r>
              <w:rPr>
                <w:rStyle w:val="IndexLink"/>
              </w:rPr>
              <w:t>285</w:t>
            </w:r>
          </w:hyperlink>
        </w:p>
        <w:p>
          <w:pPr>
            <w:pStyle w:val="Contents4"/>
            <w:tabs>
              <w:tab w:val="clear" w:pos="8176"/>
              <w:tab w:val="right" w:pos="9026" w:leader="dot"/>
            </w:tabs>
            <w:rPr/>
          </w:pPr>
          <w:hyperlink w:anchor="__RefHeading___Toc3972157_1067777946">
            <w:r>
              <w:rPr>
                <w:webHidden/>
                <w:rStyle w:val="IndexLink"/>
                <w:rtl w:val="true"/>
              </w:rPr>
              <w:t>رجوع بعد از استيفا</w:t>
            </w:r>
            <w:r>
              <w:rPr>
                <w:rStyle w:val="IndexLink"/>
                <w:rtl w:val="true"/>
              </w:rPr>
              <w:tab/>
            </w:r>
            <w:r>
              <w:rPr>
                <w:rStyle w:val="IndexLink"/>
              </w:rPr>
              <w:t>286</w:t>
            </w:r>
          </w:hyperlink>
        </w:p>
        <w:p>
          <w:pPr>
            <w:pStyle w:val="Contents5"/>
            <w:tabs>
              <w:tab w:val="clear" w:pos="7892"/>
              <w:tab w:val="right" w:pos="9026" w:leader="dot"/>
            </w:tabs>
            <w:rPr/>
          </w:pPr>
          <w:hyperlink w:anchor="__RefHeading___Toc3972159_1067777946">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3972161_1067777946">
            <w:r>
              <w:rPr>
                <w:webHidden/>
                <w:rStyle w:val="IndexLink"/>
                <w:rtl w:val="true"/>
              </w:rPr>
              <w:t>اقرار بعضى بر عمد و بعض ديگر بر خطأ</w:t>
            </w:r>
            <w:r>
              <w:rPr>
                <w:rStyle w:val="IndexLink"/>
                <w:rtl w:val="true"/>
              </w:rPr>
              <w:tab/>
            </w:r>
            <w:r>
              <w:rPr>
                <w:rStyle w:val="IndexLink"/>
              </w:rPr>
              <w:t>286</w:t>
            </w:r>
          </w:hyperlink>
        </w:p>
        <w:p>
          <w:pPr>
            <w:pStyle w:val="Contents5"/>
            <w:tabs>
              <w:tab w:val="clear" w:pos="7892"/>
              <w:tab w:val="right" w:pos="9026" w:leader="dot"/>
            </w:tabs>
            <w:rPr/>
          </w:pPr>
          <w:hyperlink w:anchor="__RefHeading___Toc3972163_1067777946">
            <w:r>
              <w:rPr>
                <w:webHidden/>
                <w:rStyle w:val="IndexLink"/>
                <w:rtl w:val="true"/>
              </w:rPr>
              <w:t>رجوع شهود از شهادت بعد از رجم</w:t>
            </w:r>
            <w:r>
              <w:rPr>
                <w:rStyle w:val="IndexLink"/>
                <w:rtl w:val="true"/>
              </w:rPr>
              <w:tab/>
            </w:r>
            <w:r>
              <w:rPr>
                <w:rStyle w:val="IndexLink"/>
              </w:rPr>
              <w:t>286</w:t>
            </w:r>
          </w:hyperlink>
        </w:p>
        <w:p>
          <w:pPr>
            <w:pStyle w:val="Contents5"/>
            <w:tabs>
              <w:tab w:val="clear" w:pos="7892"/>
              <w:tab w:val="right" w:pos="9026" w:leader="dot"/>
            </w:tabs>
            <w:rPr/>
          </w:pPr>
          <w:hyperlink w:anchor="__RefHeading___Toc3972165_1067777946">
            <w:r>
              <w:rPr>
                <w:webHidden/>
                <w:rStyle w:val="IndexLink"/>
                <w:rtl w:val="true"/>
              </w:rPr>
              <w:t>ادّعاى كذب با گمان عدم قبول شهادت</w:t>
            </w:r>
            <w:r>
              <w:rPr>
                <w:rStyle w:val="IndexLink"/>
                <w:rtl w:val="true"/>
              </w:rPr>
              <w:tab/>
            </w:r>
            <w:r>
              <w:rPr>
                <w:rStyle w:val="IndexLink"/>
              </w:rPr>
              <w:t>287</w:t>
            </w:r>
          </w:hyperlink>
        </w:p>
        <w:p>
          <w:pPr>
            <w:pStyle w:val="Contents5"/>
            <w:tabs>
              <w:tab w:val="clear" w:pos="7892"/>
              <w:tab w:val="right" w:pos="9026" w:leader="dot"/>
            </w:tabs>
            <w:rPr/>
          </w:pPr>
          <w:hyperlink w:anchor="__RefHeading___Toc3972167_1067777946">
            <w:r>
              <w:rPr>
                <w:webHidden/>
                <w:rStyle w:val="IndexLink"/>
                <w:rtl w:val="true"/>
              </w:rPr>
              <w:t>زدن مريض و فوت او</w:t>
            </w:r>
            <w:r>
              <w:rPr>
                <w:rStyle w:val="IndexLink"/>
                <w:rtl w:val="true"/>
              </w:rPr>
              <w:tab/>
            </w:r>
            <w:r>
              <w:rPr>
                <w:rStyle w:val="IndexLink"/>
              </w:rPr>
              <w:t>287</w:t>
            </w:r>
          </w:hyperlink>
        </w:p>
        <w:p>
          <w:pPr>
            <w:pStyle w:val="Contents5"/>
            <w:tabs>
              <w:tab w:val="clear" w:pos="7892"/>
              <w:tab w:val="right" w:pos="9026" w:leader="dot"/>
            </w:tabs>
            <w:rPr/>
          </w:pPr>
          <w:hyperlink w:anchor="__RefHeading___Toc3972169_1067777946">
            <w:r>
              <w:rPr>
                <w:webHidden/>
                <w:rStyle w:val="IndexLink"/>
                <w:rtl w:val="true"/>
              </w:rPr>
              <w:t>تصديق فرد راجع توسط بقيۀ شهود</w:t>
            </w:r>
            <w:r>
              <w:rPr>
                <w:rStyle w:val="IndexLink"/>
                <w:rtl w:val="true"/>
              </w:rPr>
              <w:tab/>
            </w:r>
            <w:r>
              <w:rPr>
                <w:rStyle w:val="IndexLink"/>
              </w:rPr>
              <w:t>287</w:t>
            </w:r>
          </w:hyperlink>
        </w:p>
        <w:p>
          <w:pPr>
            <w:pStyle w:val="Contents5"/>
            <w:tabs>
              <w:tab w:val="clear" w:pos="7892"/>
              <w:tab w:val="right" w:pos="9026" w:leader="dot"/>
            </w:tabs>
            <w:rPr/>
          </w:pPr>
          <w:hyperlink w:anchor="__RefHeading___Toc3972171_1067777946">
            <w:r>
              <w:rPr>
                <w:webHidden/>
                <w:rStyle w:val="IndexLink"/>
                <w:rtl w:val="true"/>
              </w:rPr>
              <w:t>شهادت بر عتق يا تدبير و رجوع از آن</w:t>
            </w:r>
            <w:r>
              <w:rPr>
                <w:rStyle w:val="IndexLink"/>
                <w:rtl w:val="true"/>
              </w:rPr>
              <w:tab/>
            </w:r>
            <w:r>
              <w:rPr>
                <w:rStyle w:val="IndexLink"/>
              </w:rPr>
              <w:t>288</w:t>
            </w:r>
          </w:hyperlink>
        </w:p>
        <w:p>
          <w:pPr>
            <w:pStyle w:val="Contents5"/>
            <w:tabs>
              <w:tab w:val="clear" w:pos="7892"/>
              <w:tab w:val="right" w:pos="9026" w:leader="dot"/>
            </w:tabs>
            <w:rPr/>
          </w:pPr>
          <w:hyperlink w:anchor="__RefHeading___Toc3972173_1067777946">
            <w:r>
              <w:rPr>
                <w:webHidden/>
                <w:rStyle w:val="IndexLink"/>
                <w:rtl w:val="true"/>
              </w:rPr>
              <w:t>رجوع از شهادت بر كتابت</w:t>
            </w:r>
            <w:r>
              <w:rPr>
                <w:rStyle w:val="IndexLink"/>
                <w:rtl w:val="true"/>
              </w:rPr>
              <w:tab/>
            </w:r>
            <w:r>
              <w:rPr>
                <w:rStyle w:val="IndexLink"/>
              </w:rPr>
              <w:t>288</w:t>
            </w:r>
          </w:hyperlink>
        </w:p>
        <w:p>
          <w:pPr>
            <w:pStyle w:val="Contents5"/>
            <w:tabs>
              <w:tab w:val="clear" w:pos="7892"/>
              <w:tab w:val="right" w:pos="9026" w:leader="dot"/>
            </w:tabs>
            <w:rPr/>
          </w:pPr>
          <w:hyperlink w:anchor="__RefHeading___Toc3972175_1067777946">
            <w:r>
              <w:rPr>
                <w:webHidden/>
                <w:rStyle w:val="IndexLink"/>
                <w:rtl w:val="true"/>
              </w:rPr>
              <w:t>شهادت بر وقف مسجد و رجوع از آن</w:t>
            </w:r>
            <w:r>
              <w:rPr>
                <w:rStyle w:val="IndexLink"/>
                <w:rtl w:val="true"/>
              </w:rPr>
              <w:tab/>
            </w:r>
            <w:r>
              <w:rPr>
                <w:rStyle w:val="IndexLink"/>
              </w:rPr>
              <w:t>289</w:t>
            </w:r>
          </w:hyperlink>
        </w:p>
        <w:p>
          <w:pPr>
            <w:pStyle w:val="Contents4"/>
            <w:tabs>
              <w:tab w:val="clear" w:pos="8176"/>
              <w:tab w:val="right" w:pos="9026" w:leader="dot"/>
            </w:tabs>
            <w:rPr/>
          </w:pPr>
          <w:hyperlink w:anchor="__RefHeading___Toc3972177_1067777946">
            <w:r>
              <w:rPr>
                <w:webHidden/>
                <w:rStyle w:val="IndexLink"/>
                <w:rtl w:val="true"/>
              </w:rPr>
              <w:t>اگر ثابت شود كه شهادت باطل بوده است</w:t>
            </w:r>
            <w:r>
              <w:rPr>
                <w:rStyle w:val="IndexLink"/>
                <w:rtl w:val="true"/>
              </w:rPr>
              <w:tab/>
            </w:r>
            <w:r>
              <w:rPr>
                <w:rStyle w:val="IndexLink"/>
              </w:rPr>
              <w:t>289</w:t>
            </w:r>
          </w:hyperlink>
        </w:p>
        <w:p>
          <w:pPr>
            <w:pStyle w:val="Contents4"/>
            <w:tabs>
              <w:tab w:val="clear" w:pos="8176"/>
              <w:tab w:val="right" w:pos="9026" w:leader="dot"/>
            </w:tabs>
            <w:rPr/>
          </w:pPr>
          <w:hyperlink w:anchor="__RefHeading___Toc3972179_1067777946">
            <w:r>
              <w:rPr>
                <w:webHidden/>
                <w:rStyle w:val="IndexLink"/>
                <w:rtl w:val="true"/>
              </w:rPr>
              <w:t>رجوع از شهادت بر طلاق</w:t>
            </w:r>
            <w:r>
              <w:rPr>
                <w:rStyle w:val="IndexLink"/>
                <w:rtl w:val="true"/>
              </w:rPr>
              <w:tab/>
            </w:r>
            <w:r>
              <w:rPr>
                <w:rStyle w:val="IndexLink"/>
              </w:rPr>
              <w:t>290</w:t>
            </w:r>
          </w:hyperlink>
        </w:p>
        <w:p>
          <w:pPr>
            <w:pStyle w:val="Contents4"/>
            <w:tabs>
              <w:tab w:val="clear" w:pos="8176"/>
              <w:tab w:val="right" w:pos="9026" w:leader="dot"/>
            </w:tabs>
            <w:rPr/>
          </w:pPr>
          <w:hyperlink w:anchor="__RefHeading___Toc3972181_1067777946">
            <w:r>
              <w:rPr>
                <w:webHidden/>
                <w:rStyle w:val="IndexLink"/>
                <w:rtl w:val="true"/>
              </w:rPr>
              <w:t>رجوع از شهادت بر نكاح زن</w:t>
            </w:r>
            <w:r>
              <w:rPr>
                <w:rStyle w:val="IndexLink"/>
                <w:rtl w:val="true"/>
              </w:rPr>
              <w:tab/>
            </w:r>
            <w:r>
              <w:rPr>
                <w:rStyle w:val="IndexLink"/>
              </w:rPr>
              <w:t>291</w:t>
            </w:r>
          </w:hyperlink>
        </w:p>
        <w:p>
          <w:pPr>
            <w:pStyle w:val="Contents4"/>
            <w:tabs>
              <w:tab w:val="clear" w:pos="8176"/>
              <w:tab w:val="right" w:pos="9026" w:leader="dot"/>
            </w:tabs>
            <w:rPr/>
          </w:pPr>
          <w:hyperlink w:anchor="__RefHeading___Toc3972183_1067777946">
            <w:r>
              <w:rPr>
                <w:webHidden/>
                <w:rStyle w:val="IndexLink"/>
                <w:rtl w:val="true"/>
              </w:rPr>
              <w:t>رجوع از شهادت به عتق زوجه</w:t>
            </w:r>
            <w:r>
              <w:rPr>
                <w:rStyle w:val="IndexLink"/>
                <w:rtl w:val="true"/>
              </w:rPr>
              <w:tab/>
            </w:r>
            <w:r>
              <w:rPr>
                <w:rStyle w:val="IndexLink"/>
              </w:rPr>
              <w:t>291</w:t>
            </w:r>
          </w:hyperlink>
        </w:p>
        <w:p>
          <w:pPr>
            <w:pStyle w:val="Contents4"/>
            <w:tabs>
              <w:tab w:val="clear" w:pos="8176"/>
              <w:tab w:val="right" w:pos="9026" w:leader="dot"/>
            </w:tabs>
            <w:rPr/>
          </w:pPr>
          <w:hyperlink w:anchor="__RefHeading___Toc3972185_1067777946">
            <w:r>
              <w:rPr>
                <w:webHidden/>
                <w:rStyle w:val="IndexLink"/>
                <w:rtl w:val="true"/>
              </w:rPr>
              <w:t>رجوع از شهادت بر رضاع موجب حرمت</w:t>
            </w:r>
            <w:r>
              <w:rPr>
                <w:rStyle w:val="IndexLink"/>
                <w:rtl w:val="true"/>
              </w:rPr>
              <w:tab/>
            </w:r>
            <w:r>
              <w:rPr>
                <w:rStyle w:val="IndexLink"/>
              </w:rPr>
              <w:t>292</w:t>
            </w:r>
          </w:hyperlink>
        </w:p>
        <w:p>
          <w:pPr>
            <w:pStyle w:val="Contents4"/>
            <w:tabs>
              <w:tab w:val="clear" w:pos="8176"/>
              <w:tab w:val="right" w:pos="9026" w:leader="dot"/>
            </w:tabs>
            <w:rPr/>
          </w:pPr>
          <w:hyperlink w:anchor="__RefHeading___Toc3972187_1067777946">
            <w:r>
              <w:rPr>
                <w:webHidden/>
                <w:rStyle w:val="IndexLink"/>
                <w:rtl w:val="true"/>
              </w:rPr>
              <w:t>فروعى در اين باب مذكور مى شود</w:t>
            </w:r>
            <w:r>
              <w:rPr>
                <w:rStyle w:val="IndexLink"/>
                <w:rtl w:val="true"/>
              </w:rPr>
              <w:tab/>
            </w:r>
            <w:r>
              <w:rPr>
                <w:rStyle w:val="IndexLink"/>
              </w:rPr>
              <w:t>292</w:t>
            </w:r>
          </w:hyperlink>
        </w:p>
        <w:p>
          <w:pPr>
            <w:pStyle w:val="Contents5"/>
            <w:tabs>
              <w:tab w:val="clear" w:pos="7892"/>
              <w:tab w:val="right" w:pos="9026" w:leader="dot"/>
            </w:tabs>
            <w:rPr/>
          </w:pPr>
          <w:hyperlink w:anchor="__RefHeading___Toc3972189_1067777946">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3972191_1067777946">
            <w:r>
              <w:rPr>
                <w:webHidden/>
                <w:rStyle w:val="IndexLink"/>
                <w:rtl w:val="true"/>
              </w:rPr>
              <w:t>ضمان در فرض رجوع از شهادت ماليّه</w:t>
            </w:r>
            <w:r>
              <w:rPr>
                <w:rStyle w:val="IndexLink"/>
                <w:rtl w:val="true"/>
              </w:rPr>
              <w:tab/>
            </w:r>
            <w:r>
              <w:rPr>
                <w:rStyle w:val="IndexLink"/>
              </w:rPr>
              <w:t>292</w:t>
            </w:r>
          </w:hyperlink>
        </w:p>
        <w:p>
          <w:pPr>
            <w:pStyle w:val="Contents6"/>
            <w:tabs>
              <w:tab w:val="clear" w:pos="7609"/>
              <w:tab w:val="right" w:pos="9026" w:leader="dot"/>
            </w:tabs>
            <w:rPr/>
          </w:pPr>
          <w:hyperlink w:anchor="__RefHeading___Toc3972193_1067777946">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3972195_1067777946">
            <w:r>
              <w:rPr>
                <w:webHidden/>
                <w:rStyle w:val="IndexLink"/>
                <w:rtl w:val="true"/>
              </w:rPr>
              <w:t>رجوع يك يا چند نفر از شش شاهد بر زنا</w:t>
            </w:r>
            <w:r>
              <w:rPr>
                <w:rStyle w:val="IndexLink"/>
                <w:rtl w:val="true"/>
              </w:rPr>
              <w:tab/>
            </w:r>
            <w:r>
              <w:rPr>
                <w:rStyle w:val="IndexLink"/>
              </w:rPr>
              <w:t>293</w:t>
            </w:r>
          </w:hyperlink>
        </w:p>
        <w:p>
          <w:pPr>
            <w:pStyle w:val="Contents5"/>
            <w:tabs>
              <w:tab w:val="clear" w:pos="7892"/>
              <w:tab w:val="right" w:pos="9026" w:leader="dot"/>
            </w:tabs>
            <w:rPr/>
          </w:pPr>
          <w:hyperlink w:anchor="__RefHeading___Toc3972197_1067777946">
            <w:r>
              <w:rPr>
                <w:webHidden/>
                <w:rStyle w:val="IndexLink"/>
                <w:rtl w:val="true"/>
              </w:rPr>
              <w:t>رجوع سه نفر در امرى كه دو نفر كافى است</w:t>
            </w:r>
            <w:r>
              <w:rPr>
                <w:rStyle w:val="IndexLink"/>
                <w:rtl w:val="true"/>
              </w:rPr>
              <w:tab/>
            </w:r>
            <w:r>
              <w:rPr>
                <w:rStyle w:val="IndexLink"/>
              </w:rPr>
              <w:t>293</w:t>
            </w:r>
          </w:hyperlink>
        </w:p>
        <w:p>
          <w:pPr>
            <w:pStyle w:val="Contents5"/>
            <w:tabs>
              <w:tab w:val="clear" w:pos="7892"/>
              <w:tab w:val="right" w:pos="9026" w:leader="dot"/>
            </w:tabs>
            <w:rPr/>
          </w:pPr>
          <w:hyperlink w:anchor="__RefHeading___Toc3972199_1067777946">
            <w:r>
              <w:rPr>
                <w:webHidden/>
                <w:rStyle w:val="IndexLink"/>
                <w:rtl w:val="true"/>
              </w:rPr>
              <w:t>قيام بيّنه بر جرح شهود بعد از حكم</w:t>
            </w:r>
            <w:r>
              <w:rPr>
                <w:rStyle w:val="IndexLink"/>
                <w:rtl w:val="true"/>
              </w:rPr>
              <w:tab/>
            </w:r>
            <w:r>
              <w:rPr>
                <w:rStyle w:val="IndexLink"/>
              </w:rPr>
              <w:t>294</w:t>
            </w:r>
          </w:hyperlink>
        </w:p>
        <w:p>
          <w:pPr>
            <w:pStyle w:val="Contents3"/>
            <w:tabs>
              <w:tab w:val="clear" w:pos="8459"/>
              <w:tab w:val="right" w:pos="9026" w:leader="dot"/>
            </w:tabs>
            <w:rPr/>
          </w:pPr>
          <w:hyperlink w:anchor="__RefHeading___Toc3972201_1067777946">
            <w:r>
              <w:rPr>
                <w:webHidden/>
                <w:rStyle w:val="IndexLink"/>
                <w:rtl w:val="true"/>
              </w:rPr>
              <w:t>فصل هفتم چند مسأله</w:t>
            </w:r>
            <w:r>
              <w:rPr>
                <w:rStyle w:val="IndexLink"/>
                <w:rtl w:val="true"/>
              </w:rPr>
              <w:tab/>
            </w:r>
            <w:r>
              <w:rPr>
                <w:rStyle w:val="IndexLink"/>
              </w:rPr>
              <w:t>296</w:t>
            </w:r>
          </w:hyperlink>
        </w:p>
        <w:p>
          <w:pPr>
            <w:pStyle w:val="Contents4"/>
            <w:tabs>
              <w:tab w:val="clear" w:pos="8176"/>
              <w:tab w:val="right" w:pos="9026" w:leader="dot"/>
            </w:tabs>
            <w:rPr/>
          </w:pPr>
          <w:hyperlink w:anchor="__RefHeading___Toc3972203_1067777946">
            <w:r>
              <w:rPr>
                <w:webHidden/>
                <w:rStyle w:val="IndexLink"/>
              </w:rPr>
              <w:t>1</w:t>
            </w:r>
            <w:r>
              <w:rPr>
                <w:rStyle w:val="IndexLink"/>
                <w:rtl w:val="true"/>
              </w:rPr>
              <w:t xml:space="preserve">. </w:t>
            </w:r>
            <w:r>
              <w:rPr>
                <w:rStyle w:val="IndexLink"/>
                <w:rtl w:val="true"/>
              </w:rPr>
              <w:t>شهادت بر عتق مملوك و اختلاف در خصوصيّات</w:t>
            </w:r>
            <w:r>
              <w:rPr>
                <w:rStyle w:val="IndexLink"/>
                <w:rtl w:val="true"/>
              </w:rPr>
              <w:tab/>
            </w:r>
            <w:r>
              <w:rPr>
                <w:rStyle w:val="IndexLink"/>
              </w:rPr>
              <w:t>296</w:t>
            </w:r>
          </w:hyperlink>
        </w:p>
        <w:p>
          <w:pPr>
            <w:pStyle w:val="Contents4"/>
            <w:tabs>
              <w:tab w:val="clear" w:pos="8176"/>
              <w:tab w:val="right" w:pos="9026" w:leader="dot"/>
            </w:tabs>
            <w:rPr/>
          </w:pPr>
          <w:hyperlink w:anchor="__RefHeading___Toc3972205_1067777946">
            <w:r>
              <w:rPr>
                <w:webHidden/>
                <w:rStyle w:val="IndexLink"/>
              </w:rPr>
              <w:t>2</w:t>
            </w:r>
            <w:r>
              <w:rPr>
                <w:rStyle w:val="IndexLink"/>
                <w:rtl w:val="true"/>
              </w:rPr>
              <w:t xml:space="preserve">. </w:t>
            </w:r>
            <w:r>
              <w:rPr>
                <w:rStyle w:val="IndexLink"/>
                <w:rtl w:val="true"/>
              </w:rPr>
              <w:t>فرض ديگر اختلاف در شهادت</w:t>
            </w:r>
            <w:r>
              <w:rPr>
                <w:rStyle w:val="IndexLink"/>
                <w:rtl w:val="true"/>
              </w:rPr>
              <w:tab/>
            </w:r>
            <w:r>
              <w:rPr>
                <w:rStyle w:val="IndexLink"/>
              </w:rPr>
              <w:t>298</w:t>
            </w:r>
          </w:hyperlink>
        </w:p>
        <w:p>
          <w:pPr>
            <w:pStyle w:val="Contents4"/>
            <w:tabs>
              <w:tab w:val="clear" w:pos="8176"/>
              <w:tab w:val="right" w:pos="9026" w:leader="dot"/>
            </w:tabs>
            <w:rPr/>
          </w:pPr>
          <w:hyperlink w:anchor="__RefHeading___Toc3972207_1067777946">
            <w:r>
              <w:rPr>
                <w:webHidden/>
                <w:rStyle w:val="IndexLink"/>
              </w:rPr>
              <w:t>3</w:t>
            </w:r>
            <w:r>
              <w:rPr>
                <w:rStyle w:val="IndexLink"/>
                <w:rtl w:val="true"/>
              </w:rPr>
              <w:t xml:space="preserve">. </w:t>
            </w:r>
            <w:r>
              <w:rPr>
                <w:rStyle w:val="IndexLink"/>
                <w:rtl w:val="true"/>
              </w:rPr>
              <w:t>شهادت دو نفر بر وصيت و يكى ديگر بر رجوع</w:t>
            </w:r>
            <w:r>
              <w:rPr>
                <w:rStyle w:val="IndexLink"/>
                <w:rtl w:val="true"/>
              </w:rPr>
              <w:tab/>
            </w:r>
            <w:r>
              <w:rPr>
                <w:rStyle w:val="IndexLink"/>
              </w:rPr>
              <w:t>298</w:t>
            </w:r>
          </w:hyperlink>
        </w:p>
        <w:p>
          <w:pPr>
            <w:pStyle w:val="Contents4"/>
            <w:tabs>
              <w:tab w:val="clear" w:pos="8176"/>
              <w:tab w:val="right" w:pos="9026" w:leader="dot"/>
            </w:tabs>
            <w:rPr/>
          </w:pPr>
          <w:hyperlink w:anchor="__RefHeading___Toc3972209_1067777946">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شهادت بر رجوع از يكى از دو وصيت</w:t>
            </w:r>
            <w:r>
              <w:rPr>
                <w:rStyle w:val="IndexLink"/>
                <w:rtl w:val="true"/>
              </w:rPr>
              <w:tab/>
            </w:r>
            <w:r>
              <w:rPr>
                <w:rStyle w:val="IndexLink"/>
              </w:rPr>
              <w:t>299</w:t>
            </w:r>
          </w:hyperlink>
        </w:p>
        <w:p>
          <w:pPr>
            <w:pStyle w:val="Contents5"/>
            <w:tabs>
              <w:tab w:val="clear" w:pos="7892"/>
              <w:tab w:val="right" w:pos="9026" w:leader="dot"/>
            </w:tabs>
            <w:rPr/>
          </w:pPr>
          <w:hyperlink w:anchor="__RefHeading___Toc3972211_1067777946">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3972213_1067777946">
            <w:r>
              <w:rPr>
                <w:webHidden/>
                <w:rStyle w:val="IndexLink"/>
                <w:rtl w:val="true"/>
              </w:rPr>
              <w:t>اقامۀ يك شاهد و ادّعاى بودن شاهد ديگر</w:t>
            </w:r>
            <w:r>
              <w:rPr>
                <w:rStyle w:val="IndexLink"/>
                <w:rtl w:val="true"/>
              </w:rPr>
              <w:tab/>
            </w:r>
            <w:r>
              <w:rPr>
                <w:rStyle w:val="IndexLink"/>
              </w:rPr>
              <w:t>299</w:t>
            </w:r>
          </w:hyperlink>
        </w:p>
        <w:p>
          <w:pPr>
            <w:pStyle w:val="Contents4"/>
            <w:tabs>
              <w:tab w:val="clear" w:pos="8176"/>
              <w:tab w:val="right" w:pos="9026" w:leader="dot"/>
            </w:tabs>
            <w:rPr/>
          </w:pPr>
          <w:hyperlink w:anchor="__RefHeading___Toc3972215_1067777946">
            <w:r>
              <w:rPr>
                <w:webHidden/>
                <w:rStyle w:val="IndexLink"/>
              </w:rPr>
              <w:t>6</w:t>
            </w:r>
            <w:r>
              <w:rPr>
                <w:rStyle w:val="IndexLink"/>
                <w:rtl w:val="true"/>
              </w:rPr>
              <w:t xml:space="preserve">. </w:t>
            </w:r>
            <w:r>
              <w:rPr>
                <w:rStyle w:val="IndexLink"/>
                <w:rtl w:val="true"/>
              </w:rPr>
              <w:t>ضمان شهود و تزكيه</w:t>
            </w:r>
            <w:r>
              <w:rPr>
                <w:rStyle w:val="IndexLink"/>
                <w:rtl w:val="true"/>
              </w:rPr>
              <w:tab/>
            </w:r>
            <w:r>
              <w:rPr>
                <w:rStyle w:val="IndexLink"/>
              </w:rPr>
              <w:t>299</w:t>
            </w:r>
          </w:hyperlink>
        </w:p>
        <w:p>
          <w:pPr>
            <w:pStyle w:val="Contents5"/>
            <w:tabs>
              <w:tab w:val="clear" w:pos="7892"/>
              <w:tab w:val="right" w:pos="9026" w:leader="dot"/>
            </w:tabs>
            <w:rPr/>
          </w:pPr>
          <w:hyperlink w:anchor="__RefHeading___Toc3972217_1067777946">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3972219_1067777946">
            <w:r>
              <w:rPr>
                <w:webHidden/>
                <w:rStyle w:val="IndexLink"/>
                <w:rtl w:val="true"/>
              </w:rPr>
              <w:t>احتمال عدم اثبات احكام شاهد زور براى شهود تزكيه</w:t>
            </w:r>
            <w:r>
              <w:rPr>
                <w:rStyle w:val="IndexLink"/>
                <w:rtl w:val="true"/>
              </w:rPr>
              <w:tab/>
            </w:r>
            <w:r>
              <w:rPr>
                <w:rStyle w:val="IndexLink"/>
              </w:rPr>
              <w:t>301</w:t>
            </w:r>
          </w:hyperlink>
        </w:p>
        <w:p>
          <w:pPr>
            <w:pStyle w:val="Contents4"/>
            <w:tabs>
              <w:tab w:val="clear" w:pos="8176"/>
              <w:tab w:val="right" w:pos="9026" w:leader="dot"/>
            </w:tabs>
            <w:rPr/>
          </w:pPr>
          <w:hyperlink w:anchor="__RefHeading___Toc3972221_1067777946">
            <w:r>
              <w:rPr>
                <w:webHidden/>
                <w:rStyle w:val="IndexLink"/>
              </w:rPr>
              <w:t>7</w:t>
            </w:r>
            <w:r>
              <w:rPr>
                <w:rStyle w:val="IndexLink"/>
                <w:rtl w:val="true"/>
              </w:rPr>
              <w:t xml:space="preserve">. </w:t>
            </w:r>
            <w:r>
              <w:rPr>
                <w:rStyle w:val="IndexLink"/>
                <w:rtl w:val="true"/>
              </w:rPr>
              <w:t>رجوع شهود احصان بعد از رجم</w:t>
            </w:r>
            <w:r>
              <w:rPr>
                <w:rStyle w:val="IndexLink"/>
                <w:rtl w:val="true"/>
              </w:rPr>
              <w:tab/>
            </w:r>
            <w:r>
              <w:rPr>
                <w:rStyle w:val="IndexLink"/>
              </w:rPr>
              <w:t>302</w:t>
            </w:r>
          </w:hyperlink>
        </w:p>
        <w:p>
          <w:pPr>
            <w:pStyle w:val="Contents5"/>
            <w:tabs>
              <w:tab w:val="clear" w:pos="7892"/>
              <w:tab w:val="right" w:pos="9026" w:leader="dot"/>
            </w:tabs>
            <w:rPr/>
          </w:pPr>
          <w:hyperlink w:anchor="__RefHeading___Toc3972223_1067777946">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3972225_1067777946">
            <w:r>
              <w:rPr>
                <w:webHidden/>
                <w:rStyle w:val="IndexLink"/>
                <w:rtl w:val="true"/>
              </w:rPr>
              <w:t>رجوع شهود زنا بعد از رجم</w:t>
            </w:r>
            <w:r>
              <w:rPr>
                <w:rStyle w:val="IndexLink"/>
                <w:rtl w:val="true"/>
              </w:rPr>
              <w:tab/>
            </w:r>
            <w:r>
              <w:rPr>
                <w:rStyle w:val="IndexLink"/>
              </w:rPr>
              <w:t>302</w:t>
            </w:r>
          </w:hyperlink>
        </w:p>
        <w:p>
          <w:pPr>
            <w:pStyle w:val="Contents5"/>
            <w:tabs>
              <w:tab w:val="clear" w:pos="7892"/>
              <w:tab w:val="right" w:pos="9026" w:leader="dot"/>
            </w:tabs>
            <w:rPr/>
          </w:pPr>
          <w:hyperlink w:anchor="__RefHeading___Toc3972227_1067777946">
            <w:r>
              <w:rPr>
                <w:webHidden/>
                <w:rStyle w:val="IndexLink"/>
                <w:rtl w:val="true"/>
              </w:rPr>
              <w:t>رجوع هر دو دسته</w:t>
            </w:r>
            <w:r>
              <w:rPr>
                <w:rStyle w:val="IndexLink"/>
                <w:rtl w:val="true"/>
              </w:rPr>
              <w:tab/>
            </w:r>
            <w:r>
              <w:rPr>
                <w:rStyle w:val="IndexLink"/>
              </w:rPr>
              <w:t>302</w:t>
            </w:r>
          </w:hyperlink>
        </w:p>
        <w:p>
          <w:pPr>
            <w:pStyle w:val="Contents5"/>
            <w:tabs>
              <w:tab w:val="clear" w:pos="7892"/>
              <w:tab w:val="right" w:pos="9026" w:leader="dot"/>
            </w:tabs>
            <w:rPr/>
          </w:pPr>
          <w:hyperlink w:anchor="__RefHeading___Toc3972229_1067777946">
            <w:r>
              <w:rPr>
                <w:webHidden/>
                <w:rStyle w:val="IndexLink"/>
                <w:rtl w:val="true"/>
              </w:rPr>
              <w:t>شهادت چهار نفر بر زنا و دو نفر ايشان بر احصان</w:t>
            </w:r>
            <w:r>
              <w:rPr>
                <w:rStyle w:val="IndexLink"/>
                <w:rtl w:val="true"/>
              </w:rPr>
              <w:tab/>
            </w:r>
            <w:r>
              <w:rPr>
                <w:rStyle w:val="IndexLink"/>
              </w:rPr>
              <w:t>303</w:t>
            </w:r>
          </w:hyperlink>
        </w:p>
        <w:p>
          <w:pPr>
            <w:pStyle w:val="Contents4"/>
            <w:tabs>
              <w:tab w:val="clear" w:pos="8176"/>
              <w:tab w:val="right" w:pos="9026" w:leader="dot"/>
            </w:tabs>
            <w:rPr/>
          </w:pPr>
          <w:hyperlink w:anchor="__RefHeading___Toc3972231_1067777946">
            <w:r>
              <w:rPr>
                <w:webHidden/>
                <w:rStyle w:val="IndexLink"/>
              </w:rPr>
              <w:t>8</w:t>
            </w:r>
            <w:r>
              <w:rPr>
                <w:rStyle w:val="IndexLink"/>
                <w:rtl w:val="true"/>
              </w:rPr>
              <w:t xml:space="preserve">. </w:t>
            </w:r>
            <w:r>
              <w:rPr>
                <w:rStyle w:val="IndexLink"/>
                <w:rtl w:val="true"/>
              </w:rPr>
              <w:t>رجوع دو معرِّف مشهودٌ عليه</w:t>
            </w:r>
            <w:r>
              <w:rPr>
                <w:rStyle w:val="IndexLink"/>
                <w:rtl w:val="true"/>
              </w:rPr>
              <w:tab/>
            </w:r>
            <w:r>
              <w:rPr>
                <w:rStyle w:val="IndexLink"/>
              </w:rPr>
              <w:t>304</w:t>
            </w:r>
          </w:hyperlink>
        </w:p>
        <w:p>
          <w:pPr>
            <w:pStyle w:val="Contents4"/>
            <w:tabs>
              <w:tab w:val="clear" w:pos="8176"/>
              <w:tab w:val="right" w:pos="9026" w:leader="dot"/>
            </w:tabs>
            <w:rPr/>
          </w:pPr>
          <w:hyperlink w:anchor="__RefHeading___Toc3972233_1067777946">
            <w:r>
              <w:rPr>
                <w:webHidden/>
                <w:rStyle w:val="IndexLink"/>
              </w:rPr>
              <w:t>9</w:t>
            </w:r>
            <w:r>
              <w:rPr>
                <w:rStyle w:val="IndexLink"/>
                <w:rtl w:val="true"/>
              </w:rPr>
              <w:t xml:space="preserve">. </w:t>
            </w:r>
            <w:r>
              <w:rPr>
                <w:rStyle w:val="IndexLink"/>
                <w:rtl w:val="true"/>
              </w:rPr>
              <w:t>موارد مختلف رجوع شاهد فرع</w:t>
            </w:r>
            <w:r>
              <w:rPr>
                <w:rStyle w:val="IndexLink"/>
                <w:rtl w:val="true"/>
              </w:rPr>
              <w:tab/>
            </w:r>
            <w:r>
              <w:rPr>
                <w:rStyle w:val="IndexLink"/>
              </w:rPr>
              <w:t>304</w:t>
            </w:r>
          </w:hyperlink>
        </w:p>
        <w:p>
          <w:pPr>
            <w:pStyle w:val="Contents4"/>
            <w:tabs>
              <w:tab w:val="clear" w:pos="8176"/>
              <w:tab w:val="right" w:pos="9026" w:leader="dot"/>
            </w:tabs>
            <w:rPr/>
          </w:pPr>
          <w:hyperlink w:anchor="__RefHeading___Toc3972235_1067777946">
            <w:r>
              <w:rPr>
                <w:webHidden/>
                <w:rStyle w:val="IndexLink"/>
              </w:rPr>
              <w:t>10</w:t>
            </w:r>
            <w:r>
              <w:rPr>
                <w:rStyle w:val="IndexLink"/>
                <w:rtl w:val="true"/>
              </w:rPr>
              <w:t xml:space="preserve">. </w:t>
            </w:r>
            <w:r>
              <w:rPr>
                <w:rStyle w:val="IndexLink"/>
                <w:rtl w:val="true"/>
              </w:rPr>
              <w:t>وجوب تعزير شاهد زور</w:t>
            </w:r>
            <w:r>
              <w:rPr>
                <w:rStyle w:val="IndexLink"/>
                <w:rtl w:val="true"/>
              </w:rPr>
              <w:tab/>
            </w:r>
            <w:r>
              <w:rPr>
                <w:rStyle w:val="IndexLink"/>
              </w:rPr>
              <w:t>305</w:t>
            </w:r>
          </w:hyperlink>
        </w:p>
        <w:p>
          <w:pPr>
            <w:pStyle w:val="Contents4"/>
            <w:tabs>
              <w:tab w:val="clear" w:pos="8176"/>
              <w:tab w:val="right" w:pos="9026" w:leader="dot"/>
            </w:tabs>
            <w:rPr/>
          </w:pPr>
          <w:hyperlink w:anchor="__RefHeading___Toc3972237_1067777946">
            <w:r>
              <w:rPr>
                <w:webHidden/>
                <w:rStyle w:val="IndexLink"/>
              </w:rPr>
              <w:t>11</w:t>
            </w:r>
            <w:r>
              <w:rPr>
                <w:rStyle w:val="IndexLink"/>
                <w:rtl w:val="true"/>
              </w:rPr>
              <w:t xml:space="preserve">. </w:t>
            </w:r>
            <w:r>
              <w:rPr>
                <w:rStyle w:val="IndexLink"/>
                <w:rtl w:val="true"/>
              </w:rPr>
              <w:t>ضمان و عدم ضمان در فرض كتمان شهادت واجب</w:t>
            </w:r>
            <w:r>
              <w:rPr>
                <w:rStyle w:val="IndexLink"/>
                <w:rtl w:val="true"/>
              </w:rPr>
              <w:tab/>
            </w:r>
            <w:r>
              <w:rPr>
                <w:rStyle w:val="IndexLink"/>
              </w:rPr>
              <w:t>305</w:t>
            </w:r>
          </w:hyperlink>
        </w:p>
        <w:p>
          <w:pPr>
            <w:pStyle w:val="Contents2"/>
            <w:tabs>
              <w:tab w:val="clear" w:pos="8743"/>
              <w:tab w:val="right" w:pos="9026" w:leader="dot"/>
            </w:tabs>
            <w:rPr/>
          </w:pPr>
          <w:hyperlink w:anchor="__RefHeading___Toc3972239_1067777946">
            <w:r>
              <w:rPr>
                <w:webHidden/>
                <w:rStyle w:val="IndexLink"/>
                <w:rtl w:val="true"/>
              </w:rPr>
              <w:t>كتاب حدود و تعزيرات</w:t>
            </w:r>
            <w:r>
              <w:rPr>
                <w:rStyle w:val="IndexLink"/>
                <w:rtl w:val="true"/>
              </w:rPr>
              <w:tab/>
            </w:r>
            <w:r>
              <w:rPr>
                <w:rStyle w:val="IndexLink"/>
              </w:rPr>
              <w:t>308</w:t>
            </w:r>
          </w:hyperlink>
        </w:p>
        <w:p>
          <w:pPr>
            <w:pStyle w:val="Contents3"/>
            <w:tabs>
              <w:tab w:val="clear" w:pos="8459"/>
              <w:tab w:val="right" w:pos="9026" w:leader="dot"/>
            </w:tabs>
            <w:rPr/>
          </w:pPr>
          <w:hyperlink w:anchor="__RefHeading___Toc3972241_1067777946">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3972243_1067777946">
            <w:r>
              <w:rPr>
                <w:webHidden/>
                <w:rStyle w:val="IndexLink"/>
                <w:rtl w:val="true"/>
              </w:rPr>
              <w:t>مراد از حد و تعزير</w:t>
            </w:r>
            <w:r>
              <w:rPr>
                <w:rStyle w:val="IndexLink"/>
                <w:rtl w:val="true"/>
              </w:rPr>
              <w:tab/>
            </w:r>
            <w:r>
              <w:rPr>
                <w:rStyle w:val="IndexLink"/>
              </w:rPr>
              <w:t>310</w:t>
            </w:r>
          </w:hyperlink>
        </w:p>
        <w:p>
          <w:pPr>
            <w:pStyle w:val="Contents3"/>
            <w:tabs>
              <w:tab w:val="clear" w:pos="8459"/>
              <w:tab w:val="right" w:pos="9026" w:leader="dot"/>
            </w:tabs>
            <w:rPr/>
          </w:pPr>
          <w:hyperlink w:anchor="__RefHeading___Toc3972245_1067777946">
            <w:r>
              <w:rPr>
                <w:webHidden/>
                <w:rStyle w:val="IndexLink"/>
                <w:rtl w:val="true"/>
              </w:rPr>
              <w:t>اسباب حد</w:t>
            </w:r>
            <w:r>
              <w:rPr>
                <w:rStyle w:val="IndexLink"/>
                <w:rtl w:val="true"/>
              </w:rPr>
              <w:tab/>
            </w:r>
            <w:r>
              <w:rPr>
                <w:rStyle w:val="IndexLink"/>
              </w:rPr>
              <w:t>310</w:t>
            </w:r>
          </w:hyperlink>
        </w:p>
        <w:p>
          <w:pPr>
            <w:pStyle w:val="Contents3"/>
            <w:tabs>
              <w:tab w:val="clear" w:pos="8459"/>
              <w:tab w:val="right" w:pos="9026" w:leader="dot"/>
            </w:tabs>
            <w:rPr/>
          </w:pPr>
          <w:hyperlink w:anchor="__RefHeading___Toc3972247_1067777946">
            <w:r>
              <w:rPr>
                <w:webHidden/>
                <w:rStyle w:val="IndexLink"/>
                <w:rtl w:val="true"/>
              </w:rPr>
              <w:t>اسباب تعزير</w:t>
            </w:r>
            <w:r>
              <w:rPr>
                <w:rStyle w:val="IndexLink"/>
                <w:rtl w:val="true"/>
              </w:rPr>
              <w:tab/>
            </w:r>
            <w:r>
              <w:rPr>
                <w:rStyle w:val="IndexLink"/>
              </w:rPr>
              <w:t>310</w:t>
            </w:r>
          </w:hyperlink>
        </w:p>
        <w:p>
          <w:pPr>
            <w:pStyle w:val="Contents3"/>
            <w:tabs>
              <w:tab w:val="clear" w:pos="8459"/>
              <w:tab w:val="right" w:pos="9026" w:leader="dot"/>
            </w:tabs>
            <w:rPr/>
          </w:pPr>
          <w:hyperlink w:anchor="__RefHeading___Toc3972249_1067777946">
            <w:r>
              <w:rPr>
                <w:webHidden/>
                <w:rStyle w:val="IndexLink"/>
                <w:rtl w:val="true"/>
              </w:rPr>
              <w:t>فصل اوّل حد زنا</w:t>
            </w:r>
            <w:r>
              <w:rPr>
                <w:rStyle w:val="IndexLink"/>
                <w:rtl w:val="true"/>
              </w:rPr>
              <w:tab/>
            </w:r>
            <w:r>
              <w:rPr>
                <w:rStyle w:val="IndexLink"/>
              </w:rPr>
              <w:t>311</w:t>
            </w:r>
          </w:hyperlink>
        </w:p>
        <w:p>
          <w:pPr>
            <w:pStyle w:val="Contents4"/>
            <w:tabs>
              <w:tab w:val="clear" w:pos="8176"/>
              <w:tab w:val="right" w:pos="9026" w:leader="dot"/>
            </w:tabs>
            <w:rPr/>
          </w:pPr>
          <w:hyperlink w:anchor="__RefHeading___Toc3972251_1067777946">
            <w:r>
              <w:rPr>
                <w:webHidden/>
                <w:rStyle w:val="IndexLink"/>
              </w:rPr>
              <w:t>1</w:t>
            </w:r>
            <w:r>
              <w:rPr>
                <w:rStyle w:val="IndexLink"/>
                <w:rtl w:val="true"/>
              </w:rPr>
              <w:t xml:space="preserve">. </w:t>
            </w:r>
            <w:r>
              <w:rPr>
                <w:rStyle w:val="IndexLink"/>
                <w:rtl w:val="true"/>
              </w:rPr>
              <w:t>موجِب حدّ زنا</w:t>
            </w:r>
            <w:r>
              <w:rPr>
                <w:rStyle w:val="IndexLink"/>
                <w:rtl w:val="true"/>
              </w:rPr>
              <w:tab/>
            </w:r>
            <w:r>
              <w:rPr>
                <w:rStyle w:val="IndexLink"/>
              </w:rPr>
              <w:t>311</w:t>
            </w:r>
          </w:hyperlink>
        </w:p>
        <w:p>
          <w:pPr>
            <w:pStyle w:val="Contents5"/>
            <w:tabs>
              <w:tab w:val="clear" w:pos="7892"/>
              <w:tab w:val="right" w:pos="9026" w:leader="dot"/>
            </w:tabs>
            <w:rPr/>
          </w:pPr>
          <w:hyperlink w:anchor="__RefHeading___Toc3972253_1067777946">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3972255_1067777946">
            <w:r>
              <w:rPr>
                <w:webHidden/>
                <w:rStyle w:val="IndexLink"/>
                <w:rtl w:val="true"/>
              </w:rPr>
              <w:t>لزوم علم</w:t>
            </w:r>
            <w:r>
              <w:rPr>
                <w:rStyle w:val="IndexLink"/>
                <w:rtl w:val="true"/>
              </w:rPr>
              <w:tab/>
            </w:r>
            <w:r>
              <w:rPr>
                <w:rStyle w:val="IndexLink"/>
              </w:rPr>
              <w:t>311</w:t>
            </w:r>
          </w:hyperlink>
        </w:p>
        <w:p>
          <w:pPr>
            <w:pStyle w:val="Contents5"/>
            <w:tabs>
              <w:tab w:val="clear" w:pos="7892"/>
              <w:tab w:val="right" w:pos="9026" w:leader="dot"/>
            </w:tabs>
            <w:rPr/>
          </w:pPr>
          <w:hyperlink w:anchor="__RefHeading___Toc3972257_1067777946">
            <w:r>
              <w:rPr>
                <w:webHidden/>
                <w:rStyle w:val="IndexLink"/>
                <w:rtl w:val="true"/>
              </w:rPr>
              <w:t>سقوط با اكراه</w:t>
            </w:r>
            <w:r>
              <w:rPr>
                <w:rStyle w:val="IndexLink"/>
                <w:rtl w:val="true"/>
              </w:rPr>
              <w:tab/>
            </w:r>
            <w:r>
              <w:rPr>
                <w:rStyle w:val="IndexLink"/>
              </w:rPr>
              <w:t>311</w:t>
            </w:r>
          </w:hyperlink>
        </w:p>
        <w:p>
          <w:pPr>
            <w:pStyle w:val="Contents5"/>
            <w:tabs>
              <w:tab w:val="clear" w:pos="7892"/>
              <w:tab w:val="right" w:pos="9026" w:leader="dot"/>
            </w:tabs>
            <w:rPr/>
          </w:pPr>
          <w:hyperlink w:anchor="__RefHeading___Toc3972259_1067777946">
            <w:r>
              <w:rPr>
                <w:webHidden/>
                <w:rStyle w:val="IndexLink"/>
                <w:rtl w:val="true"/>
              </w:rPr>
              <w:t>اعتبار بلوغ و مورد اعتبار احصان</w:t>
            </w:r>
            <w:r>
              <w:rPr>
                <w:rStyle w:val="IndexLink"/>
                <w:rtl w:val="true"/>
              </w:rPr>
              <w:tab/>
            </w:r>
            <w:r>
              <w:rPr>
                <w:rStyle w:val="IndexLink"/>
              </w:rPr>
              <w:t>312</w:t>
            </w:r>
          </w:hyperlink>
        </w:p>
        <w:p>
          <w:pPr>
            <w:pStyle w:val="Contents5"/>
            <w:tabs>
              <w:tab w:val="clear" w:pos="7892"/>
              <w:tab w:val="right" w:pos="9026" w:leader="dot"/>
            </w:tabs>
            <w:rPr/>
          </w:pPr>
          <w:hyperlink w:anchor="__RefHeading___Toc3972261_1067777946">
            <w:r>
              <w:rPr>
                <w:webHidden/>
                <w:rStyle w:val="IndexLink"/>
                <w:rtl w:val="true"/>
              </w:rPr>
              <w:t>حكم مطلّقۀ رجعيّه</w:t>
            </w:r>
            <w:r>
              <w:rPr>
                <w:rStyle w:val="IndexLink"/>
                <w:rtl w:val="true"/>
              </w:rPr>
              <w:tab/>
            </w:r>
            <w:r>
              <w:rPr>
                <w:rStyle w:val="IndexLink"/>
              </w:rPr>
              <w:t>312</w:t>
            </w:r>
          </w:hyperlink>
        </w:p>
        <w:p>
          <w:pPr>
            <w:pStyle w:val="Contents5"/>
            <w:tabs>
              <w:tab w:val="clear" w:pos="7892"/>
              <w:tab w:val="right" w:pos="9026" w:leader="dot"/>
            </w:tabs>
            <w:rPr/>
          </w:pPr>
          <w:hyperlink w:anchor="__RefHeading___Toc3972263_1067777946">
            <w:r>
              <w:rPr>
                <w:webHidden/>
                <w:rStyle w:val="IndexLink"/>
                <w:rtl w:val="true"/>
              </w:rPr>
              <w:t>خروج از احصان توسط طلاق باين</w:t>
            </w:r>
            <w:r>
              <w:rPr>
                <w:rStyle w:val="IndexLink"/>
                <w:rtl w:val="true"/>
              </w:rPr>
              <w:tab/>
            </w:r>
            <w:r>
              <w:rPr>
                <w:rStyle w:val="IndexLink"/>
              </w:rPr>
              <w:t>313</w:t>
            </w:r>
          </w:hyperlink>
        </w:p>
        <w:p>
          <w:pPr>
            <w:pStyle w:val="Contents4"/>
            <w:tabs>
              <w:tab w:val="clear" w:pos="8176"/>
              <w:tab w:val="right" w:pos="9026" w:leader="dot"/>
            </w:tabs>
            <w:rPr/>
          </w:pPr>
          <w:hyperlink w:anchor="__RefHeading___Toc3972265_1067777946">
            <w:r>
              <w:rPr>
                <w:webHidden/>
                <w:rStyle w:val="IndexLink"/>
              </w:rPr>
              <w:t>2</w:t>
            </w:r>
            <w:r>
              <w:rPr>
                <w:rStyle w:val="IndexLink"/>
                <w:rtl w:val="true"/>
              </w:rPr>
              <w:t xml:space="preserve">. </w:t>
            </w:r>
            <w:r>
              <w:rPr>
                <w:rStyle w:val="IndexLink"/>
                <w:rtl w:val="true"/>
              </w:rPr>
              <w:t>آن چه با آن، زنا ثابت مى شود</w:t>
            </w:r>
            <w:r>
              <w:rPr>
                <w:rStyle w:val="IndexLink"/>
                <w:rtl w:val="true"/>
              </w:rPr>
              <w:tab/>
            </w:r>
            <w:r>
              <w:rPr>
                <w:rStyle w:val="IndexLink"/>
              </w:rPr>
              <w:t>313</w:t>
            </w:r>
          </w:hyperlink>
        </w:p>
        <w:p>
          <w:pPr>
            <w:pStyle w:val="Contents5"/>
            <w:tabs>
              <w:tab w:val="clear" w:pos="7892"/>
              <w:tab w:val="right" w:pos="9026" w:leader="dot"/>
            </w:tabs>
            <w:rPr/>
          </w:pPr>
          <w:hyperlink w:anchor="__RefHeading___Toc3972267_1067777946">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3972269_1067777946">
            <w:r>
              <w:rPr>
                <w:webHidden/>
                <w:rStyle w:val="IndexLink"/>
                <w:rtl w:val="true"/>
              </w:rPr>
              <w:t>الف</w:t>
            </w:r>
            <w:r>
              <w:rPr>
                <w:rStyle w:val="IndexLink"/>
                <w:rtl w:val="true"/>
              </w:rPr>
              <w:t xml:space="preserve">. </w:t>
            </w:r>
            <w:r>
              <w:rPr>
                <w:rStyle w:val="IndexLink"/>
                <w:rtl w:val="true"/>
              </w:rPr>
              <w:t>اقرار</w:t>
            </w:r>
            <w:r>
              <w:rPr>
                <w:rStyle w:val="IndexLink"/>
                <w:rtl w:val="true"/>
              </w:rPr>
              <w:tab/>
            </w:r>
            <w:r>
              <w:rPr>
                <w:rStyle w:val="IndexLink"/>
              </w:rPr>
              <w:t>313</w:t>
            </w:r>
          </w:hyperlink>
        </w:p>
        <w:p>
          <w:pPr>
            <w:pStyle w:val="Contents6"/>
            <w:tabs>
              <w:tab w:val="clear" w:pos="7609"/>
              <w:tab w:val="right" w:pos="9026" w:leader="dot"/>
            </w:tabs>
            <w:rPr/>
          </w:pPr>
          <w:hyperlink w:anchor="__RefHeading___Toc3972271_1067777946">
            <w:r>
              <w:rPr>
                <w:webHidden/>
                <w:rStyle w:val="IndexLink"/>
                <w:rtl w:val="true"/>
              </w:rPr>
              <w:t>شرايط مُقرّ</w:t>
            </w:r>
            <w:r>
              <w:rPr>
                <w:rStyle w:val="IndexLink"/>
                <w:rtl w:val="true"/>
              </w:rPr>
              <w:tab/>
            </w:r>
            <w:r>
              <w:rPr>
                <w:rStyle w:val="IndexLink"/>
              </w:rPr>
              <w:t>313</w:t>
            </w:r>
          </w:hyperlink>
        </w:p>
        <w:p>
          <w:pPr>
            <w:pStyle w:val="Contents6"/>
            <w:tabs>
              <w:tab w:val="clear" w:pos="7609"/>
              <w:tab w:val="right" w:pos="9026" w:leader="dot"/>
            </w:tabs>
            <w:rPr/>
          </w:pPr>
          <w:hyperlink w:anchor="__RefHeading___Toc3972273_1067777946">
            <w:r>
              <w:rPr>
                <w:webHidden/>
                <w:rStyle w:val="IndexLink"/>
                <w:rtl w:val="true"/>
              </w:rPr>
              <w:t>اعتبار تكرار مرتبه</w:t>
            </w:r>
            <w:r>
              <w:rPr>
                <w:rStyle w:val="IndexLink"/>
                <w:rtl w:val="true"/>
              </w:rPr>
              <w:tab/>
            </w:r>
            <w:r>
              <w:rPr>
                <w:rStyle w:val="IndexLink"/>
              </w:rPr>
              <w:t>313</w:t>
            </w:r>
          </w:hyperlink>
        </w:p>
        <w:p>
          <w:pPr>
            <w:pStyle w:val="Contents6"/>
            <w:tabs>
              <w:tab w:val="clear" w:pos="7609"/>
              <w:tab w:val="right" w:pos="9026" w:leader="dot"/>
            </w:tabs>
            <w:rPr/>
          </w:pPr>
          <w:hyperlink w:anchor="__RefHeading___Toc3972275_1067777946">
            <w:r>
              <w:rPr>
                <w:webHidden/>
                <w:rStyle w:val="IndexLink"/>
                <w:rtl w:val="true"/>
              </w:rPr>
              <w:t>اقرار به اثبات مطلق حدّ</w:t>
            </w:r>
            <w:r>
              <w:rPr>
                <w:rStyle w:val="IndexLink"/>
                <w:rtl w:val="true"/>
              </w:rPr>
              <w:tab/>
            </w:r>
            <w:r>
              <w:rPr>
                <w:rStyle w:val="IndexLink"/>
              </w:rPr>
              <w:t>314</w:t>
            </w:r>
          </w:hyperlink>
        </w:p>
        <w:p>
          <w:pPr>
            <w:pStyle w:val="Contents6"/>
            <w:tabs>
              <w:tab w:val="clear" w:pos="7609"/>
              <w:tab w:val="right" w:pos="9026" w:leader="dot"/>
            </w:tabs>
            <w:rPr/>
          </w:pPr>
          <w:hyperlink w:anchor="__RefHeading___Toc3972277_1067777946">
            <w:r>
              <w:rPr>
                <w:webHidden/>
                <w:rStyle w:val="IndexLink"/>
                <w:rtl w:val="true"/>
              </w:rPr>
              <w:t>اقرار به موجِب رجم و رجوع از آن</w:t>
            </w:r>
            <w:r>
              <w:rPr>
                <w:rStyle w:val="IndexLink"/>
                <w:rtl w:val="true"/>
              </w:rPr>
              <w:tab/>
            </w:r>
            <w:r>
              <w:rPr>
                <w:rStyle w:val="IndexLink"/>
              </w:rPr>
              <w:t>314</w:t>
            </w:r>
          </w:hyperlink>
        </w:p>
        <w:p>
          <w:pPr>
            <w:pStyle w:val="Contents6"/>
            <w:tabs>
              <w:tab w:val="clear" w:pos="7609"/>
              <w:tab w:val="right" w:pos="9026" w:leader="dot"/>
            </w:tabs>
            <w:rPr/>
          </w:pPr>
          <w:hyperlink w:anchor="__RefHeading___Toc3972279_1067777946">
            <w:r>
              <w:rPr>
                <w:webHidden/>
                <w:rStyle w:val="IndexLink"/>
                <w:rtl w:val="true"/>
              </w:rPr>
              <w:t>اقرار به حدّ و توبه از آن</w:t>
            </w:r>
            <w:r>
              <w:rPr>
                <w:rStyle w:val="IndexLink"/>
                <w:rtl w:val="true"/>
              </w:rPr>
              <w:tab/>
            </w:r>
            <w:r>
              <w:rPr>
                <w:rStyle w:val="IndexLink"/>
              </w:rPr>
              <w:t>314</w:t>
            </w:r>
          </w:hyperlink>
        </w:p>
        <w:p>
          <w:pPr>
            <w:pStyle w:val="Contents6"/>
            <w:tabs>
              <w:tab w:val="clear" w:pos="7609"/>
              <w:tab w:val="right" w:pos="9026" w:leader="dot"/>
            </w:tabs>
            <w:rPr/>
          </w:pPr>
          <w:hyperlink w:anchor="__RefHeading___Toc3972281_1067777946">
            <w:r>
              <w:rPr>
                <w:webHidden/>
                <w:rStyle w:val="IndexLink"/>
                <w:rtl w:val="true"/>
              </w:rPr>
              <w:t>ثبوت تعزير در اقرار به محرّماتى كه موجب حدّ نمى باشند</w:t>
            </w:r>
            <w:r>
              <w:rPr>
                <w:rStyle w:val="IndexLink"/>
                <w:rtl w:val="true"/>
              </w:rPr>
              <w:tab/>
            </w:r>
            <w:r>
              <w:rPr>
                <w:rStyle w:val="IndexLink"/>
              </w:rPr>
              <w:t>314</w:t>
            </w:r>
          </w:hyperlink>
        </w:p>
        <w:p>
          <w:pPr>
            <w:pStyle w:val="Contents6"/>
            <w:tabs>
              <w:tab w:val="clear" w:pos="7609"/>
              <w:tab w:val="right" w:pos="9026" w:leader="dot"/>
            </w:tabs>
            <w:rPr/>
          </w:pPr>
          <w:hyperlink w:anchor="__RefHeading___Toc3972283_1067777946">
            <w:r>
              <w:rPr>
                <w:webHidden/>
                <w:rStyle w:val="IndexLink"/>
                <w:rtl w:val="true"/>
              </w:rPr>
              <w:t>عدم جريان حدّ بر زن حاملۀ بدون شوهر</w:t>
            </w:r>
            <w:r>
              <w:rPr>
                <w:rStyle w:val="IndexLink"/>
                <w:rtl w:val="true"/>
              </w:rPr>
              <w:tab/>
            </w:r>
            <w:r>
              <w:rPr>
                <w:rStyle w:val="IndexLink"/>
              </w:rPr>
              <w:t>315</w:t>
            </w:r>
          </w:hyperlink>
        </w:p>
        <w:p>
          <w:pPr>
            <w:pStyle w:val="Contents6"/>
            <w:tabs>
              <w:tab w:val="clear" w:pos="7609"/>
              <w:tab w:val="right" w:pos="9026" w:leader="dot"/>
            </w:tabs>
            <w:rPr/>
          </w:pPr>
          <w:hyperlink w:anchor="__RefHeading___Toc3972285_1067777946">
            <w:r>
              <w:rPr>
                <w:webHidden/>
                <w:rStyle w:val="IndexLink"/>
                <w:rtl w:val="true"/>
              </w:rPr>
              <w:t>اقرار بر زنان و ادّعاى مطاوعۀ زن</w:t>
            </w:r>
            <w:r>
              <w:rPr>
                <w:rStyle w:val="IndexLink"/>
                <w:rtl w:val="true"/>
              </w:rPr>
              <w:tab/>
            </w:r>
            <w:r>
              <w:rPr>
                <w:rStyle w:val="IndexLink"/>
              </w:rPr>
              <w:t>315</w:t>
            </w:r>
          </w:hyperlink>
        </w:p>
        <w:p>
          <w:pPr>
            <w:pStyle w:val="Contents6"/>
            <w:tabs>
              <w:tab w:val="clear" w:pos="7609"/>
              <w:tab w:val="right" w:pos="9026" w:leader="dot"/>
            </w:tabs>
            <w:rPr/>
          </w:pPr>
          <w:hyperlink w:anchor="__RefHeading___Toc3972287_1067777946">
            <w:r>
              <w:rPr>
                <w:webHidden/>
                <w:rStyle w:val="IndexLink"/>
                <w:rtl w:val="true"/>
              </w:rPr>
              <w:t>اقرار به وطى با ادّعاى زوجيّت و انكار زن</w:t>
            </w:r>
            <w:r>
              <w:rPr>
                <w:rStyle w:val="IndexLink"/>
                <w:rtl w:val="true"/>
              </w:rPr>
              <w:tab/>
            </w:r>
            <w:r>
              <w:rPr>
                <w:rStyle w:val="IndexLink"/>
              </w:rPr>
              <w:t>315</w:t>
            </w:r>
          </w:hyperlink>
        </w:p>
        <w:p>
          <w:pPr>
            <w:pStyle w:val="Contents5"/>
            <w:tabs>
              <w:tab w:val="clear" w:pos="7892"/>
              <w:tab w:val="right" w:pos="9026" w:leader="dot"/>
            </w:tabs>
            <w:rPr/>
          </w:pPr>
          <w:hyperlink w:anchor="__RefHeading___Toc3972289_1067777946">
            <w:r>
              <w:rPr>
                <w:webHidden/>
                <w:rStyle w:val="IndexLink"/>
                <w:rtl w:val="true"/>
              </w:rPr>
              <w:t>ب</w:t>
            </w:r>
            <w:r>
              <w:rPr>
                <w:rStyle w:val="IndexLink"/>
                <w:rtl w:val="true"/>
              </w:rPr>
              <w:t xml:space="preserve">. </w:t>
            </w:r>
            <w:r>
              <w:rPr>
                <w:rStyle w:val="IndexLink"/>
                <w:rtl w:val="true"/>
              </w:rPr>
              <w:t>بيّنه</w:t>
            </w:r>
            <w:r>
              <w:rPr>
                <w:rStyle w:val="IndexLink"/>
                <w:rtl w:val="true"/>
              </w:rPr>
              <w:tab/>
            </w:r>
            <w:r>
              <w:rPr>
                <w:rStyle w:val="IndexLink"/>
              </w:rPr>
              <w:t>315</w:t>
            </w:r>
          </w:hyperlink>
        </w:p>
        <w:p>
          <w:pPr>
            <w:pStyle w:val="Contents6"/>
            <w:tabs>
              <w:tab w:val="clear" w:pos="7609"/>
              <w:tab w:val="right" w:pos="9026" w:leader="dot"/>
            </w:tabs>
            <w:rPr/>
          </w:pPr>
          <w:hyperlink w:anchor="__RefHeading___Toc3972291_1067777946">
            <w:r>
              <w:rPr>
                <w:webHidden/>
                <w:rStyle w:val="IndexLink"/>
                <w:rtl w:val="true"/>
              </w:rPr>
              <w:t>عدد لازم در بيّنه</w:t>
            </w:r>
            <w:r>
              <w:rPr>
                <w:rStyle w:val="IndexLink"/>
                <w:rtl w:val="true"/>
              </w:rPr>
              <w:tab/>
            </w:r>
            <w:r>
              <w:rPr>
                <w:rStyle w:val="IndexLink"/>
              </w:rPr>
              <w:t>315</w:t>
            </w:r>
          </w:hyperlink>
        </w:p>
        <w:p>
          <w:pPr>
            <w:pStyle w:val="Contents6"/>
            <w:tabs>
              <w:tab w:val="clear" w:pos="7609"/>
              <w:tab w:val="right" w:pos="9026" w:leader="dot"/>
            </w:tabs>
            <w:rPr/>
          </w:pPr>
          <w:hyperlink w:anchor="__RefHeading___Toc3972293_1067777946">
            <w:r>
              <w:rPr>
                <w:webHidden/>
                <w:rStyle w:val="IndexLink"/>
                <w:rtl w:val="true"/>
              </w:rPr>
              <w:t>آن چه ذكر آن در شهادت بر زنا لازم است</w:t>
            </w:r>
            <w:r>
              <w:rPr>
                <w:rStyle w:val="IndexLink"/>
                <w:rtl w:val="true"/>
              </w:rPr>
              <w:tab/>
            </w:r>
            <w:r>
              <w:rPr>
                <w:rStyle w:val="IndexLink"/>
              </w:rPr>
              <w:t>316</w:t>
            </w:r>
          </w:hyperlink>
        </w:p>
        <w:p>
          <w:pPr>
            <w:pStyle w:val="Contents6"/>
            <w:tabs>
              <w:tab w:val="clear" w:pos="7609"/>
              <w:tab w:val="right" w:pos="9026" w:leader="dot"/>
            </w:tabs>
            <w:rPr/>
          </w:pPr>
          <w:hyperlink w:anchor="__RefHeading___Toc3972295_1067777946">
            <w:r>
              <w:rPr>
                <w:webHidden/>
                <w:rStyle w:val="IndexLink"/>
                <w:rtl w:val="true"/>
              </w:rPr>
              <w:t>شهادت فاقد خصوصيت معتبره</w:t>
            </w:r>
            <w:r>
              <w:rPr>
                <w:rStyle w:val="IndexLink"/>
                <w:rtl w:val="true"/>
              </w:rPr>
              <w:tab/>
            </w:r>
            <w:r>
              <w:rPr>
                <w:rStyle w:val="IndexLink"/>
              </w:rPr>
              <w:t>316</w:t>
            </w:r>
          </w:hyperlink>
        </w:p>
        <w:p>
          <w:pPr>
            <w:pStyle w:val="Contents6"/>
            <w:tabs>
              <w:tab w:val="clear" w:pos="7609"/>
              <w:tab w:val="right" w:pos="9026" w:leader="dot"/>
            </w:tabs>
            <w:rPr/>
          </w:pPr>
          <w:hyperlink w:anchor="__RefHeading___Toc3972297_1067777946">
            <w:r>
              <w:rPr>
                <w:webHidden/>
                <w:rStyle w:val="IndexLink"/>
                <w:rtl w:val="true"/>
              </w:rPr>
              <w:t>شهادت دو نفر بر اكراه و دو نفر ديگر بر مطاوعه</w:t>
            </w:r>
            <w:r>
              <w:rPr>
                <w:rStyle w:val="IndexLink"/>
                <w:rtl w:val="true"/>
              </w:rPr>
              <w:tab/>
            </w:r>
            <w:r>
              <w:rPr>
                <w:rStyle w:val="IndexLink"/>
              </w:rPr>
              <w:t>316</w:t>
            </w:r>
          </w:hyperlink>
        </w:p>
        <w:p>
          <w:pPr>
            <w:pStyle w:val="Contents6"/>
            <w:tabs>
              <w:tab w:val="clear" w:pos="7609"/>
              <w:tab w:val="right" w:pos="9026" w:leader="dot"/>
            </w:tabs>
            <w:rPr/>
          </w:pPr>
          <w:hyperlink w:anchor="__RefHeading___Toc3972299_1067777946">
            <w:r>
              <w:rPr>
                <w:webHidden/>
                <w:rStyle w:val="IndexLink"/>
                <w:rtl w:val="true"/>
              </w:rPr>
              <w:t>اعتبار اتصال عرفى شهادت چهار نفر</w:t>
            </w:r>
            <w:r>
              <w:rPr>
                <w:rStyle w:val="IndexLink"/>
                <w:rtl w:val="true"/>
              </w:rPr>
              <w:tab/>
            </w:r>
            <w:r>
              <w:rPr>
                <w:rStyle w:val="IndexLink"/>
              </w:rPr>
              <w:t>317</w:t>
            </w:r>
          </w:hyperlink>
        </w:p>
        <w:p>
          <w:pPr>
            <w:pStyle w:val="Contents6"/>
            <w:tabs>
              <w:tab w:val="clear" w:pos="7609"/>
              <w:tab w:val="right" w:pos="9026" w:leader="dot"/>
            </w:tabs>
            <w:rPr/>
          </w:pPr>
          <w:hyperlink w:anchor="__RefHeading___Toc3972301_1067777946">
            <w:r>
              <w:rPr>
                <w:webHidden/>
                <w:rStyle w:val="IndexLink"/>
                <w:rtl w:val="true"/>
              </w:rPr>
              <w:t>فرض ردّ شهادت و جريان حدّ قذف</w:t>
            </w:r>
            <w:r>
              <w:rPr>
                <w:rStyle w:val="IndexLink"/>
                <w:rtl w:val="true"/>
              </w:rPr>
              <w:tab/>
            </w:r>
            <w:r>
              <w:rPr>
                <w:rStyle w:val="IndexLink"/>
              </w:rPr>
              <w:t>317</w:t>
            </w:r>
          </w:hyperlink>
        </w:p>
        <w:p>
          <w:pPr>
            <w:pStyle w:val="Contents6"/>
            <w:tabs>
              <w:tab w:val="clear" w:pos="7609"/>
              <w:tab w:val="right" w:pos="9026" w:leader="dot"/>
            </w:tabs>
            <w:rPr/>
          </w:pPr>
          <w:hyperlink w:anchor="__RefHeading___Toc3972303_1067777946">
            <w:r>
              <w:rPr>
                <w:webHidden/>
                <w:rStyle w:val="IndexLink"/>
                <w:rtl w:val="true"/>
              </w:rPr>
              <w:t>حد قذف در فرض رجوع</w:t>
            </w:r>
            <w:r>
              <w:rPr>
                <w:rStyle w:val="IndexLink"/>
                <w:rtl w:val="true"/>
              </w:rPr>
              <w:tab/>
            </w:r>
            <w:r>
              <w:rPr>
                <w:rStyle w:val="IndexLink"/>
              </w:rPr>
              <w:t>317</w:t>
            </w:r>
          </w:hyperlink>
        </w:p>
        <w:p>
          <w:pPr>
            <w:pStyle w:val="Contents6"/>
            <w:tabs>
              <w:tab w:val="clear" w:pos="7609"/>
              <w:tab w:val="right" w:pos="9026" w:leader="dot"/>
            </w:tabs>
            <w:rPr/>
          </w:pPr>
          <w:hyperlink w:anchor="__RefHeading___Toc3972305_1067777946">
            <w:r>
              <w:rPr>
                <w:webHidden/>
                <w:rStyle w:val="IndexLink"/>
                <w:rtl w:val="true"/>
              </w:rPr>
              <w:t>فاصله بين فعل و اقامۀ شهادت</w:t>
            </w:r>
            <w:r>
              <w:rPr>
                <w:rStyle w:val="IndexLink"/>
                <w:rtl w:val="true"/>
              </w:rPr>
              <w:tab/>
            </w:r>
            <w:r>
              <w:rPr>
                <w:rStyle w:val="IndexLink"/>
              </w:rPr>
              <w:t>317</w:t>
            </w:r>
          </w:hyperlink>
        </w:p>
        <w:p>
          <w:pPr>
            <w:pStyle w:val="Contents6"/>
            <w:tabs>
              <w:tab w:val="clear" w:pos="7609"/>
              <w:tab w:val="right" w:pos="9026" w:leader="dot"/>
            </w:tabs>
            <w:rPr/>
          </w:pPr>
          <w:hyperlink w:anchor="__RefHeading___Toc3972307_1067777946">
            <w:r>
              <w:rPr>
                <w:webHidden/>
                <w:rStyle w:val="IndexLink"/>
                <w:rtl w:val="true"/>
              </w:rPr>
              <w:t>كفايت چهار شاهد براى بر اثبات حدّ بر چند نفر</w:t>
            </w:r>
            <w:r>
              <w:rPr>
                <w:rStyle w:val="IndexLink"/>
                <w:rtl w:val="true"/>
              </w:rPr>
              <w:tab/>
            </w:r>
            <w:r>
              <w:rPr>
                <w:rStyle w:val="IndexLink"/>
              </w:rPr>
              <w:t>317</w:t>
            </w:r>
          </w:hyperlink>
        </w:p>
        <w:p>
          <w:pPr>
            <w:pStyle w:val="Contents6"/>
            <w:tabs>
              <w:tab w:val="clear" w:pos="7609"/>
              <w:tab w:val="right" w:pos="9026" w:leader="dot"/>
            </w:tabs>
            <w:rPr/>
          </w:pPr>
          <w:hyperlink w:anchor="__RefHeading___Toc3972309_1067777946">
            <w:r>
              <w:rPr>
                <w:webHidden/>
                <w:rStyle w:val="IndexLink"/>
                <w:rtl w:val="true"/>
              </w:rPr>
              <w:t>عدم احتياج مدّعى در شهادت بر حقوق الهى</w:t>
            </w:r>
            <w:r>
              <w:rPr>
                <w:rStyle w:val="IndexLink"/>
                <w:rtl w:val="true"/>
              </w:rPr>
              <w:tab/>
            </w:r>
            <w:r>
              <w:rPr>
                <w:rStyle w:val="IndexLink"/>
              </w:rPr>
              <w:t>318</w:t>
            </w:r>
          </w:hyperlink>
        </w:p>
        <w:p>
          <w:pPr>
            <w:pStyle w:val="Contents6"/>
            <w:tabs>
              <w:tab w:val="clear" w:pos="7609"/>
              <w:tab w:val="right" w:pos="9026" w:leader="dot"/>
            </w:tabs>
            <w:rPr/>
          </w:pPr>
          <w:hyperlink w:anchor="__RefHeading___Toc3972311_1067777946">
            <w:r>
              <w:rPr>
                <w:webHidden/>
                <w:rStyle w:val="IndexLink"/>
                <w:rtl w:val="true"/>
              </w:rPr>
              <w:t>عدم اسقاط حكم شهادت با اقرار مشهودٌ عليه يا تكذيب وى</w:t>
            </w:r>
            <w:r>
              <w:rPr>
                <w:rStyle w:val="IndexLink"/>
                <w:rtl w:val="true"/>
              </w:rPr>
              <w:tab/>
            </w:r>
            <w:r>
              <w:rPr>
                <w:rStyle w:val="IndexLink"/>
              </w:rPr>
              <w:t>318</w:t>
            </w:r>
          </w:hyperlink>
        </w:p>
        <w:p>
          <w:pPr>
            <w:pStyle w:val="Contents6"/>
            <w:tabs>
              <w:tab w:val="clear" w:pos="7609"/>
              <w:tab w:val="right" w:pos="9026" w:leader="dot"/>
            </w:tabs>
            <w:rPr/>
          </w:pPr>
          <w:hyperlink w:anchor="__RefHeading___Toc3972313_1067777946">
            <w:r>
              <w:rPr>
                <w:webHidden/>
                <w:rStyle w:val="IndexLink"/>
                <w:rtl w:val="true"/>
              </w:rPr>
              <w:t>اسقاط حدّ با توبه</w:t>
            </w:r>
            <w:r>
              <w:rPr>
                <w:rStyle w:val="IndexLink"/>
                <w:rtl w:val="true"/>
              </w:rPr>
              <w:tab/>
            </w:r>
            <w:r>
              <w:rPr>
                <w:rStyle w:val="IndexLink"/>
              </w:rPr>
              <w:t>318</w:t>
            </w:r>
          </w:hyperlink>
        </w:p>
        <w:p>
          <w:pPr>
            <w:pStyle w:val="Contents4"/>
            <w:tabs>
              <w:tab w:val="clear" w:pos="8176"/>
              <w:tab w:val="right" w:pos="9026" w:leader="dot"/>
            </w:tabs>
            <w:rPr/>
          </w:pPr>
          <w:hyperlink w:anchor="__RefHeading___Toc3972315_1067777946">
            <w:r>
              <w:rPr>
                <w:webHidden/>
                <w:rStyle w:val="IndexLink"/>
              </w:rPr>
              <w:t>3</w:t>
            </w:r>
            <w:r>
              <w:rPr>
                <w:rStyle w:val="IndexLink"/>
                <w:rtl w:val="true"/>
              </w:rPr>
              <w:t xml:space="preserve">. </w:t>
            </w:r>
            <w:r>
              <w:rPr>
                <w:rStyle w:val="IndexLink"/>
                <w:rtl w:val="true"/>
              </w:rPr>
              <w:t>حدّ زنا</w:t>
            </w:r>
            <w:r>
              <w:rPr>
                <w:rStyle w:val="IndexLink"/>
                <w:rtl w:val="true"/>
              </w:rPr>
              <w:tab/>
            </w:r>
            <w:r>
              <w:rPr>
                <w:rStyle w:val="IndexLink"/>
              </w:rPr>
              <w:t>318</w:t>
            </w:r>
          </w:hyperlink>
        </w:p>
        <w:p>
          <w:pPr>
            <w:pStyle w:val="Contents5"/>
            <w:tabs>
              <w:tab w:val="clear" w:pos="7892"/>
              <w:tab w:val="right" w:pos="9026" w:leader="dot"/>
            </w:tabs>
            <w:rPr/>
          </w:pPr>
          <w:hyperlink w:anchor="__RefHeading___Toc3972317_1067777946">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3972319_1067777946">
            <w:r>
              <w:rPr>
                <w:webHidden/>
                <w:rStyle w:val="IndexLink"/>
                <w:rtl w:val="true"/>
              </w:rPr>
              <w:t>الف</w:t>
            </w:r>
            <w:r>
              <w:rPr>
                <w:rStyle w:val="IndexLink"/>
                <w:rtl w:val="true"/>
              </w:rPr>
              <w:t xml:space="preserve">. </w:t>
            </w:r>
            <w:r>
              <w:rPr>
                <w:rStyle w:val="IndexLink"/>
                <w:rtl w:val="true"/>
              </w:rPr>
              <w:t>قتل</w:t>
            </w:r>
            <w:r>
              <w:rPr>
                <w:rStyle w:val="IndexLink"/>
                <w:rtl w:val="true"/>
              </w:rPr>
              <w:tab/>
            </w:r>
            <w:r>
              <w:rPr>
                <w:rStyle w:val="IndexLink"/>
              </w:rPr>
              <w:t>318</w:t>
            </w:r>
          </w:hyperlink>
        </w:p>
        <w:p>
          <w:pPr>
            <w:pStyle w:val="Contents5"/>
            <w:tabs>
              <w:tab w:val="clear" w:pos="7892"/>
              <w:tab w:val="right" w:pos="9026" w:leader="dot"/>
            </w:tabs>
            <w:rPr/>
          </w:pPr>
          <w:hyperlink w:anchor="__RefHeading___Toc3972321_1067777946">
            <w:r>
              <w:rPr>
                <w:webHidden/>
                <w:rStyle w:val="IndexLink"/>
                <w:rtl w:val="true"/>
              </w:rPr>
              <w:t>اثبات حكم بر ذمّى</w:t>
            </w:r>
            <w:r>
              <w:rPr>
                <w:rStyle w:val="IndexLink"/>
                <w:rtl w:val="true"/>
              </w:rPr>
              <w:tab/>
            </w:r>
            <w:r>
              <w:rPr>
                <w:rStyle w:val="IndexLink"/>
              </w:rPr>
              <w:t>318</w:t>
            </w:r>
          </w:hyperlink>
        </w:p>
        <w:p>
          <w:pPr>
            <w:pStyle w:val="Contents5"/>
            <w:tabs>
              <w:tab w:val="clear" w:pos="7892"/>
              <w:tab w:val="right" w:pos="9026" w:leader="dot"/>
            </w:tabs>
            <w:rPr/>
          </w:pPr>
          <w:hyperlink w:anchor="__RefHeading___Toc3972323_1067777946">
            <w:r>
              <w:rPr>
                <w:webHidden/>
                <w:rStyle w:val="IndexLink"/>
                <w:rtl w:val="true"/>
              </w:rPr>
              <w:t>ب</w:t>
            </w:r>
            <w:r>
              <w:rPr>
                <w:rStyle w:val="IndexLink"/>
                <w:rtl w:val="true"/>
              </w:rPr>
              <w:t xml:space="preserve">. </w:t>
            </w:r>
            <w:r>
              <w:rPr>
                <w:rStyle w:val="IndexLink"/>
                <w:rtl w:val="true"/>
              </w:rPr>
              <w:t>رجم</w:t>
            </w:r>
            <w:r>
              <w:rPr>
                <w:rStyle w:val="IndexLink"/>
                <w:rtl w:val="true"/>
              </w:rPr>
              <w:tab/>
            </w:r>
            <w:r>
              <w:rPr>
                <w:rStyle w:val="IndexLink"/>
              </w:rPr>
              <w:t>319</w:t>
            </w:r>
          </w:hyperlink>
        </w:p>
        <w:p>
          <w:pPr>
            <w:pStyle w:val="Contents5"/>
            <w:tabs>
              <w:tab w:val="clear" w:pos="7892"/>
              <w:tab w:val="right" w:pos="9026" w:leader="dot"/>
            </w:tabs>
            <w:rPr/>
          </w:pPr>
          <w:hyperlink w:anchor="__RefHeading___Toc3972325_1067777946">
            <w:r>
              <w:rPr>
                <w:webHidden/>
                <w:rStyle w:val="IndexLink"/>
                <w:rtl w:val="true"/>
              </w:rPr>
              <w:t>ج</w:t>
            </w:r>
            <w:r>
              <w:rPr>
                <w:rStyle w:val="IndexLink"/>
                <w:rtl w:val="true"/>
              </w:rPr>
              <w:t xml:space="preserve">. </w:t>
            </w:r>
            <w:r>
              <w:rPr>
                <w:rStyle w:val="IndexLink"/>
                <w:rtl w:val="true"/>
              </w:rPr>
              <w:t>جلد، نفى بلد، حلق رأس</w:t>
            </w:r>
            <w:r>
              <w:rPr>
                <w:rStyle w:val="IndexLink"/>
                <w:rtl w:val="true"/>
              </w:rPr>
              <w:tab/>
            </w:r>
            <w:r>
              <w:rPr>
                <w:rStyle w:val="IndexLink"/>
              </w:rPr>
              <w:t>319</w:t>
            </w:r>
          </w:hyperlink>
        </w:p>
        <w:p>
          <w:pPr>
            <w:pStyle w:val="Contents5"/>
            <w:tabs>
              <w:tab w:val="clear" w:pos="7892"/>
              <w:tab w:val="right" w:pos="9026" w:leader="dot"/>
            </w:tabs>
            <w:rPr/>
          </w:pPr>
          <w:hyperlink w:anchor="__RefHeading___Toc3972327_1067777946">
            <w:r>
              <w:rPr>
                <w:webHidden/>
                <w:rStyle w:val="IndexLink"/>
                <w:rtl w:val="true"/>
              </w:rPr>
              <w:t>حكم زناى ذمى</w:t>
            </w:r>
            <w:r>
              <w:rPr>
                <w:rStyle w:val="IndexLink"/>
                <w:rtl w:val="true"/>
              </w:rPr>
              <w:tab/>
            </w:r>
            <w:r>
              <w:rPr>
                <w:rStyle w:val="IndexLink"/>
              </w:rPr>
              <w:t>320</w:t>
            </w:r>
          </w:hyperlink>
        </w:p>
        <w:p>
          <w:pPr>
            <w:pStyle w:val="Contents5"/>
            <w:tabs>
              <w:tab w:val="clear" w:pos="7892"/>
              <w:tab w:val="right" w:pos="9026" w:leader="dot"/>
            </w:tabs>
            <w:rPr/>
          </w:pPr>
          <w:hyperlink w:anchor="__RefHeading___Toc3972329_1067777946">
            <w:r>
              <w:rPr>
                <w:webHidden/>
                <w:rStyle w:val="IndexLink"/>
                <w:rtl w:val="true"/>
              </w:rPr>
              <w:t>عدم اجراى حد بر حامل</w:t>
            </w:r>
            <w:r>
              <w:rPr>
                <w:rStyle w:val="IndexLink"/>
                <w:rtl w:val="true"/>
              </w:rPr>
              <w:tab/>
            </w:r>
            <w:r>
              <w:rPr>
                <w:rStyle w:val="IndexLink"/>
              </w:rPr>
              <w:t>320</w:t>
            </w:r>
          </w:hyperlink>
        </w:p>
        <w:p>
          <w:pPr>
            <w:pStyle w:val="Contents5"/>
            <w:tabs>
              <w:tab w:val="clear" w:pos="7892"/>
              <w:tab w:val="right" w:pos="9026" w:leader="dot"/>
            </w:tabs>
            <w:rPr/>
          </w:pPr>
          <w:hyperlink w:anchor="__RefHeading___Toc3972331_1067777946">
            <w:r>
              <w:rPr>
                <w:webHidden/>
                <w:rStyle w:val="IndexLink"/>
                <w:rtl w:val="true"/>
              </w:rPr>
              <w:t>مريض و مستحاضه</w:t>
            </w:r>
            <w:r>
              <w:rPr>
                <w:rStyle w:val="IndexLink"/>
                <w:rtl w:val="true"/>
              </w:rPr>
              <w:tab/>
            </w:r>
            <w:r>
              <w:rPr>
                <w:rStyle w:val="IndexLink"/>
              </w:rPr>
              <w:t>321</w:t>
            </w:r>
          </w:hyperlink>
        </w:p>
        <w:p>
          <w:pPr>
            <w:pStyle w:val="Contents5"/>
            <w:tabs>
              <w:tab w:val="clear" w:pos="7892"/>
              <w:tab w:val="right" w:pos="9026" w:leader="dot"/>
            </w:tabs>
            <w:rPr/>
          </w:pPr>
          <w:hyperlink w:anchor="__RefHeading___Toc3972333_1067777946">
            <w:r>
              <w:rPr>
                <w:webHidden/>
                <w:rStyle w:val="IndexLink"/>
                <w:rtl w:val="true"/>
              </w:rPr>
              <w:t>عدم سقوط حدّ با ارتداد و جنون</w:t>
            </w:r>
            <w:r>
              <w:rPr>
                <w:rStyle w:val="IndexLink"/>
                <w:rtl w:val="true"/>
              </w:rPr>
              <w:tab/>
            </w:r>
            <w:r>
              <w:rPr>
                <w:rStyle w:val="IndexLink"/>
              </w:rPr>
              <w:t>321</w:t>
            </w:r>
          </w:hyperlink>
        </w:p>
        <w:p>
          <w:pPr>
            <w:pStyle w:val="Contents5"/>
            <w:tabs>
              <w:tab w:val="clear" w:pos="7892"/>
              <w:tab w:val="right" w:pos="9026" w:leader="dot"/>
            </w:tabs>
            <w:rPr/>
          </w:pPr>
          <w:hyperlink w:anchor="__RefHeading___Toc3972335_1067777946">
            <w:r>
              <w:rPr>
                <w:webHidden/>
                <w:rStyle w:val="IndexLink"/>
                <w:rtl w:val="true"/>
              </w:rPr>
              <w:t>عدم اجراى حدّ در سرما و گرماى شديد</w:t>
            </w:r>
            <w:r>
              <w:rPr>
                <w:rStyle w:val="IndexLink"/>
                <w:rtl w:val="true"/>
              </w:rPr>
              <w:tab/>
            </w:r>
            <w:r>
              <w:rPr>
                <w:rStyle w:val="IndexLink"/>
              </w:rPr>
              <w:t>321</w:t>
            </w:r>
          </w:hyperlink>
        </w:p>
        <w:p>
          <w:pPr>
            <w:pStyle w:val="Contents5"/>
            <w:tabs>
              <w:tab w:val="clear" w:pos="7892"/>
              <w:tab w:val="right" w:pos="9026" w:leader="dot"/>
            </w:tabs>
            <w:rPr/>
          </w:pPr>
          <w:hyperlink w:anchor="__RefHeading___Toc3972337_1067777946">
            <w:r>
              <w:rPr>
                <w:webHidden/>
                <w:rStyle w:val="IndexLink"/>
                <w:rtl w:val="true"/>
              </w:rPr>
              <w:t xml:space="preserve">حكم كسى كه به حرم پيامبر </w:t>
            </w:r>
            <w:r>
              <w:rPr>
                <w:rStyle w:val="IndexLink"/>
                <w:rtl w:val="true"/>
              </w:rPr>
              <w:t xml:space="preserve">- </w:t>
            </w:r>
            <w:r>
              <w:rPr>
                <w:rStyle w:val="IndexLink"/>
                <w:rtl w:val="true"/>
              </w:rPr>
              <w:t xml:space="preserve">صلى اللّٰه عليه و آله و سلم </w:t>
            </w:r>
            <w:r>
              <w:rPr>
                <w:rStyle w:val="IndexLink"/>
                <w:rtl w:val="true"/>
              </w:rPr>
              <w:t xml:space="preserve">- </w:t>
            </w:r>
            <w:r>
              <w:rPr>
                <w:rStyle w:val="IndexLink"/>
                <w:rtl w:val="true"/>
              </w:rPr>
              <w:t xml:space="preserve">يا معصومين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پناه ببرد</w:t>
            </w:r>
            <w:r>
              <w:rPr>
                <w:rStyle w:val="IndexLink"/>
                <w:rtl w:val="true"/>
              </w:rPr>
              <w:tab/>
            </w:r>
            <w:r>
              <w:rPr>
                <w:rStyle w:val="IndexLink"/>
              </w:rPr>
              <w:t>322</w:t>
            </w:r>
          </w:hyperlink>
        </w:p>
        <w:p>
          <w:pPr>
            <w:pStyle w:val="Contents4"/>
            <w:tabs>
              <w:tab w:val="clear" w:pos="8176"/>
              <w:tab w:val="right" w:pos="9026" w:leader="dot"/>
            </w:tabs>
            <w:rPr/>
          </w:pPr>
          <w:hyperlink w:anchor="__RefHeading___Toc3972339_1067777946">
            <w:r>
              <w:rPr>
                <w:webHidden/>
                <w:rStyle w:val="IndexLink"/>
              </w:rPr>
              <w:t>4</w:t>
            </w:r>
            <w:r>
              <w:rPr>
                <w:rStyle w:val="IndexLink"/>
                <w:rtl w:val="true"/>
              </w:rPr>
              <w:t xml:space="preserve">. </w:t>
            </w:r>
            <w:r>
              <w:rPr>
                <w:rStyle w:val="IndexLink"/>
                <w:rtl w:val="true"/>
              </w:rPr>
              <w:t>كيفيت ايقاع حدّ زنا</w:t>
            </w:r>
            <w:r>
              <w:rPr>
                <w:rStyle w:val="IndexLink"/>
                <w:rtl w:val="true"/>
              </w:rPr>
              <w:tab/>
            </w:r>
            <w:r>
              <w:rPr>
                <w:rStyle w:val="IndexLink"/>
              </w:rPr>
              <w:t>322</w:t>
            </w:r>
          </w:hyperlink>
        </w:p>
        <w:p>
          <w:pPr>
            <w:pStyle w:val="Contents5"/>
            <w:tabs>
              <w:tab w:val="clear" w:pos="7892"/>
              <w:tab w:val="right" w:pos="9026" w:leader="dot"/>
            </w:tabs>
            <w:rPr/>
          </w:pPr>
          <w:hyperlink w:anchor="__RefHeading___Toc3972341_1067777946">
            <w:r>
              <w:rPr>
                <w:webHidden/>
                <w:rStyle w:val="IndexLink"/>
                <w:rtl w:val="true"/>
              </w:rPr>
              <w:t>جمع دو حدّ در يك نفر</w:t>
            </w:r>
            <w:r>
              <w:rPr>
                <w:rStyle w:val="IndexLink"/>
                <w:rtl w:val="true"/>
              </w:rPr>
              <w:tab/>
            </w:r>
            <w:r>
              <w:rPr>
                <w:rStyle w:val="IndexLink"/>
              </w:rPr>
              <w:t>322</w:t>
            </w:r>
          </w:hyperlink>
        </w:p>
        <w:p>
          <w:pPr>
            <w:pStyle w:val="Contents5"/>
            <w:tabs>
              <w:tab w:val="clear" w:pos="7892"/>
              <w:tab w:val="right" w:pos="9026" w:leader="dot"/>
            </w:tabs>
            <w:rPr/>
          </w:pPr>
          <w:hyperlink w:anchor="__RefHeading___Toc3972343_1067777946">
            <w:r>
              <w:rPr>
                <w:webHidden/>
                <w:rStyle w:val="IndexLink"/>
                <w:rtl w:val="true"/>
              </w:rPr>
              <w:t>فرار مرجوم</w:t>
            </w:r>
            <w:r>
              <w:rPr>
                <w:rStyle w:val="IndexLink"/>
                <w:rtl w:val="true"/>
              </w:rPr>
              <w:tab/>
            </w:r>
            <w:r>
              <w:rPr>
                <w:rStyle w:val="IndexLink"/>
              </w:rPr>
              <w:t>322</w:t>
            </w:r>
          </w:hyperlink>
        </w:p>
        <w:p>
          <w:pPr>
            <w:pStyle w:val="Contents5"/>
            <w:tabs>
              <w:tab w:val="clear" w:pos="7892"/>
              <w:tab w:val="right" w:pos="9026" w:leader="dot"/>
            </w:tabs>
            <w:rPr/>
          </w:pPr>
          <w:hyperlink w:anchor="__RefHeading___Toc3972345_1067777946">
            <w:r>
              <w:rPr>
                <w:webHidden/>
                <w:rStyle w:val="IndexLink"/>
                <w:rtl w:val="true"/>
              </w:rPr>
              <w:t>احوطيّت ابتداى شهود بر رجم</w:t>
            </w:r>
            <w:r>
              <w:rPr>
                <w:rStyle w:val="IndexLink"/>
                <w:rtl w:val="true"/>
              </w:rPr>
              <w:tab/>
            </w:r>
            <w:r>
              <w:rPr>
                <w:rStyle w:val="IndexLink"/>
              </w:rPr>
              <w:t>322</w:t>
            </w:r>
          </w:hyperlink>
        </w:p>
        <w:p>
          <w:pPr>
            <w:pStyle w:val="Contents5"/>
            <w:tabs>
              <w:tab w:val="clear" w:pos="7892"/>
              <w:tab w:val="right" w:pos="9026" w:leader="dot"/>
            </w:tabs>
            <w:rPr/>
          </w:pPr>
          <w:hyperlink w:anchor="__RefHeading___Toc3972347_1067777946">
            <w:r>
              <w:rPr>
                <w:webHidden/>
                <w:rStyle w:val="IndexLink"/>
                <w:rtl w:val="true"/>
              </w:rPr>
              <w:t>احوطيّت حضور شهود</w:t>
            </w:r>
            <w:r>
              <w:rPr>
                <w:rStyle w:val="IndexLink"/>
                <w:rtl w:val="true"/>
              </w:rPr>
              <w:tab/>
            </w:r>
            <w:r>
              <w:rPr>
                <w:rStyle w:val="IndexLink"/>
              </w:rPr>
              <w:t>323</w:t>
            </w:r>
          </w:hyperlink>
        </w:p>
        <w:p>
          <w:pPr>
            <w:pStyle w:val="Contents5"/>
            <w:tabs>
              <w:tab w:val="clear" w:pos="7892"/>
              <w:tab w:val="right" w:pos="9026" w:leader="dot"/>
            </w:tabs>
            <w:rPr/>
          </w:pPr>
          <w:hyperlink w:anchor="__RefHeading___Toc3972349_1067777946">
            <w:r>
              <w:rPr>
                <w:webHidden/>
                <w:rStyle w:val="IndexLink"/>
                <w:rtl w:val="true"/>
              </w:rPr>
              <w:t>چند مستحب و مكروه در مقام</w:t>
            </w:r>
            <w:r>
              <w:rPr>
                <w:rStyle w:val="IndexLink"/>
                <w:rtl w:val="true"/>
              </w:rPr>
              <w:tab/>
            </w:r>
            <w:r>
              <w:rPr>
                <w:rStyle w:val="IndexLink"/>
              </w:rPr>
              <w:t>323</w:t>
            </w:r>
          </w:hyperlink>
        </w:p>
        <w:p>
          <w:pPr>
            <w:pStyle w:val="Contents5"/>
            <w:tabs>
              <w:tab w:val="clear" w:pos="7892"/>
              <w:tab w:val="right" w:pos="9026" w:leader="dot"/>
            </w:tabs>
            <w:rPr/>
          </w:pPr>
          <w:hyperlink w:anchor="__RefHeading___Toc3972351_1067777946">
            <w:r>
              <w:rPr>
                <w:webHidden/>
                <w:rStyle w:val="IndexLink"/>
                <w:rtl w:val="true"/>
              </w:rPr>
              <w:t>دفن و احكام مرجوم</w:t>
            </w:r>
            <w:r>
              <w:rPr>
                <w:rStyle w:val="IndexLink"/>
                <w:rtl w:val="true"/>
              </w:rPr>
              <w:tab/>
            </w:r>
            <w:r>
              <w:rPr>
                <w:rStyle w:val="IndexLink"/>
              </w:rPr>
              <w:t>323</w:t>
            </w:r>
          </w:hyperlink>
        </w:p>
        <w:p>
          <w:pPr>
            <w:pStyle w:val="Contents5"/>
            <w:tabs>
              <w:tab w:val="clear" w:pos="7892"/>
              <w:tab w:val="right" w:pos="9026" w:leader="dot"/>
            </w:tabs>
            <w:rPr/>
          </w:pPr>
          <w:hyperlink w:anchor="__RefHeading___Toc3972353_1067777946">
            <w:r>
              <w:rPr>
                <w:webHidden/>
                <w:rStyle w:val="IndexLink"/>
                <w:rtl w:val="true"/>
              </w:rPr>
              <w:t>برهنه كردن مرد براى تازيانه</w:t>
            </w:r>
            <w:r>
              <w:rPr>
                <w:rStyle w:val="IndexLink"/>
                <w:rtl w:val="true"/>
              </w:rPr>
              <w:tab/>
            </w:r>
            <w:r>
              <w:rPr>
                <w:rStyle w:val="IndexLink"/>
              </w:rPr>
              <w:t>323</w:t>
            </w:r>
          </w:hyperlink>
        </w:p>
        <w:p>
          <w:pPr>
            <w:pStyle w:val="Contents4"/>
            <w:tabs>
              <w:tab w:val="clear" w:pos="8176"/>
              <w:tab w:val="right" w:pos="9026" w:leader="dot"/>
            </w:tabs>
            <w:rPr/>
          </w:pPr>
          <w:hyperlink w:anchor="__RefHeading___Toc3972355_1067777946">
            <w:r>
              <w:rPr>
                <w:webHidden/>
                <w:rStyle w:val="IndexLink"/>
                <w:rtl w:val="true"/>
              </w:rPr>
              <w:t>چند مسأله</w:t>
            </w:r>
            <w:r>
              <w:rPr>
                <w:rStyle w:val="IndexLink"/>
                <w:rtl w:val="true"/>
              </w:rPr>
              <w:tab/>
            </w:r>
            <w:r>
              <w:rPr>
                <w:rStyle w:val="IndexLink"/>
              </w:rPr>
              <w:t>324</w:t>
            </w:r>
          </w:hyperlink>
        </w:p>
        <w:p>
          <w:pPr>
            <w:pStyle w:val="Contents5"/>
            <w:tabs>
              <w:tab w:val="clear" w:pos="7892"/>
              <w:tab w:val="right" w:pos="9026" w:leader="dot"/>
            </w:tabs>
            <w:rPr/>
          </w:pPr>
          <w:hyperlink w:anchor="__RefHeading___Toc3972357_1067777946">
            <w:r>
              <w:rPr>
                <w:webHidden/>
                <w:rStyle w:val="IndexLink"/>
                <w:rtl w:val="true"/>
              </w:rPr>
              <w:t>شهادت بر زنا و ادّعاى بكارت توسط زن</w:t>
            </w:r>
            <w:r>
              <w:rPr>
                <w:rStyle w:val="IndexLink"/>
                <w:rtl w:val="true"/>
              </w:rPr>
              <w:tab/>
            </w:r>
            <w:r>
              <w:rPr>
                <w:rStyle w:val="IndexLink"/>
              </w:rPr>
              <w:t>324</w:t>
            </w:r>
          </w:hyperlink>
        </w:p>
        <w:p>
          <w:pPr>
            <w:pStyle w:val="Contents6"/>
            <w:tabs>
              <w:tab w:val="clear" w:pos="7609"/>
              <w:tab w:val="right" w:pos="9026" w:leader="dot"/>
            </w:tabs>
            <w:rPr/>
          </w:pPr>
          <w:hyperlink w:anchor="__RefHeading___Toc3972359_1067777946">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3972361_1067777946">
            <w:r>
              <w:rPr>
                <w:webHidden/>
                <w:rStyle w:val="IndexLink"/>
                <w:rtl w:val="true"/>
              </w:rPr>
              <w:t>چند فرع</w:t>
            </w:r>
            <w:r>
              <w:rPr>
                <w:rStyle w:val="IndexLink"/>
                <w:rtl w:val="true"/>
              </w:rPr>
              <w:tab/>
            </w:r>
            <w:r>
              <w:rPr>
                <w:rStyle w:val="IndexLink"/>
              </w:rPr>
              <w:t>324</w:t>
            </w:r>
          </w:hyperlink>
        </w:p>
        <w:p>
          <w:pPr>
            <w:pStyle w:val="Contents5"/>
            <w:tabs>
              <w:tab w:val="clear" w:pos="7892"/>
              <w:tab w:val="right" w:pos="9026" w:leader="dot"/>
            </w:tabs>
            <w:rPr/>
          </w:pPr>
          <w:hyperlink w:anchor="__RefHeading___Toc3972363_1067777946">
            <w:r>
              <w:rPr>
                <w:webHidden/>
                <w:rStyle w:val="IndexLink"/>
                <w:rtl w:val="true"/>
              </w:rPr>
              <w:t>عدم اناطۀ اجراى حدّ بر حضور شهود</w:t>
            </w:r>
            <w:r>
              <w:rPr>
                <w:rStyle w:val="IndexLink"/>
                <w:rtl w:val="true"/>
              </w:rPr>
              <w:tab/>
            </w:r>
            <w:r>
              <w:rPr>
                <w:rStyle w:val="IndexLink"/>
              </w:rPr>
              <w:t>325</w:t>
            </w:r>
          </w:hyperlink>
        </w:p>
        <w:p>
          <w:pPr>
            <w:pStyle w:val="Contents5"/>
            <w:tabs>
              <w:tab w:val="clear" w:pos="7892"/>
              <w:tab w:val="right" w:pos="9026" w:leader="dot"/>
            </w:tabs>
            <w:rPr/>
          </w:pPr>
          <w:hyperlink w:anchor="__RefHeading___Toc3972365_1067777946">
            <w:r>
              <w:rPr>
                <w:webHidden/>
                <w:rStyle w:val="IndexLink"/>
                <w:rtl w:val="true"/>
              </w:rPr>
              <w:t>حكم قبول شهادت زوج به زناى زوجه</w:t>
            </w:r>
            <w:r>
              <w:rPr>
                <w:rStyle w:val="IndexLink"/>
                <w:rtl w:val="true"/>
              </w:rPr>
              <w:tab/>
            </w:r>
            <w:r>
              <w:rPr>
                <w:rStyle w:val="IndexLink"/>
              </w:rPr>
              <w:t>325</w:t>
            </w:r>
          </w:hyperlink>
        </w:p>
        <w:p>
          <w:pPr>
            <w:pStyle w:val="Contents5"/>
            <w:tabs>
              <w:tab w:val="clear" w:pos="7892"/>
              <w:tab w:val="right" w:pos="9026" w:leader="dot"/>
            </w:tabs>
            <w:rPr/>
          </w:pPr>
          <w:hyperlink w:anchor="__RefHeading___Toc3972367_1067777946">
            <w:r>
              <w:rPr>
                <w:webHidden/>
                <w:rStyle w:val="IndexLink"/>
                <w:rtl w:val="true"/>
              </w:rPr>
              <w:t>كفايت علم حاكم در اجراى حدّ بر حقوق الهيّه</w:t>
            </w:r>
            <w:r>
              <w:rPr>
                <w:rStyle w:val="IndexLink"/>
                <w:rtl w:val="true"/>
              </w:rPr>
              <w:tab/>
            </w:r>
            <w:r>
              <w:rPr>
                <w:rStyle w:val="IndexLink"/>
              </w:rPr>
              <w:t>325</w:t>
            </w:r>
          </w:hyperlink>
        </w:p>
        <w:p>
          <w:pPr>
            <w:pStyle w:val="Contents5"/>
            <w:tabs>
              <w:tab w:val="clear" w:pos="7892"/>
              <w:tab w:val="right" w:pos="9026" w:leader="dot"/>
            </w:tabs>
            <w:rPr/>
          </w:pPr>
          <w:hyperlink w:anchor="__RefHeading___Toc3972369_1067777946">
            <w:r>
              <w:rPr>
                <w:webHidden/>
                <w:rStyle w:val="IndexLink"/>
                <w:rtl w:val="true"/>
              </w:rPr>
              <w:t>جواز قتل زوجۀ زانيه و زانى براى زوج عالم به زنا از طريق مشاهده</w:t>
            </w:r>
            <w:r>
              <w:rPr>
                <w:rStyle w:val="IndexLink"/>
                <w:rtl w:val="true"/>
              </w:rPr>
              <w:tab/>
            </w:r>
            <w:r>
              <w:rPr>
                <w:rStyle w:val="IndexLink"/>
              </w:rPr>
              <w:t>325</w:t>
            </w:r>
          </w:hyperlink>
        </w:p>
        <w:p>
          <w:pPr>
            <w:pStyle w:val="Contents5"/>
            <w:tabs>
              <w:tab w:val="clear" w:pos="7892"/>
              <w:tab w:val="right" w:pos="9026" w:leader="dot"/>
            </w:tabs>
            <w:rPr/>
          </w:pPr>
          <w:hyperlink w:anchor="__RefHeading___Toc3972371_1067777946">
            <w:r>
              <w:rPr>
                <w:webHidden/>
                <w:rStyle w:val="IndexLink"/>
                <w:rtl w:val="true"/>
              </w:rPr>
              <w:t>ازاله بكارت با اصبع</w:t>
            </w:r>
            <w:r>
              <w:rPr>
                <w:rStyle w:val="IndexLink"/>
                <w:rtl w:val="true"/>
              </w:rPr>
              <w:tab/>
            </w:r>
            <w:r>
              <w:rPr>
                <w:rStyle w:val="IndexLink"/>
              </w:rPr>
              <w:t>326</w:t>
            </w:r>
          </w:hyperlink>
        </w:p>
        <w:p>
          <w:pPr>
            <w:pStyle w:val="Contents5"/>
            <w:tabs>
              <w:tab w:val="clear" w:pos="7892"/>
              <w:tab w:val="right" w:pos="9026" w:leader="dot"/>
            </w:tabs>
            <w:rPr/>
          </w:pPr>
          <w:hyperlink w:anchor="__RefHeading___Toc3972373_1067777946">
            <w:r>
              <w:rPr>
                <w:webHidden/>
                <w:rStyle w:val="IndexLink"/>
                <w:rtl w:val="true"/>
              </w:rPr>
              <w:t>ازدواج با كنيز و وطى بدون اذن</w:t>
            </w:r>
            <w:r>
              <w:rPr>
                <w:rStyle w:val="IndexLink"/>
                <w:rtl w:val="true"/>
              </w:rPr>
              <w:tab/>
            </w:r>
            <w:r>
              <w:rPr>
                <w:rStyle w:val="IndexLink"/>
              </w:rPr>
              <w:t>326</w:t>
            </w:r>
          </w:hyperlink>
        </w:p>
        <w:p>
          <w:pPr>
            <w:pStyle w:val="Contents5"/>
            <w:tabs>
              <w:tab w:val="clear" w:pos="7892"/>
              <w:tab w:val="right" w:pos="9026" w:leader="dot"/>
            </w:tabs>
            <w:rPr/>
          </w:pPr>
          <w:hyperlink w:anchor="__RefHeading___Toc3972375_1067777946">
            <w:r>
              <w:rPr>
                <w:webHidden/>
                <w:rStyle w:val="IndexLink"/>
                <w:rtl w:val="true"/>
              </w:rPr>
              <w:t>تزويج كنيز و وطى آن با علم به تحريم</w:t>
            </w:r>
            <w:r>
              <w:rPr>
                <w:rStyle w:val="IndexLink"/>
                <w:rtl w:val="true"/>
              </w:rPr>
              <w:tab/>
            </w:r>
            <w:r>
              <w:rPr>
                <w:rStyle w:val="IndexLink"/>
              </w:rPr>
              <w:t>326</w:t>
            </w:r>
          </w:hyperlink>
        </w:p>
        <w:p>
          <w:pPr>
            <w:pStyle w:val="Contents3"/>
            <w:tabs>
              <w:tab w:val="clear" w:pos="8459"/>
              <w:tab w:val="right" w:pos="9026" w:leader="dot"/>
            </w:tabs>
            <w:rPr/>
          </w:pPr>
          <w:hyperlink w:anchor="__RefHeading___Toc3972377_1067777946">
            <w:r>
              <w:rPr>
                <w:webHidden/>
                <w:rStyle w:val="IndexLink"/>
                <w:rtl w:val="true"/>
              </w:rPr>
              <w:t>فصل دوم لواط، مساحقه و قيادت</w:t>
            </w:r>
            <w:r>
              <w:rPr>
                <w:rStyle w:val="IndexLink"/>
                <w:rtl w:val="true"/>
              </w:rPr>
              <w:tab/>
            </w:r>
            <w:r>
              <w:rPr>
                <w:rStyle w:val="IndexLink"/>
              </w:rPr>
              <w:t>327</w:t>
            </w:r>
          </w:hyperlink>
        </w:p>
        <w:p>
          <w:pPr>
            <w:pStyle w:val="Contents4"/>
            <w:tabs>
              <w:tab w:val="clear" w:pos="8176"/>
              <w:tab w:val="right" w:pos="9026" w:leader="dot"/>
            </w:tabs>
            <w:rPr/>
          </w:pPr>
          <w:hyperlink w:anchor="__RefHeading___Toc3972379_1067777946">
            <w:r>
              <w:rPr>
                <w:webHidden/>
                <w:rStyle w:val="IndexLink"/>
              </w:rPr>
              <w:t>1</w:t>
            </w:r>
            <w:r>
              <w:rPr>
                <w:rStyle w:val="IndexLink"/>
                <w:rtl w:val="true"/>
              </w:rPr>
              <w:t xml:space="preserve">. </w:t>
            </w:r>
            <w:r>
              <w:rPr>
                <w:rStyle w:val="IndexLink"/>
                <w:rtl w:val="true"/>
              </w:rPr>
              <w:t>لواط</w:t>
            </w:r>
            <w:r>
              <w:rPr>
                <w:rStyle w:val="IndexLink"/>
                <w:rtl w:val="true"/>
              </w:rPr>
              <w:tab/>
            </w:r>
            <w:r>
              <w:rPr>
                <w:rStyle w:val="IndexLink"/>
              </w:rPr>
              <w:t>327</w:t>
            </w:r>
          </w:hyperlink>
        </w:p>
        <w:p>
          <w:pPr>
            <w:pStyle w:val="Contents5"/>
            <w:tabs>
              <w:tab w:val="clear" w:pos="7892"/>
              <w:tab w:val="right" w:pos="9026" w:leader="dot"/>
            </w:tabs>
            <w:rPr/>
          </w:pPr>
          <w:hyperlink w:anchor="__RefHeading___Toc3972381_106777794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3972383_1067777946">
            <w:r>
              <w:rPr>
                <w:webHidden/>
                <w:rStyle w:val="IndexLink"/>
                <w:rtl w:val="true"/>
              </w:rPr>
              <w:t>شرايط مُقرّ</w:t>
            </w:r>
            <w:r>
              <w:rPr>
                <w:rStyle w:val="IndexLink"/>
                <w:rtl w:val="true"/>
              </w:rPr>
              <w:tab/>
            </w:r>
            <w:r>
              <w:rPr>
                <w:rStyle w:val="IndexLink"/>
              </w:rPr>
              <w:t>327</w:t>
            </w:r>
          </w:hyperlink>
        </w:p>
        <w:p>
          <w:pPr>
            <w:pStyle w:val="Contents5"/>
            <w:tabs>
              <w:tab w:val="clear" w:pos="7892"/>
              <w:tab w:val="right" w:pos="9026" w:leader="dot"/>
            </w:tabs>
            <w:rPr/>
          </w:pPr>
          <w:hyperlink w:anchor="__RefHeading___Toc3972385_1067777946">
            <w:r>
              <w:rPr>
                <w:webHidden/>
                <w:rStyle w:val="IndexLink"/>
                <w:rtl w:val="true"/>
              </w:rPr>
              <w:t>اقتصار بر شهادت مردها</w:t>
            </w:r>
            <w:r>
              <w:rPr>
                <w:rStyle w:val="IndexLink"/>
                <w:rtl w:val="true"/>
              </w:rPr>
              <w:tab/>
            </w:r>
            <w:r>
              <w:rPr>
                <w:rStyle w:val="IndexLink"/>
              </w:rPr>
              <w:t>327</w:t>
            </w:r>
          </w:hyperlink>
        </w:p>
        <w:p>
          <w:pPr>
            <w:pStyle w:val="Contents5"/>
            <w:tabs>
              <w:tab w:val="clear" w:pos="7892"/>
              <w:tab w:val="right" w:pos="9026" w:leader="dot"/>
            </w:tabs>
            <w:rPr/>
          </w:pPr>
          <w:hyperlink w:anchor="__RefHeading___Toc3972387_1067777946">
            <w:r>
              <w:rPr>
                <w:webHidden/>
                <w:rStyle w:val="IndexLink"/>
                <w:rtl w:val="true"/>
              </w:rPr>
              <w:t>حكم ايقاب</w:t>
            </w:r>
            <w:r>
              <w:rPr>
                <w:rStyle w:val="IndexLink"/>
                <w:rtl w:val="true"/>
              </w:rPr>
              <w:tab/>
            </w:r>
            <w:r>
              <w:rPr>
                <w:rStyle w:val="IndexLink"/>
              </w:rPr>
              <w:t>328</w:t>
            </w:r>
          </w:hyperlink>
        </w:p>
        <w:p>
          <w:pPr>
            <w:pStyle w:val="Contents5"/>
            <w:tabs>
              <w:tab w:val="clear" w:pos="7892"/>
              <w:tab w:val="right" w:pos="9026" w:leader="dot"/>
            </w:tabs>
            <w:rPr/>
          </w:pPr>
          <w:hyperlink w:anchor="__RefHeading___Toc3972389_1067777946">
            <w:r>
              <w:rPr>
                <w:webHidden/>
                <w:rStyle w:val="IndexLink"/>
                <w:rtl w:val="true"/>
              </w:rPr>
              <w:t>لواط با صبى</w:t>
            </w:r>
            <w:r>
              <w:rPr>
                <w:rStyle w:val="IndexLink"/>
                <w:rtl w:val="true"/>
              </w:rPr>
              <w:tab/>
            </w:r>
            <w:r>
              <w:rPr>
                <w:rStyle w:val="IndexLink"/>
              </w:rPr>
              <w:t>328</w:t>
            </w:r>
          </w:hyperlink>
        </w:p>
        <w:p>
          <w:pPr>
            <w:pStyle w:val="Contents5"/>
            <w:tabs>
              <w:tab w:val="clear" w:pos="7892"/>
              <w:tab w:val="right" w:pos="9026" w:leader="dot"/>
            </w:tabs>
            <w:rPr/>
          </w:pPr>
          <w:hyperlink w:anchor="__RefHeading___Toc3972391_1067777946">
            <w:r>
              <w:rPr>
                <w:webHidden/>
                <w:rStyle w:val="IndexLink"/>
                <w:rtl w:val="true"/>
              </w:rPr>
              <w:t>لواط با مملوك</w:t>
            </w:r>
            <w:r>
              <w:rPr>
                <w:rStyle w:val="IndexLink"/>
                <w:rtl w:val="true"/>
              </w:rPr>
              <w:tab/>
            </w:r>
            <w:r>
              <w:rPr>
                <w:rStyle w:val="IndexLink"/>
              </w:rPr>
              <w:t>328</w:t>
            </w:r>
          </w:hyperlink>
        </w:p>
        <w:p>
          <w:pPr>
            <w:pStyle w:val="Contents5"/>
            <w:tabs>
              <w:tab w:val="clear" w:pos="7892"/>
              <w:tab w:val="right" w:pos="9026" w:leader="dot"/>
            </w:tabs>
            <w:rPr/>
          </w:pPr>
          <w:hyperlink w:anchor="__RefHeading___Toc3972393_1067777946">
            <w:r>
              <w:rPr>
                <w:webHidden/>
                <w:rStyle w:val="IndexLink"/>
                <w:rtl w:val="true"/>
              </w:rPr>
              <w:t>لواط مجنون با عاقل</w:t>
            </w:r>
            <w:r>
              <w:rPr>
                <w:rStyle w:val="IndexLink"/>
                <w:rtl w:val="true"/>
              </w:rPr>
              <w:tab/>
            </w:r>
            <w:r>
              <w:rPr>
                <w:rStyle w:val="IndexLink"/>
              </w:rPr>
              <w:t>328</w:t>
            </w:r>
          </w:hyperlink>
        </w:p>
        <w:p>
          <w:pPr>
            <w:pStyle w:val="Contents5"/>
            <w:tabs>
              <w:tab w:val="clear" w:pos="7892"/>
              <w:tab w:val="right" w:pos="9026" w:leader="dot"/>
            </w:tabs>
            <w:rPr/>
          </w:pPr>
          <w:hyperlink w:anchor="__RefHeading___Toc3972395_1067777946">
            <w:r>
              <w:rPr>
                <w:webHidden/>
                <w:rStyle w:val="IndexLink"/>
                <w:rtl w:val="true"/>
              </w:rPr>
              <w:t>لواط ذمّى با مسلمان</w:t>
            </w:r>
            <w:r>
              <w:rPr>
                <w:rStyle w:val="IndexLink"/>
                <w:rtl w:val="true"/>
              </w:rPr>
              <w:tab/>
            </w:r>
            <w:r>
              <w:rPr>
                <w:rStyle w:val="IndexLink"/>
              </w:rPr>
              <w:t>328</w:t>
            </w:r>
          </w:hyperlink>
        </w:p>
        <w:p>
          <w:pPr>
            <w:pStyle w:val="Contents5"/>
            <w:tabs>
              <w:tab w:val="clear" w:pos="7892"/>
              <w:tab w:val="right" w:pos="9026" w:leader="dot"/>
            </w:tabs>
            <w:rPr/>
          </w:pPr>
          <w:hyperlink w:anchor="__RefHeading___Toc3972397_1067777946">
            <w:r>
              <w:rPr>
                <w:webHidden/>
                <w:rStyle w:val="IndexLink"/>
                <w:rtl w:val="true"/>
              </w:rPr>
              <w:t>اثبات حكم قتل</w:t>
            </w:r>
            <w:r>
              <w:rPr>
                <w:rStyle w:val="IndexLink"/>
                <w:rtl w:val="true"/>
              </w:rPr>
              <w:tab/>
            </w:r>
            <w:r>
              <w:rPr>
                <w:rStyle w:val="IndexLink"/>
              </w:rPr>
              <w:t>329</w:t>
            </w:r>
          </w:hyperlink>
        </w:p>
        <w:p>
          <w:pPr>
            <w:pStyle w:val="Contents5"/>
            <w:tabs>
              <w:tab w:val="clear" w:pos="7892"/>
              <w:tab w:val="right" w:pos="9026" w:leader="dot"/>
            </w:tabs>
            <w:rPr/>
          </w:pPr>
          <w:hyperlink w:anchor="__RefHeading___Toc3972399_1067777946">
            <w:r>
              <w:rPr>
                <w:webHidden/>
                <w:rStyle w:val="IndexLink"/>
                <w:rtl w:val="true"/>
              </w:rPr>
              <w:t>كيفيّت اقامۀ حدّ</w:t>
            </w:r>
            <w:r>
              <w:rPr>
                <w:rStyle w:val="IndexLink"/>
                <w:rtl w:val="true"/>
              </w:rPr>
              <w:tab/>
            </w:r>
            <w:r>
              <w:rPr>
                <w:rStyle w:val="IndexLink"/>
              </w:rPr>
              <w:t>329</w:t>
            </w:r>
          </w:hyperlink>
        </w:p>
        <w:p>
          <w:pPr>
            <w:pStyle w:val="Contents5"/>
            <w:tabs>
              <w:tab w:val="clear" w:pos="7892"/>
              <w:tab w:val="right" w:pos="9026" w:leader="dot"/>
            </w:tabs>
            <w:rPr/>
          </w:pPr>
          <w:hyperlink w:anchor="__RefHeading___Toc3972401_1067777946">
            <w:r>
              <w:rPr>
                <w:webHidden/>
                <w:rStyle w:val="IndexLink"/>
                <w:rtl w:val="true"/>
              </w:rPr>
              <w:t>حدّ تفخيذ و مانند آن</w:t>
            </w:r>
            <w:r>
              <w:rPr>
                <w:rStyle w:val="IndexLink"/>
                <w:rtl w:val="true"/>
              </w:rPr>
              <w:tab/>
            </w:r>
            <w:r>
              <w:rPr>
                <w:rStyle w:val="IndexLink"/>
              </w:rPr>
              <w:t>329</w:t>
            </w:r>
          </w:hyperlink>
        </w:p>
        <w:p>
          <w:pPr>
            <w:pStyle w:val="Contents5"/>
            <w:tabs>
              <w:tab w:val="clear" w:pos="7892"/>
              <w:tab w:val="right" w:pos="9026" w:leader="dot"/>
            </w:tabs>
            <w:rPr/>
          </w:pPr>
          <w:hyperlink w:anchor="__RefHeading___Toc3972403_1067777946">
            <w:r>
              <w:rPr>
                <w:webHidden/>
                <w:rStyle w:val="IndexLink"/>
                <w:rtl w:val="true"/>
              </w:rPr>
              <w:t>اگر دو نفر مكلّف برهنه در زير يك لحاف جمع شوند</w:t>
            </w:r>
            <w:r>
              <w:rPr>
                <w:rStyle w:val="IndexLink"/>
                <w:rtl w:val="true"/>
              </w:rPr>
              <w:tab/>
            </w:r>
            <w:r>
              <w:rPr>
                <w:rStyle w:val="IndexLink"/>
              </w:rPr>
              <w:t>329</w:t>
            </w:r>
          </w:hyperlink>
        </w:p>
        <w:p>
          <w:pPr>
            <w:pStyle w:val="Contents5"/>
            <w:tabs>
              <w:tab w:val="clear" w:pos="7892"/>
              <w:tab w:val="right" w:pos="9026" w:leader="dot"/>
            </w:tabs>
            <w:rPr/>
          </w:pPr>
          <w:hyperlink w:anchor="__RefHeading___Toc3972405_1067777946">
            <w:r>
              <w:rPr>
                <w:webHidden/>
                <w:rStyle w:val="IndexLink"/>
                <w:rtl w:val="true"/>
              </w:rPr>
              <w:t>حدّ تقبيل غلام يا دختر</w:t>
            </w:r>
            <w:r>
              <w:rPr>
                <w:rStyle w:val="IndexLink"/>
                <w:rtl w:val="true"/>
              </w:rPr>
              <w:tab/>
            </w:r>
            <w:r>
              <w:rPr>
                <w:rStyle w:val="IndexLink"/>
              </w:rPr>
              <w:t>330</w:t>
            </w:r>
          </w:hyperlink>
        </w:p>
        <w:p>
          <w:pPr>
            <w:pStyle w:val="Contents5"/>
            <w:tabs>
              <w:tab w:val="clear" w:pos="7892"/>
              <w:tab w:val="right" w:pos="9026" w:leader="dot"/>
            </w:tabs>
            <w:rPr/>
          </w:pPr>
          <w:hyperlink w:anchor="__RefHeading___Toc3972407_1067777946">
            <w:r>
              <w:rPr>
                <w:webHidden/>
                <w:rStyle w:val="IndexLink"/>
                <w:rtl w:val="true"/>
              </w:rPr>
              <w:t>توبه لواطكننده</w:t>
            </w:r>
            <w:r>
              <w:rPr>
                <w:rStyle w:val="IndexLink"/>
                <w:rtl w:val="true"/>
              </w:rPr>
              <w:tab/>
            </w:r>
            <w:r>
              <w:rPr>
                <w:rStyle w:val="IndexLink"/>
              </w:rPr>
              <w:t>330</w:t>
            </w:r>
          </w:hyperlink>
        </w:p>
        <w:p>
          <w:pPr>
            <w:pStyle w:val="Contents4"/>
            <w:tabs>
              <w:tab w:val="clear" w:pos="8176"/>
              <w:tab w:val="right" w:pos="9026" w:leader="dot"/>
            </w:tabs>
            <w:rPr/>
          </w:pPr>
          <w:hyperlink w:anchor="__RefHeading___Toc3972409_1067777946">
            <w:r>
              <w:rPr>
                <w:webHidden/>
                <w:rStyle w:val="IndexLink"/>
              </w:rPr>
              <w:t>2</w:t>
            </w:r>
            <w:r>
              <w:rPr>
                <w:rStyle w:val="IndexLink"/>
                <w:rtl w:val="true"/>
              </w:rPr>
              <w:t xml:space="preserve">. </w:t>
            </w:r>
            <w:r>
              <w:rPr>
                <w:rStyle w:val="IndexLink"/>
                <w:rtl w:val="true"/>
              </w:rPr>
              <w:t>مساحقه</w:t>
            </w:r>
            <w:r>
              <w:rPr>
                <w:rStyle w:val="IndexLink"/>
                <w:rtl w:val="true"/>
              </w:rPr>
              <w:tab/>
            </w:r>
            <w:r>
              <w:rPr>
                <w:rStyle w:val="IndexLink"/>
              </w:rPr>
              <w:t>330</w:t>
            </w:r>
          </w:hyperlink>
        </w:p>
        <w:p>
          <w:pPr>
            <w:pStyle w:val="Contents5"/>
            <w:tabs>
              <w:tab w:val="clear" w:pos="7892"/>
              <w:tab w:val="right" w:pos="9026" w:leader="dot"/>
            </w:tabs>
            <w:rPr/>
          </w:pPr>
          <w:hyperlink w:anchor="__RefHeading___Toc3972411_1067777946">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3972413_1067777946">
            <w:r>
              <w:rPr>
                <w:webHidden/>
                <w:rStyle w:val="IndexLink"/>
                <w:rtl w:val="true"/>
              </w:rPr>
              <w:t>چند مسأله</w:t>
            </w:r>
            <w:r>
              <w:rPr>
                <w:rStyle w:val="IndexLink"/>
                <w:rtl w:val="true"/>
              </w:rPr>
              <w:tab/>
            </w:r>
            <w:r>
              <w:rPr>
                <w:rStyle w:val="IndexLink"/>
              </w:rPr>
              <w:t>331</w:t>
            </w:r>
          </w:hyperlink>
        </w:p>
        <w:p>
          <w:pPr>
            <w:pStyle w:val="Contents6"/>
            <w:tabs>
              <w:tab w:val="clear" w:pos="7609"/>
              <w:tab w:val="right" w:pos="9026" w:leader="dot"/>
            </w:tabs>
            <w:rPr/>
          </w:pPr>
          <w:hyperlink w:anchor="__RefHeading___Toc3972415_1067777946">
            <w:r>
              <w:rPr>
                <w:webHidden/>
                <w:rStyle w:val="IndexLink"/>
                <w:rtl w:val="true"/>
              </w:rPr>
              <w:t>عدم كفالت و شفاعت و تأخير در اقامۀ حدّ</w:t>
            </w:r>
            <w:r>
              <w:rPr>
                <w:rStyle w:val="IndexLink"/>
                <w:rtl w:val="true"/>
              </w:rPr>
              <w:tab/>
            </w:r>
            <w:r>
              <w:rPr>
                <w:rStyle w:val="IndexLink"/>
              </w:rPr>
              <w:t>331</w:t>
            </w:r>
          </w:hyperlink>
        </w:p>
        <w:p>
          <w:pPr>
            <w:pStyle w:val="Contents6"/>
            <w:tabs>
              <w:tab w:val="clear" w:pos="7609"/>
              <w:tab w:val="right" w:pos="9026" w:leader="dot"/>
            </w:tabs>
            <w:rPr/>
          </w:pPr>
          <w:hyperlink w:anchor="__RefHeading___Toc3972417_1067777946">
            <w:r>
              <w:rPr>
                <w:webHidden/>
                <w:rStyle w:val="IndexLink"/>
                <w:rtl w:val="true"/>
              </w:rPr>
              <w:t>مساحقۀ زوجه موطوئه و حمل اجنبيّه</w:t>
            </w:r>
            <w:r>
              <w:rPr>
                <w:rStyle w:val="IndexLink"/>
                <w:rtl w:val="true"/>
              </w:rPr>
              <w:tab/>
            </w:r>
            <w:r>
              <w:rPr>
                <w:rStyle w:val="IndexLink"/>
              </w:rPr>
              <w:t>331</w:t>
            </w:r>
          </w:hyperlink>
        </w:p>
        <w:p>
          <w:pPr>
            <w:pStyle w:val="Contents6"/>
            <w:tabs>
              <w:tab w:val="clear" w:pos="7609"/>
              <w:tab w:val="right" w:pos="9026" w:leader="dot"/>
            </w:tabs>
            <w:rPr/>
          </w:pPr>
          <w:hyperlink w:anchor="__RefHeading___Toc3972419_1067777946">
            <w:r>
              <w:rPr>
                <w:webHidden/>
                <w:rStyle w:val="IndexLink"/>
                <w:rtl w:val="true"/>
              </w:rPr>
              <w:t>حكم مساحقه با كنيز</w:t>
            </w:r>
            <w:r>
              <w:rPr>
                <w:rStyle w:val="IndexLink"/>
                <w:rtl w:val="true"/>
              </w:rPr>
              <w:tab/>
            </w:r>
            <w:r>
              <w:rPr>
                <w:rStyle w:val="IndexLink"/>
              </w:rPr>
              <w:t>331</w:t>
            </w:r>
          </w:hyperlink>
        </w:p>
        <w:p>
          <w:pPr>
            <w:pStyle w:val="Contents4"/>
            <w:tabs>
              <w:tab w:val="clear" w:pos="8176"/>
              <w:tab w:val="right" w:pos="9026" w:leader="dot"/>
            </w:tabs>
            <w:rPr/>
          </w:pPr>
          <w:hyperlink w:anchor="__RefHeading___Toc3972421_1067777946">
            <w:r>
              <w:rPr>
                <w:webHidden/>
                <w:rStyle w:val="IndexLink"/>
              </w:rPr>
              <w:t>3</w:t>
            </w:r>
            <w:r>
              <w:rPr>
                <w:rStyle w:val="IndexLink"/>
                <w:rtl w:val="true"/>
              </w:rPr>
              <w:t xml:space="preserve">. </w:t>
            </w:r>
            <w:r>
              <w:rPr>
                <w:rStyle w:val="IndexLink"/>
                <w:rtl w:val="true"/>
              </w:rPr>
              <w:t>قيادت</w:t>
            </w:r>
            <w:r>
              <w:rPr>
                <w:rStyle w:val="IndexLink"/>
                <w:rtl w:val="true"/>
              </w:rPr>
              <w:tab/>
            </w:r>
            <w:r>
              <w:rPr>
                <w:rStyle w:val="IndexLink"/>
              </w:rPr>
              <w:t>331</w:t>
            </w:r>
          </w:hyperlink>
        </w:p>
        <w:p>
          <w:pPr>
            <w:pStyle w:val="Contents5"/>
            <w:tabs>
              <w:tab w:val="clear" w:pos="7892"/>
              <w:tab w:val="right" w:pos="9026" w:leader="dot"/>
            </w:tabs>
            <w:rPr/>
          </w:pPr>
          <w:hyperlink w:anchor="__RefHeading___Toc3972423_1067777946">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3972425_1067777946">
            <w:r>
              <w:rPr>
                <w:webHidden/>
                <w:rStyle w:val="IndexLink"/>
                <w:rtl w:val="true"/>
              </w:rPr>
              <w:t>حكم قيادت</w:t>
            </w:r>
            <w:r>
              <w:rPr>
                <w:rStyle w:val="IndexLink"/>
                <w:rtl w:val="true"/>
              </w:rPr>
              <w:tab/>
            </w:r>
            <w:r>
              <w:rPr>
                <w:rStyle w:val="IndexLink"/>
              </w:rPr>
              <w:t>332</w:t>
            </w:r>
          </w:hyperlink>
        </w:p>
        <w:p>
          <w:pPr>
            <w:pStyle w:val="Contents3"/>
            <w:tabs>
              <w:tab w:val="clear" w:pos="8459"/>
              <w:tab w:val="right" w:pos="9026" w:leader="dot"/>
            </w:tabs>
            <w:rPr/>
          </w:pPr>
          <w:hyperlink w:anchor="__RefHeading___Toc3972427_1067777946">
            <w:r>
              <w:rPr>
                <w:webHidden/>
                <w:rStyle w:val="IndexLink"/>
                <w:rtl w:val="true"/>
              </w:rPr>
              <w:t>فصل سوم حد قذف</w:t>
            </w:r>
            <w:r>
              <w:rPr>
                <w:rStyle w:val="IndexLink"/>
                <w:rtl w:val="true"/>
              </w:rPr>
              <w:tab/>
            </w:r>
            <w:r>
              <w:rPr>
                <w:rStyle w:val="IndexLink"/>
              </w:rPr>
              <w:t>333</w:t>
            </w:r>
          </w:hyperlink>
        </w:p>
        <w:p>
          <w:pPr>
            <w:pStyle w:val="Contents4"/>
            <w:tabs>
              <w:tab w:val="clear" w:pos="8176"/>
              <w:tab w:val="right" w:pos="9026" w:leader="dot"/>
            </w:tabs>
            <w:rPr/>
          </w:pPr>
          <w:hyperlink w:anchor="__RefHeading___Toc3972429_1067777946">
            <w:r>
              <w:rPr>
                <w:webHidden/>
                <w:rStyle w:val="IndexLink"/>
              </w:rPr>
              <w:t>1</w:t>
            </w:r>
            <w:r>
              <w:rPr>
                <w:rStyle w:val="IndexLink"/>
                <w:rtl w:val="true"/>
              </w:rPr>
              <w:t xml:space="preserve">. </w:t>
            </w:r>
            <w:r>
              <w:rPr>
                <w:rStyle w:val="IndexLink"/>
                <w:rtl w:val="true"/>
              </w:rPr>
              <w:t>موجِب حدّ قذف</w:t>
            </w:r>
            <w:r>
              <w:rPr>
                <w:rStyle w:val="IndexLink"/>
                <w:rtl w:val="true"/>
              </w:rPr>
              <w:tab/>
            </w:r>
            <w:r>
              <w:rPr>
                <w:rStyle w:val="IndexLink"/>
              </w:rPr>
              <w:t>333</w:t>
            </w:r>
          </w:hyperlink>
        </w:p>
        <w:p>
          <w:pPr>
            <w:pStyle w:val="Contents5"/>
            <w:tabs>
              <w:tab w:val="clear" w:pos="7892"/>
              <w:tab w:val="right" w:pos="9026" w:leader="dot"/>
            </w:tabs>
            <w:rPr/>
          </w:pPr>
          <w:hyperlink w:anchor="__RefHeading___Toc3972431_1067777946">
            <w:r>
              <w:rPr>
                <w:webHidden/>
                <w:rStyle w:val="IndexLink"/>
                <w:rtl w:val="true"/>
              </w:rPr>
              <w:t>شرايط تحقق قذف و الفاظ مختلفۀ آن</w:t>
            </w:r>
            <w:r>
              <w:rPr>
                <w:rStyle w:val="IndexLink"/>
                <w:rtl w:val="true"/>
              </w:rPr>
              <w:tab/>
            </w:r>
            <w:r>
              <w:rPr>
                <w:rStyle w:val="IndexLink"/>
              </w:rPr>
              <w:t>333</w:t>
            </w:r>
          </w:hyperlink>
        </w:p>
        <w:p>
          <w:pPr>
            <w:pStyle w:val="Contents5"/>
            <w:tabs>
              <w:tab w:val="clear" w:pos="7892"/>
              <w:tab w:val="right" w:pos="9026" w:leader="dot"/>
            </w:tabs>
            <w:rPr/>
          </w:pPr>
          <w:hyperlink w:anchor="__RefHeading___Toc3972433_1067777946">
            <w:r>
              <w:rPr>
                <w:webHidden/>
                <w:rStyle w:val="IndexLink"/>
                <w:rtl w:val="true"/>
              </w:rPr>
              <w:t>سبّ و ايذايى كه تعريض به فحشا باشد</w:t>
            </w:r>
            <w:r>
              <w:rPr>
                <w:rStyle w:val="IndexLink"/>
                <w:rtl w:val="true"/>
              </w:rPr>
              <w:tab/>
            </w:r>
            <w:r>
              <w:rPr>
                <w:rStyle w:val="IndexLink"/>
              </w:rPr>
              <w:t>335</w:t>
            </w:r>
          </w:hyperlink>
        </w:p>
        <w:p>
          <w:pPr>
            <w:pStyle w:val="Contents4"/>
            <w:tabs>
              <w:tab w:val="clear" w:pos="8176"/>
              <w:tab w:val="right" w:pos="9026" w:leader="dot"/>
            </w:tabs>
            <w:rPr/>
          </w:pPr>
          <w:hyperlink w:anchor="__RefHeading___Toc3972435_1067777946">
            <w:r>
              <w:rPr>
                <w:webHidden/>
                <w:rStyle w:val="IndexLink"/>
              </w:rPr>
              <w:t>2</w:t>
            </w:r>
            <w:r>
              <w:rPr>
                <w:rStyle w:val="IndexLink"/>
                <w:rtl w:val="true"/>
              </w:rPr>
              <w:t xml:space="preserve">. </w:t>
            </w:r>
            <w:r>
              <w:rPr>
                <w:rStyle w:val="IndexLink"/>
                <w:rtl w:val="true"/>
              </w:rPr>
              <w:t>شروط قاذف</w:t>
            </w:r>
            <w:r>
              <w:rPr>
                <w:rStyle w:val="IndexLink"/>
                <w:rtl w:val="true"/>
              </w:rPr>
              <w:tab/>
            </w:r>
            <w:r>
              <w:rPr>
                <w:rStyle w:val="IndexLink"/>
              </w:rPr>
              <w:t>335</w:t>
            </w:r>
          </w:hyperlink>
        </w:p>
        <w:p>
          <w:pPr>
            <w:pStyle w:val="Contents4"/>
            <w:tabs>
              <w:tab w:val="clear" w:pos="8176"/>
              <w:tab w:val="right" w:pos="9026" w:leader="dot"/>
            </w:tabs>
            <w:rPr/>
          </w:pPr>
          <w:hyperlink w:anchor="__RefHeading___Toc3972437_1067777946">
            <w:r>
              <w:rPr>
                <w:webHidden/>
                <w:rStyle w:val="IndexLink"/>
              </w:rPr>
              <w:t>3</w:t>
            </w:r>
            <w:r>
              <w:rPr>
                <w:rStyle w:val="IndexLink"/>
                <w:rtl w:val="true"/>
              </w:rPr>
              <w:t xml:space="preserve">. </w:t>
            </w:r>
            <w:r>
              <w:rPr>
                <w:rStyle w:val="IndexLink"/>
                <w:rtl w:val="true"/>
              </w:rPr>
              <w:t>شروط مقذوف</w:t>
            </w:r>
            <w:r>
              <w:rPr>
                <w:rStyle w:val="IndexLink"/>
                <w:rtl w:val="true"/>
              </w:rPr>
              <w:tab/>
            </w:r>
            <w:r>
              <w:rPr>
                <w:rStyle w:val="IndexLink"/>
              </w:rPr>
              <w:t>336</w:t>
            </w:r>
          </w:hyperlink>
        </w:p>
        <w:p>
          <w:pPr>
            <w:pStyle w:val="Contents4"/>
            <w:tabs>
              <w:tab w:val="clear" w:pos="8176"/>
              <w:tab w:val="right" w:pos="9026" w:leader="dot"/>
            </w:tabs>
            <w:rPr/>
          </w:pPr>
          <w:hyperlink w:anchor="__RefHeading___Toc3972439_1067777946">
            <w:r>
              <w:rPr>
                <w:webHidden/>
                <w:rStyle w:val="IndexLink"/>
              </w:rPr>
              <w:t>4</w:t>
            </w:r>
            <w:r>
              <w:rPr>
                <w:rStyle w:val="IndexLink"/>
                <w:rtl w:val="true"/>
              </w:rPr>
              <w:t xml:space="preserve">. </w:t>
            </w:r>
            <w:r>
              <w:rPr>
                <w:rStyle w:val="IndexLink"/>
                <w:rtl w:val="true"/>
              </w:rPr>
              <w:t>احكام قذف</w:t>
            </w:r>
            <w:r>
              <w:rPr>
                <w:rStyle w:val="IndexLink"/>
                <w:rtl w:val="true"/>
              </w:rPr>
              <w:tab/>
            </w:r>
            <w:r>
              <w:rPr>
                <w:rStyle w:val="IndexLink"/>
              </w:rPr>
              <w:t>337</w:t>
            </w:r>
          </w:hyperlink>
        </w:p>
        <w:p>
          <w:pPr>
            <w:pStyle w:val="Contents5"/>
            <w:tabs>
              <w:tab w:val="clear" w:pos="7892"/>
              <w:tab w:val="right" w:pos="9026" w:leader="dot"/>
            </w:tabs>
            <w:rPr/>
          </w:pPr>
          <w:hyperlink w:anchor="__RefHeading___Toc3972441_1067777946">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3972443_1067777946">
            <w:r>
              <w:rPr>
                <w:webHidden/>
                <w:rStyle w:val="IndexLink"/>
                <w:rtl w:val="true"/>
              </w:rPr>
              <w:t>قذف چند نفر</w:t>
            </w:r>
            <w:r>
              <w:rPr>
                <w:rStyle w:val="IndexLink"/>
                <w:rtl w:val="true"/>
              </w:rPr>
              <w:tab/>
            </w:r>
            <w:r>
              <w:rPr>
                <w:rStyle w:val="IndexLink"/>
              </w:rPr>
              <w:t>337</w:t>
            </w:r>
          </w:hyperlink>
        </w:p>
        <w:p>
          <w:pPr>
            <w:pStyle w:val="Contents5"/>
            <w:tabs>
              <w:tab w:val="clear" w:pos="7892"/>
              <w:tab w:val="right" w:pos="9026" w:leader="dot"/>
            </w:tabs>
            <w:rPr/>
          </w:pPr>
          <w:hyperlink w:anchor="__RefHeading___Toc3972445_1067777946">
            <w:r>
              <w:rPr>
                <w:webHidden/>
                <w:rStyle w:val="IndexLink"/>
                <w:rtl w:val="true"/>
              </w:rPr>
              <w:t>موروثيّت حد قذف</w:t>
            </w:r>
            <w:r>
              <w:rPr>
                <w:rStyle w:val="IndexLink"/>
                <w:rtl w:val="true"/>
              </w:rPr>
              <w:tab/>
            </w:r>
            <w:r>
              <w:rPr>
                <w:rStyle w:val="IndexLink"/>
              </w:rPr>
              <w:t>337</w:t>
            </w:r>
          </w:hyperlink>
        </w:p>
        <w:p>
          <w:pPr>
            <w:pStyle w:val="Contents5"/>
            <w:tabs>
              <w:tab w:val="clear" w:pos="7892"/>
              <w:tab w:val="right" w:pos="9026" w:leader="dot"/>
            </w:tabs>
            <w:rPr/>
          </w:pPr>
          <w:hyperlink w:anchor="__RefHeading___Toc3972447_1067777946">
            <w:r>
              <w:rPr>
                <w:webHidden/>
                <w:rStyle w:val="IndexLink"/>
                <w:rtl w:val="true"/>
              </w:rPr>
              <w:t>خطاب به شخصى و قذف فرزند او</w:t>
            </w:r>
            <w:r>
              <w:rPr>
                <w:rStyle w:val="IndexLink"/>
                <w:rtl w:val="true"/>
              </w:rPr>
              <w:tab/>
            </w:r>
            <w:r>
              <w:rPr>
                <w:rStyle w:val="IndexLink"/>
              </w:rPr>
              <w:t>338</w:t>
            </w:r>
          </w:hyperlink>
        </w:p>
        <w:p>
          <w:pPr>
            <w:pStyle w:val="Contents5"/>
            <w:tabs>
              <w:tab w:val="clear" w:pos="7892"/>
              <w:tab w:val="right" w:pos="9026" w:leader="dot"/>
            </w:tabs>
            <w:rPr/>
          </w:pPr>
          <w:hyperlink w:anchor="__RefHeading___Toc3972449_1067777946">
            <w:r>
              <w:rPr>
                <w:webHidden/>
                <w:rStyle w:val="IndexLink"/>
                <w:rtl w:val="true"/>
              </w:rPr>
              <w:t>عدم حق مطالبه حدّ بعد از عفو</w:t>
            </w:r>
            <w:r>
              <w:rPr>
                <w:rStyle w:val="IndexLink"/>
                <w:rtl w:val="true"/>
              </w:rPr>
              <w:tab/>
            </w:r>
            <w:r>
              <w:rPr>
                <w:rStyle w:val="IndexLink"/>
              </w:rPr>
              <w:t>338</w:t>
            </w:r>
          </w:hyperlink>
        </w:p>
        <w:p>
          <w:pPr>
            <w:pStyle w:val="Contents5"/>
            <w:tabs>
              <w:tab w:val="clear" w:pos="7892"/>
              <w:tab w:val="right" w:pos="9026" w:leader="dot"/>
            </w:tabs>
            <w:rPr/>
          </w:pPr>
          <w:hyperlink w:anchor="__RefHeading___Toc3972451_1067777946">
            <w:r>
              <w:rPr>
                <w:webHidden/>
                <w:rStyle w:val="IndexLink"/>
                <w:rtl w:val="true"/>
              </w:rPr>
              <w:t>تكرّر قذف و حدّ آن</w:t>
            </w:r>
            <w:r>
              <w:rPr>
                <w:rStyle w:val="IndexLink"/>
                <w:rtl w:val="true"/>
              </w:rPr>
              <w:tab/>
            </w:r>
            <w:r>
              <w:rPr>
                <w:rStyle w:val="IndexLink"/>
              </w:rPr>
              <w:t>338</w:t>
            </w:r>
          </w:hyperlink>
        </w:p>
        <w:p>
          <w:pPr>
            <w:pStyle w:val="Contents5"/>
            <w:tabs>
              <w:tab w:val="clear" w:pos="7892"/>
              <w:tab w:val="right" w:pos="9026" w:leader="dot"/>
            </w:tabs>
            <w:rPr/>
          </w:pPr>
          <w:hyperlink w:anchor="__RefHeading___Toc3972453_1067777946">
            <w:r>
              <w:rPr>
                <w:webHidden/>
                <w:rStyle w:val="IndexLink"/>
                <w:rtl w:val="true"/>
              </w:rPr>
              <w:t>عدم سقوط حدّ قذف مگر با بيّنۀ مثبته</w:t>
            </w:r>
            <w:r>
              <w:rPr>
                <w:rStyle w:val="IndexLink"/>
                <w:rtl w:val="true"/>
              </w:rPr>
              <w:tab/>
            </w:r>
            <w:r>
              <w:rPr>
                <w:rStyle w:val="IndexLink"/>
              </w:rPr>
              <w:t>339</w:t>
            </w:r>
          </w:hyperlink>
        </w:p>
        <w:p>
          <w:pPr>
            <w:pStyle w:val="Contents5"/>
            <w:tabs>
              <w:tab w:val="clear" w:pos="7892"/>
              <w:tab w:val="right" w:pos="9026" w:leader="dot"/>
            </w:tabs>
            <w:rPr/>
          </w:pPr>
          <w:hyperlink w:anchor="__RefHeading___Toc3972455_1067777946">
            <w:r>
              <w:rPr>
                <w:webHidden/>
                <w:rStyle w:val="IndexLink"/>
                <w:rtl w:val="true"/>
              </w:rPr>
              <w:t>مقدار حدّ قذف و كيفيّت اجراى حدّ</w:t>
            </w:r>
            <w:r>
              <w:rPr>
                <w:rStyle w:val="IndexLink"/>
                <w:rtl w:val="true"/>
              </w:rPr>
              <w:tab/>
            </w:r>
            <w:r>
              <w:rPr>
                <w:rStyle w:val="IndexLink"/>
              </w:rPr>
              <w:t>339</w:t>
            </w:r>
          </w:hyperlink>
        </w:p>
        <w:p>
          <w:pPr>
            <w:pStyle w:val="Contents5"/>
            <w:tabs>
              <w:tab w:val="clear" w:pos="7892"/>
              <w:tab w:val="right" w:pos="9026" w:leader="dot"/>
            </w:tabs>
            <w:rPr/>
          </w:pPr>
          <w:hyperlink w:anchor="__RefHeading___Toc3972457_1067777946">
            <w:r>
              <w:rPr>
                <w:webHidden/>
                <w:rStyle w:val="IndexLink"/>
                <w:rtl w:val="true"/>
              </w:rPr>
              <w:t>نحوۀ ثابت شدن قذف موجب حدّ</w:t>
            </w:r>
            <w:r>
              <w:rPr>
                <w:rStyle w:val="IndexLink"/>
                <w:rtl w:val="true"/>
              </w:rPr>
              <w:tab/>
            </w:r>
            <w:r>
              <w:rPr>
                <w:rStyle w:val="IndexLink"/>
              </w:rPr>
              <w:t>339</w:t>
            </w:r>
          </w:hyperlink>
        </w:p>
        <w:p>
          <w:pPr>
            <w:pStyle w:val="Contents5"/>
            <w:tabs>
              <w:tab w:val="clear" w:pos="7892"/>
              <w:tab w:val="right" w:pos="9026" w:leader="dot"/>
            </w:tabs>
            <w:rPr/>
          </w:pPr>
          <w:hyperlink w:anchor="__RefHeading___Toc3972459_1067777946">
            <w:r>
              <w:rPr>
                <w:webHidden/>
                <w:rStyle w:val="IndexLink"/>
                <w:rtl w:val="true"/>
              </w:rPr>
              <w:t>اگر دو نفر همديگر را قذف كنند</w:t>
            </w:r>
            <w:r>
              <w:rPr>
                <w:rStyle w:val="IndexLink"/>
                <w:rtl w:val="true"/>
              </w:rPr>
              <w:tab/>
            </w:r>
            <w:r>
              <w:rPr>
                <w:rStyle w:val="IndexLink"/>
              </w:rPr>
              <w:t>339</w:t>
            </w:r>
          </w:hyperlink>
        </w:p>
        <w:p>
          <w:pPr>
            <w:pStyle w:val="Contents4"/>
            <w:tabs>
              <w:tab w:val="clear" w:pos="8176"/>
              <w:tab w:val="right" w:pos="9026" w:leader="dot"/>
            </w:tabs>
            <w:rPr/>
          </w:pPr>
          <w:hyperlink w:anchor="__RefHeading___Toc3972461_1067777946">
            <w:r>
              <w:rPr>
                <w:webHidden/>
                <w:rStyle w:val="IndexLink"/>
              </w:rPr>
              <w:t>5</w:t>
            </w:r>
            <w:r>
              <w:rPr>
                <w:rStyle w:val="IndexLink"/>
                <w:rtl w:val="true"/>
              </w:rPr>
              <w:t xml:space="preserve">. </w:t>
            </w:r>
            <w:r>
              <w:rPr>
                <w:rStyle w:val="IndexLink"/>
                <w:rtl w:val="true"/>
              </w:rPr>
              <w:t>چند مسأله</w:t>
            </w:r>
            <w:r>
              <w:rPr>
                <w:rStyle w:val="IndexLink"/>
                <w:rtl w:val="true"/>
              </w:rPr>
              <w:tab/>
            </w:r>
            <w:r>
              <w:rPr>
                <w:rStyle w:val="IndexLink"/>
              </w:rPr>
              <w:t>340</w:t>
            </w:r>
          </w:hyperlink>
        </w:p>
        <w:p>
          <w:pPr>
            <w:pStyle w:val="Contents5"/>
            <w:tabs>
              <w:tab w:val="clear" w:pos="7892"/>
              <w:tab w:val="right" w:pos="9026" w:leader="dot"/>
            </w:tabs>
            <w:rPr/>
          </w:pPr>
          <w:hyperlink w:anchor="__RefHeading___Toc3972463_1067777946">
            <w:r>
              <w:rPr>
                <w:webHidden/>
                <w:rStyle w:val="IndexLink"/>
                <w:rtl w:val="true"/>
              </w:rPr>
              <w:t xml:space="preserve">حكم سبّ نمودن معصومين و انبيا </w:t>
            </w:r>
            <w:r>
              <w:rPr>
                <w:rStyle w:val="IndexLink"/>
                <w:rtl w:val="true"/>
              </w:rPr>
              <w:t xml:space="preserve">- </w:t>
            </w:r>
            <w:r>
              <w:rPr>
                <w:rStyle w:val="IndexLink"/>
                <w:rtl w:val="true"/>
              </w:rPr>
              <w:t>عليهم السلام</w:t>
            </w:r>
            <w:r>
              <w:rPr>
                <w:rStyle w:val="IndexLink"/>
                <w:rtl w:val="true"/>
              </w:rPr>
              <w:tab/>
            </w:r>
            <w:r>
              <w:rPr>
                <w:rStyle w:val="IndexLink"/>
              </w:rPr>
              <w:t>340</w:t>
            </w:r>
          </w:hyperlink>
        </w:p>
        <w:p>
          <w:pPr>
            <w:pStyle w:val="Contents5"/>
            <w:tabs>
              <w:tab w:val="clear" w:pos="7892"/>
              <w:tab w:val="right" w:pos="9026" w:leader="dot"/>
            </w:tabs>
            <w:rPr/>
          </w:pPr>
          <w:hyperlink w:anchor="__RefHeading___Toc3972465_1067777946">
            <w:r>
              <w:rPr>
                <w:webHidden/>
                <w:rStyle w:val="IndexLink"/>
                <w:rtl w:val="true"/>
              </w:rPr>
              <w:t>نحوۀ اثبات سبّ‌</w:t>
            </w:r>
            <w:r>
              <w:rPr>
                <w:rStyle w:val="IndexLink"/>
                <w:rtl w:val="true"/>
              </w:rPr>
              <w:tab/>
            </w:r>
            <w:r>
              <w:rPr>
                <w:rStyle w:val="IndexLink"/>
              </w:rPr>
              <w:t>340</w:t>
            </w:r>
          </w:hyperlink>
        </w:p>
        <w:p>
          <w:pPr>
            <w:pStyle w:val="Contents5"/>
            <w:tabs>
              <w:tab w:val="clear" w:pos="7892"/>
              <w:tab w:val="right" w:pos="9026" w:leader="dot"/>
            </w:tabs>
            <w:rPr/>
          </w:pPr>
          <w:hyperlink w:anchor="__RefHeading___Toc3972467_1067777946">
            <w:r>
              <w:rPr>
                <w:webHidden/>
                <w:rStyle w:val="IndexLink"/>
                <w:rtl w:val="true"/>
              </w:rPr>
              <w:t xml:space="preserve">حكم مدّعى نبوّت و مدّعى نبوت غير خاتم الانبياء </w:t>
            </w:r>
            <w:r>
              <w:rPr>
                <w:rStyle w:val="IndexLink"/>
                <w:rtl w:val="true"/>
              </w:rPr>
              <w:t xml:space="preserve">- </w:t>
            </w:r>
            <w:r>
              <w:rPr>
                <w:rStyle w:val="IndexLink"/>
                <w:rtl w:val="true"/>
              </w:rPr>
              <w:t xml:space="preserve">صلى اللّٰه عليه و آله و سلم </w:t>
            </w:r>
            <w:r>
              <w:rPr>
                <w:rStyle w:val="IndexLink"/>
                <w:rtl w:val="true"/>
              </w:rPr>
              <w:t xml:space="preserve">- </w:t>
            </w:r>
            <w:r>
              <w:rPr>
                <w:rStyle w:val="IndexLink"/>
                <w:rtl w:val="true"/>
              </w:rPr>
              <w:t>و مدعى امامت</w:t>
            </w:r>
            <w:r>
              <w:rPr>
                <w:rStyle w:val="IndexLink"/>
                <w:rtl w:val="true"/>
              </w:rPr>
              <w:tab/>
            </w:r>
            <w:r>
              <w:rPr>
                <w:rStyle w:val="IndexLink"/>
              </w:rPr>
              <w:t>341</w:t>
            </w:r>
          </w:hyperlink>
        </w:p>
        <w:p>
          <w:pPr>
            <w:pStyle w:val="Contents5"/>
            <w:tabs>
              <w:tab w:val="clear" w:pos="7892"/>
              <w:tab w:val="right" w:pos="9026" w:leader="dot"/>
            </w:tabs>
            <w:rPr/>
          </w:pPr>
          <w:hyperlink w:anchor="__RefHeading___Toc3972469_1067777946">
            <w:r>
              <w:rPr>
                <w:webHidden/>
                <w:rStyle w:val="IndexLink"/>
                <w:rtl w:val="true"/>
              </w:rPr>
              <w:t>اثبات قتل براى عامل به سحر</w:t>
            </w:r>
            <w:r>
              <w:rPr>
                <w:rStyle w:val="IndexLink"/>
                <w:rtl w:val="true"/>
              </w:rPr>
              <w:tab/>
            </w:r>
            <w:r>
              <w:rPr>
                <w:rStyle w:val="IndexLink"/>
              </w:rPr>
              <w:t>341</w:t>
            </w:r>
          </w:hyperlink>
        </w:p>
        <w:p>
          <w:pPr>
            <w:pStyle w:val="Contents5"/>
            <w:tabs>
              <w:tab w:val="clear" w:pos="7892"/>
              <w:tab w:val="right" w:pos="9026" w:leader="dot"/>
            </w:tabs>
            <w:rPr/>
          </w:pPr>
          <w:hyperlink w:anchor="__RefHeading___Toc3972471_1067777946">
            <w:r>
              <w:rPr>
                <w:webHidden/>
                <w:rStyle w:val="IndexLink"/>
                <w:rtl w:val="true"/>
              </w:rPr>
              <w:t>تأديب صبى و مملوك</w:t>
            </w:r>
            <w:r>
              <w:rPr>
                <w:rStyle w:val="IndexLink"/>
                <w:rtl w:val="true"/>
              </w:rPr>
              <w:tab/>
            </w:r>
            <w:r>
              <w:rPr>
                <w:rStyle w:val="IndexLink"/>
              </w:rPr>
              <w:t>341</w:t>
            </w:r>
          </w:hyperlink>
        </w:p>
        <w:p>
          <w:pPr>
            <w:pStyle w:val="Contents5"/>
            <w:tabs>
              <w:tab w:val="clear" w:pos="7892"/>
              <w:tab w:val="right" w:pos="9026" w:leader="dot"/>
            </w:tabs>
            <w:rPr/>
          </w:pPr>
          <w:hyperlink w:anchor="__RefHeading___Toc3972473_1067777946">
            <w:r>
              <w:rPr>
                <w:webHidden/>
                <w:rStyle w:val="IndexLink"/>
                <w:rtl w:val="true"/>
              </w:rPr>
              <w:t>نحوۀ اثبات تعزير</w:t>
            </w:r>
            <w:r>
              <w:rPr>
                <w:rStyle w:val="IndexLink"/>
                <w:rtl w:val="true"/>
              </w:rPr>
              <w:tab/>
            </w:r>
            <w:r>
              <w:rPr>
                <w:rStyle w:val="IndexLink"/>
              </w:rPr>
              <w:t>342</w:t>
            </w:r>
          </w:hyperlink>
        </w:p>
        <w:p>
          <w:pPr>
            <w:pStyle w:val="Contents5"/>
            <w:tabs>
              <w:tab w:val="clear" w:pos="7892"/>
              <w:tab w:val="right" w:pos="9026" w:leader="dot"/>
            </w:tabs>
            <w:rPr/>
          </w:pPr>
          <w:hyperlink w:anchor="__RefHeading___Toc3972475_1067777946">
            <w:r>
              <w:rPr>
                <w:webHidden/>
                <w:rStyle w:val="IndexLink"/>
                <w:rtl w:val="true"/>
              </w:rPr>
              <w:t>قذف عبد و امۀ خود</w:t>
            </w:r>
            <w:r>
              <w:rPr>
                <w:rStyle w:val="IndexLink"/>
                <w:rtl w:val="true"/>
              </w:rPr>
              <w:tab/>
            </w:r>
            <w:r>
              <w:rPr>
                <w:rStyle w:val="IndexLink"/>
              </w:rPr>
              <w:t>342</w:t>
            </w:r>
          </w:hyperlink>
        </w:p>
        <w:p>
          <w:pPr>
            <w:pStyle w:val="Contents5"/>
            <w:tabs>
              <w:tab w:val="clear" w:pos="7892"/>
              <w:tab w:val="right" w:pos="9026" w:leader="dot"/>
            </w:tabs>
            <w:rPr/>
          </w:pPr>
          <w:hyperlink w:anchor="__RefHeading___Toc3972477_1067777946">
            <w:r>
              <w:rPr>
                <w:webHidden/>
                <w:rStyle w:val="IndexLink"/>
                <w:rtl w:val="true"/>
              </w:rPr>
              <w:t>تعزير كسى كه واجبى را ترك يا حرامى را انجام دهد</w:t>
            </w:r>
            <w:r>
              <w:rPr>
                <w:rStyle w:val="IndexLink"/>
                <w:rtl w:val="true"/>
              </w:rPr>
              <w:tab/>
            </w:r>
            <w:r>
              <w:rPr>
                <w:rStyle w:val="IndexLink"/>
              </w:rPr>
              <w:t>342</w:t>
            </w:r>
          </w:hyperlink>
        </w:p>
        <w:p>
          <w:pPr>
            <w:pStyle w:val="Contents3"/>
            <w:tabs>
              <w:tab w:val="clear" w:pos="8459"/>
              <w:tab w:val="right" w:pos="9026" w:leader="dot"/>
            </w:tabs>
            <w:rPr/>
          </w:pPr>
          <w:hyperlink w:anchor="__RefHeading___Toc3972479_1067777946">
            <w:r>
              <w:rPr>
                <w:webHidden/>
                <w:rStyle w:val="IndexLink"/>
                <w:rtl w:val="true"/>
              </w:rPr>
              <w:t>فصل چهارم حد شرب مسكر و فقاع</w:t>
            </w:r>
            <w:r>
              <w:rPr>
                <w:rStyle w:val="IndexLink"/>
                <w:rtl w:val="true"/>
              </w:rPr>
              <w:tab/>
            </w:r>
            <w:r>
              <w:rPr>
                <w:rStyle w:val="IndexLink"/>
              </w:rPr>
              <w:t>343</w:t>
            </w:r>
          </w:hyperlink>
        </w:p>
        <w:p>
          <w:pPr>
            <w:pStyle w:val="Contents4"/>
            <w:tabs>
              <w:tab w:val="clear" w:pos="8176"/>
              <w:tab w:val="right" w:pos="9026" w:leader="dot"/>
            </w:tabs>
            <w:rPr/>
          </w:pPr>
          <w:hyperlink w:anchor="__RefHeading___Toc3972481_1067777946">
            <w:r>
              <w:rPr>
                <w:webHidden/>
                <w:rStyle w:val="IndexLink"/>
              </w:rPr>
              <w:t>1</w:t>
            </w:r>
            <w:r>
              <w:rPr>
                <w:rStyle w:val="IndexLink"/>
                <w:rtl w:val="true"/>
              </w:rPr>
              <w:t xml:space="preserve">. </w:t>
            </w:r>
            <w:r>
              <w:rPr>
                <w:rStyle w:val="IndexLink"/>
                <w:rtl w:val="true"/>
              </w:rPr>
              <w:t>موجب حدّ</w:t>
            </w:r>
            <w:r>
              <w:rPr>
                <w:rStyle w:val="IndexLink"/>
                <w:rtl w:val="true"/>
              </w:rPr>
              <w:tab/>
            </w:r>
            <w:r>
              <w:rPr>
                <w:rStyle w:val="IndexLink"/>
              </w:rPr>
              <w:t>343</w:t>
            </w:r>
          </w:hyperlink>
        </w:p>
        <w:p>
          <w:pPr>
            <w:pStyle w:val="Contents5"/>
            <w:tabs>
              <w:tab w:val="clear" w:pos="7892"/>
              <w:tab w:val="right" w:pos="9026" w:leader="dot"/>
            </w:tabs>
            <w:rPr/>
          </w:pPr>
          <w:hyperlink w:anchor="__RefHeading___Toc3972483_1067777946">
            <w:r>
              <w:rPr>
                <w:webHidden/>
                <w:rStyle w:val="IndexLink"/>
                <w:rtl w:val="true"/>
              </w:rPr>
              <w:t>مراد از فقّاع و مسكر و تناول آن</w:t>
            </w:r>
            <w:r>
              <w:rPr>
                <w:rStyle w:val="IndexLink"/>
                <w:rtl w:val="true"/>
              </w:rPr>
              <w:tab/>
            </w:r>
            <w:r>
              <w:rPr>
                <w:rStyle w:val="IndexLink"/>
              </w:rPr>
              <w:t>343</w:t>
            </w:r>
          </w:hyperlink>
        </w:p>
        <w:p>
          <w:pPr>
            <w:pStyle w:val="Contents5"/>
            <w:tabs>
              <w:tab w:val="clear" w:pos="7892"/>
              <w:tab w:val="right" w:pos="9026" w:leader="dot"/>
            </w:tabs>
            <w:rPr/>
          </w:pPr>
          <w:hyperlink w:anchor="__RefHeading___Toc3972485_1067777946">
            <w:r>
              <w:rPr>
                <w:webHidden/>
                <w:rStyle w:val="IndexLink"/>
                <w:rtl w:val="true"/>
              </w:rPr>
              <w:t>عصير عنبى و انگور</w:t>
            </w:r>
            <w:r>
              <w:rPr>
                <w:rStyle w:val="IndexLink"/>
                <w:rtl w:val="true"/>
              </w:rPr>
              <w:tab/>
            </w:r>
            <w:r>
              <w:rPr>
                <w:rStyle w:val="IndexLink"/>
              </w:rPr>
              <w:t>344</w:t>
            </w:r>
          </w:hyperlink>
        </w:p>
        <w:p>
          <w:pPr>
            <w:pStyle w:val="Contents5"/>
            <w:tabs>
              <w:tab w:val="clear" w:pos="7892"/>
              <w:tab w:val="right" w:pos="9026" w:leader="dot"/>
            </w:tabs>
            <w:rPr/>
          </w:pPr>
          <w:hyperlink w:anchor="__RefHeading___Toc3972487_1067777946">
            <w:r>
              <w:rPr>
                <w:webHidden/>
                <w:rStyle w:val="IndexLink"/>
                <w:rtl w:val="true"/>
              </w:rPr>
              <w:t>اكراه و اضطرار</w:t>
            </w:r>
            <w:r>
              <w:rPr>
                <w:rStyle w:val="IndexLink"/>
                <w:rtl w:val="true"/>
              </w:rPr>
              <w:tab/>
            </w:r>
            <w:r>
              <w:rPr>
                <w:rStyle w:val="IndexLink"/>
              </w:rPr>
              <w:t>344</w:t>
            </w:r>
          </w:hyperlink>
        </w:p>
        <w:p>
          <w:pPr>
            <w:pStyle w:val="Contents5"/>
            <w:tabs>
              <w:tab w:val="clear" w:pos="7892"/>
              <w:tab w:val="right" w:pos="9026" w:leader="dot"/>
            </w:tabs>
            <w:rPr/>
          </w:pPr>
          <w:hyperlink w:anchor="__RefHeading___Toc3972489_1067777946">
            <w:r>
              <w:rPr>
                <w:webHidden/>
                <w:rStyle w:val="IndexLink"/>
                <w:rtl w:val="true"/>
              </w:rPr>
              <w:t>غير بالغ و جاهل به تحريم</w:t>
            </w:r>
            <w:r>
              <w:rPr>
                <w:rStyle w:val="IndexLink"/>
                <w:rtl w:val="true"/>
              </w:rPr>
              <w:tab/>
            </w:r>
            <w:r>
              <w:rPr>
                <w:rStyle w:val="IndexLink"/>
              </w:rPr>
              <w:t>344</w:t>
            </w:r>
          </w:hyperlink>
        </w:p>
        <w:p>
          <w:pPr>
            <w:pStyle w:val="Contents4"/>
            <w:tabs>
              <w:tab w:val="clear" w:pos="8176"/>
              <w:tab w:val="right" w:pos="9026" w:leader="dot"/>
            </w:tabs>
            <w:rPr/>
          </w:pPr>
          <w:hyperlink w:anchor="__RefHeading___Toc3972491_1067777946">
            <w:r>
              <w:rPr>
                <w:webHidden/>
                <w:rStyle w:val="IndexLink"/>
              </w:rPr>
              <w:t>2</w:t>
            </w:r>
            <w:r>
              <w:rPr>
                <w:rStyle w:val="IndexLink"/>
                <w:rtl w:val="true"/>
              </w:rPr>
              <w:t xml:space="preserve">. </w:t>
            </w:r>
            <w:r>
              <w:rPr>
                <w:rStyle w:val="IndexLink"/>
                <w:rtl w:val="true"/>
              </w:rPr>
              <w:t>ثبوت شرب خمر</w:t>
            </w:r>
            <w:r>
              <w:rPr>
                <w:rStyle w:val="IndexLink"/>
                <w:rtl w:val="true"/>
              </w:rPr>
              <w:tab/>
            </w:r>
            <w:r>
              <w:rPr>
                <w:rStyle w:val="IndexLink"/>
              </w:rPr>
              <w:t>345</w:t>
            </w:r>
          </w:hyperlink>
        </w:p>
        <w:p>
          <w:pPr>
            <w:pStyle w:val="Contents5"/>
            <w:tabs>
              <w:tab w:val="clear" w:pos="7892"/>
              <w:tab w:val="right" w:pos="9026" w:leader="dot"/>
            </w:tabs>
            <w:rPr/>
          </w:pPr>
          <w:hyperlink w:anchor="__RefHeading___Toc3972493_1067777946">
            <w:r>
              <w:rPr>
                <w:webHidden/>
                <w:rStyle w:val="IndexLink"/>
                <w:rtl w:val="true"/>
              </w:rPr>
              <w:t>اثبات با شهادت</w:t>
            </w:r>
            <w:r>
              <w:rPr>
                <w:rStyle w:val="IndexLink"/>
                <w:rtl w:val="true"/>
              </w:rPr>
              <w:tab/>
            </w:r>
            <w:r>
              <w:rPr>
                <w:rStyle w:val="IndexLink"/>
              </w:rPr>
              <w:t>345</w:t>
            </w:r>
          </w:hyperlink>
        </w:p>
        <w:p>
          <w:pPr>
            <w:pStyle w:val="Contents5"/>
            <w:tabs>
              <w:tab w:val="clear" w:pos="7892"/>
              <w:tab w:val="right" w:pos="9026" w:leader="dot"/>
            </w:tabs>
            <w:rPr/>
          </w:pPr>
          <w:hyperlink w:anchor="__RefHeading___Toc3972495_1067777946">
            <w:r>
              <w:rPr>
                <w:webHidden/>
                <w:rStyle w:val="IndexLink"/>
                <w:rtl w:val="true"/>
              </w:rPr>
              <w:t>اثبات با اقرار</w:t>
            </w:r>
            <w:r>
              <w:rPr>
                <w:rStyle w:val="IndexLink"/>
                <w:rtl w:val="true"/>
              </w:rPr>
              <w:tab/>
            </w:r>
            <w:r>
              <w:rPr>
                <w:rStyle w:val="IndexLink"/>
              </w:rPr>
              <w:t>345</w:t>
            </w:r>
          </w:hyperlink>
        </w:p>
        <w:p>
          <w:pPr>
            <w:pStyle w:val="Contents4"/>
            <w:tabs>
              <w:tab w:val="clear" w:pos="8176"/>
              <w:tab w:val="right" w:pos="9026" w:leader="dot"/>
            </w:tabs>
            <w:rPr/>
          </w:pPr>
          <w:hyperlink w:anchor="__RefHeading___Toc3972497_1067777946">
            <w:r>
              <w:rPr>
                <w:webHidden/>
                <w:rStyle w:val="IndexLink"/>
              </w:rPr>
              <w:t>3</w:t>
            </w:r>
            <w:r>
              <w:rPr>
                <w:rStyle w:val="IndexLink"/>
                <w:rtl w:val="true"/>
              </w:rPr>
              <w:t xml:space="preserve">. </w:t>
            </w:r>
            <w:r>
              <w:rPr>
                <w:rStyle w:val="IndexLink"/>
                <w:rtl w:val="true"/>
              </w:rPr>
              <w:t>كيفيّت حدّ شرب خمر</w:t>
            </w:r>
            <w:r>
              <w:rPr>
                <w:rStyle w:val="IndexLink"/>
                <w:rtl w:val="true"/>
              </w:rPr>
              <w:tab/>
            </w:r>
            <w:r>
              <w:rPr>
                <w:rStyle w:val="IndexLink"/>
              </w:rPr>
              <w:t>345</w:t>
            </w:r>
          </w:hyperlink>
        </w:p>
        <w:p>
          <w:pPr>
            <w:pStyle w:val="Contents5"/>
            <w:tabs>
              <w:tab w:val="clear" w:pos="7892"/>
              <w:tab w:val="right" w:pos="9026" w:leader="dot"/>
            </w:tabs>
            <w:rPr/>
          </w:pPr>
          <w:hyperlink w:anchor="__RefHeading___Toc3972499_106777794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3972501_1067777946">
            <w:r>
              <w:rPr>
                <w:webHidden/>
                <w:rStyle w:val="IndexLink"/>
                <w:rtl w:val="true"/>
              </w:rPr>
              <w:t>تعدّد شرب خمر</w:t>
            </w:r>
            <w:r>
              <w:rPr>
                <w:rStyle w:val="IndexLink"/>
                <w:rtl w:val="true"/>
              </w:rPr>
              <w:tab/>
            </w:r>
            <w:r>
              <w:rPr>
                <w:rStyle w:val="IndexLink"/>
              </w:rPr>
              <w:t>346</w:t>
            </w:r>
          </w:hyperlink>
        </w:p>
        <w:p>
          <w:pPr>
            <w:pStyle w:val="Contents4"/>
            <w:tabs>
              <w:tab w:val="clear" w:pos="8176"/>
              <w:tab w:val="right" w:pos="9026" w:leader="dot"/>
            </w:tabs>
            <w:rPr/>
          </w:pPr>
          <w:hyperlink w:anchor="__RefHeading___Toc3972503_1067777946">
            <w:r>
              <w:rPr>
                <w:webHidden/>
                <w:rStyle w:val="IndexLink"/>
              </w:rPr>
              <w:t>4</w:t>
            </w:r>
            <w:r>
              <w:rPr>
                <w:rStyle w:val="IndexLink"/>
                <w:rtl w:val="true"/>
              </w:rPr>
              <w:t xml:space="preserve">. </w:t>
            </w:r>
            <w:r>
              <w:rPr>
                <w:rStyle w:val="IndexLink"/>
                <w:rtl w:val="true"/>
              </w:rPr>
              <w:t>احكام حدّ شرب خمر</w:t>
            </w:r>
            <w:r>
              <w:rPr>
                <w:rStyle w:val="IndexLink"/>
                <w:rtl w:val="true"/>
              </w:rPr>
              <w:tab/>
            </w:r>
            <w:r>
              <w:rPr>
                <w:rStyle w:val="IndexLink"/>
              </w:rPr>
              <w:t>346</w:t>
            </w:r>
          </w:hyperlink>
        </w:p>
        <w:p>
          <w:pPr>
            <w:pStyle w:val="Contents5"/>
            <w:tabs>
              <w:tab w:val="clear" w:pos="7892"/>
              <w:tab w:val="right" w:pos="9026" w:leader="dot"/>
            </w:tabs>
            <w:rPr/>
          </w:pPr>
          <w:hyperlink w:anchor="__RefHeading___Toc3972505_1067777946">
            <w:r>
              <w:rPr>
                <w:webHidden/>
                <w:rStyle w:val="IndexLink"/>
                <w:rtl w:val="true"/>
              </w:rPr>
              <w:t>شهادت يكى به شرب و ديگرى به قى كردن</w:t>
            </w:r>
            <w:r>
              <w:rPr>
                <w:rStyle w:val="IndexLink"/>
                <w:rtl w:val="true"/>
              </w:rPr>
              <w:tab/>
            </w:r>
            <w:r>
              <w:rPr>
                <w:rStyle w:val="IndexLink"/>
              </w:rPr>
              <w:t>346</w:t>
            </w:r>
          </w:hyperlink>
        </w:p>
        <w:p>
          <w:pPr>
            <w:pStyle w:val="Contents5"/>
            <w:tabs>
              <w:tab w:val="clear" w:pos="7892"/>
              <w:tab w:val="right" w:pos="9026" w:leader="dot"/>
            </w:tabs>
            <w:rPr/>
          </w:pPr>
          <w:hyperlink w:anchor="__RefHeading___Toc3972507_1067777946">
            <w:r>
              <w:rPr>
                <w:webHidden/>
                <w:rStyle w:val="IndexLink"/>
                <w:rtl w:val="true"/>
              </w:rPr>
              <w:t>ارتداد مستحلّ‌</w:t>
            </w:r>
            <w:r>
              <w:rPr>
                <w:rStyle w:val="IndexLink"/>
                <w:rtl w:val="true"/>
              </w:rPr>
              <w:tab/>
            </w:r>
            <w:r>
              <w:rPr>
                <w:rStyle w:val="IndexLink"/>
              </w:rPr>
              <w:t>346</w:t>
            </w:r>
          </w:hyperlink>
        </w:p>
        <w:p>
          <w:pPr>
            <w:pStyle w:val="Contents5"/>
            <w:tabs>
              <w:tab w:val="clear" w:pos="7892"/>
              <w:tab w:val="right" w:pos="9026" w:leader="dot"/>
            </w:tabs>
            <w:rPr/>
          </w:pPr>
          <w:hyperlink w:anchor="__RefHeading___Toc3972509_1067777946">
            <w:r>
              <w:rPr>
                <w:webHidden/>
                <w:rStyle w:val="IndexLink"/>
                <w:rtl w:val="true"/>
              </w:rPr>
              <w:t>حكم فروشندۀ خمر</w:t>
            </w:r>
            <w:r>
              <w:rPr>
                <w:rStyle w:val="IndexLink"/>
                <w:rtl w:val="true"/>
              </w:rPr>
              <w:tab/>
            </w:r>
            <w:r>
              <w:rPr>
                <w:rStyle w:val="IndexLink"/>
              </w:rPr>
              <w:t>347</w:t>
            </w:r>
          </w:hyperlink>
        </w:p>
        <w:p>
          <w:pPr>
            <w:pStyle w:val="Contents5"/>
            <w:tabs>
              <w:tab w:val="clear" w:pos="7892"/>
              <w:tab w:val="right" w:pos="9026" w:leader="dot"/>
            </w:tabs>
            <w:rPr/>
          </w:pPr>
          <w:hyperlink w:anchor="__RefHeading___Toc3972511_1067777946">
            <w:r>
              <w:rPr>
                <w:webHidden/>
                <w:rStyle w:val="IndexLink"/>
                <w:rtl w:val="true"/>
              </w:rPr>
              <w:t>توبۀ از شرب خمر</w:t>
            </w:r>
            <w:r>
              <w:rPr>
                <w:rStyle w:val="IndexLink"/>
                <w:rtl w:val="true"/>
              </w:rPr>
              <w:tab/>
            </w:r>
            <w:r>
              <w:rPr>
                <w:rStyle w:val="IndexLink"/>
              </w:rPr>
              <w:t>347</w:t>
            </w:r>
          </w:hyperlink>
        </w:p>
        <w:p>
          <w:pPr>
            <w:pStyle w:val="Contents4"/>
            <w:tabs>
              <w:tab w:val="clear" w:pos="8176"/>
              <w:tab w:val="right" w:pos="9026" w:leader="dot"/>
            </w:tabs>
            <w:rPr/>
          </w:pPr>
          <w:hyperlink w:anchor="__RefHeading___Toc3972513_1067777946">
            <w:r>
              <w:rPr>
                <w:webHidden/>
                <w:rStyle w:val="IndexLink"/>
                <w:rtl w:val="true"/>
              </w:rPr>
              <w:t>تتمه در ذكر چند مسأله</w:t>
            </w:r>
            <w:r>
              <w:rPr>
                <w:rStyle w:val="IndexLink"/>
                <w:rtl w:val="true"/>
              </w:rPr>
              <w:tab/>
            </w:r>
            <w:r>
              <w:rPr>
                <w:rStyle w:val="IndexLink"/>
              </w:rPr>
              <w:t>347</w:t>
            </w:r>
          </w:hyperlink>
        </w:p>
        <w:p>
          <w:pPr>
            <w:pStyle w:val="Contents5"/>
            <w:tabs>
              <w:tab w:val="clear" w:pos="7892"/>
              <w:tab w:val="right" w:pos="9026" w:leader="dot"/>
            </w:tabs>
            <w:rPr/>
          </w:pPr>
          <w:hyperlink w:anchor="__RefHeading___Toc3972515_1067777946">
            <w:r>
              <w:rPr>
                <w:webHidden/>
                <w:rStyle w:val="IndexLink"/>
                <w:rtl w:val="true"/>
              </w:rPr>
              <w:t>ارتداد مستحلّ محرّمات ضروريّه</w:t>
            </w:r>
            <w:r>
              <w:rPr>
                <w:rStyle w:val="IndexLink"/>
                <w:rtl w:val="true"/>
              </w:rPr>
              <w:tab/>
            </w:r>
            <w:r>
              <w:rPr>
                <w:rStyle w:val="IndexLink"/>
              </w:rPr>
              <w:t>347</w:t>
            </w:r>
          </w:hyperlink>
        </w:p>
        <w:p>
          <w:pPr>
            <w:pStyle w:val="Contents5"/>
            <w:tabs>
              <w:tab w:val="clear" w:pos="7892"/>
              <w:tab w:val="right" w:pos="9026" w:leader="dot"/>
            </w:tabs>
            <w:rPr/>
          </w:pPr>
          <w:hyperlink w:anchor="__RefHeading___Toc3972517_1067777946">
            <w:r>
              <w:rPr>
                <w:webHidden/>
                <w:rStyle w:val="IndexLink"/>
                <w:rtl w:val="true"/>
              </w:rPr>
              <w:t>كسى كه در مقام حدّ يا قصاص يا تعزير فوت نمايد</w:t>
            </w:r>
            <w:r>
              <w:rPr>
                <w:rStyle w:val="IndexLink"/>
                <w:rtl w:val="true"/>
              </w:rPr>
              <w:tab/>
            </w:r>
            <w:r>
              <w:rPr>
                <w:rStyle w:val="IndexLink"/>
              </w:rPr>
              <w:t>348</w:t>
            </w:r>
          </w:hyperlink>
        </w:p>
        <w:p>
          <w:pPr>
            <w:pStyle w:val="Contents5"/>
            <w:tabs>
              <w:tab w:val="clear" w:pos="7892"/>
              <w:tab w:val="right" w:pos="9026" w:leader="dot"/>
            </w:tabs>
            <w:rPr/>
          </w:pPr>
          <w:hyperlink w:anchor="__RefHeading___Toc3972519_1067777946">
            <w:r>
              <w:rPr>
                <w:webHidden/>
                <w:rStyle w:val="IndexLink"/>
                <w:rtl w:val="true"/>
              </w:rPr>
              <w:t>ديۀ آن چه كه خطا كند و امثال آن</w:t>
            </w:r>
            <w:r>
              <w:rPr>
                <w:rStyle w:val="IndexLink"/>
                <w:rtl w:val="true"/>
              </w:rPr>
              <w:tab/>
            </w:r>
            <w:r>
              <w:rPr>
                <w:rStyle w:val="IndexLink"/>
              </w:rPr>
              <w:t>348</w:t>
            </w:r>
          </w:hyperlink>
        </w:p>
        <w:p>
          <w:pPr>
            <w:pStyle w:val="Contents5"/>
            <w:tabs>
              <w:tab w:val="clear" w:pos="7892"/>
              <w:tab w:val="right" w:pos="9026" w:leader="dot"/>
            </w:tabs>
            <w:rPr/>
          </w:pPr>
          <w:hyperlink w:anchor="__RefHeading___Toc3972521_1067777946">
            <w:r>
              <w:rPr>
                <w:webHidden/>
                <w:rStyle w:val="IndexLink"/>
                <w:rtl w:val="true"/>
              </w:rPr>
              <w:t>زدن بيشتر از حدّ به امر حاكم</w:t>
            </w:r>
            <w:r>
              <w:rPr>
                <w:rStyle w:val="IndexLink"/>
                <w:rtl w:val="true"/>
              </w:rPr>
              <w:tab/>
            </w:r>
            <w:r>
              <w:rPr>
                <w:rStyle w:val="IndexLink"/>
              </w:rPr>
              <w:t>349</w:t>
            </w:r>
          </w:hyperlink>
        </w:p>
        <w:p>
          <w:pPr>
            <w:pStyle w:val="Contents5"/>
            <w:tabs>
              <w:tab w:val="clear" w:pos="7892"/>
              <w:tab w:val="right" w:pos="9026" w:leader="dot"/>
            </w:tabs>
            <w:rPr/>
          </w:pPr>
          <w:hyperlink w:anchor="__RefHeading___Toc3972523_1067777946">
            <w:r>
              <w:rPr>
                <w:webHidden/>
                <w:rStyle w:val="IndexLink"/>
                <w:rtl w:val="true"/>
              </w:rPr>
              <w:t>اگر زننده بيشتر بزند با عدالت حاكم</w:t>
            </w:r>
            <w:r>
              <w:rPr>
                <w:rStyle w:val="IndexLink"/>
                <w:rtl w:val="true"/>
              </w:rPr>
              <w:tab/>
            </w:r>
            <w:r>
              <w:rPr>
                <w:rStyle w:val="IndexLink"/>
              </w:rPr>
              <w:t>349</w:t>
            </w:r>
          </w:hyperlink>
        </w:p>
        <w:p>
          <w:pPr>
            <w:pStyle w:val="Contents5"/>
            <w:tabs>
              <w:tab w:val="clear" w:pos="7892"/>
              <w:tab w:val="right" w:pos="9026" w:leader="dot"/>
            </w:tabs>
            <w:rPr/>
          </w:pPr>
          <w:hyperlink w:anchor="__RefHeading___Toc3972525_1067777946">
            <w:r>
              <w:rPr>
                <w:webHidden/>
                <w:rStyle w:val="IndexLink"/>
                <w:rtl w:val="true"/>
              </w:rPr>
              <w:t>اگر زيادتى از هر دو باشد</w:t>
            </w:r>
            <w:r>
              <w:rPr>
                <w:rStyle w:val="IndexLink"/>
                <w:rtl w:val="true"/>
              </w:rPr>
              <w:tab/>
            </w:r>
            <w:r>
              <w:rPr>
                <w:rStyle w:val="IndexLink"/>
              </w:rPr>
              <w:t>349</w:t>
            </w:r>
          </w:hyperlink>
        </w:p>
        <w:p>
          <w:pPr>
            <w:pStyle w:val="Contents3"/>
            <w:tabs>
              <w:tab w:val="clear" w:pos="8459"/>
              <w:tab w:val="right" w:pos="9026" w:leader="dot"/>
            </w:tabs>
            <w:rPr/>
          </w:pPr>
          <w:hyperlink w:anchor="__RefHeading___Toc3972527_1067777946">
            <w:r>
              <w:rPr>
                <w:webHidden/>
                <w:rStyle w:val="IndexLink"/>
                <w:rtl w:val="true"/>
              </w:rPr>
              <w:t>فصل پنجم حد سرقت</w:t>
            </w:r>
            <w:r>
              <w:rPr>
                <w:rStyle w:val="IndexLink"/>
                <w:rtl w:val="true"/>
              </w:rPr>
              <w:tab/>
            </w:r>
            <w:r>
              <w:rPr>
                <w:rStyle w:val="IndexLink"/>
              </w:rPr>
              <w:t>350</w:t>
            </w:r>
          </w:hyperlink>
        </w:p>
        <w:p>
          <w:pPr>
            <w:pStyle w:val="Contents4"/>
            <w:tabs>
              <w:tab w:val="clear" w:pos="8176"/>
              <w:tab w:val="right" w:pos="9026" w:leader="dot"/>
            </w:tabs>
            <w:rPr/>
          </w:pPr>
          <w:hyperlink w:anchor="__RefHeading___Toc3972529_1067777946">
            <w:r>
              <w:rPr>
                <w:webHidden/>
                <w:rStyle w:val="IndexLink"/>
              </w:rPr>
              <w:t>1</w:t>
            </w:r>
            <w:r>
              <w:rPr>
                <w:rStyle w:val="IndexLink"/>
                <w:rtl w:val="true"/>
              </w:rPr>
              <w:t xml:space="preserve">. </w:t>
            </w:r>
            <w:r>
              <w:rPr>
                <w:rStyle w:val="IndexLink"/>
                <w:rtl w:val="true"/>
              </w:rPr>
              <w:t>سارق</w:t>
            </w:r>
            <w:r>
              <w:rPr>
                <w:rStyle w:val="IndexLink"/>
                <w:rtl w:val="true"/>
              </w:rPr>
              <w:tab/>
            </w:r>
            <w:r>
              <w:rPr>
                <w:rStyle w:val="IndexLink"/>
              </w:rPr>
              <w:t>350</w:t>
            </w:r>
          </w:hyperlink>
        </w:p>
        <w:p>
          <w:pPr>
            <w:pStyle w:val="Contents5"/>
            <w:tabs>
              <w:tab w:val="clear" w:pos="7892"/>
              <w:tab w:val="right" w:pos="9026" w:leader="dot"/>
            </w:tabs>
            <w:rPr/>
          </w:pPr>
          <w:hyperlink w:anchor="__RefHeading___Toc3972531_1067777946">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3972533_1067777946">
            <w:r>
              <w:rPr>
                <w:webHidden/>
                <w:rStyle w:val="IndexLink"/>
                <w:rtl w:val="true"/>
              </w:rPr>
              <w:t>اشتراط بلوغ و حكم مميّز غير بالغ</w:t>
            </w:r>
            <w:r>
              <w:rPr>
                <w:rStyle w:val="IndexLink"/>
                <w:rtl w:val="true"/>
              </w:rPr>
              <w:tab/>
            </w:r>
            <w:r>
              <w:rPr>
                <w:rStyle w:val="IndexLink"/>
              </w:rPr>
              <w:t>350</w:t>
            </w:r>
          </w:hyperlink>
        </w:p>
        <w:p>
          <w:pPr>
            <w:pStyle w:val="Contents5"/>
            <w:tabs>
              <w:tab w:val="clear" w:pos="7892"/>
              <w:tab w:val="right" w:pos="9026" w:leader="dot"/>
            </w:tabs>
            <w:rPr/>
          </w:pPr>
          <w:hyperlink w:anchor="__RefHeading___Toc3972535_1067777946">
            <w:r>
              <w:rPr>
                <w:webHidden/>
                <w:rStyle w:val="IndexLink"/>
                <w:rtl w:val="true"/>
              </w:rPr>
              <w:t>اشتراط عقل</w:t>
            </w:r>
            <w:r>
              <w:rPr>
                <w:rStyle w:val="IndexLink"/>
                <w:rtl w:val="true"/>
              </w:rPr>
              <w:tab/>
            </w:r>
            <w:r>
              <w:rPr>
                <w:rStyle w:val="IndexLink"/>
              </w:rPr>
              <w:t>350</w:t>
            </w:r>
          </w:hyperlink>
        </w:p>
        <w:p>
          <w:pPr>
            <w:pStyle w:val="Contents5"/>
            <w:tabs>
              <w:tab w:val="clear" w:pos="7892"/>
              <w:tab w:val="right" w:pos="9026" w:leader="dot"/>
            </w:tabs>
            <w:rPr/>
          </w:pPr>
          <w:hyperlink w:anchor="__RefHeading___Toc3972537_1067777946">
            <w:r>
              <w:rPr>
                <w:webHidden/>
                <w:rStyle w:val="IndexLink"/>
                <w:rtl w:val="true"/>
              </w:rPr>
              <w:t>اشتراط ارتفاع شبهه</w:t>
            </w:r>
            <w:r>
              <w:rPr>
                <w:rStyle w:val="IndexLink"/>
                <w:rtl w:val="true"/>
              </w:rPr>
              <w:tab/>
            </w:r>
            <w:r>
              <w:rPr>
                <w:rStyle w:val="IndexLink"/>
              </w:rPr>
              <w:t>350</w:t>
            </w:r>
          </w:hyperlink>
        </w:p>
        <w:p>
          <w:pPr>
            <w:pStyle w:val="Contents5"/>
            <w:tabs>
              <w:tab w:val="clear" w:pos="7892"/>
              <w:tab w:val="right" w:pos="9026" w:leader="dot"/>
            </w:tabs>
            <w:rPr/>
          </w:pPr>
          <w:hyperlink w:anchor="__RefHeading___Toc3972539_1067777946">
            <w:r>
              <w:rPr>
                <w:webHidden/>
                <w:rStyle w:val="IndexLink"/>
                <w:rtl w:val="true"/>
              </w:rPr>
              <w:t>هتك حرز</w:t>
            </w:r>
            <w:r>
              <w:rPr>
                <w:rStyle w:val="IndexLink"/>
                <w:rtl w:val="true"/>
              </w:rPr>
              <w:tab/>
            </w:r>
            <w:r>
              <w:rPr>
                <w:rStyle w:val="IndexLink"/>
              </w:rPr>
              <w:t>351</w:t>
            </w:r>
          </w:hyperlink>
        </w:p>
        <w:p>
          <w:pPr>
            <w:pStyle w:val="Contents5"/>
            <w:tabs>
              <w:tab w:val="clear" w:pos="7892"/>
              <w:tab w:val="right" w:pos="9026" w:leader="dot"/>
            </w:tabs>
            <w:rPr/>
          </w:pPr>
          <w:hyperlink w:anchor="__RefHeading___Toc3972541_1067777946">
            <w:r>
              <w:rPr>
                <w:webHidden/>
                <w:rStyle w:val="IndexLink"/>
                <w:rtl w:val="true"/>
              </w:rPr>
              <w:t>اعتبار اخراج از حرز</w:t>
            </w:r>
            <w:r>
              <w:rPr>
                <w:rStyle w:val="IndexLink"/>
                <w:rtl w:val="true"/>
              </w:rPr>
              <w:tab/>
            </w:r>
            <w:r>
              <w:rPr>
                <w:rStyle w:val="IndexLink"/>
              </w:rPr>
              <w:t>352</w:t>
            </w:r>
          </w:hyperlink>
        </w:p>
        <w:p>
          <w:pPr>
            <w:pStyle w:val="Contents5"/>
            <w:tabs>
              <w:tab w:val="clear" w:pos="7892"/>
              <w:tab w:val="right" w:pos="9026" w:leader="dot"/>
            </w:tabs>
            <w:rPr/>
          </w:pPr>
          <w:hyperlink w:anchor="__RefHeading___Toc3972543_1067777946">
            <w:r>
              <w:rPr>
                <w:webHidden/>
                <w:rStyle w:val="IndexLink"/>
                <w:rtl w:val="true"/>
              </w:rPr>
              <w:t>عدم قطع بر والد و اجداد</w:t>
            </w:r>
            <w:r>
              <w:rPr>
                <w:rStyle w:val="IndexLink"/>
                <w:rtl w:val="true"/>
              </w:rPr>
              <w:tab/>
            </w:r>
            <w:r>
              <w:rPr>
                <w:rStyle w:val="IndexLink"/>
              </w:rPr>
              <w:t>352</w:t>
            </w:r>
          </w:hyperlink>
        </w:p>
        <w:p>
          <w:pPr>
            <w:pStyle w:val="Contents5"/>
            <w:tabs>
              <w:tab w:val="clear" w:pos="7892"/>
              <w:tab w:val="right" w:pos="9026" w:leader="dot"/>
            </w:tabs>
            <w:rPr/>
          </w:pPr>
          <w:hyperlink w:anchor="__RefHeading___Toc3972545_1067777946">
            <w:r>
              <w:rPr>
                <w:webHidden/>
                <w:rStyle w:val="IndexLink"/>
                <w:rtl w:val="true"/>
              </w:rPr>
              <w:t>اشتراط برداشتن مال در خفا</w:t>
            </w:r>
            <w:r>
              <w:rPr>
                <w:rStyle w:val="IndexLink"/>
                <w:rtl w:val="true"/>
              </w:rPr>
              <w:tab/>
            </w:r>
            <w:r>
              <w:rPr>
                <w:rStyle w:val="IndexLink"/>
              </w:rPr>
              <w:t>352</w:t>
            </w:r>
          </w:hyperlink>
        </w:p>
        <w:p>
          <w:pPr>
            <w:pStyle w:val="Contents5"/>
            <w:tabs>
              <w:tab w:val="clear" w:pos="7892"/>
              <w:tab w:val="right" w:pos="9026" w:leader="dot"/>
            </w:tabs>
            <w:rPr/>
          </w:pPr>
          <w:hyperlink w:anchor="__RefHeading___Toc3972547_1067777946">
            <w:r>
              <w:rPr>
                <w:webHidden/>
                <w:rStyle w:val="IndexLink"/>
                <w:rtl w:val="true"/>
              </w:rPr>
              <w:t>حكم ذمّى</w:t>
            </w:r>
            <w:r>
              <w:rPr>
                <w:rStyle w:val="IndexLink"/>
                <w:rtl w:val="true"/>
              </w:rPr>
              <w:tab/>
            </w:r>
            <w:r>
              <w:rPr>
                <w:rStyle w:val="IndexLink"/>
              </w:rPr>
              <w:t>353</w:t>
            </w:r>
          </w:hyperlink>
        </w:p>
        <w:p>
          <w:pPr>
            <w:pStyle w:val="Contents5"/>
            <w:tabs>
              <w:tab w:val="clear" w:pos="7892"/>
              <w:tab w:val="right" w:pos="9026" w:leader="dot"/>
            </w:tabs>
            <w:rPr/>
          </w:pPr>
          <w:hyperlink w:anchor="__RefHeading___Toc3972549_1067777946">
            <w:r>
              <w:rPr>
                <w:webHidden/>
                <w:rStyle w:val="IndexLink"/>
                <w:rtl w:val="true"/>
              </w:rPr>
              <w:t>چند مسأله</w:t>
            </w:r>
            <w:r>
              <w:rPr>
                <w:rStyle w:val="IndexLink"/>
                <w:rtl w:val="true"/>
              </w:rPr>
              <w:tab/>
            </w:r>
            <w:r>
              <w:rPr>
                <w:rStyle w:val="IndexLink"/>
              </w:rPr>
              <w:t>353</w:t>
            </w:r>
          </w:hyperlink>
        </w:p>
        <w:p>
          <w:pPr>
            <w:pStyle w:val="Contents6"/>
            <w:tabs>
              <w:tab w:val="clear" w:pos="7609"/>
              <w:tab w:val="right" w:pos="9026" w:leader="dot"/>
            </w:tabs>
            <w:rPr/>
          </w:pPr>
          <w:hyperlink w:anchor="__RefHeading___Toc3972551_1067777946">
            <w:r>
              <w:rPr>
                <w:webHidden/>
                <w:rStyle w:val="IndexLink"/>
                <w:rtl w:val="true"/>
              </w:rPr>
              <w:t>سرقت راهن يا موجر مال خودشان را</w:t>
            </w:r>
            <w:r>
              <w:rPr>
                <w:rStyle w:val="IndexLink"/>
                <w:rtl w:val="true"/>
              </w:rPr>
              <w:tab/>
            </w:r>
            <w:r>
              <w:rPr>
                <w:rStyle w:val="IndexLink"/>
              </w:rPr>
              <w:t>353</w:t>
            </w:r>
          </w:hyperlink>
        </w:p>
        <w:p>
          <w:pPr>
            <w:pStyle w:val="Contents6"/>
            <w:tabs>
              <w:tab w:val="clear" w:pos="7609"/>
              <w:tab w:val="right" w:pos="9026" w:leader="dot"/>
            </w:tabs>
            <w:rPr/>
          </w:pPr>
          <w:hyperlink w:anchor="__RefHeading___Toc3972553_1067777946">
            <w:r>
              <w:rPr>
                <w:webHidden/>
                <w:rStyle w:val="IndexLink"/>
                <w:rtl w:val="true"/>
              </w:rPr>
              <w:t>سرقت عبد از مال مالك</w:t>
            </w:r>
            <w:r>
              <w:rPr>
                <w:rStyle w:val="IndexLink"/>
                <w:rtl w:val="true"/>
              </w:rPr>
              <w:tab/>
            </w:r>
            <w:r>
              <w:rPr>
                <w:rStyle w:val="IndexLink"/>
              </w:rPr>
              <w:t>353</w:t>
            </w:r>
          </w:hyperlink>
        </w:p>
        <w:p>
          <w:pPr>
            <w:pStyle w:val="Contents6"/>
            <w:tabs>
              <w:tab w:val="clear" w:pos="7609"/>
              <w:tab w:val="right" w:pos="9026" w:leader="dot"/>
            </w:tabs>
            <w:rPr/>
          </w:pPr>
          <w:hyperlink w:anchor="__RefHeading___Toc3972555_1067777946">
            <w:r>
              <w:rPr>
                <w:webHidden/>
                <w:rStyle w:val="IndexLink"/>
                <w:rtl w:val="true"/>
              </w:rPr>
              <w:t>سرقت اجير</w:t>
            </w:r>
            <w:r>
              <w:rPr>
                <w:rStyle w:val="IndexLink"/>
                <w:rtl w:val="true"/>
              </w:rPr>
              <w:tab/>
            </w:r>
            <w:r>
              <w:rPr>
                <w:rStyle w:val="IndexLink"/>
              </w:rPr>
              <w:t>353</w:t>
            </w:r>
          </w:hyperlink>
        </w:p>
        <w:p>
          <w:pPr>
            <w:pStyle w:val="Contents6"/>
            <w:tabs>
              <w:tab w:val="clear" w:pos="7609"/>
              <w:tab w:val="right" w:pos="9026" w:leader="dot"/>
            </w:tabs>
            <w:rPr/>
          </w:pPr>
          <w:hyperlink w:anchor="__RefHeading___Toc3972557_1067777946">
            <w:r>
              <w:rPr>
                <w:webHidden/>
                <w:rStyle w:val="IndexLink"/>
                <w:rtl w:val="true"/>
              </w:rPr>
              <w:t>سرقت زوجين از مال ديگرى</w:t>
            </w:r>
            <w:r>
              <w:rPr>
                <w:rStyle w:val="IndexLink"/>
                <w:rtl w:val="true"/>
              </w:rPr>
              <w:tab/>
            </w:r>
            <w:r>
              <w:rPr>
                <w:rStyle w:val="IndexLink"/>
              </w:rPr>
              <w:t>353</w:t>
            </w:r>
          </w:hyperlink>
        </w:p>
        <w:p>
          <w:pPr>
            <w:pStyle w:val="Contents6"/>
            <w:tabs>
              <w:tab w:val="clear" w:pos="7609"/>
              <w:tab w:val="right" w:pos="9026" w:leader="dot"/>
            </w:tabs>
            <w:rPr/>
          </w:pPr>
          <w:hyperlink w:anchor="__RefHeading___Toc3972559_1067777946">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3972561_1067777946">
            <w:r>
              <w:rPr>
                <w:webHidden/>
                <w:rStyle w:val="IndexLink"/>
                <w:rtl w:val="true"/>
              </w:rPr>
              <w:t>سرقت ضيف</w:t>
            </w:r>
            <w:r>
              <w:rPr>
                <w:rStyle w:val="IndexLink"/>
                <w:rtl w:val="true"/>
              </w:rPr>
              <w:tab/>
            </w:r>
            <w:r>
              <w:rPr>
                <w:rStyle w:val="IndexLink"/>
              </w:rPr>
              <w:t>354</w:t>
            </w:r>
          </w:hyperlink>
        </w:p>
        <w:p>
          <w:pPr>
            <w:pStyle w:val="Contents6"/>
            <w:tabs>
              <w:tab w:val="clear" w:pos="7609"/>
              <w:tab w:val="right" w:pos="9026" w:leader="dot"/>
            </w:tabs>
            <w:rPr/>
          </w:pPr>
          <w:hyperlink w:anchor="__RefHeading___Toc3972563_1067777946">
            <w:r>
              <w:rPr>
                <w:webHidden/>
                <w:rStyle w:val="IndexLink"/>
                <w:rtl w:val="true"/>
              </w:rPr>
              <w:t>شبهۀ حكميه</w:t>
            </w:r>
            <w:r>
              <w:rPr>
                <w:rStyle w:val="IndexLink"/>
                <w:rtl w:val="true"/>
              </w:rPr>
              <w:tab/>
            </w:r>
            <w:r>
              <w:rPr>
                <w:rStyle w:val="IndexLink"/>
              </w:rPr>
              <w:t>354</w:t>
            </w:r>
          </w:hyperlink>
        </w:p>
        <w:p>
          <w:pPr>
            <w:pStyle w:val="Contents4"/>
            <w:tabs>
              <w:tab w:val="clear" w:pos="8176"/>
              <w:tab w:val="right" w:pos="9026" w:leader="dot"/>
            </w:tabs>
            <w:rPr/>
          </w:pPr>
          <w:hyperlink w:anchor="__RefHeading___Toc3972565_1067777946">
            <w:r>
              <w:rPr>
                <w:webHidden/>
                <w:rStyle w:val="IndexLink"/>
              </w:rPr>
              <w:t>2</w:t>
            </w:r>
            <w:r>
              <w:rPr>
                <w:rStyle w:val="IndexLink"/>
                <w:rtl w:val="true"/>
              </w:rPr>
              <w:t xml:space="preserve">. </w:t>
            </w:r>
            <w:r>
              <w:rPr>
                <w:rStyle w:val="IndexLink"/>
                <w:rtl w:val="true"/>
              </w:rPr>
              <w:t>مسروق</w:t>
            </w:r>
            <w:r>
              <w:rPr>
                <w:rStyle w:val="IndexLink"/>
                <w:rtl w:val="true"/>
              </w:rPr>
              <w:tab/>
            </w:r>
            <w:r>
              <w:rPr>
                <w:rStyle w:val="IndexLink"/>
              </w:rPr>
              <w:t>354</w:t>
            </w:r>
          </w:hyperlink>
        </w:p>
        <w:p>
          <w:pPr>
            <w:pStyle w:val="Contents5"/>
            <w:tabs>
              <w:tab w:val="clear" w:pos="7892"/>
              <w:tab w:val="right" w:pos="9026" w:leader="dot"/>
            </w:tabs>
            <w:rPr/>
          </w:pPr>
          <w:hyperlink w:anchor="__RefHeading___Toc3972567_1067777946">
            <w:r>
              <w:rPr>
                <w:webHidden/>
                <w:rStyle w:val="IndexLink"/>
                <w:rtl w:val="true"/>
              </w:rPr>
              <w:t>مقدار مسروق</w:t>
            </w:r>
            <w:r>
              <w:rPr>
                <w:rStyle w:val="IndexLink"/>
                <w:rtl w:val="true"/>
              </w:rPr>
              <w:tab/>
            </w:r>
            <w:r>
              <w:rPr>
                <w:rStyle w:val="IndexLink"/>
              </w:rPr>
              <w:t>354</w:t>
            </w:r>
          </w:hyperlink>
        </w:p>
        <w:p>
          <w:pPr>
            <w:pStyle w:val="Contents5"/>
            <w:tabs>
              <w:tab w:val="clear" w:pos="7892"/>
              <w:tab w:val="right" w:pos="9026" w:leader="dot"/>
            </w:tabs>
            <w:rPr/>
          </w:pPr>
          <w:hyperlink w:anchor="__RefHeading___Toc3972569_1067777946">
            <w:r>
              <w:rPr>
                <w:webHidden/>
                <w:rStyle w:val="IndexLink"/>
                <w:rtl w:val="true"/>
              </w:rPr>
              <w:t>سرقت در ايام قحط</w:t>
            </w:r>
            <w:r>
              <w:rPr>
                <w:rStyle w:val="IndexLink"/>
                <w:rtl w:val="true"/>
              </w:rPr>
              <w:tab/>
            </w:r>
            <w:r>
              <w:rPr>
                <w:rStyle w:val="IndexLink"/>
              </w:rPr>
              <w:t>354</w:t>
            </w:r>
          </w:hyperlink>
        </w:p>
        <w:p>
          <w:pPr>
            <w:pStyle w:val="Contents5"/>
            <w:tabs>
              <w:tab w:val="clear" w:pos="7892"/>
              <w:tab w:val="right" w:pos="9026" w:leader="dot"/>
            </w:tabs>
            <w:rPr/>
          </w:pPr>
          <w:hyperlink w:anchor="__RefHeading___Toc3972571_1067777946">
            <w:r>
              <w:rPr>
                <w:webHidden/>
                <w:rStyle w:val="IndexLink"/>
                <w:rtl w:val="true"/>
              </w:rPr>
              <w:t>سرقت مملوك غير مميّز</w:t>
            </w:r>
            <w:r>
              <w:rPr>
                <w:rStyle w:val="IndexLink"/>
                <w:rtl w:val="true"/>
              </w:rPr>
              <w:tab/>
            </w:r>
            <w:r>
              <w:rPr>
                <w:rStyle w:val="IndexLink"/>
              </w:rPr>
              <w:t>355</w:t>
            </w:r>
          </w:hyperlink>
        </w:p>
        <w:p>
          <w:pPr>
            <w:pStyle w:val="Contents5"/>
            <w:tabs>
              <w:tab w:val="clear" w:pos="7892"/>
              <w:tab w:val="right" w:pos="9026" w:leader="dot"/>
            </w:tabs>
            <w:rPr/>
          </w:pPr>
          <w:hyperlink w:anchor="__RefHeading___Toc3972573_1067777946">
            <w:r>
              <w:rPr>
                <w:webHidden/>
                <w:rStyle w:val="IndexLink"/>
                <w:rtl w:val="true"/>
              </w:rPr>
              <w:t>آدم ربايى</w:t>
            </w:r>
            <w:r>
              <w:rPr>
                <w:rStyle w:val="IndexLink"/>
                <w:rtl w:val="true"/>
              </w:rPr>
              <w:tab/>
            </w:r>
            <w:r>
              <w:rPr>
                <w:rStyle w:val="IndexLink"/>
              </w:rPr>
              <w:t>355</w:t>
            </w:r>
          </w:hyperlink>
        </w:p>
        <w:p>
          <w:pPr>
            <w:pStyle w:val="Contents5"/>
            <w:tabs>
              <w:tab w:val="clear" w:pos="7892"/>
              <w:tab w:val="right" w:pos="9026" w:leader="dot"/>
            </w:tabs>
            <w:rPr/>
          </w:pPr>
          <w:hyperlink w:anchor="__RefHeading___Toc3972575_1067777946">
            <w:r>
              <w:rPr>
                <w:webHidden/>
                <w:rStyle w:val="IndexLink"/>
                <w:rtl w:val="true"/>
              </w:rPr>
              <w:t>دزدى از شخص نائم بر متاع</w:t>
            </w:r>
            <w:r>
              <w:rPr>
                <w:rStyle w:val="IndexLink"/>
                <w:rtl w:val="true"/>
              </w:rPr>
              <w:tab/>
            </w:r>
            <w:r>
              <w:rPr>
                <w:rStyle w:val="IndexLink"/>
              </w:rPr>
              <w:t>355</w:t>
            </w:r>
          </w:hyperlink>
        </w:p>
        <w:p>
          <w:pPr>
            <w:pStyle w:val="Contents5"/>
            <w:tabs>
              <w:tab w:val="clear" w:pos="7892"/>
              <w:tab w:val="right" w:pos="9026" w:leader="dot"/>
            </w:tabs>
            <w:rPr/>
          </w:pPr>
          <w:hyperlink w:anchor="__RefHeading___Toc3972577_1067777946">
            <w:r>
              <w:rPr>
                <w:webHidden/>
                <w:rStyle w:val="IndexLink"/>
                <w:rtl w:val="true"/>
              </w:rPr>
              <w:t>حكم حرز مغصوب يا مال مغصوب در حرز</w:t>
            </w:r>
            <w:r>
              <w:rPr>
                <w:rStyle w:val="IndexLink"/>
                <w:rtl w:val="true"/>
              </w:rPr>
              <w:tab/>
            </w:r>
            <w:r>
              <w:rPr>
                <w:rStyle w:val="IndexLink"/>
              </w:rPr>
              <w:t>355</w:t>
            </w:r>
          </w:hyperlink>
        </w:p>
        <w:p>
          <w:pPr>
            <w:pStyle w:val="Contents5"/>
            <w:tabs>
              <w:tab w:val="clear" w:pos="7892"/>
              <w:tab w:val="right" w:pos="9026" w:leader="dot"/>
            </w:tabs>
            <w:rPr/>
          </w:pPr>
          <w:hyperlink w:anchor="__RefHeading___Toc3972579_1067777946">
            <w:r>
              <w:rPr>
                <w:webHidden/>
                <w:rStyle w:val="IndexLink"/>
                <w:rtl w:val="true"/>
              </w:rPr>
              <w:t>سرقت از وقف</w:t>
            </w:r>
            <w:r>
              <w:rPr>
                <w:rStyle w:val="IndexLink"/>
                <w:rtl w:val="true"/>
              </w:rPr>
              <w:tab/>
            </w:r>
            <w:r>
              <w:rPr>
                <w:rStyle w:val="IndexLink"/>
              </w:rPr>
              <w:t>356</w:t>
            </w:r>
          </w:hyperlink>
        </w:p>
        <w:p>
          <w:pPr>
            <w:pStyle w:val="Contents5"/>
            <w:tabs>
              <w:tab w:val="clear" w:pos="7892"/>
              <w:tab w:val="right" w:pos="9026" w:leader="dot"/>
            </w:tabs>
            <w:rPr/>
          </w:pPr>
          <w:hyperlink w:anchor="__RefHeading___Toc3972581_1067777946">
            <w:r>
              <w:rPr>
                <w:webHidden/>
                <w:rStyle w:val="IndexLink"/>
                <w:rtl w:val="true"/>
              </w:rPr>
              <w:t>سرقت كفن</w:t>
            </w:r>
            <w:r>
              <w:rPr>
                <w:rStyle w:val="IndexLink"/>
                <w:rtl w:val="true"/>
              </w:rPr>
              <w:tab/>
            </w:r>
            <w:r>
              <w:rPr>
                <w:rStyle w:val="IndexLink"/>
              </w:rPr>
              <w:t>356</w:t>
            </w:r>
          </w:hyperlink>
        </w:p>
        <w:p>
          <w:pPr>
            <w:pStyle w:val="Contents4"/>
            <w:tabs>
              <w:tab w:val="clear" w:pos="8176"/>
              <w:tab w:val="right" w:pos="9026" w:leader="dot"/>
            </w:tabs>
            <w:rPr/>
          </w:pPr>
          <w:hyperlink w:anchor="__RefHeading___Toc3972583_1067777946">
            <w:r>
              <w:rPr>
                <w:webHidden/>
                <w:rStyle w:val="IndexLink"/>
              </w:rPr>
              <w:t>3</w:t>
            </w:r>
            <w:r>
              <w:rPr>
                <w:rStyle w:val="IndexLink"/>
                <w:rtl w:val="true"/>
              </w:rPr>
              <w:t xml:space="preserve">. </w:t>
            </w:r>
            <w:r>
              <w:rPr>
                <w:rStyle w:val="IndexLink"/>
                <w:rtl w:val="true"/>
              </w:rPr>
              <w:t>آن چه با آن، سرقت ثابت مى شود</w:t>
            </w:r>
            <w:r>
              <w:rPr>
                <w:rStyle w:val="IndexLink"/>
                <w:rtl w:val="true"/>
              </w:rPr>
              <w:tab/>
            </w:r>
            <w:r>
              <w:rPr>
                <w:rStyle w:val="IndexLink"/>
              </w:rPr>
              <w:t>356</w:t>
            </w:r>
          </w:hyperlink>
        </w:p>
        <w:p>
          <w:pPr>
            <w:pStyle w:val="Contents5"/>
            <w:tabs>
              <w:tab w:val="clear" w:pos="7892"/>
              <w:tab w:val="right" w:pos="9026" w:leader="dot"/>
            </w:tabs>
            <w:rPr/>
          </w:pPr>
          <w:hyperlink w:anchor="__RefHeading___Toc3972585_1067777946">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3972587_1067777946">
            <w:r>
              <w:rPr>
                <w:webHidden/>
                <w:rStyle w:val="IndexLink"/>
                <w:rtl w:val="true"/>
              </w:rPr>
              <w:t>اقرار و شرايط مُقِرّ</w:t>
            </w:r>
            <w:r>
              <w:rPr>
                <w:rStyle w:val="IndexLink"/>
                <w:rtl w:val="true"/>
              </w:rPr>
              <w:tab/>
            </w:r>
            <w:r>
              <w:rPr>
                <w:rStyle w:val="IndexLink"/>
              </w:rPr>
              <w:t>356</w:t>
            </w:r>
          </w:hyperlink>
        </w:p>
        <w:p>
          <w:pPr>
            <w:pStyle w:val="Contents4"/>
            <w:tabs>
              <w:tab w:val="clear" w:pos="8176"/>
              <w:tab w:val="right" w:pos="9026" w:leader="dot"/>
            </w:tabs>
            <w:rPr/>
          </w:pPr>
          <w:hyperlink w:anchor="__RefHeading___Toc3972589_1067777946">
            <w:r>
              <w:rPr>
                <w:webHidden/>
                <w:rStyle w:val="IndexLink"/>
              </w:rPr>
              <w:t>4</w:t>
            </w:r>
            <w:r>
              <w:rPr>
                <w:rStyle w:val="IndexLink"/>
                <w:rtl w:val="true"/>
              </w:rPr>
              <w:t xml:space="preserve">. </w:t>
            </w:r>
            <w:r>
              <w:rPr>
                <w:rStyle w:val="IndexLink"/>
                <w:rtl w:val="true"/>
              </w:rPr>
              <w:t>كيفيت حدّ سارق</w:t>
            </w:r>
            <w:r>
              <w:rPr>
                <w:rStyle w:val="IndexLink"/>
                <w:rtl w:val="true"/>
              </w:rPr>
              <w:tab/>
            </w:r>
            <w:r>
              <w:rPr>
                <w:rStyle w:val="IndexLink"/>
              </w:rPr>
              <w:t>357</w:t>
            </w:r>
          </w:hyperlink>
        </w:p>
        <w:p>
          <w:pPr>
            <w:pStyle w:val="Contents5"/>
            <w:tabs>
              <w:tab w:val="clear" w:pos="7892"/>
              <w:tab w:val="right" w:pos="9026" w:leader="dot"/>
            </w:tabs>
            <w:rPr/>
          </w:pPr>
          <w:hyperlink w:anchor="__RefHeading___Toc3972591_1067777946">
            <w:r>
              <w:rPr>
                <w:webHidden/>
                <w:rStyle w:val="IndexLink"/>
                <w:rtl w:val="true"/>
              </w:rPr>
              <w:t>مقدار قطع انگشتان</w:t>
            </w:r>
            <w:r>
              <w:rPr>
                <w:rStyle w:val="IndexLink"/>
                <w:rtl w:val="true"/>
              </w:rPr>
              <w:tab/>
            </w:r>
            <w:r>
              <w:rPr>
                <w:rStyle w:val="IndexLink"/>
              </w:rPr>
              <w:t>357</w:t>
            </w:r>
          </w:hyperlink>
        </w:p>
        <w:p>
          <w:pPr>
            <w:pStyle w:val="Contents5"/>
            <w:tabs>
              <w:tab w:val="clear" w:pos="7892"/>
              <w:tab w:val="right" w:pos="9026" w:leader="dot"/>
            </w:tabs>
            <w:rPr/>
          </w:pPr>
          <w:hyperlink w:anchor="__RefHeading___Toc3972593_1067777946">
            <w:r>
              <w:rPr>
                <w:webHidden/>
                <w:rStyle w:val="IndexLink"/>
                <w:rtl w:val="true"/>
              </w:rPr>
              <w:t>سرقت بعد از قطع دست راست</w:t>
            </w:r>
            <w:r>
              <w:rPr>
                <w:rStyle w:val="IndexLink"/>
                <w:rtl w:val="true"/>
              </w:rPr>
              <w:tab/>
            </w:r>
            <w:r>
              <w:rPr>
                <w:rStyle w:val="IndexLink"/>
              </w:rPr>
              <w:t>358</w:t>
            </w:r>
          </w:hyperlink>
        </w:p>
        <w:p>
          <w:pPr>
            <w:pStyle w:val="Contents5"/>
            <w:tabs>
              <w:tab w:val="clear" w:pos="7892"/>
              <w:tab w:val="right" w:pos="9026" w:leader="dot"/>
            </w:tabs>
            <w:rPr/>
          </w:pPr>
          <w:hyperlink w:anchor="__RefHeading___Toc3972595_1067777946">
            <w:r>
              <w:rPr>
                <w:webHidden/>
                <w:rStyle w:val="IndexLink"/>
                <w:rtl w:val="true"/>
              </w:rPr>
              <w:t>سرقتهاى بعدى</w:t>
            </w:r>
            <w:r>
              <w:rPr>
                <w:rStyle w:val="IndexLink"/>
                <w:rtl w:val="true"/>
              </w:rPr>
              <w:tab/>
            </w:r>
            <w:r>
              <w:rPr>
                <w:rStyle w:val="IndexLink"/>
              </w:rPr>
              <w:t>358</w:t>
            </w:r>
          </w:hyperlink>
        </w:p>
        <w:p>
          <w:pPr>
            <w:pStyle w:val="Contents5"/>
            <w:tabs>
              <w:tab w:val="clear" w:pos="7892"/>
              <w:tab w:val="right" w:pos="9026" w:leader="dot"/>
            </w:tabs>
            <w:rPr/>
          </w:pPr>
          <w:hyperlink w:anchor="__RefHeading___Toc3972597_1067777946">
            <w:r>
              <w:rPr>
                <w:webHidden/>
                <w:rStyle w:val="IndexLink"/>
                <w:rtl w:val="true"/>
              </w:rPr>
              <w:t>حكم سرقتهاى متعدّد</w:t>
            </w:r>
            <w:r>
              <w:rPr>
                <w:rStyle w:val="IndexLink"/>
                <w:rtl w:val="true"/>
              </w:rPr>
              <w:tab/>
            </w:r>
            <w:r>
              <w:rPr>
                <w:rStyle w:val="IndexLink"/>
              </w:rPr>
              <w:t>358</w:t>
            </w:r>
          </w:hyperlink>
        </w:p>
        <w:p>
          <w:pPr>
            <w:pStyle w:val="Contents5"/>
            <w:tabs>
              <w:tab w:val="clear" w:pos="7892"/>
              <w:tab w:val="right" w:pos="9026" w:leader="dot"/>
            </w:tabs>
            <w:rPr/>
          </w:pPr>
          <w:hyperlink w:anchor="__RefHeading___Toc3972599_1067777946">
            <w:r>
              <w:rPr>
                <w:webHidden/>
                <w:rStyle w:val="IndexLink"/>
                <w:rtl w:val="true"/>
              </w:rPr>
              <w:t>حكم دست معيوب</w:t>
            </w:r>
            <w:r>
              <w:rPr>
                <w:rStyle w:val="IndexLink"/>
                <w:rtl w:val="true"/>
              </w:rPr>
              <w:tab/>
            </w:r>
            <w:r>
              <w:rPr>
                <w:rStyle w:val="IndexLink"/>
              </w:rPr>
              <w:t>358</w:t>
            </w:r>
          </w:hyperlink>
        </w:p>
        <w:p>
          <w:pPr>
            <w:pStyle w:val="Contents5"/>
            <w:tabs>
              <w:tab w:val="clear" w:pos="7892"/>
              <w:tab w:val="right" w:pos="9026" w:leader="dot"/>
            </w:tabs>
            <w:rPr/>
          </w:pPr>
          <w:hyperlink w:anchor="__RefHeading___Toc3972601_1067777946">
            <w:r>
              <w:rPr>
                <w:webHidden/>
                <w:rStyle w:val="IndexLink"/>
                <w:rtl w:val="true"/>
              </w:rPr>
              <w:t>اگر دست چپ نداشته باشد يا مقطوع باشد</w:t>
            </w:r>
            <w:r>
              <w:rPr>
                <w:rStyle w:val="IndexLink"/>
                <w:rtl w:val="true"/>
              </w:rPr>
              <w:tab/>
            </w:r>
            <w:r>
              <w:rPr>
                <w:rStyle w:val="IndexLink"/>
              </w:rPr>
              <w:t>358</w:t>
            </w:r>
          </w:hyperlink>
        </w:p>
        <w:p>
          <w:pPr>
            <w:pStyle w:val="Contents5"/>
            <w:tabs>
              <w:tab w:val="clear" w:pos="7892"/>
              <w:tab w:val="right" w:pos="9026" w:leader="dot"/>
            </w:tabs>
            <w:rPr/>
          </w:pPr>
          <w:hyperlink w:anchor="__RefHeading___Toc3972603_1067777946">
            <w:r>
              <w:rPr>
                <w:webHidden/>
                <w:rStyle w:val="IndexLink"/>
                <w:rtl w:val="true"/>
              </w:rPr>
              <w:t>اگر دست نداشته باشد</w:t>
            </w:r>
            <w:r>
              <w:rPr>
                <w:rStyle w:val="IndexLink"/>
                <w:rtl w:val="true"/>
              </w:rPr>
              <w:tab/>
            </w:r>
            <w:r>
              <w:rPr>
                <w:rStyle w:val="IndexLink"/>
              </w:rPr>
              <w:t>359</w:t>
            </w:r>
          </w:hyperlink>
        </w:p>
        <w:p>
          <w:pPr>
            <w:pStyle w:val="Contents5"/>
            <w:tabs>
              <w:tab w:val="clear" w:pos="7892"/>
              <w:tab w:val="right" w:pos="9026" w:leader="dot"/>
            </w:tabs>
            <w:rPr/>
          </w:pPr>
          <w:hyperlink w:anchor="__RefHeading___Toc3972605_1067777946">
            <w:r>
              <w:rPr>
                <w:webHidden/>
                <w:rStyle w:val="IndexLink"/>
                <w:rtl w:val="true"/>
              </w:rPr>
              <w:t xml:space="preserve">نحوۀ سقوط حدّ سرقت </w:t>
            </w:r>
            <w:r>
              <w:rPr>
                <w:rStyle w:val="IndexLink"/>
                <w:rtl w:val="true"/>
              </w:rPr>
              <w:t>(</w:t>
            </w:r>
            <w:r>
              <w:rPr>
                <w:rStyle w:val="IndexLink"/>
                <w:rtl w:val="true"/>
              </w:rPr>
              <w:t>توبه</w:t>
            </w:r>
            <w:r>
              <w:rPr>
                <w:rStyle w:val="IndexLink"/>
                <w:rtl w:val="true"/>
              </w:rPr>
              <w:t>)</w:t>
              <w:tab/>
            </w:r>
            <w:r>
              <w:rPr>
                <w:rStyle w:val="IndexLink"/>
              </w:rPr>
              <w:t>359</w:t>
            </w:r>
          </w:hyperlink>
        </w:p>
        <w:p>
          <w:pPr>
            <w:pStyle w:val="Contents5"/>
            <w:tabs>
              <w:tab w:val="clear" w:pos="7892"/>
              <w:tab w:val="right" w:pos="9026" w:leader="dot"/>
            </w:tabs>
            <w:rPr/>
          </w:pPr>
          <w:hyperlink w:anchor="__RefHeading___Toc3972607_1067777946">
            <w:r>
              <w:rPr>
                <w:webHidden/>
                <w:rStyle w:val="IndexLink"/>
                <w:rtl w:val="true"/>
              </w:rPr>
              <w:t>اشتباه قطع كننده</w:t>
            </w:r>
            <w:r>
              <w:rPr>
                <w:rStyle w:val="IndexLink"/>
                <w:rtl w:val="true"/>
              </w:rPr>
              <w:tab/>
            </w:r>
            <w:r>
              <w:rPr>
                <w:rStyle w:val="IndexLink"/>
              </w:rPr>
              <w:t>359</w:t>
            </w:r>
          </w:hyperlink>
        </w:p>
        <w:p>
          <w:pPr>
            <w:pStyle w:val="Contents5"/>
            <w:tabs>
              <w:tab w:val="clear" w:pos="7892"/>
              <w:tab w:val="right" w:pos="9026" w:leader="dot"/>
            </w:tabs>
            <w:rPr/>
          </w:pPr>
          <w:hyperlink w:anchor="__RefHeading___Toc3972609_1067777946">
            <w:r>
              <w:rPr>
                <w:webHidden/>
                <w:rStyle w:val="IndexLink"/>
                <w:rtl w:val="true"/>
              </w:rPr>
              <w:t>استحباب درمان بعد از قطع</w:t>
            </w:r>
            <w:r>
              <w:rPr>
                <w:rStyle w:val="IndexLink"/>
                <w:rtl w:val="true"/>
              </w:rPr>
              <w:tab/>
            </w:r>
            <w:r>
              <w:rPr>
                <w:rStyle w:val="IndexLink"/>
              </w:rPr>
              <w:t>360</w:t>
            </w:r>
          </w:hyperlink>
        </w:p>
        <w:p>
          <w:pPr>
            <w:pStyle w:val="Contents5"/>
            <w:tabs>
              <w:tab w:val="clear" w:pos="7892"/>
              <w:tab w:val="right" w:pos="9026" w:leader="dot"/>
            </w:tabs>
            <w:rPr/>
          </w:pPr>
          <w:hyperlink w:anchor="__RefHeading___Toc3972611_1067777946">
            <w:r>
              <w:rPr>
                <w:webHidden/>
                <w:rStyle w:val="IndexLink"/>
                <w:rtl w:val="true"/>
              </w:rPr>
              <w:t>چند مسأله</w:t>
            </w:r>
            <w:r>
              <w:rPr>
                <w:rStyle w:val="IndexLink"/>
                <w:rtl w:val="true"/>
              </w:rPr>
              <w:tab/>
            </w:r>
            <w:r>
              <w:rPr>
                <w:rStyle w:val="IndexLink"/>
              </w:rPr>
              <w:t>360</w:t>
            </w:r>
          </w:hyperlink>
        </w:p>
        <w:p>
          <w:pPr>
            <w:pStyle w:val="Contents6"/>
            <w:tabs>
              <w:tab w:val="clear" w:pos="7609"/>
              <w:tab w:val="right" w:pos="9026" w:leader="dot"/>
            </w:tabs>
            <w:rPr/>
          </w:pPr>
          <w:hyperlink w:anchor="__RefHeading___Toc3972613_1067777946">
            <w:r>
              <w:rPr>
                <w:webHidden/>
                <w:rStyle w:val="IndexLink"/>
                <w:rtl w:val="true"/>
              </w:rPr>
              <w:t>وجوب ردّ مسروقه و ضمان</w:t>
            </w:r>
            <w:r>
              <w:rPr>
                <w:rStyle w:val="IndexLink"/>
                <w:rtl w:val="true"/>
              </w:rPr>
              <w:tab/>
            </w:r>
            <w:r>
              <w:rPr>
                <w:rStyle w:val="IndexLink"/>
              </w:rPr>
              <w:t>360</w:t>
            </w:r>
          </w:hyperlink>
        </w:p>
        <w:p>
          <w:pPr>
            <w:pStyle w:val="Contents6"/>
            <w:tabs>
              <w:tab w:val="clear" w:pos="7609"/>
              <w:tab w:val="right" w:pos="9026" w:leader="dot"/>
            </w:tabs>
            <w:rPr/>
          </w:pPr>
          <w:hyperlink w:anchor="__RefHeading___Toc3972615_1067777946">
            <w:r>
              <w:rPr>
                <w:webHidden/>
                <w:rStyle w:val="IndexLink"/>
                <w:rtl w:val="true"/>
              </w:rPr>
              <w:t>سرقت يك نصاب توسط چند نفر</w:t>
            </w:r>
            <w:r>
              <w:rPr>
                <w:rStyle w:val="IndexLink"/>
                <w:rtl w:val="true"/>
              </w:rPr>
              <w:tab/>
            </w:r>
            <w:r>
              <w:rPr>
                <w:rStyle w:val="IndexLink"/>
              </w:rPr>
              <w:t>360</w:t>
            </w:r>
          </w:hyperlink>
        </w:p>
        <w:p>
          <w:pPr>
            <w:pStyle w:val="Contents6"/>
            <w:tabs>
              <w:tab w:val="clear" w:pos="7609"/>
              <w:tab w:val="right" w:pos="9026" w:leader="dot"/>
            </w:tabs>
            <w:rPr/>
          </w:pPr>
          <w:hyperlink w:anchor="__RefHeading___Toc3972617_1067777946">
            <w:r>
              <w:rPr>
                <w:webHidden/>
                <w:rStyle w:val="IndexLink"/>
                <w:rtl w:val="true"/>
              </w:rPr>
              <w:t>تعاقب دو سرقت</w:t>
            </w:r>
            <w:r>
              <w:rPr>
                <w:rStyle w:val="IndexLink"/>
                <w:rtl w:val="true"/>
              </w:rPr>
              <w:tab/>
            </w:r>
            <w:r>
              <w:rPr>
                <w:rStyle w:val="IndexLink"/>
              </w:rPr>
              <w:t>361</w:t>
            </w:r>
          </w:hyperlink>
        </w:p>
        <w:p>
          <w:pPr>
            <w:pStyle w:val="Contents6"/>
            <w:tabs>
              <w:tab w:val="clear" w:pos="7609"/>
              <w:tab w:val="right" w:pos="9026" w:leader="dot"/>
            </w:tabs>
            <w:rPr/>
          </w:pPr>
          <w:hyperlink w:anchor="__RefHeading___Toc3972619_1067777946">
            <w:r>
              <w:rPr>
                <w:webHidden/>
                <w:rStyle w:val="IndexLink"/>
                <w:rtl w:val="true"/>
              </w:rPr>
              <w:t>اناطۀ قطع يد به مطالبۀ مال باخته</w:t>
            </w:r>
            <w:r>
              <w:rPr>
                <w:rStyle w:val="IndexLink"/>
                <w:rtl w:val="true"/>
              </w:rPr>
              <w:tab/>
            </w:r>
            <w:r>
              <w:rPr>
                <w:rStyle w:val="IndexLink"/>
              </w:rPr>
              <w:t>361</w:t>
            </w:r>
          </w:hyperlink>
        </w:p>
        <w:p>
          <w:pPr>
            <w:pStyle w:val="Contents6"/>
            <w:tabs>
              <w:tab w:val="clear" w:pos="7609"/>
              <w:tab w:val="right" w:pos="9026" w:leader="dot"/>
            </w:tabs>
            <w:rPr/>
          </w:pPr>
          <w:hyperlink w:anchor="__RefHeading___Toc3972621_1067777946">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3972623_1067777946">
            <w:r>
              <w:rPr>
                <w:webHidden/>
                <w:rStyle w:val="IndexLink"/>
                <w:rtl w:val="true"/>
              </w:rPr>
              <w:t>عفو مال باخته و سقوط حد</w:t>
            </w:r>
            <w:r>
              <w:rPr>
                <w:rStyle w:val="IndexLink"/>
                <w:rtl w:val="true"/>
              </w:rPr>
              <w:tab/>
            </w:r>
            <w:r>
              <w:rPr>
                <w:rStyle w:val="IndexLink"/>
              </w:rPr>
              <w:t>361</w:t>
            </w:r>
          </w:hyperlink>
        </w:p>
        <w:p>
          <w:pPr>
            <w:pStyle w:val="Contents6"/>
            <w:tabs>
              <w:tab w:val="clear" w:pos="7609"/>
              <w:tab w:val="right" w:pos="9026" w:leader="dot"/>
            </w:tabs>
            <w:rPr/>
          </w:pPr>
          <w:hyperlink w:anchor="__RefHeading___Toc3972625_1067777946">
            <w:r>
              <w:rPr>
                <w:webHidden/>
                <w:rStyle w:val="IndexLink"/>
                <w:rtl w:val="true"/>
              </w:rPr>
              <w:t>ارجاع مال بعد از سرقت</w:t>
            </w:r>
            <w:r>
              <w:rPr>
                <w:rStyle w:val="IndexLink"/>
                <w:rtl w:val="true"/>
              </w:rPr>
              <w:tab/>
            </w:r>
            <w:r>
              <w:rPr>
                <w:rStyle w:val="IndexLink"/>
              </w:rPr>
              <w:t>362</w:t>
            </w:r>
          </w:hyperlink>
        </w:p>
        <w:p>
          <w:pPr>
            <w:pStyle w:val="Contents6"/>
            <w:tabs>
              <w:tab w:val="clear" w:pos="7609"/>
              <w:tab w:val="right" w:pos="9026" w:leader="dot"/>
            </w:tabs>
            <w:rPr/>
          </w:pPr>
          <w:hyperlink w:anchor="__RefHeading___Toc3972627_1067777946">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3972629_1067777946">
            <w:r>
              <w:rPr>
                <w:webHidden/>
                <w:rStyle w:val="IndexLink"/>
                <w:rtl w:val="true"/>
              </w:rPr>
              <w:t>مشاركت جمعى در سرقت</w:t>
            </w:r>
            <w:r>
              <w:rPr>
                <w:rStyle w:val="IndexLink"/>
                <w:rtl w:val="true"/>
              </w:rPr>
              <w:tab/>
            </w:r>
            <w:r>
              <w:rPr>
                <w:rStyle w:val="IndexLink"/>
              </w:rPr>
              <w:t>362</w:t>
            </w:r>
          </w:hyperlink>
        </w:p>
        <w:p>
          <w:pPr>
            <w:pStyle w:val="Contents6"/>
            <w:tabs>
              <w:tab w:val="clear" w:pos="7609"/>
              <w:tab w:val="right" w:pos="9026" w:leader="dot"/>
            </w:tabs>
            <w:rPr/>
          </w:pPr>
          <w:hyperlink w:anchor="__RefHeading___Toc3972631_1067777946">
            <w:r>
              <w:rPr>
                <w:webHidden/>
                <w:rStyle w:val="IndexLink"/>
                <w:rtl w:val="true"/>
              </w:rPr>
              <w:t>تحقق نصاب به وسيله چند سرقت</w:t>
            </w:r>
            <w:r>
              <w:rPr>
                <w:rStyle w:val="IndexLink"/>
                <w:rtl w:val="true"/>
              </w:rPr>
              <w:tab/>
            </w:r>
            <w:r>
              <w:rPr>
                <w:rStyle w:val="IndexLink"/>
              </w:rPr>
              <w:t>362</w:t>
            </w:r>
          </w:hyperlink>
        </w:p>
        <w:p>
          <w:pPr>
            <w:pStyle w:val="Contents6"/>
            <w:tabs>
              <w:tab w:val="clear" w:pos="7609"/>
              <w:tab w:val="right" w:pos="9026" w:leader="dot"/>
            </w:tabs>
            <w:rPr/>
          </w:pPr>
          <w:hyperlink w:anchor="__RefHeading___Toc3972633_1067777946">
            <w:r>
              <w:rPr>
                <w:webHidden/>
                <w:rStyle w:val="IndexLink"/>
                <w:rtl w:val="true"/>
              </w:rPr>
              <w:t>دستگيرى قبل از اخراج از حرز</w:t>
            </w:r>
            <w:r>
              <w:rPr>
                <w:rStyle w:val="IndexLink"/>
                <w:rtl w:val="true"/>
              </w:rPr>
              <w:tab/>
            </w:r>
            <w:r>
              <w:rPr>
                <w:rStyle w:val="IndexLink"/>
              </w:rPr>
              <w:t>363</w:t>
            </w:r>
          </w:hyperlink>
        </w:p>
        <w:p>
          <w:pPr>
            <w:pStyle w:val="Contents6"/>
            <w:tabs>
              <w:tab w:val="clear" w:pos="7609"/>
              <w:tab w:val="right" w:pos="9026" w:leader="dot"/>
            </w:tabs>
            <w:rPr/>
          </w:pPr>
          <w:hyperlink w:anchor="__RefHeading___Toc3972635_1067777946">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3972637_1067777946">
            <w:r>
              <w:rPr>
                <w:webHidden/>
                <w:rStyle w:val="IndexLink"/>
                <w:rtl w:val="true"/>
              </w:rPr>
              <w:t>حصول نقصان از نصاب</w:t>
            </w:r>
            <w:r>
              <w:rPr>
                <w:rStyle w:val="IndexLink"/>
                <w:rtl w:val="true"/>
              </w:rPr>
              <w:tab/>
            </w:r>
            <w:r>
              <w:rPr>
                <w:rStyle w:val="IndexLink"/>
              </w:rPr>
              <w:t>363</w:t>
            </w:r>
          </w:hyperlink>
        </w:p>
        <w:p>
          <w:pPr>
            <w:pStyle w:val="Contents6"/>
            <w:tabs>
              <w:tab w:val="clear" w:pos="7609"/>
              <w:tab w:val="right" w:pos="9026" w:leader="dot"/>
            </w:tabs>
            <w:rPr/>
          </w:pPr>
          <w:hyperlink w:anchor="__RefHeading___Toc3972639_1067777946">
            <w:r>
              <w:rPr>
                <w:webHidden/>
                <w:rStyle w:val="IndexLink"/>
                <w:rtl w:val="true"/>
              </w:rPr>
              <w:t>بلعيدن نصاب</w:t>
            </w:r>
            <w:r>
              <w:rPr>
                <w:rStyle w:val="IndexLink"/>
                <w:rtl w:val="true"/>
              </w:rPr>
              <w:tab/>
            </w:r>
            <w:r>
              <w:rPr>
                <w:rStyle w:val="IndexLink"/>
              </w:rPr>
              <w:t>363</w:t>
            </w:r>
          </w:hyperlink>
        </w:p>
        <w:p>
          <w:pPr>
            <w:pStyle w:val="Contents3"/>
            <w:tabs>
              <w:tab w:val="clear" w:pos="8459"/>
              <w:tab w:val="right" w:pos="9026" w:leader="dot"/>
            </w:tabs>
            <w:rPr/>
          </w:pPr>
          <w:hyperlink w:anchor="__RefHeading___Toc3972641_1067777946">
            <w:r>
              <w:rPr>
                <w:webHidden/>
                <w:rStyle w:val="IndexLink"/>
                <w:rtl w:val="true"/>
              </w:rPr>
              <w:t>فصل ششم حد محارب</w:t>
            </w:r>
            <w:r>
              <w:rPr>
                <w:rStyle w:val="IndexLink"/>
                <w:rtl w:val="true"/>
              </w:rPr>
              <w:tab/>
            </w:r>
            <w:r>
              <w:rPr>
                <w:rStyle w:val="IndexLink"/>
              </w:rPr>
              <w:t>364</w:t>
            </w:r>
          </w:hyperlink>
        </w:p>
        <w:p>
          <w:pPr>
            <w:pStyle w:val="Contents4"/>
            <w:tabs>
              <w:tab w:val="clear" w:pos="8176"/>
              <w:tab w:val="right" w:pos="9026" w:leader="dot"/>
            </w:tabs>
            <w:rPr/>
          </w:pPr>
          <w:hyperlink w:anchor="__RefHeading___Toc3972643_1067777946">
            <w:r>
              <w:rPr>
                <w:webHidden/>
                <w:rStyle w:val="IndexLink"/>
              </w:rPr>
              <w:t>1</w:t>
            </w:r>
            <w:r>
              <w:rPr>
                <w:rStyle w:val="IndexLink"/>
                <w:rtl w:val="true"/>
              </w:rPr>
              <w:t xml:space="preserve">. </w:t>
            </w:r>
            <w:r>
              <w:rPr>
                <w:rStyle w:val="IndexLink"/>
                <w:rtl w:val="true"/>
              </w:rPr>
              <w:t>مراد از محارب</w:t>
            </w:r>
            <w:r>
              <w:rPr>
                <w:rStyle w:val="IndexLink"/>
                <w:rtl w:val="true"/>
              </w:rPr>
              <w:tab/>
            </w:r>
            <w:r>
              <w:rPr>
                <w:rStyle w:val="IndexLink"/>
              </w:rPr>
              <w:t>364</w:t>
            </w:r>
          </w:hyperlink>
        </w:p>
        <w:p>
          <w:pPr>
            <w:pStyle w:val="Contents4"/>
            <w:tabs>
              <w:tab w:val="clear" w:pos="8176"/>
              <w:tab w:val="right" w:pos="9026" w:leader="dot"/>
            </w:tabs>
            <w:rPr/>
          </w:pPr>
          <w:hyperlink w:anchor="__RefHeading___Toc3972645_1067777946">
            <w:r>
              <w:rPr>
                <w:webHidden/>
                <w:rStyle w:val="IndexLink"/>
              </w:rPr>
              <w:t>2</w:t>
            </w:r>
            <w:r>
              <w:rPr>
                <w:rStyle w:val="IndexLink"/>
                <w:rtl w:val="true"/>
              </w:rPr>
              <w:t xml:space="preserve">. </w:t>
            </w:r>
            <w:r>
              <w:rPr>
                <w:rStyle w:val="IndexLink"/>
                <w:rtl w:val="true"/>
              </w:rPr>
              <w:t>موجِب حدّ محاربه</w:t>
            </w:r>
            <w:r>
              <w:rPr>
                <w:rStyle w:val="IndexLink"/>
                <w:rtl w:val="true"/>
              </w:rPr>
              <w:tab/>
            </w:r>
            <w:r>
              <w:rPr>
                <w:rStyle w:val="IndexLink"/>
              </w:rPr>
              <w:t>364</w:t>
            </w:r>
          </w:hyperlink>
        </w:p>
        <w:p>
          <w:pPr>
            <w:pStyle w:val="Contents5"/>
            <w:tabs>
              <w:tab w:val="clear" w:pos="7892"/>
              <w:tab w:val="right" w:pos="9026" w:leader="dot"/>
            </w:tabs>
            <w:rPr/>
          </w:pPr>
          <w:hyperlink w:anchor="__RefHeading___Toc3972647_1067777946">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3972649_1067777946">
            <w:r>
              <w:rPr>
                <w:webHidden/>
                <w:rStyle w:val="IndexLink"/>
                <w:rtl w:val="true"/>
              </w:rPr>
              <w:t>غرض مجوّز اخافه</w:t>
            </w:r>
            <w:r>
              <w:rPr>
                <w:rStyle w:val="IndexLink"/>
                <w:rtl w:val="true"/>
              </w:rPr>
              <w:tab/>
            </w:r>
            <w:r>
              <w:rPr>
                <w:rStyle w:val="IndexLink"/>
              </w:rPr>
              <w:t>364</w:t>
            </w:r>
          </w:hyperlink>
        </w:p>
        <w:p>
          <w:pPr>
            <w:pStyle w:val="Contents5"/>
            <w:tabs>
              <w:tab w:val="clear" w:pos="7892"/>
              <w:tab w:val="right" w:pos="9026" w:leader="dot"/>
            </w:tabs>
            <w:rPr/>
          </w:pPr>
          <w:hyperlink w:anchor="__RefHeading___Toc3972651_1067777946">
            <w:r>
              <w:rPr>
                <w:webHidden/>
                <w:rStyle w:val="IndexLink"/>
                <w:rtl w:val="true"/>
              </w:rPr>
              <w:t>ضعف قاصد اخافه</w:t>
            </w:r>
            <w:r>
              <w:rPr>
                <w:rStyle w:val="IndexLink"/>
                <w:rtl w:val="true"/>
              </w:rPr>
              <w:tab/>
            </w:r>
            <w:r>
              <w:rPr>
                <w:rStyle w:val="IndexLink"/>
              </w:rPr>
              <w:t>365</w:t>
            </w:r>
          </w:hyperlink>
        </w:p>
        <w:p>
          <w:pPr>
            <w:pStyle w:val="Contents5"/>
            <w:tabs>
              <w:tab w:val="clear" w:pos="7892"/>
              <w:tab w:val="right" w:pos="9026" w:leader="dot"/>
            </w:tabs>
            <w:rPr/>
          </w:pPr>
          <w:hyperlink w:anchor="__RefHeading___Toc3972653_1067777946">
            <w:r>
              <w:rPr>
                <w:webHidden/>
                <w:rStyle w:val="IndexLink"/>
                <w:rtl w:val="true"/>
              </w:rPr>
              <w:t>اعتبار آشكار بودن اخافه و حمل سلاح</w:t>
            </w:r>
            <w:r>
              <w:rPr>
                <w:rStyle w:val="IndexLink"/>
                <w:rtl w:val="true"/>
              </w:rPr>
              <w:tab/>
            </w:r>
            <w:r>
              <w:rPr>
                <w:rStyle w:val="IndexLink"/>
              </w:rPr>
              <w:t>365</w:t>
            </w:r>
          </w:hyperlink>
        </w:p>
        <w:p>
          <w:pPr>
            <w:pStyle w:val="Contents4"/>
            <w:tabs>
              <w:tab w:val="clear" w:pos="8176"/>
              <w:tab w:val="right" w:pos="9026" w:leader="dot"/>
            </w:tabs>
            <w:rPr/>
          </w:pPr>
          <w:hyperlink w:anchor="__RefHeading___Toc3972655_1067777946">
            <w:r>
              <w:rPr>
                <w:webHidden/>
                <w:rStyle w:val="IndexLink"/>
              </w:rPr>
              <w:t>3</w:t>
            </w:r>
            <w:r>
              <w:rPr>
                <w:rStyle w:val="IndexLink"/>
                <w:rtl w:val="true"/>
              </w:rPr>
              <w:t xml:space="preserve">. </w:t>
            </w:r>
            <w:r>
              <w:rPr>
                <w:rStyle w:val="IndexLink"/>
                <w:rtl w:val="true"/>
              </w:rPr>
              <w:t>ثبوت محاربه</w:t>
            </w:r>
            <w:r>
              <w:rPr>
                <w:rStyle w:val="IndexLink"/>
                <w:rtl w:val="true"/>
              </w:rPr>
              <w:tab/>
            </w:r>
            <w:r>
              <w:rPr>
                <w:rStyle w:val="IndexLink"/>
              </w:rPr>
              <w:t>365</w:t>
            </w:r>
          </w:hyperlink>
        </w:p>
        <w:p>
          <w:pPr>
            <w:pStyle w:val="Contents5"/>
            <w:tabs>
              <w:tab w:val="clear" w:pos="7892"/>
              <w:tab w:val="right" w:pos="9026" w:leader="dot"/>
            </w:tabs>
            <w:rPr/>
          </w:pPr>
          <w:hyperlink w:anchor="__RefHeading___Toc3972657_1067777946">
            <w:r>
              <w:rPr>
                <w:webHidden/>
                <w:rStyle w:val="IndexLink"/>
                <w:rtl w:val="true"/>
              </w:rPr>
              <w:t>ثابت شدن محاربه به اقرار و شهادت</w:t>
            </w:r>
            <w:r>
              <w:rPr>
                <w:rStyle w:val="IndexLink"/>
                <w:rtl w:val="true"/>
              </w:rPr>
              <w:tab/>
            </w:r>
            <w:r>
              <w:rPr>
                <w:rStyle w:val="IndexLink"/>
              </w:rPr>
              <w:t>365</w:t>
            </w:r>
          </w:hyperlink>
        </w:p>
        <w:p>
          <w:pPr>
            <w:pStyle w:val="Contents4"/>
            <w:tabs>
              <w:tab w:val="clear" w:pos="8176"/>
              <w:tab w:val="right" w:pos="9026" w:leader="dot"/>
            </w:tabs>
            <w:rPr/>
          </w:pPr>
          <w:hyperlink w:anchor="__RefHeading___Toc3972659_1067777946">
            <w:r>
              <w:rPr>
                <w:webHidden/>
                <w:rStyle w:val="IndexLink"/>
              </w:rPr>
              <w:t>4</w:t>
            </w:r>
            <w:r>
              <w:rPr>
                <w:rStyle w:val="IndexLink"/>
                <w:rtl w:val="true"/>
              </w:rPr>
              <w:t xml:space="preserve">. </w:t>
            </w:r>
            <w:r>
              <w:rPr>
                <w:rStyle w:val="IndexLink"/>
                <w:rtl w:val="true"/>
              </w:rPr>
              <w:t>حدّ محاربه</w:t>
            </w:r>
            <w:r>
              <w:rPr>
                <w:rStyle w:val="IndexLink"/>
                <w:rtl w:val="true"/>
              </w:rPr>
              <w:tab/>
            </w:r>
            <w:r>
              <w:rPr>
                <w:rStyle w:val="IndexLink"/>
              </w:rPr>
              <w:t>366</w:t>
            </w:r>
          </w:hyperlink>
        </w:p>
        <w:p>
          <w:pPr>
            <w:pStyle w:val="Contents5"/>
            <w:tabs>
              <w:tab w:val="clear" w:pos="7892"/>
              <w:tab w:val="right" w:pos="9026" w:leader="dot"/>
            </w:tabs>
            <w:rPr/>
          </w:pPr>
          <w:hyperlink w:anchor="__RefHeading___Toc3972661_1067777946">
            <w:r>
              <w:rPr>
                <w:webHidden/>
                <w:rStyle w:val="IndexLink"/>
                <w:rtl w:val="true"/>
              </w:rPr>
              <w:t>چهار حدّ محارب</w:t>
            </w:r>
            <w:r>
              <w:rPr>
                <w:rStyle w:val="IndexLink"/>
                <w:rtl w:val="true"/>
              </w:rPr>
              <w:tab/>
            </w:r>
            <w:r>
              <w:rPr>
                <w:rStyle w:val="IndexLink"/>
              </w:rPr>
              <w:t>366</w:t>
            </w:r>
          </w:hyperlink>
        </w:p>
        <w:p>
          <w:pPr>
            <w:pStyle w:val="Contents5"/>
            <w:tabs>
              <w:tab w:val="clear" w:pos="7892"/>
              <w:tab w:val="right" w:pos="9026" w:leader="dot"/>
            </w:tabs>
            <w:rPr/>
          </w:pPr>
          <w:hyperlink w:anchor="__RefHeading___Toc3972663_1067777946">
            <w:r>
              <w:rPr>
                <w:webHidden/>
                <w:rStyle w:val="IndexLink"/>
                <w:rtl w:val="true"/>
              </w:rPr>
              <w:t>احكام ديگر محارب</w:t>
            </w:r>
            <w:r>
              <w:rPr>
                <w:rStyle w:val="IndexLink"/>
                <w:rtl w:val="true"/>
              </w:rPr>
              <w:tab/>
            </w:r>
            <w:r>
              <w:rPr>
                <w:rStyle w:val="IndexLink"/>
              </w:rPr>
              <w:t>366</w:t>
            </w:r>
          </w:hyperlink>
        </w:p>
        <w:p>
          <w:pPr>
            <w:pStyle w:val="Contents5"/>
            <w:tabs>
              <w:tab w:val="clear" w:pos="7892"/>
              <w:tab w:val="right" w:pos="9026" w:leader="dot"/>
            </w:tabs>
            <w:rPr/>
          </w:pPr>
          <w:hyperlink w:anchor="__RefHeading___Toc3972665_1067777946">
            <w:r>
              <w:rPr>
                <w:webHidden/>
                <w:rStyle w:val="IndexLink"/>
                <w:rtl w:val="true"/>
              </w:rPr>
              <w:t>چند مسأله</w:t>
            </w:r>
            <w:r>
              <w:rPr>
                <w:rStyle w:val="IndexLink"/>
                <w:rtl w:val="true"/>
              </w:rPr>
              <w:tab/>
            </w:r>
            <w:r>
              <w:rPr>
                <w:rStyle w:val="IndexLink"/>
              </w:rPr>
              <w:t>367</w:t>
            </w:r>
          </w:hyperlink>
        </w:p>
        <w:p>
          <w:pPr>
            <w:pStyle w:val="Contents6"/>
            <w:tabs>
              <w:tab w:val="clear" w:pos="7609"/>
              <w:tab w:val="right" w:pos="9026" w:leader="dot"/>
            </w:tabs>
            <w:rPr/>
          </w:pPr>
          <w:hyperlink w:anchor="__RefHeading___Toc3972667_1067777946">
            <w:r>
              <w:rPr>
                <w:webHidden/>
                <w:rStyle w:val="IndexLink"/>
                <w:rtl w:val="true"/>
              </w:rPr>
              <w:t>فروع ديگر در اجراى حدّ محارب</w:t>
            </w:r>
            <w:r>
              <w:rPr>
                <w:rStyle w:val="IndexLink"/>
                <w:rtl w:val="true"/>
              </w:rPr>
              <w:tab/>
            </w:r>
            <w:r>
              <w:rPr>
                <w:rStyle w:val="IndexLink"/>
              </w:rPr>
              <w:t>367</w:t>
            </w:r>
          </w:hyperlink>
        </w:p>
        <w:p>
          <w:pPr>
            <w:pStyle w:val="Contents6"/>
            <w:tabs>
              <w:tab w:val="clear" w:pos="7609"/>
              <w:tab w:val="right" w:pos="9026" w:leader="dot"/>
            </w:tabs>
            <w:rPr/>
          </w:pPr>
          <w:hyperlink w:anchor="__RefHeading___Toc3972669_1067777946">
            <w:r>
              <w:rPr>
                <w:webHidden/>
                <w:rStyle w:val="IndexLink"/>
                <w:rtl w:val="true"/>
              </w:rPr>
              <w:t>توبۀ محارب</w:t>
            </w:r>
            <w:r>
              <w:rPr>
                <w:rStyle w:val="IndexLink"/>
                <w:rtl w:val="true"/>
              </w:rPr>
              <w:tab/>
            </w:r>
            <w:r>
              <w:rPr>
                <w:rStyle w:val="IndexLink"/>
              </w:rPr>
              <w:t>367</w:t>
            </w:r>
          </w:hyperlink>
        </w:p>
        <w:p>
          <w:pPr>
            <w:pStyle w:val="Contents6"/>
            <w:tabs>
              <w:tab w:val="clear" w:pos="7609"/>
              <w:tab w:val="right" w:pos="9026" w:leader="dot"/>
            </w:tabs>
            <w:rPr/>
          </w:pPr>
          <w:hyperlink w:anchor="__RefHeading___Toc3972671_1067777946">
            <w:r>
              <w:rPr>
                <w:webHidden/>
                <w:rStyle w:val="IndexLink"/>
                <w:rtl w:val="true"/>
              </w:rPr>
              <w:t>اجتماع صفت دزد و محارب در فردى</w:t>
            </w:r>
            <w:r>
              <w:rPr>
                <w:rStyle w:val="IndexLink"/>
                <w:rtl w:val="true"/>
              </w:rPr>
              <w:tab/>
            </w:r>
            <w:r>
              <w:rPr>
                <w:rStyle w:val="IndexLink"/>
              </w:rPr>
              <w:t>367</w:t>
            </w:r>
          </w:hyperlink>
        </w:p>
        <w:p>
          <w:pPr>
            <w:pStyle w:val="Contents6"/>
            <w:tabs>
              <w:tab w:val="clear" w:pos="7609"/>
              <w:tab w:val="right" w:pos="9026" w:leader="dot"/>
            </w:tabs>
            <w:rPr/>
          </w:pPr>
          <w:hyperlink w:anchor="__RefHeading___Toc3972673_1067777946">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3972675_1067777946">
            <w:r>
              <w:rPr>
                <w:webHidden/>
                <w:rStyle w:val="IndexLink"/>
                <w:rtl w:val="true"/>
              </w:rPr>
              <w:t>حكم دفاع از خود و قتل دزد و محارب</w:t>
            </w:r>
            <w:r>
              <w:rPr>
                <w:rStyle w:val="IndexLink"/>
                <w:rtl w:val="true"/>
              </w:rPr>
              <w:tab/>
            </w:r>
            <w:r>
              <w:rPr>
                <w:rStyle w:val="IndexLink"/>
              </w:rPr>
              <w:t>367</w:t>
            </w:r>
          </w:hyperlink>
        </w:p>
        <w:p>
          <w:pPr>
            <w:pStyle w:val="Contents6"/>
            <w:tabs>
              <w:tab w:val="clear" w:pos="7609"/>
              <w:tab w:val="right" w:pos="9026" w:leader="dot"/>
            </w:tabs>
            <w:rPr/>
          </w:pPr>
          <w:hyperlink w:anchor="__RefHeading___Toc3972677_1067777946">
            <w:r>
              <w:rPr>
                <w:webHidden/>
                <w:rStyle w:val="IndexLink"/>
                <w:rtl w:val="true"/>
              </w:rPr>
              <w:t>وجوب دفاع در صورتى كه دزد قاصد حرام بر شخصى باشد</w:t>
            </w:r>
            <w:r>
              <w:rPr>
                <w:rStyle w:val="IndexLink"/>
                <w:rtl w:val="true"/>
              </w:rPr>
              <w:tab/>
            </w:r>
            <w:r>
              <w:rPr>
                <w:rStyle w:val="IndexLink"/>
              </w:rPr>
              <w:t>368</w:t>
            </w:r>
          </w:hyperlink>
        </w:p>
        <w:p>
          <w:pPr>
            <w:pStyle w:val="Contents6"/>
            <w:tabs>
              <w:tab w:val="clear" w:pos="7609"/>
              <w:tab w:val="right" w:pos="9026" w:leader="dot"/>
            </w:tabs>
            <w:rPr/>
          </w:pPr>
          <w:hyperlink w:anchor="__RefHeading___Toc3972679_1067777946">
            <w:r>
              <w:rPr>
                <w:webHidden/>
                <w:rStyle w:val="IndexLink"/>
                <w:rtl w:val="true"/>
              </w:rPr>
              <w:t>فرض خوف از تلف شدن دفاع كننده</w:t>
            </w:r>
            <w:r>
              <w:rPr>
                <w:rStyle w:val="IndexLink"/>
                <w:rtl w:val="true"/>
              </w:rPr>
              <w:tab/>
            </w:r>
            <w:r>
              <w:rPr>
                <w:rStyle w:val="IndexLink"/>
              </w:rPr>
              <w:t>368</w:t>
            </w:r>
          </w:hyperlink>
        </w:p>
        <w:p>
          <w:pPr>
            <w:pStyle w:val="Contents6"/>
            <w:tabs>
              <w:tab w:val="clear" w:pos="7609"/>
              <w:tab w:val="right" w:pos="9026" w:leader="dot"/>
            </w:tabs>
            <w:rPr/>
          </w:pPr>
          <w:hyperlink w:anchor="__RefHeading___Toc3972681_1067777946">
            <w:r>
              <w:rPr>
                <w:webHidden/>
                <w:rStyle w:val="IndexLink"/>
                <w:rtl w:val="true"/>
              </w:rPr>
              <w:t>ترتّب اجر شهيد بر دفاع كننده</w:t>
            </w:r>
            <w:r>
              <w:rPr>
                <w:rStyle w:val="IndexLink"/>
                <w:rtl w:val="true"/>
              </w:rPr>
              <w:tab/>
            </w:r>
            <w:r>
              <w:rPr>
                <w:rStyle w:val="IndexLink"/>
              </w:rPr>
              <w:t>368</w:t>
            </w:r>
          </w:hyperlink>
        </w:p>
        <w:p>
          <w:pPr>
            <w:pStyle w:val="Contents6"/>
            <w:tabs>
              <w:tab w:val="clear" w:pos="7609"/>
              <w:tab w:val="right" w:pos="9026" w:leader="dot"/>
            </w:tabs>
            <w:rPr/>
          </w:pPr>
          <w:hyperlink w:anchor="__RefHeading___Toc3972683_1067777946">
            <w:r>
              <w:rPr>
                <w:webHidden/>
                <w:rStyle w:val="IndexLink"/>
                <w:rtl w:val="true"/>
              </w:rPr>
              <w:t>ضربه زدن به دزد در حال فرار وى</w:t>
            </w:r>
            <w:r>
              <w:rPr>
                <w:rStyle w:val="IndexLink"/>
                <w:rtl w:val="true"/>
              </w:rPr>
              <w:tab/>
            </w:r>
            <w:r>
              <w:rPr>
                <w:rStyle w:val="IndexLink"/>
              </w:rPr>
              <w:t>369</w:t>
            </w:r>
          </w:hyperlink>
        </w:p>
        <w:p>
          <w:pPr>
            <w:pStyle w:val="Contents6"/>
            <w:tabs>
              <w:tab w:val="clear" w:pos="7609"/>
              <w:tab w:val="right" w:pos="9026" w:leader="dot"/>
            </w:tabs>
            <w:rPr/>
          </w:pPr>
          <w:hyperlink w:anchor="__RefHeading___Toc3972685_1067777946">
            <w:r>
              <w:rPr>
                <w:webHidden/>
                <w:rStyle w:val="IndexLink"/>
                <w:rtl w:val="true"/>
              </w:rPr>
              <w:t>عدم جواز دفاع در مال غير واجب الحفظ</w:t>
            </w:r>
            <w:r>
              <w:rPr>
                <w:rStyle w:val="IndexLink"/>
                <w:rtl w:val="true"/>
              </w:rPr>
              <w:tab/>
            </w:r>
            <w:r>
              <w:rPr>
                <w:rStyle w:val="IndexLink"/>
              </w:rPr>
              <w:t>369</w:t>
            </w:r>
          </w:hyperlink>
        </w:p>
        <w:p>
          <w:pPr>
            <w:pStyle w:val="Contents6"/>
            <w:tabs>
              <w:tab w:val="clear" w:pos="7609"/>
              <w:tab w:val="right" w:pos="9026" w:leader="dot"/>
            </w:tabs>
            <w:rPr/>
          </w:pPr>
          <w:hyperlink w:anchor="__RefHeading___Toc3972687_1067777946">
            <w:r>
              <w:rPr>
                <w:webHidden/>
                <w:rStyle w:val="IndexLink"/>
                <w:rtl w:val="true"/>
              </w:rPr>
              <w:t>مستلب، مختلس، محتال، مبنّج</w:t>
            </w:r>
            <w:r>
              <w:rPr>
                <w:rStyle w:val="IndexLink"/>
                <w:rtl w:val="true"/>
              </w:rPr>
              <w:tab/>
            </w:r>
            <w:r>
              <w:rPr>
                <w:rStyle w:val="IndexLink"/>
              </w:rPr>
              <w:t>369</w:t>
            </w:r>
          </w:hyperlink>
        </w:p>
        <w:p>
          <w:pPr>
            <w:pStyle w:val="Contents6"/>
            <w:tabs>
              <w:tab w:val="clear" w:pos="7609"/>
              <w:tab w:val="right" w:pos="9026" w:leader="dot"/>
            </w:tabs>
            <w:rPr/>
          </w:pPr>
          <w:hyperlink w:anchor="__RefHeading___Toc3972689_1067777946">
            <w:r>
              <w:rPr>
                <w:webHidden/>
                <w:rStyle w:val="IndexLink"/>
                <w:rtl w:val="true"/>
              </w:rPr>
              <w:t>مصلوب نمودن محارب</w:t>
            </w:r>
            <w:r>
              <w:rPr>
                <w:rStyle w:val="IndexLink"/>
                <w:rtl w:val="true"/>
              </w:rPr>
              <w:tab/>
            </w:r>
            <w:r>
              <w:rPr>
                <w:rStyle w:val="IndexLink"/>
              </w:rPr>
              <w:t>369</w:t>
            </w:r>
          </w:hyperlink>
        </w:p>
        <w:p>
          <w:pPr>
            <w:pStyle w:val="Contents6"/>
            <w:tabs>
              <w:tab w:val="clear" w:pos="7609"/>
              <w:tab w:val="right" w:pos="9026" w:leader="dot"/>
            </w:tabs>
            <w:rPr/>
          </w:pPr>
          <w:hyperlink w:anchor="__RefHeading___Toc3972691_1067777946">
            <w:r>
              <w:rPr>
                <w:webHidden/>
                <w:rStyle w:val="IndexLink"/>
                <w:rtl w:val="true"/>
              </w:rPr>
              <w:t>مقدم نمودن غسل و</w:t>
            </w:r>
            <w:r>
              <w:rPr>
                <w:rStyle w:val="IndexLink"/>
                <w:rtl w:val="true"/>
              </w:rPr>
              <w:t>...</w:t>
              <w:tab/>
            </w:r>
            <w:r>
              <w:rPr>
                <w:rStyle w:val="IndexLink"/>
              </w:rPr>
              <w:t>369</w:t>
            </w:r>
          </w:hyperlink>
        </w:p>
        <w:p>
          <w:pPr>
            <w:pStyle w:val="Contents6"/>
            <w:tabs>
              <w:tab w:val="clear" w:pos="7609"/>
              <w:tab w:val="right" w:pos="9026" w:leader="dot"/>
            </w:tabs>
            <w:rPr/>
          </w:pPr>
          <w:hyperlink w:anchor="__RefHeading___Toc3972693_1067777946">
            <w:r>
              <w:rPr>
                <w:webHidden/>
                <w:rStyle w:val="IndexLink"/>
                <w:rtl w:val="true"/>
              </w:rPr>
              <w:t>حكم تبعيد محارب</w:t>
            </w:r>
            <w:r>
              <w:rPr>
                <w:rStyle w:val="IndexLink"/>
                <w:rtl w:val="true"/>
              </w:rPr>
              <w:tab/>
            </w:r>
            <w:r>
              <w:rPr>
                <w:rStyle w:val="IndexLink"/>
              </w:rPr>
              <w:t>370</w:t>
            </w:r>
          </w:hyperlink>
        </w:p>
        <w:p>
          <w:pPr>
            <w:pStyle w:val="Contents6"/>
            <w:tabs>
              <w:tab w:val="clear" w:pos="7609"/>
              <w:tab w:val="right" w:pos="9026" w:leader="dot"/>
            </w:tabs>
            <w:rPr/>
          </w:pPr>
          <w:hyperlink w:anchor="__RefHeading___Toc3972695_1067777946">
            <w:r>
              <w:rPr>
                <w:webHidden/>
                <w:rStyle w:val="IndexLink"/>
                <w:rtl w:val="true"/>
              </w:rPr>
              <w:t>عدم اعتبار نصاب در قطع محارب</w:t>
            </w:r>
            <w:r>
              <w:rPr>
                <w:rStyle w:val="IndexLink"/>
                <w:rtl w:val="true"/>
              </w:rPr>
              <w:tab/>
            </w:r>
            <w:r>
              <w:rPr>
                <w:rStyle w:val="IndexLink"/>
              </w:rPr>
              <w:t>370</w:t>
            </w:r>
          </w:hyperlink>
        </w:p>
        <w:p>
          <w:pPr>
            <w:pStyle w:val="Contents4"/>
            <w:tabs>
              <w:tab w:val="clear" w:pos="8176"/>
              <w:tab w:val="right" w:pos="9026" w:leader="dot"/>
            </w:tabs>
            <w:rPr/>
          </w:pPr>
          <w:hyperlink w:anchor="__RefHeading___Toc3972697_1067777946">
            <w:r>
              <w:rPr>
                <w:webHidden/>
                <w:rStyle w:val="IndexLink"/>
              </w:rPr>
              <w:t>5</w:t>
            </w:r>
            <w:r>
              <w:rPr>
                <w:rStyle w:val="IndexLink"/>
                <w:rtl w:val="true"/>
              </w:rPr>
              <w:t xml:space="preserve">. </w:t>
            </w:r>
            <w:r>
              <w:rPr>
                <w:rStyle w:val="IndexLink"/>
                <w:rtl w:val="true"/>
              </w:rPr>
              <w:t>كيفيت قطع دست و پاى محارب</w:t>
            </w:r>
            <w:r>
              <w:rPr>
                <w:rStyle w:val="IndexLink"/>
                <w:rtl w:val="true"/>
              </w:rPr>
              <w:tab/>
            </w:r>
            <w:r>
              <w:rPr>
                <w:rStyle w:val="IndexLink"/>
              </w:rPr>
              <w:t>370</w:t>
            </w:r>
          </w:hyperlink>
        </w:p>
        <w:p>
          <w:pPr>
            <w:pStyle w:val="Contents3"/>
            <w:tabs>
              <w:tab w:val="clear" w:pos="8459"/>
              <w:tab w:val="right" w:pos="9026" w:leader="dot"/>
            </w:tabs>
            <w:rPr/>
          </w:pPr>
          <w:hyperlink w:anchor="__RefHeading___Toc3972699_1067777946">
            <w:r>
              <w:rPr>
                <w:webHidden/>
                <w:rStyle w:val="IndexLink"/>
                <w:rtl w:val="true"/>
              </w:rPr>
              <w:t>فصل هفتم ارتداد</w:t>
            </w:r>
            <w:r>
              <w:rPr>
                <w:rStyle w:val="IndexLink"/>
                <w:rtl w:val="true"/>
              </w:rPr>
              <w:tab/>
            </w:r>
            <w:r>
              <w:rPr>
                <w:rStyle w:val="IndexLink"/>
              </w:rPr>
              <w:t>372</w:t>
            </w:r>
          </w:hyperlink>
        </w:p>
        <w:p>
          <w:pPr>
            <w:pStyle w:val="Contents4"/>
            <w:tabs>
              <w:tab w:val="clear" w:pos="8176"/>
              <w:tab w:val="right" w:pos="9026" w:leader="dot"/>
            </w:tabs>
            <w:rPr/>
          </w:pPr>
          <w:hyperlink w:anchor="__RefHeading___Toc3972701_1067777946">
            <w:r>
              <w:rPr>
                <w:webHidden/>
                <w:rStyle w:val="IndexLink"/>
              </w:rPr>
              <w:t>1</w:t>
            </w:r>
            <w:r>
              <w:rPr>
                <w:rStyle w:val="IndexLink"/>
                <w:rtl w:val="true"/>
              </w:rPr>
              <w:t xml:space="preserve">. </w:t>
            </w:r>
            <w:r>
              <w:rPr>
                <w:rStyle w:val="IndexLink"/>
                <w:rtl w:val="true"/>
              </w:rPr>
              <w:t>ارتداد و ثبوت آن</w:t>
            </w:r>
            <w:r>
              <w:rPr>
                <w:rStyle w:val="IndexLink"/>
                <w:rtl w:val="true"/>
              </w:rPr>
              <w:tab/>
            </w:r>
            <w:r>
              <w:rPr>
                <w:rStyle w:val="IndexLink"/>
              </w:rPr>
              <w:t>372</w:t>
            </w:r>
          </w:hyperlink>
        </w:p>
        <w:p>
          <w:pPr>
            <w:pStyle w:val="Contents5"/>
            <w:tabs>
              <w:tab w:val="clear" w:pos="7892"/>
              <w:tab w:val="right" w:pos="9026" w:leader="dot"/>
            </w:tabs>
            <w:rPr/>
          </w:pPr>
          <w:hyperlink w:anchor="__RefHeading___Toc3972703_1067777946">
            <w:r>
              <w:rPr>
                <w:webHidden/>
                <w:rStyle w:val="IndexLink"/>
                <w:rtl w:val="true"/>
              </w:rPr>
              <w:t>مراد از مرتد</w:t>
            </w:r>
            <w:r>
              <w:rPr>
                <w:rStyle w:val="IndexLink"/>
                <w:rtl w:val="true"/>
              </w:rPr>
              <w:tab/>
            </w:r>
            <w:r>
              <w:rPr>
                <w:rStyle w:val="IndexLink"/>
              </w:rPr>
              <w:t>372</w:t>
            </w:r>
          </w:hyperlink>
        </w:p>
        <w:p>
          <w:pPr>
            <w:pStyle w:val="Contents5"/>
            <w:tabs>
              <w:tab w:val="clear" w:pos="7892"/>
              <w:tab w:val="right" w:pos="9026" w:leader="dot"/>
            </w:tabs>
            <w:rPr/>
          </w:pPr>
          <w:hyperlink w:anchor="__RefHeading___Toc3972705_1067777946">
            <w:r>
              <w:rPr>
                <w:webHidden/>
                <w:rStyle w:val="IndexLink"/>
                <w:rtl w:val="true"/>
              </w:rPr>
              <w:t>نحوۀ ثابت شدن ارتداد</w:t>
            </w:r>
            <w:r>
              <w:rPr>
                <w:rStyle w:val="IndexLink"/>
                <w:rtl w:val="true"/>
              </w:rPr>
              <w:tab/>
            </w:r>
            <w:r>
              <w:rPr>
                <w:rStyle w:val="IndexLink"/>
              </w:rPr>
              <w:t>372</w:t>
            </w:r>
          </w:hyperlink>
        </w:p>
        <w:p>
          <w:pPr>
            <w:pStyle w:val="Contents5"/>
            <w:tabs>
              <w:tab w:val="clear" w:pos="7892"/>
              <w:tab w:val="right" w:pos="9026" w:leader="dot"/>
            </w:tabs>
            <w:rPr/>
          </w:pPr>
          <w:hyperlink w:anchor="__RefHeading___Toc3972707_1067777946">
            <w:r>
              <w:rPr>
                <w:webHidden/>
                <w:rStyle w:val="IndexLink"/>
                <w:rtl w:val="true"/>
              </w:rPr>
              <w:t>لزوم ضرورى بودن نزد منكر</w:t>
            </w:r>
            <w:r>
              <w:rPr>
                <w:rStyle w:val="IndexLink"/>
                <w:rtl w:val="true"/>
              </w:rPr>
              <w:tab/>
            </w:r>
            <w:r>
              <w:rPr>
                <w:rStyle w:val="IndexLink"/>
              </w:rPr>
              <w:t>372</w:t>
            </w:r>
          </w:hyperlink>
        </w:p>
        <w:p>
          <w:pPr>
            <w:pStyle w:val="Contents4"/>
            <w:tabs>
              <w:tab w:val="clear" w:pos="8176"/>
              <w:tab w:val="right" w:pos="9026" w:leader="dot"/>
            </w:tabs>
            <w:rPr/>
          </w:pPr>
          <w:hyperlink w:anchor="__RefHeading___Toc3972709_1067777946">
            <w:r>
              <w:rPr>
                <w:webHidden/>
                <w:rStyle w:val="IndexLink"/>
              </w:rPr>
              <w:t>2</w:t>
            </w:r>
            <w:r>
              <w:rPr>
                <w:rStyle w:val="IndexLink"/>
                <w:rtl w:val="true"/>
              </w:rPr>
              <w:t xml:space="preserve">. </w:t>
            </w:r>
            <w:r>
              <w:rPr>
                <w:rStyle w:val="IndexLink"/>
                <w:rtl w:val="true"/>
              </w:rPr>
              <w:t>مرتدّ فطرى</w:t>
            </w:r>
            <w:r>
              <w:rPr>
                <w:rStyle w:val="IndexLink"/>
                <w:rtl w:val="true"/>
              </w:rPr>
              <w:tab/>
            </w:r>
            <w:r>
              <w:rPr>
                <w:rStyle w:val="IndexLink"/>
              </w:rPr>
              <w:t>373</w:t>
            </w:r>
          </w:hyperlink>
        </w:p>
        <w:p>
          <w:pPr>
            <w:pStyle w:val="Contents5"/>
            <w:tabs>
              <w:tab w:val="clear" w:pos="7892"/>
              <w:tab w:val="right" w:pos="9026" w:leader="dot"/>
            </w:tabs>
            <w:rPr/>
          </w:pPr>
          <w:hyperlink w:anchor="__RefHeading___Toc3972711_1067777946">
            <w:r>
              <w:rPr>
                <w:webHidden/>
                <w:rStyle w:val="IndexLink"/>
                <w:rtl w:val="true"/>
              </w:rPr>
              <w:t>احكام مرتد فطرى</w:t>
            </w:r>
            <w:r>
              <w:rPr>
                <w:rStyle w:val="IndexLink"/>
                <w:rtl w:val="true"/>
              </w:rPr>
              <w:tab/>
            </w:r>
            <w:r>
              <w:rPr>
                <w:rStyle w:val="IndexLink"/>
              </w:rPr>
              <w:t>373</w:t>
            </w:r>
          </w:hyperlink>
        </w:p>
        <w:p>
          <w:pPr>
            <w:pStyle w:val="Contents5"/>
            <w:tabs>
              <w:tab w:val="clear" w:pos="7892"/>
              <w:tab w:val="right" w:pos="9026" w:leader="dot"/>
            </w:tabs>
            <w:rPr/>
          </w:pPr>
          <w:hyperlink w:anchor="__RefHeading___Toc3972713_1067777946">
            <w:r>
              <w:rPr>
                <w:webHidden/>
                <w:rStyle w:val="IndexLink"/>
                <w:rtl w:val="true"/>
              </w:rPr>
              <w:t>تجديد عقد و حكم عبادات او</w:t>
            </w:r>
            <w:r>
              <w:rPr>
                <w:rStyle w:val="IndexLink"/>
                <w:rtl w:val="true"/>
              </w:rPr>
              <w:tab/>
            </w:r>
            <w:r>
              <w:rPr>
                <w:rStyle w:val="IndexLink"/>
              </w:rPr>
              <w:t>373</w:t>
            </w:r>
          </w:hyperlink>
        </w:p>
        <w:p>
          <w:pPr>
            <w:pStyle w:val="Contents5"/>
            <w:tabs>
              <w:tab w:val="clear" w:pos="7892"/>
              <w:tab w:val="right" w:pos="9026" w:leader="dot"/>
            </w:tabs>
            <w:rPr/>
          </w:pPr>
          <w:hyperlink w:anchor="__RefHeading___Toc3972715_1067777946">
            <w:r>
              <w:rPr>
                <w:webHidden/>
                <w:rStyle w:val="IndexLink"/>
                <w:rtl w:val="true"/>
              </w:rPr>
              <w:t>اسلام حكمى</w:t>
            </w:r>
            <w:r>
              <w:rPr>
                <w:rStyle w:val="IndexLink"/>
                <w:rtl w:val="true"/>
              </w:rPr>
              <w:tab/>
            </w:r>
            <w:r>
              <w:rPr>
                <w:rStyle w:val="IndexLink"/>
              </w:rPr>
              <w:t>373</w:t>
            </w:r>
          </w:hyperlink>
        </w:p>
        <w:p>
          <w:pPr>
            <w:pStyle w:val="Contents4"/>
            <w:tabs>
              <w:tab w:val="clear" w:pos="8176"/>
              <w:tab w:val="right" w:pos="9026" w:leader="dot"/>
            </w:tabs>
            <w:rPr/>
          </w:pPr>
          <w:hyperlink w:anchor="__RefHeading___Toc3972717_1067777946">
            <w:r>
              <w:rPr>
                <w:webHidden/>
                <w:rStyle w:val="IndexLink"/>
              </w:rPr>
              <w:t>2</w:t>
            </w:r>
            <w:r>
              <w:rPr>
                <w:rStyle w:val="IndexLink"/>
                <w:rtl w:val="true"/>
              </w:rPr>
              <w:t xml:space="preserve">. </w:t>
            </w:r>
            <w:r>
              <w:rPr>
                <w:rStyle w:val="IndexLink"/>
                <w:rtl w:val="true"/>
              </w:rPr>
              <w:t>شرايط حصول ارتداد</w:t>
            </w:r>
            <w:r>
              <w:rPr>
                <w:rStyle w:val="IndexLink"/>
                <w:rtl w:val="true"/>
              </w:rPr>
              <w:tab/>
            </w:r>
            <w:r>
              <w:rPr>
                <w:rStyle w:val="IndexLink"/>
              </w:rPr>
              <w:t>374</w:t>
            </w:r>
          </w:hyperlink>
        </w:p>
        <w:p>
          <w:pPr>
            <w:pStyle w:val="Contents5"/>
            <w:tabs>
              <w:tab w:val="clear" w:pos="7892"/>
              <w:tab w:val="right" w:pos="9026" w:leader="dot"/>
            </w:tabs>
            <w:rPr/>
          </w:pPr>
          <w:hyperlink w:anchor="__RefHeading___Toc3972719_1067777946">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3972721_1067777946">
            <w:r>
              <w:rPr>
                <w:webHidden/>
                <w:rStyle w:val="IndexLink"/>
                <w:rtl w:val="true"/>
              </w:rPr>
              <w:t>مورد وجوب توريه</w:t>
            </w:r>
            <w:r>
              <w:rPr>
                <w:rStyle w:val="IndexLink"/>
                <w:rtl w:val="true"/>
              </w:rPr>
              <w:tab/>
            </w:r>
            <w:r>
              <w:rPr>
                <w:rStyle w:val="IndexLink"/>
              </w:rPr>
              <w:t>374</w:t>
            </w:r>
          </w:hyperlink>
        </w:p>
        <w:p>
          <w:pPr>
            <w:pStyle w:val="Contents5"/>
            <w:tabs>
              <w:tab w:val="clear" w:pos="7892"/>
              <w:tab w:val="right" w:pos="9026" w:leader="dot"/>
            </w:tabs>
            <w:rPr/>
          </w:pPr>
          <w:hyperlink w:anchor="__RefHeading___Toc3972723_1067777946">
            <w:r>
              <w:rPr>
                <w:webHidden/>
                <w:rStyle w:val="IndexLink"/>
                <w:rtl w:val="true"/>
              </w:rPr>
              <w:t>غضب شديد</w:t>
            </w:r>
            <w:r>
              <w:rPr>
                <w:rStyle w:val="IndexLink"/>
                <w:rtl w:val="true"/>
              </w:rPr>
              <w:tab/>
            </w:r>
            <w:r>
              <w:rPr>
                <w:rStyle w:val="IndexLink"/>
              </w:rPr>
              <w:t>374</w:t>
            </w:r>
          </w:hyperlink>
        </w:p>
        <w:p>
          <w:pPr>
            <w:pStyle w:val="Contents5"/>
            <w:tabs>
              <w:tab w:val="clear" w:pos="7892"/>
              <w:tab w:val="right" w:pos="9026" w:leader="dot"/>
            </w:tabs>
            <w:rPr/>
          </w:pPr>
          <w:hyperlink w:anchor="__RefHeading___Toc3972725_1067777946">
            <w:r>
              <w:rPr>
                <w:webHidden/>
                <w:rStyle w:val="IndexLink"/>
                <w:rtl w:val="true"/>
              </w:rPr>
              <w:t>ادّعاى اكراه</w:t>
            </w:r>
            <w:r>
              <w:rPr>
                <w:rStyle w:val="IndexLink"/>
                <w:rtl w:val="true"/>
              </w:rPr>
              <w:tab/>
            </w:r>
            <w:r>
              <w:rPr>
                <w:rStyle w:val="IndexLink"/>
              </w:rPr>
              <w:t>374</w:t>
            </w:r>
          </w:hyperlink>
        </w:p>
        <w:p>
          <w:pPr>
            <w:pStyle w:val="Contents5"/>
            <w:tabs>
              <w:tab w:val="clear" w:pos="7892"/>
              <w:tab w:val="right" w:pos="9026" w:leader="dot"/>
            </w:tabs>
            <w:rPr/>
          </w:pPr>
          <w:hyperlink w:anchor="__RefHeading___Toc3972727_1067777946">
            <w:r>
              <w:rPr>
                <w:webHidden/>
                <w:rStyle w:val="IndexLink"/>
                <w:rtl w:val="true"/>
              </w:rPr>
              <w:t>عدم لزوم تجديد اسلام در مكره</w:t>
            </w:r>
            <w:r>
              <w:rPr>
                <w:rStyle w:val="IndexLink"/>
                <w:rtl w:val="true"/>
              </w:rPr>
              <w:tab/>
            </w:r>
            <w:r>
              <w:rPr>
                <w:rStyle w:val="IndexLink"/>
              </w:rPr>
              <w:t>375</w:t>
            </w:r>
          </w:hyperlink>
        </w:p>
        <w:p>
          <w:pPr>
            <w:pStyle w:val="Contents4"/>
            <w:tabs>
              <w:tab w:val="clear" w:pos="8176"/>
              <w:tab w:val="right" w:pos="9026" w:leader="dot"/>
            </w:tabs>
            <w:rPr/>
          </w:pPr>
          <w:hyperlink w:anchor="__RefHeading___Toc3972729_1067777946">
            <w:r>
              <w:rPr>
                <w:webHidden/>
                <w:rStyle w:val="IndexLink"/>
              </w:rPr>
              <w:t>4</w:t>
            </w:r>
            <w:r>
              <w:rPr>
                <w:rStyle w:val="IndexLink"/>
                <w:rtl w:val="true"/>
              </w:rPr>
              <w:t xml:space="preserve">. </w:t>
            </w:r>
            <w:r>
              <w:rPr>
                <w:rStyle w:val="IndexLink"/>
                <w:rtl w:val="true"/>
              </w:rPr>
              <w:t>حكم زن مرتدّه</w:t>
            </w:r>
            <w:r>
              <w:rPr>
                <w:rStyle w:val="IndexLink"/>
                <w:rtl w:val="true"/>
              </w:rPr>
              <w:tab/>
            </w:r>
            <w:r>
              <w:rPr>
                <w:rStyle w:val="IndexLink"/>
              </w:rPr>
              <w:t>375</w:t>
            </w:r>
          </w:hyperlink>
        </w:p>
        <w:p>
          <w:pPr>
            <w:pStyle w:val="Contents4"/>
            <w:tabs>
              <w:tab w:val="clear" w:pos="8176"/>
              <w:tab w:val="right" w:pos="9026" w:leader="dot"/>
            </w:tabs>
            <w:rPr/>
          </w:pPr>
          <w:hyperlink w:anchor="__RefHeading___Toc3972731_1067777946">
            <w:r>
              <w:rPr>
                <w:webHidden/>
                <w:rStyle w:val="IndexLink"/>
              </w:rPr>
              <w:t>5</w:t>
            </w:r>
            <w:r>
              <w:rPr>
                <w:rStyle w:val="IndexLink"/>
                <w:rtl w:val="true"/>
              </w:rPr>
              <w:t xml:space="preserve">. </w:t>
            </w:r>
            <w:r>
              <w:rPr>
                <w:rStyle w:val="IndexLink"/>
                <w:rtl w:val="true"/>
              </w:rPr>
              <w:t>مرتدّ ملّى</w:t>
            </w:r>
            <w:r>
              <w:rPr>
                <w:rStyle w:val="IndexLink"/>
                <w:rtl w:val="true"/>
              </w:rPr>
              <w:tab/>
            </w:r>
            <w:r>
              <w:rPr>
                <w:rStyle w:val="IndexLink"/>
              </w:rPr>
              <w:t>375</w:t>
            </w:r>
          </w:hyperlink>
        </w:p>
        <w:p>
          <w:pPr>
            <w:pStyle w:val="Contents5"/>
            <w:tabs>
              <w:tab w:val="clear" w:pos="7892"/>
              <w:tab w:val="right" w:pos="9026" w:leader="dot"/>
            </w:tabs>
            <w:rPr/>
          </w:pPr>
          <w:hyperlink w:anchor="__RefHeading___Toc3972733_1067777946">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3972735_1067777946">
            <w:r>
              <w:rPr>
                <w:webHidden/>
                <w:rStyle w:val="IndexLink"/>
                <w:rtl w:val="true"/>
              </w:rPr>
              <w:t>عدم اخذ املاك مرتد ملّى</w:t>
            </w:r>
            <w:r>
              <w:rPr>
                <w:rStyle w:val="IndexLink"/>
                <w:rtl w:val="true"/>
              </w:rPr>
              <w:tab/>
            </w:r>
            <w:r>
              <w:rPr>
                <w:rStyle w:val="IndexLink"/>
              </w:rPr>
              <w:t>376</w:t>
            </w:r>
          </w:hyperlink>
        </w:p>
        <w:p>
          <w:pPr>
            <w:pStyle w:val="Contents5"/>
            <w:tabs>
              <w:tab w:val="clear" w:pos="7892"/>
              <w:tab w:val="right" w:pos="9026" w:leader="dot"/>
            </w:tabs>
            <w:rPr/>
          </w:pPr>
          <w:hyperlink w:anchor="__RefHeading___Toc3972737_1067777946">
            <w:r>
              <w:rPr>
                <w:webHidden/>
                <w:rStyle w:val="IndexLink"/>
                <w:rtl w:val="true"/>
              </w:rPr>
              <w:t>حكم ما ترك مرتد ملى</w:t>
            </w:r>
            <w:r>
              <w:rPr>
                <w:rStyle w:val="IndexLink"/>
                <w:rtl w:val="true"/>
              </w:rPr>
              <w:tab/>
            </w:r>
            <w:r>
              <w:rPr>
                <w:rStyle w:val="IndexLink"/>
              </w:rPr>
              <w:t>376</w:t>
            </w:r>
          </w:hyperlink>
        </w:p>
        <w:p>
          <w:pPr>
            <w:pStyle w:val="Contents5"/>
            <w:tabs>
              <w:tab w:val="clear" w:pos="7892"/>
              <w:tab w:val="right" w:pos="9026" w:leader="dot"/>
            </w:tabs>
            <w:rPr/>
          </w:pPr>
          <w:hyperlink w:anchor="__RefHeading___Toc3972739_1067777946">
            <w:r>
              <w:rPr>
                <w:webHidden/>
                <w:rStyle w:val="IndexLink"/>
                <w:rtl w:val="true"/>
              </w:rPr>
              <w:t>حكم اولاد مرتدّ ملّى</w:t>
            </w:r>
            <w:r>
              <w:rPr>
                <w:rStyle w:val="IndexLink"/>
                <w:rtl w:val="true"/>
              </w:rPr>
              <w:tab/>
            </w:r>
            <w:r>
              <w:rPr>
                <w:rStyle w:val="IndexLink"/>
              </w:rPr>
              <w:t>376</w:t>
            </w:r>
          </w:hyperlink>
        </w:p>
        <w:p>
          <w:pPr>
            <w:pStyle w:val="Contents5"/>
            <w:tabs>
              <w:tab w:val="clear" w:pos="7892"/>
              <w:tab w:val="right" w:pos="9026" w:leader="dot"/>
            </w:tabs>
            <w:rPr/>
          </w:pPr>
          <w:hyperlink w:anchor="__RefHeading___Toc3972741_1067777946">
            <w:r>
              <w:rPr>
                <w:webHidden/>
                <w:rStyle w:val="IndexLink"/>
                <w:rtl w:val="true"/>
              </w:rPr>
              <w:t>حكم كشتن اولاد مرتد ملىّ‌</w:t>
            </w:r>
            <w:r>
              <w:rPr>
                <w:rStyle w:val="IndexLink"/>
                <w:rtl w:val="true"/>
              </w:rPr>
              <w:tab/>
            </w:r>
            <w:r>
              <w:rPr>
                <w:rStyle w:val="IndexLink"/>
              </w:rPr>
              <w:t>376</w:t>
            </w:r>
          </w:hyperlink>
        </w:p>
        <w:p>
          <w:pPr>
            <w:pStyle w:val="Contents5"/>
            <w:tabs>
              <w:tab w:val="clear" w:pos="7892"/>
              <w:tab w:val="right" w:pos="9026" w:leader="dot"/>
            </w:tabs>
            <w:rPr/>
          </w:pPr>
          <w:hyperlink w:anchor="__RefHeading___Toc3972743_1067777946">
            <w:r>
              <w:rPr>
                <w:webHidden/>
                <w:rStyle w:val="IndexLink"/>
                <w:rtl w:val="true"/>
              </w:rPr>
              <w:t>ديگر احكام اولاد مرتدّ ملىّ‌</w:t>
            </w:r>
            <w:r>
              <w:rPr>
                <w:rStyle w:val="IndexLink"/>
                <w:rtl w:val="true"/>
              </w:rPr>
              <w:tab/>
            </w:r>
            <w:r>
              <w:rPr>
                <w:rStyle w:val="IndexLink"/>
              </w:rPr>
              <w:t>377</w:t>
            </w:r>
          </w:hyperlink>
        </w:p>
        <w:p>
          <w:pPr>
            <w:pStyle w:val="Contents5"/>
            <w:tabs>
              <w:tab w:val="clear" w:pos="7892"/>
              <w:tab w:val="right" w:pos="9026" w:leader="dot"/>
            </w:tabs>
            <w:rPr/>
          </w:pPr>
          <w:hyperlink w:anchor="__RefHeading___Toc3972745_1067777946">
            <w:r>
              <w:rPr>
                <w:webHidden/>
                <w:rStyle w:val="IndexLink"/>
                <w:rtl w:val="true"/>
              </w:rPr>
              <w:t>حكم اموال مرتد ملّى</w:t>
            </w:r>
            <w:r>
              <w:rPr>
                <w:rStyle w:val="IndexLink"/>
                <w:rtl w:val="true"/>
              </w:rPr>
              <w:tab/>
            </w:r>
            <w:r>
              <w:rPr>
                <w:rStyle w:val="IndexLink"/>
              </w:rPr>
              <w:t>377</w:t>
            </w:r>
          </w:hyperlink>
        </w:p>
        <w:p>
          <w:pPr>
            <w:pStyle w:val="Contents5"/>
            <w:tabs>
              <w:tab w:val="clear" w:pos="7892"/>
              <w:tab w:val="right" w:pos="9026" w:leader="dot"/>
            </w:tabs>
            <w:rPr/>
          </w:pPr>
          <w:hyperlink w:anchor="__RefHeading___Toc3972747_1067777946">
            <w:r>
              <w:rPr>
                <w:webHidden/>
                <w:rStyle w:val="IndexLink"/>
                <w:rtl w:val="true"/>
              </w:rPr>
              <w:t>چند مسأله</w:t>
            </w:r>
            <w:r>
              <w:rPr>
                <w:rStyle w:val="IndexLink"/>
                <w:rtl w:val="true"/>
              </w:rPr>
              <w:tab/>
            </w:r>
            <w:r>
              <w:rPr>
                <w:rStyle w:val="IndexLink"/>
              </w:rPr>
              <w:t>378</w:t>
            </w:r>
          </w:hyperlink>
        </w:p>
        <w:p>
          <w:pPr>
            <w:pStyle w:val="Contents6"/>
            <w:tabs>
              <w:tab w:val="clear" w:pos="7609"/>
              <w:tab w:val="right" w:pos="9026" w:leader="dot"/>
            </w:tabs>
            <w:rPr/>
          </w:pPr>
          <w:hyperlink w:anchor="__RefHeading___Toc3972749_1067777946">
            <w:r>
              <w:rPr>
                <w:webHidden/>
                <w:rStyle w:val="IndexLink"/>
                <w:rtl w:val="true"/>
              </w:rPr>
              <w:t>تكرار ارتداد بعد از توبه</w:t>
            </w:r>
            <w:r>
              <w:rPr>
                <w:rStyle w:val="IndexLink"/>
                <w:rtl w:val="true"/>
              </w:rPr>
              <w:tab/>
            </w:r>
            <w:r>
              <w:rPr>
                <w:rStyle w:val="IndexLink"/>
              </w:rPr>
              <w:t>378</w:t>
            </w:r>
          </w:hyperlink>
        </w:p>
        <w:p>
          <w:pPr>
            <w:pStyle w:val="Contents6"/>
            <w:tabs>
              <w:tab w:val="clear" w:pos="7609"/>
              <w:tab w:val="right" w:pos="9026" w:leader="dot"/>
            </w:tabs>
            <w:rPr/>
          </w:pPr>
          <w:hyperlink w:anchor="__RefHeading___Toc3972751_1067777946">
            <w:r>
              <w:rPr>
                <w:webHidden/>
                <w:rStyle w:val="IndexLink"/>
                <w:rtl w:val="true"/>
              </w:rPr>
              <w:t>كافر مكره</w:t>
            </w:r>
            <w:r>
              <w:rPr>
                <w:rStyle w:val="IndexLink"/>
                <w:rtl w:val="true"/>
              </w:rPr>
              <w:tab/>
            </w:r>
            <w:r>
              <w:rPr>
                <w:rStyle w:val="IndexLink"/>
              </w:rPr>
              <w:t>378</w:t>
            </w:r>
          </w:hyperlink>
        </w:p>
        <w:p>
          <w:pPr>
            <w:pStyle w:val="Contents6"/>
            <w:tabs>
              <w:tab w:val="clear" w:pos="7609"/>
              <w:tab w:val="right" w:pos="9026" w:leader="dot"/>
            </w:tabs>
            <w:rPr/>
          </w:pPr>
          <w:hyperlink w:anchor="__RefHeading___Toc3972753_1067777946">
            <w:r>
              <w:rPr>
                <w:webHidden/>
                <w:rStyle w:val="IndexLink"/>
                <w:rtl w:val="true"/>
              </w:rPr>
              <w:t>كفايت نماز در حكم به اسلام</w:t>
            </w:r>
            <w:r>
              <w:rPr>
                <w:rStyle w:val="IndexLink"/>
                <w:rtl w:val="true"/>
              </w:rPr>
              <w:tab/>
            </w:r>
            <w:r>
              <w:rPr>
                <w:rStyle w:val="IndexLink"/>
              </w:rPr>
              <w:t>379</w:t>
            </w:r>
          </w:hyperlink>
        </w:p>
        <w:p>
          <w:pPr>
            <w:pStyle w:val="Contents6"/>
            <w:tabs>
              <w:tab w:val="clear" w:pos="7609"/>
              <w:tab w:val="right" w:pos="9026" w:leader="dot"/>
            </w:tabs>
            <w:rPr/>
          </w:pPr>
          <w:hyperlink w:anchor="__RefHeading___Toc3972755_1067777946">
            <w:r>
              <w:rPr>
                <w:webHidden/>
                <w:rStyle w:val="IndexLink"/>
                <w:rtl w:val="true"/>
              </w:rPr>
              <w:t>سكران</w:t>
            </w:r>
            <w:r>
              <w:rPr>
                <w:rStyle w:val="IndexLink"/>
                <w:rtl w:val="true"/>
              </w:rPr>
              <w:tab/>
            </w:r>
            <w:r>
              <w:rPr>
                <w:rStyle w:val="IndexLink"/>
              </w:rPr>
              <w:t>379</w:t>
            </w:r>
          </w:hyperlink>
        </w:p>
        <w:p>
          <w:pPr>
            <w:pStyle w:val="Contents6"/>
            <w:tabs>
              <w:tab w:val="clear" w:pos="7609"/>
              <w:tab w:val="right" w:pos="9026" w:leader="dot"/>
            </w:tabs>
            <w:rPr/>
          </w:pPr>
          <w:hyperlink w:anchor="__RefHeading___Toc3972757_1067777946">
            <w:r>
              <w:rPr>
                <w:webHidden/>
                <w:rStyle w:val="IndexLink"/>
                <w:rtl w:val="true"/>
              </w:rPr>
              <w:t>ضمان مرتد</w:t>
            </w:r>
            <w:r>
              <w:rPr>
                <w:rStyle w:val="IndexLink"/>
                <w:rtl w:val="true"/>
              </w:rPr>
              <w:tab/>
            </w:r>
            <w:r>
              <w:rPr>
                <w:rStyle w:val="IndexLink"/>
              </w:rPr>
              <w:t>379</w:t>
            </w:r>
          </w:hyperlink>
        </w:p>
        <w:p>
          <w:pPr>
            <w:pStyle w:val="Contents6"/>
            <w:tabs>
              <w:tab w:val="clear" w:pos="7609"/>
              <w:tab w:val="right" w:pos="9026" w:leader="dot"/>
            </w:tabs>
            <w:rPr/>
          </w:pPr>
          <w:hyperlink w:anchor="__RefHeading___Toc3972759_1067777946">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3972761_1067777946">
            <w:r>
              <w:rPr>
                <w:webHidden/>
                <w:rStyle w:val="IndexLink"/>
                <w:rtl w:val="true"/>
              </w:rPr>
              <w:t>قصاص مرتد</w:t>
            </w:r>
            <w:r>
              <w:rPr>
                <w:rStyle w:val="IndexLink"/>
                <w:rtl w:val="true"/>
              </w:rPr>
              <w:tab/>
            </w:r>
            <w:r>
              <w:rPr>
                <w:rStyle w:val="IndexLink"/>
              </w:rPr>
              <w:t>379</w:t>
            </w:r>
          </w:hyperlink>
        </w:p>
        <w:p>
          <w:pPr>
            <w:pStyle w:val="Contents6"/>
            <w:tabs>
              <w:tab w:val="clear" w:pos="7609"/>
              <w:tab w:val="right" w:pos="9026" w:leader="dot"/>
            </w:tabs>
            <w:rPr/>
          </w:pPr>
          <w:hyperlink w:anchor="__RefHeading___Toc3972763_1067777946">
            <w:r>
              <w:rPr>
                <w:webHidden/>
                <w:rStyle w:val="IndexLink"/>
                <w:rtl w:val="true"/>
              </w:rPr>
              <w:t>ضمان كافر حربى</w:t>
            </w:r>
            <w:r>
              <w:rPr>
                <w:rStyle w:val="IndexLink"/>
                <w:rtl w:val="true"/>
              </w:rPr>
              <w:tab/>
            </w:r>
            <w:r>
              <w:rPr>
                <w:rStyle w:val="IndexLink"/>
              </w:rPr>
              <w:t>380</w:t>
            </w:r>
          </w:hyperlink>
        </w:p>
        <w:p>
          <w:pPr>
            <w:pStyle w:val="Contents6"/>
            <w:tabs>
              <w:tab w:val="clear" w:pos="7609"/>
              <w:tab w:val="right" w:pos="9026" w:leader="dot"/>
            </w:tabs>
            <w:rPr/>
          </w:pPr>
          <w:hyperlink w:anchor="__RefHeading___Toc3972765_1067777946">
            <w:r>
              <w:rPr>
                <w:webHidden/>
                <w:rStyle w:val="IndexLink"/>
                <w:rtl w:val="true"/>
              </w:rPr>
              <w:t>جنون مرتد ملّى قبل از استتابه</w:t>
            </w:r>
            <w:r>
              <w:rPr>
                <w:rStyle w:val="IndexLink"/>
                <w:rtl w:val="true"/>
              </w:rPr>
              <w:tab/>
            </w:r>
            <w:r>
              <w:rPr>
                <w:rStyle w:val="IndexLink"/>
              </w:rPr>
              <w:t>380</w:t>
            </w:r>
          </w:hyperlink>
        </w:p>
        <w:p>
          <w:pPr>
            <w:pStyle w:val="Contents6"/>
            <w:tabs>
              <w:tab w:val="clear" w:pos="7609"/>
              <w:tab w:val="right" w:pos="9026" w:leader="dot"/>
            </w:tabs>
            <w:rPr/>
          </w:pPr>
          <w:hyperlink w:anchor="__RefHeading___Toc3972767_1067777946">
            <w:r>
              <w:rPr>
                <w:webHidden/>
                <w:rStyle w:val="IndexLink"/>
                <w:rtl w:val="true"/>
              </w:rPr>
              <w:t>تزويج مرتد</w:t>
            </w:r>
            <w:r>
              <w:rPr>
                <w:rStyle w:val="IndexLink"/>
                <w:rtl w:val="true"/>
              </w:rPr>
              <w:tab/>
            </w:r>
            <w:r>
              <w:rPr>
                <w:rStyle w:val="IndexLink"/>
              </w:rPr>
              <w:t>380</w:t>
            </w:r>
          </w:hyperlink>
        </w:p>
        <w:p>
          <w:pPr>
            <w:pStyle w:val="Contents6"/>
            <w:tabs>
              <w:tab w:val="clear" w:pos="7609"/>
              <w:tab w:val="right" w:pos="9026" w:leader="dot"/>
            </w:tabs>
            <w:rPr/>
          </w:pPr>
          <w:hyperlink w:anchor="__RefHeading___Toc3972769_1067777946">
            <w:r>
              <w:rPr>
                <w:webHidden/>
                <w:rStyle w:val="IndexLink"/>
                <w:rtl w:val="true"/>
              </w:rPr>
              <w:t>عدم ولايت مرتد به تزويج دخترش</w:t>
            </w:r>
            <w:r>
              <w:rPr>
                <w:rStyle w:val="IndexLink"/>
                <w:rtl w:val="true"/>
              </w:rPr>
              <w:tab/>
            </w:r>
            <w:r>
              <w:rPr>
                <w:rStyle w:val="IndexLink"/>
              </w:rPr>
              <w:t>381</w:t>
            </w:r>
          </w:hyperlink>
        </w:p>
        <w:p>
          <w:pPr>
            <w:pStyle w:val="Contents6"/>
            <w:tabs>
              <w:tab w:val="clear" w:pos="7609"/>
              <w:tab w:val="right" w:pos="9026" w:leader="dot"/>
            </w:tabs>
            <w:rPr/>
          </w:pPr>
          <w:hyperlink w:anchor="__RefHeading___Toc3972771_1067777946">
            <w:r>
              <w:rPr>
                <w:webHidden/>
                <w:rStyle w:val="IndexLink"/>
                <w:rtl w:val="true"/>
              </w:rPr>
              <w:t>كلمۀ اسلام</w:t>
            </w:r>
            <w:r>
              <w:rPr>
                <w:rStyle w:val="IndexLink"/>
                <w:rtl w:val="true"/>
              </w:rPr>
              <w:tab/>
            </w:r>
            <w:r>
              <w:rPr>
                <w:rStyle w:val="IndexLink"/>
              </w:rPr>
              <w:t>381</w:t>
            </w:r>
          </w:hyperlink>
        </w:p>
        <w:p>
          <w:pPr>
            <w:pStyle w:val="Contents6"/>
            <w:tabs>
              <w:tab w:val="clear" w:pos="7609"/>
              <w:tab w:val="right" w:pos="9026" w:leader="dot"/>
            </w:tabs>
            <w:rPr/>
          </w:pPr>
          <w:hyperlink w:anchor="__RefHeading___Toc3972773_1067777946">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3972775_1067777946">
            <w:r>
              <w:rPr>
                <w:webHidden/>
                <w:rStyle w:val="IndexLink"/>
                <w:rtl w:val="true"/>
              </w:rPr>
              <w:t>اسلام و كفر زنديق و منافق</w:t>
            </w:r>
            <w:r>
              <w:rPr>
                <w:rStyle w:val="IndexLink"/>
                <w:rtl w:val="true"/>
              </w:rPr>
              <w:tab/>
            </w:r>
            <w:r>
              <w:rPr>
                <w:rStyle w:val="IndexLink"/>
              </w:rPr>
              <w:t>382</w:t>
            </w:r>
          </w:hyperlink>
        </w:p>
        <w:p>
          <w:pPr>
            <w:pStyle w:val="Contents6"/>
            <w:tabs>
              <w:tab w:val="clear" w:pos="7609"/>
              <w:tab w:val="right" w:pos="9026" w:leader="dot"/>
            </w:tabs>
            <w:rPr/>
          </w:pPr>
          <w:hyperlink w:anchor="__RefHeading___Toc3972777_1067777946">
            <w:r>
              <w:rPr>
                <w:webHidden/>
                <w:rStyle w:val="IndexLink"/>
                <w:rtl w:val="true"/>
              </w:rPr>
              <w:t>اگر ذمى به دار الحرب ملحق شود</w:t>
            </w:r>
            <w:r>
              <w:rPr>
                <w:rStyle w:val="IndexLink"/>
                <w:rtl w:val="true"/>
              </w:rPr>
              <w:tab/>
            </w:r>
            <w:r>
              <w:rPr>
                <w:rStyle w:val="IndexLink"/>
              </w:rPr>
              <w:t>382</w:t>
            </w:r>
          </w:hyperlink>
        </w:p>
        <w:p>
          <w:pPr>
            <w:pStyle w:val="Contents6"/>
            <w:tabs>
              <w:tab w:val="clear" w:pos="7609"/>
              <w:tab w:val="right" w:pos="9026" w:leader="dot"/>
            </w:tabs>
            <w:rPr/>
          </w:pPr>
          <w:hyperlink w:anchor="__RefHeading___Toc3972779_1067777946">
            <w:r>
              <w:rPr>
                <w:webHidden/>
                <w:rStyle w:val="IndexLink"/>
                <w:rtl w:val="true"/>
              </w:rPr>
              <w:t>مرتدّ قاتل</w:t>
            </w:r>
            <w:r>
              <w:rPr>
                <w:rStyle w:val="IndexLink"/>
                <w:rtl w:val="true"/>
              </w:rPr>
              <w:tab/>
            </w:r>
            <w:r>
              <w:rPr>
                <w:rStyle w:val="IndexLink"/>
              </w:rPr>
              <w:t>382</w:t>
            </w:r>
          </w:hyperlink>
        </w:p>
        <w:p>
          <w:pPr>
            <w:pStyle w:val="Contents6"/>
            <w:tabs>
              <w:tab w:val="clear" w:pos="7609"/>
              <w:tab w:val="right" w:pos="9026" w:leader="dot"/>
            </w:tabs>
            <w:rPr/>
          </w:pPr>
          <w:hyperlink w:anchor="__RefHeading___Toc3972781_1067777946">
            <w:r>
              <w:rPr>
                <w:webHidden/>
                <w:rStyle w:val="IndexLink"/>
                <w:rtl w:val="true"/>
              </w:rPr>
              <w:t>قتل مرتدّ ملىّ بعد از توبه</w:t>
            </w:r>
            <w:r>
              <w:rPr>
                <w:rStyle w:val="IndexLink"/>
                <w:rtl w:val="true"/>
              </w:rPr>
              <w:tab/>
            </w:r>
            <w:r>
              <w:rPr>
                <w:rStyle w:val="IndexLink"/>
              </w:rPr>
              <w:t>383</w:t>
            </w:r>
          </w:hyperlink>
        </w:p>
        <w:p>
          <w:pPr>
            <w:pStyle w:val="Contents3"/>
            <w:tabs>
              <w:tab w:val="clear" w:pos="8459"/>
              <w:tab w:val="right" w:pos="9026" w:leader="dot"/>
            </w:tabs>
            <w:rPr/>
          </w:pPr>
          <w:hyperlink w:anchor="__RefHeading___Toc3972783_1067777946">
            <w:r>
              <w:rPr>
                <w:webHidden/>
                <w:rStyle w:val="IndexLink"/>
                <w:rtl w:val="true"/>
              </w:rPr>
              <w:t>فصل هشتم حد وطى بهايم</w:t>
            </w:r>
            <w:r>
              <w:rPr>
                <w:rStyle w:val="IndexLink"/>
                <w:rtl w:val="true"/>
              </w:rPr>
              <w:tab/>
            </w:r>
            <w:r>
              <w:rPr>
                <w:rStyle w:val="IndexLink"/>
              </w:rPr>
              <w:t>384</w:t>
            </w:r>
          </w:hyperlink>
        </w:p>
        <w:p>
          <w:pPr>
            <w:pStyle w:val="Contents4"/>
            <w:tabs>
              <w:tab w:val="clear" w:pos="8176"/>
              <w:tab w:val="right" w:pos="9026" w:leader="dot"/>
            </w:tabs>
            <w:rPr/>
          </w:pPr>
          <w:hyperlink w:anchor="__RefHeading___Toc3972785_1067777946">
            <w:r>
              <w:rPr>
                <w:webHidden/>
                <w:rStyle w:val="IndexLink"/>
              </w:rPr>
              <w:t>1</w:t>
            </w:r>
            <w:r>
              <w:rPr>
                <w:rStyle w:val="IndexLink"/>
                <w:rtl w:val="true"/>
              </w:rPr>
              <w:t xml:space="preserve">. </w:t>
            </w:r>
            <w:r>
              <w:rPr>
                <w:rStyle w:val="IndexLink"/>
                <w:rtl w:val="true"/>
              </w:rPr>
              <w:t>احكام وطى بهيمه</w:t>
            </w:r>
            <w:r>
              <w:rPr>
                <w:rStyle w:val="IndexLink"/>
                <w:rtl w:val="true"/>
              </w:rPr>
              <w:tab/>
            </w:r>
            <w:r>
              <w:rPr>
                <w:rStyle w:val="IndexLink"/>
              </w:rPr>
              <w:t>384</w:t>
            </w:r>
          </w:hyperlink>
        </w:p>
        <w:p>
          <w:pPr>
            <w:pStyle w:val="Contents5"/>
            <w:tabs>
              <w:tab w:val="clear" w:pos="7892"/>
              <w:tab w:val="right" w:pos="9026" w:leader="dot"/>
            </w:tabs>
            <w:rPr/>
          </w:pPr>
          <w:hyperlink w:anchor="__RefHeading___Toc3972787_1067777946">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3972789_1067777946">
            <w:r>
              <w:rPr>
                <w:webHidden/>
                <w:rStyle w:val="IndexLink"/>
                <w:rtl w:val="true"/>
              </w:rPr>
              <w:t>وطى بهيمه توسط صبىّ و مجنون و مكرَه</w:t>
            </w:r>
            <w:r>
              <w:rPr>
                <w:rStyle w:val="IndexLink"/>
                <w:rtl w:val="true"/>
              </w:rPr>
              <w:tab/>
            </w:r>
            <w:r>
              <w:rPr>
                <w:rStyle w:val="IndexLink"/>
              </w:rPr>
              <w:t>384</w:t>
            </w:r>
          </w:hyperlink>
        </w:p>
        <w:p>
          <w:pPr>
            <w:pStyle w:val="Contents5"/>
            <w:tabs>
              <w:tab w:val="clear" w:pos="7892"/>
              <w:tab w:val="right" w:pos="9026" w:leader="dot"/>
            </w:tabs>
            <w:rPr/>
          </w:pPr>
          <w:hyperlink w:anchor="__RefHeading___Toc3972791_1067777946">
            <w:r>
              <w:rPr>
                <w:webHidden/>
                <w:rStyle w:val="IndexLink"/>
                <w:rtl w:val="true"/>
              </w:rPr>
              <w:t>ديگر احكام مترتب بر وطى بهيمه</w:t>
            </w:r>
            <w:r>
              <w:rPr>
                <w:rStyle w:val="IndexLink"/>
                <w:rtl w:val="true"/>
              </w:rPr>
              <w:tab/>
            </w:r>
            <w:r>
              <w:rPr>
                <w:rStyle w:val="IndexLink"/>
              </w:rPr>
              <w:t>384</w:t>
            </w:r>
          </w:hyperlink>
        </w:p>
        <w:p>
          <w:pPr>
            <w:pStyle w:val="Contents5"/>
            <w:tabs>
              <w:tab w:val="clear" w:pos="7892"/>
              <w:tab w:val="right" w:pos="9026" w:leader="dot"/>
            </w:tabs>
            <w:rPr/>
          </w:pPr>
          <w:hyperlink w:anchor="__RefHeading___Toc3972793_1067777946">
            <w:r>
              <w:rPr>
                <w:webHidden/>
                <w:rStyle w:val="IndexLink"/>
                <w:rtl w:val="true"/>
              </w:rPr>
              <w:t>حصول تحريم در موطوئه و نسل آن</w:t>
            </w:r>
            <w:r>
              <w:rPr>
                <w:rStyle w:val="IndexLink"/>
                <w:rtl w:val="true"/>
              </w:rPr>
              <w:tab/>
            </w:r>
            <w:r>
              <w:rPr>
                <w:rStyle w:val="IndexLink"/>
              </w:rPr>
              <w:t>385</w:t>
            </w:r>
          </w:hyperlink>
        </w:p>
        <w:p>
          <w:pPr>
            <w:pStyle w:val="Contents5"/>
            <w:tabs>
              <w:tab w:val="clear" w:pos="7892"/>
              <w:tab w:val="right" w:pos="9026" w:leader="dot"/>
            </w:tabs>
            <w:rPr/>
          </w:pPr>
          <w:hyperlink w:anchor="__RefHeading___Toc3972795_1067777946">
            <w:r>
              <w:rPr>
                <w:webHidden/>
                <w:rStyle w:val="IndexLink"/>
                <w:rtl w:val="true"/>
              </w:rPr>
              <w:t>عدم لزوم ذبح در آن چه مقصود براى اكل نيست</w:t>
            </w:r>
            <w:r>
              <w:rPr>
                <w:rStyle w:val="IndexLink"/>
                <w:rtl w:val="true"/>
              </w:rPr>
              <w:tab/>
            </w:r>
            <w:r>
              <w:rPr>
                <w:rStyle w:val="IndexLink"/>
              </w:rPr>
              <w:t>385</w:t>
            </w:r>
          </w:hyperlink>
        </w:p>
        <w:p>
          <w:pPr>
            <w:pStyle w:val="Contents5"/>
            <w:tabs>
              <w:tab w:val="clear" w:pos="7892"/>
              <w:tab w:val="right" w:pos="9026" w:leader="dot"/>
            </w:tabs>
            <w:rPr/>
          </w:pPr>
          <w:hyperlink w:anchor="__RefHeading___Toc3972797_1067777946">
            <w:r>
              <w:rPr>
                <w:webHidden/>
                <w:rStyle w:val="IndexLink"/>
                <w:rtl w:val="true"/>
              </w:rPr>
              <w:t>حكم ادّعاى فعل و انكار در فرض</w:t>
            </w:r>
            <w:r>
              <w:rPr>
                <w:rStyle w:val="IndexLink"/>
                <w:rtl w:val="true"/>
              </w:rPr>
              <w:tab/>
            </w:r>
            <w:r>
              <w:rPr>
                <w:rStyle w:val="IndexLink"/>
              </w:rPr>
              <w:t>386</w:t>
            </w:r>
          </w:hyperlink>
        </w:p>
        <w:p>
          <w:pPr>
            <w:pStyle w:val="Contents4"/>
            <w:tabs>
              <w:tab w:val="clear" w:pos="8176"/>
              <w:tab w:val="right" w:pos="9026" w:leader="dot"/>
            </w:tabs>
            <w:rPr/>
          </w:pPr>
          <w:hyperlink w:anchor="__RefHeading___Toc3972799_1067777946">
            <w:r>
              <w:rPr>
                <w:webHidden/>
                <w:rStyle w:val="IndexLink"/>
              </w:rPr>
              <w:t>2</w:t>
            </w:r>
            <w:r>
              <w:rPr>
                <w:rStyle w:val="IndexLink"/>
                <w:rtl w:val="true"/>
              </w:rPr>
              <w:t xml:space="preserve">. </w:t>
            </w:r>
            <w:r>
              <w:rPr>
                <w:rStyle w:val="IndexLink"/>
                <w:rtl w:val="true"/>
              </w:rPr>
              <w:t>ثبوت وطى بهيمه</w:t>
            </w:r>
            <w:r>
              <w:rPr>
                <w:rStyle w:val="IndexLink"/>
                <w:rtl w:val="true"/>
              </w:rPr>
              <w:tab/>
            </w:r>
            <w:r>
              <w:rPr>
                <w:rStyle w:val="IndexLink"/>
              </w:rPr>
              <w:t>386</w:t>
            </w:r>
          </w:hyperlink>
        </w:p>
        <w:p>
          <w:pPr>
            <w:pStyle w:val="Contents4"/>
            <w:tabs>
              <w:tab w:val="clear" w:pos="8176"/>
              <w:tab w:val="right" w:pos="9026" w:leader="dot"/>
            </w:tabs>
            <w:rPr/>
          </w:pPr>
          <w:hyperlink w:anchor="__RefHeading___Toc3972801_1067777946">
            <w:r>
              <w:rPr>
                <w:webHidden/>
                <w:rStyle w:val="IndexLink"/>
              </w:rPr>
              <w:t>3</w:t>
            </w:r>
            <w:r>
              <w:rPr>
                <w:rStyle w:val="IndexLink"/>
                <w:rtl w:val="true"/>
              </w:rPr>
              <w:t xml:space="preserve">. </w:t>
            </w:r>
            <w:r>
              <w:rPr>
                <w:rStyle w:val="IndexLink"/>
                <w:rtl w:val="true"/>
              </w:rPr>
              <w:t>احكام وطى ميّت و استمنا</w:t>
            </w:r>
            <w:r>
              <w:rPr>
                <w:rStyle w:val="IndexLink"/>
                <w:rtl w:val="true"/>
              </w:rPr>
              <w:tab/>
            </w:r>
            <w:r>
              <w:rPr>
                <w:rStyle w:val="IndexLink"/>
              </w:rPr>
              <w:t>387</w:t>
            </w:r>
          </w:hyperlink>
        </w:p>
        <w:p>
          <w:pPr>
            <w:pStyle w:val="Contents5"/>
            <w:tabs>
              <w:tab w:val="clear" w:pos="7892"/>
              <w:tab w:val="right" w:pos="9026" w:leader="dot"/>
            </w:tabs>
            <w:rPr/>
          </w:pPr>
          <w:hyperlink w:anchor="__RefHeading___Toc3972803_1067777946">
            <w:r>
              <w:rPr>
                <w:webHidden/>
                <w:rStyle w:val="IndexLink"/>
                <w:rtl w:val="true"/>
              </w:rPr>
              <w:t>وطى زن ميّت</w:t>
            </w:r>
            <w:r>
              <w:rPr>
                <w:rStyle w:val="IndexLink"/>
                <w:rtl w:val="true"/>
              </w:rPr>
              <w:tab/>
            </w:r>
            <w:r>
              <w:rPr>
                <w:rStyle w:val="IndexLink"/>
              </w:rPr>
              <w:t>387</w:t>
            </w:r>
          </w:hyperlink>
        </w:p>
        <w:p>
          <w:pPr>
            <w:pStyle w:val="Contents5"/>
            <w:tabs>
              <w:tab w:val="clear" w:pos="7892"/>
              <w:tab w:val="right" w:pos="9026" w:leader="dot"/>
            </w:tabs>
            <w:rPr/>
          </w:pPr>
          <w:hyperlink w:anchor="__RefHeading___Toc3972805_1067777946">
            <w:r>
              <w:rPr>
                <w:webHidden/>
                <w:rStyle w:val="IndexLink"/>
                <w:rtl w:val="true"/>
              </w:rPr>
              <w:t>حكم لواط با مرد ميّت</w:t>
            </w:r>
            <w:r>
              <w:rPr>
                <w:rStyle w:val="IndexLink"/>
                <w:rtl w:val="true"/>
              </w:rPr>
              <w:tab/>
            </w:r>
            <w:r>
              <w:rPr>
                <w:rStyle w:val="IndexLink"/>
              </w:rPr>
              <w:t>387</w:t>
            </w:r>
          </w:hyperlink>
        </w:p>
        <w:p>
          <w:pPr>
            <w:pStyle w:val="Contents5"/>
            <w:tabs>
              <w:tab w:val="clear" w:pos="7892"/>
              <w:tab w:val="right" w:pos="9026" w:leader="dot"/>
            </w:tabs>
            <w:rPr/>
          </w:pPr>
          <w:hyperlink w:anchor="__RefHeading___Toc3972807_1067777946">
            <w:r>
              <w:rPr>
                <w:webHidden/>
                <w:rStyle w:val="IndexLink"/>
                <w:rtl w:val="true"/>
              </w:rPr>
              <w:t>استمنا</w:t>
            </w:r>
            <w:r>
              <w:rPr>
                <w:rStyle w:val="IndexLink"/>
                <w:rtl w:val="true"/>
              </w:rPr>
              <w:tab/>
            </w:r>
            <w:r>
              <w:rPr>
                <w:rStyle w:val="IndexLink"/>
              </w:rPr>
              <w:t>387</w:t>
            </w:r>
          </w:hyperlink>
        </w:p>
        <w:p>
          <w:pPr>
            <w:pStyle w:val="Contents3"/>
            <w:tabs>
              <w:tab w:val="clear" w:pos="8459"/>
              <w:tab w:val="right" w:pos="9026" w:leader="dot"/>
            </w:tabs>
            <w:rPr/>
          </w:pPr>
          <w:hyperlink w:anchor="__RefHeading___Toc3972809_1067777946">
            <w:r>
              <w:rPr>
                <w:webHidden/>
                <w:rStyle w:val="IndexLink"/>
                <w:rtl w:val="true"/>
              </w:rPr>
              <w:t>فصل نهم حكم دفاع</w:t>
            </w:r>
            <w:r>
              <w:rPr>
                <w:rStyle w:val="IndexLink"/>
                <w:rtl w:val="true"/>
              </w:rPr>
              <w:tab/>
            </w:r>
            <w:r>
              <w:rPr>
                <w:rStyle w:val="IndexLink"/>
              </w:rPr>
              <w:t>388</w:t>
            </w:r>
          </w:hyperlink>
        </w:p>
        <w:p>
          <w:pPr>
            <w:pStyle w:val="Contents4"/>
            <w:tabs>
              <w:tab w:val="clear" w:pos="8176"/>
              <w:tab w:val="right" w:pos="9026" w:leader="dot"/>
            </w:tabs>
            <w:rPr/>
          </w:pPr>
          <w:hyperlink w:anchor="__RefHeading___Toc3972811_1067777946">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3972813_1067777946">
            <w:r>
              <w:rPr>
                <w:webHidden/>
                <w:rStyle w:val="IndexLink"/>
                <w:rtl w:val="true"/>
              </w:rPr>
              <w:t>دفاع از مال</w:t>
            </w:r>
            <w:r>
              <w:rPr>
                <w:rStyle w:val="IndexLink"/>
                <w:rtl w:val="true"/>
              </w:rPr>
              <w:tab/>
            </w:r>
            <w:r>
              <w:rPr>
                <w:rStyle w:val="IndexLink"/>
              </w:rPr>
              <w:t>388</w:t>
            </w:r>
          </w:hyperlink>
        </w:p>
        <w:p>
          <w:pPr>
            <w:pStyle w:val="Contents4"/>
            <w:tabs>
              <w:tab w:val="clear" w:pos="8176"/>
              <w:tab w:val="right" w:pos="9026" w:leader="dot"/>
            </w:tabs>
            <w:rPr/>
          </w:pPr>
          <w:hyperlink w:anchor="__RefHeading___Toc3972815_1067777946">
            <w:r>
              <w:rPr>
                <w:webHidden/>
                <w:rStyle w:val="IndexLink"/>
                <w:rtl w:val="true"/>
              </w:rPr>
              <w:t>دفاع از جان</w:t>
            </w:r>
            <w:r>
              <w:rPr>
                <w:rStyle w:val="IndexLink"/>
                <w:rtl w:val="true"/>
              </w:rPr>
              <w:tab/>
            </w:r>
            <w:r>
              <w:rPr>
                <w:rStyle w:val="IndexLink"/>
              </w:rPr>
              <w:t>388</w:t>
            </w:r>
          </w:hyperlink>
        </w:p>
        <w:p>
          <w:pPr>
            <w:pStyle w:val="Contents4"/>
            <w:tabs>
              <w:tab w:val="clear" w:pos="8176"/>
              <w:tab w:val="right" w:pos="9026" w:leader="dot"/>
            </w:tabs>
            <w:rPr/>
          </w:pPr>
          <w:hyperlink w:anchor="__RefHeading___Toc3972817_1067777946">
            <w:r>
              <w:rPr>
                <w:webHidden/>
                <w:rStyle w:val="IndexLink"/>
                <w:rtl w:val="true"/>
              </w:rPr>
              <w:t>دفاع از ناموس</w:t>
            </w:r>
            <w:r>
              <w:rPr>
                <w:rStyle w:val="IndexLink"/>
                <w:rtl w:val="true"/>
              </w:rPr>
              <w:tab/>
            </w:r>
            <w:r>
              <w:rPr>
                <w:rStyle w:val="IndexLink"/>
              </w:rPr>
              <w:t>388</w:t>
            </w:r>
          </w:hyperlink>
        </w:p>
        <w:p>
          <w:pPr>
            <w:pStyle w:val="Contents4"/>
            <w:tabs>
              <w:tab w:val="clear" w:pos="8176"/>
              <w:tab w:val="right" w:pos="9026" w:leader="dot"/>
            </w:tabs>
            <w:rPr/>
          </w:pPr>
          <w:hyperlink w:anchor="__RefHeading___Toc3972819_1067777946">
            <w:r>
              <w:rPr>
                <w:webHidden/>
                <w:rStyle w:val="IndexLink"/>
                <w:rtl w:val="true"/>
              </w:rPr>
              <w:t>وجوب دفاع</w:t>
            </w:r>
            <w:r>
              <w:rPr>
                <w:rStyle w:val="IndexLink"/>
                <w:rtl w:val="true"/>
              </w:rPr>
              <w:tab/>
            </w:r>
            <w:r>
              <w:rPr>
                <w:rStyle w:val="IndexLink"/>
              </w:rPr>
              <w:t>389</w:t>
            </w:r>
          </w:hyperlink>
        </w:p>
        <w:p>
          <w:pPr>
            <w:pStyle w:val="Contents4"/>
            <w:tabs>
              <w:tab w:val="clear" w:pos="8176"/>
              <w:tab w:val="right" w:pos="9026" w:leader="dot"/>
            </w:tabs>
            <w:rPr/>
          </w:pPr>
          <w:hyperlink w:anchor="__RefHeading___Toc3972821_1067777946">
            <w:r>
              <w:rPr>
                <w:webHidden/>
                <w:rStyle w:val="IndexLink"/>
                <w:rtl w:val="true"/>
              </w:rPr>
              <w:t>دفاع از عرض با خوف بر نفس</w:t>
            </w:r>
            <w:r>
              <w:rPr>
                <w:rStyle w:val="IndexLink"/>
                <w:rtl w:val="true"/>
              </w:rPr>
              <w:tab/>
            </w:r>
            <w:r>
              <w:rPr>
                <w:rStyle w:val="IndexLink"/>
              </w:rPr>
              <w:t>389</w:t>
            </w:r>
          </w:hyperlink>
        </w:p>
        <w:p>
          <w:pPr>
            <w:pStyle w:val="Contents4"/>
            <w:tabs>
              <w:tab w:val="clear" w:pos="8176"/>
              <w:tab w:val="right" w:pos="9026" w:leader="dot"/>
            </w:tabs>
            <w:rPr/>
          </w:pPr>
          <w:hyperlink w:anchor="__RefHeading___Toc3972823_1067777946">
            <w:r>
              <w:rPr>
                <w:webHidden/>
                <w:rStyle w:val="IndexLink"/>
                <w:rtl w:val="true"/>
              </w:rPr>
              <w:t>دفاع از مال واجب منتهى به نفس</w:t>
            </w:r>
            <w:r>
              <w:rPr>
                <w:rStyle w:val="IndexLink"/>
                <w:rtl w:val="true"/>
              </w:rPr>
              <w:tab/>
            </w:r>
            <w:r>
              <w:rPr>
                <w:rStyle w:val="IndexLink"/>
              </w:rPr>
              <w:t>389</w:t>
            </w:r>
          </w:hyperlink>
        </w:p>
        <w:p>
          <w:pPr>
            <w:pStyle w:val="Contents4"/>
            <w:tabs>
              <w:tab w:val="clear" w:pos="8176"/>
              <w:tab w:val="right" w:pos="9026" w:leader="dot"/>
            </w:tabs>
            <w:rPr/>
          </w:pPr>
          <w:hyperlink w:anchor="__RefHeading___Toc3972825_1067777946">
            <w:r>
              <w:rPr>
                <w:webHidden/>
                <w:rStyle w:val="IndexLink"/>
                <w:rtl w:val="true"/>
              </w:rPr>
              <w:t>وجوب دفاع از نفس با احتمال نجات</w:t>
            </w:r>
            <w:r>
              <w:rPr>
                <w:rStyle w:val="IndexLink"/>
                <w:rtl w:val="true"/>
              </w:rPr>
              <w:tab/>
            </w:r>
            <w:r>
              <w:rPr>
                <w:rStyle w:val="IndexLink"/>
              </w:rPr>
              <w:t>390</w:t>
            </w:r>
          </w:hyperlink>
        </w:p>
        <w:p>
          <w:pPr>
            <w:pStyle w:val="Contents4"/>
            <w:tabs>
              <w:tab w:val="clear" w:pos="8176"/>
              <w:tab w:val="right" w:pos="9026" w:leader="dot"/>
            </w:tabs>
            <w:rPr/>
          </w:pPr>
          <w:hyperlink w:anchor="__RefHeading___Toc3972827_1067777946">
            <w:r>
              <w:rPr>
                <w:webHidden/>
                <w:rStyle w:val="IndexLink"/>
                <w:rtl w:val="true"/>
              </w:rPr>
              <w:t>شروع دفاع</w:t>
            </w:r>
            <w:r>
              <w:rPr>
                <w:rStyle w:val="IndexLink"/>
                <w:rtl w:val="true"/>
              </w:rPr>
              <w:tab/>
            </w:r>
            <w:r>
              <w:rPr>
                <w:rStyle w:val="IndexLink"/>
              </w:rPr>
              <w:t>390</w:t>
            </w:r>
          </w:hyperlink>
        </w:p>
        <w:p>
          <w:pPr>
            <w:pStyle w:val="Contents4"/>
            <w:tabs>
              <w:tab w:val="clear" w:pos="8176"/>
              <w:tab w:val="right" w:pos="9026" w:leader="dot"/>
            </w:tabs>
            <w:rPr/>
          </w:pPr>
          <w:hyperlink w:anchor="__RefHeading___Toc3972829_1067777946">
            <w:r>
              <w:rPr>
                <w:webHidden/>
                <w:rStyle w:val="IndexLink"/>
                <w:rtl w:val="true"/>
              </w:rPr>
              <w:t>عدم جواز ضرب و جرح در حال فرار مهاجم</w:t>
            </w:r>
            <w:r>
              <w:rPr>
                <w:rStyle w:val="IndexLink"/>
                <w:rtl w:val="true"/>
              </w:rPr>
              <w:tab/>
            </w:r>
            <w:r>
              <w:rPr>
                <w:rStyle w:val="IndexLink"/>
              </w:rPr>
              <w:t>390</w:t>
            </w:r>
          </w:hyperlink>
        </w:p>
        <w:p>
          <w:pPr>
            <w:pStyle w:val="Contents4"/>
            <w:tabs>
              <w:tab w:val="clear" w:pos="8176"/>
              <w:tab w:val="right" w:pos="9026" w:leader="dot"/>
            </w:tabs>
            <w:rPr/>
          </w:pPr>
          <w:hyperlink w:anchor="__RefHeading___Toc3972831_1067777946">
            <w:r>
              <w:rPr>
                <w:webHidden/>
                <w:rStyle w:val="IndexLink"/>
                <w:rtl w:val="true"/>
              </w:rPr>
              <w:t>صور مختلف جرح در حال حمله و فرار و حكم هر كدام</w:t>
            </w:r>
            <w:r>
              <w:rPr>
                <w:rStyle w:val="IndexLink"/>
                <w:rtl w:val="true"/>
              </w:rPr>
              <w:tab/>
            </w:r>
            <w:r>
              <w:rPr>
                <w:rStyle w:val="IndexLink"/>
              </w:rPr>
              <w:t>390</w:t>
            </w:r>
          </w:hyperlink>
        </w:p>
        <w:p>
          <w:pPr>
            <w:pStyle w:val="Contents4"/>
            <w:tabs>
              <w:tab w:val="clear" w:pos="8176"/>
              <w:tab w:val="right" w:pos="9026" w:leader="dot"/>
            </w:tabs>
            <w:rPr/>
          </w:pPr>
          <w:hyperlink w:anchor="__RefHeading___Toc3972833_1067777946">
            <w:r>
              <w:rPr>
                <w:webHidden/>
                <w:rStyle w:val="IndexLink"/>
                <w:rtl w:val="true"/>
              </w:rPr>
              <w:t>چند مسأله در باب دفاع</w:t>
            </w:r>
            <w:r>
              <w:rPr>
                <w:rStyle w:val="IndexLink"/>
                <w:rtl w:val="true"/>
              </w:rPr>
              <w:tab/>
            </w:r>
            <w:r>
              <w:rPr>
                <w:rStyle w:val="IndexLink"/>
              </w:rPr>
              <w:t>391</w:t>
            </w:r>
          </w:hyperlink>
        </w:p>
        <w:p>
          <w:pPr>
            <w:pStyle w:val="Contents5"/>
            <w:tabs>
              <w:tab w:val="clear" w:pos="7892"/>
              <w:tab w:val="right" w:pos="9026" w:leader="dot"/>
            </w:tabs>
            <w:rPr/>
          </w:pPr>
          <w:hyperlink w:anchor="__RefHeading___Toc3972835_1067777946">
            <w:r>
              <w:rPr>
                <w:webHidden/>
                <w:rStyle w:val="IndexLink"/>
                <w:rtl w:val="true"/>
              </w:rPr>
              <w:t>قتل مجامع با زوجه</w:t>
            </w:r>
            <w:r>
              <w:rPr>
                <w:rStyle w:val="IndexLink"/>
                <w:rtl w:val="true"/>
              </w:rPr>
              <w:tab/>
            </w:r>
            <w:r>
              <w:rPr>
                <w:rStyle w:val="IndexLink"/>
              </w:rPr>
              <w:t>391</w:t>
            </w:r>
          </w:hyperlink>
        </w:p>
        <w:p>
          <w:pPr>
            <w:pStyle w:val="Contents5"/>
            <w:tabs>
              <w:tab w:val="clear" w:pos="7892"/>
              <w:tab w:val="right" w:pos="9026" w:leader="dot"/>
            </w:tabs>
            <w:rPr/>
          </w:pPr>
          <w:hyperlink w:anchor="__RefHeading___Toc3972837_1067777946">
            <w:r>
              <w:rPr>
                <w:webHidden/>
                <w:rStyle w:val="IndexLink"/>
                <w:rtl w:val="true"/>
              </w:rPr>
              <w:t>ناظر به عورتهاى محرّمه</w:t>
            </w:r>
            <w:r>
              <w:rPr>
                <w:rStyle w:val="IndexLink"/>
                <w:rtl w:val="true"/>
              </w:rPr>
              <w:tab/>
            </w:r>
            <w:r>
              <w:rPr>
                <w:rStyle w:val="IndexLink"/>
              </w:rPr>
              <w:t>392</w:t>
            </w:r>
          </w:hyperlink>
        </w:p>
        <w:p>
          <w:pPr>
            <w:pStyle w:val="Contents6"/>
            <w:tabs>
              <w:tab w:val="clear" w:pos="7609"/>
              <w:tab w:val="right" w:pos="9026" w:leader="dot"/>
            </w:tabs>
            <w:rPr/>
          </w:pPr>
          <w:hyperlink w:anchor="__RefHeading___Toc3972839_1067777946">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3972841_1067777946">
            <w:r>
              <w:rPr>
                <w:webHidden/>
                <w:rStyle w:val="IndexLink"/>
                <w:rtl w:val="true"/>
              </w:rPr>
              <w:t>برهنگى در ملأ عام</w:t>
            </w:r>
            <w:r>
              <w:rPr>
                <w:rStyle w:val="IndexLink"/>
                <w:rtl w:val="true"/>
              </w:rPr>
              <w:tab/>
            </w:r>
            <w:r>
              <w:rPr>
                <w:rStyle w:val="IndexLink"/>
              </w:rPr>
              <w:t>392</w:t>
            </w:r>
          </w:hyperlink>
        </w:p>
        <w:p>
          <w:pPr>
            <w:pStyle w:val="Contents5"/>
            <w:tabs>
              <w:tab w:val="clear" w:pos="7892"/>
              <w:tab w:val="right" w:pos="9026" w:leader="dot"/>
            </w:tabs>
            <w:rPr/>
          </w:pPr>
          <w:hyperlink w:anchor="__RefHeading___Toc3972843_1067777946">
            <w:r>
              <w:rPr>
                <w:webHidden/>
                <w:rStyle w:val="IndexLink"/>
                <w:rtl w:val="true"/>
              </w:rPr>
              <w:t>ادّعاى مهاجم بودن مقتولِ در منزل</w:t>
            </w:r>
            <w:r>
              <w:rPr>
                <w:rStyle w:val="IndexLink"/>
                <w:rtl w:val="true"/>
              </w:rPr>
              <w:tab/>
            </w:r>
            <w:r>
              <w:rPr>
                <w:rStyle w:val="IndexLink"/>
              </w:rPr>
              <w:t>393</w:t>
            </w:r>
          </w:hyperlink>
        </w:p>
        <w:p>
          <w:pPr>
            <w:pStyle w:val="Contents5"/>
            <w:tabs>
              <w:tab w:val="clear" w:pos="7892"/>
              <w:tab w:val="right" w:pos="9026" w:leader="dot"/>
            </w:tabs>
            <w:rPr/>
          </w:pPr>
          <w:hyperlink w:anchor="__RefHeading___Toc3972845_1067777946">
            <w:r>
              <w:rPr>
                <w:webHidden/>
                <w:rStyle w:val="IndexLink"/>
                <w:rtl w:val="true"/>
              </w:rPr>
              <w:t>جواز دفع مركب</w:t>
            </w:r>
            <w:r>
              <w:rPr>
                <w:rStyle w:val="IndexLink"/>
                <w:rtl w:val="true"/>
              </w:rPr>
              <w:tab/>
            </w:r>
            <w:r>
              <w:rPr>
                <w:rStyle w:val="IndexLink"/>
              </w:rPr>
              <w:t>393</w:t>
            </w:r>
          </w:hyperlink>
        </w:p>
        <w:p>
          <w:pPr>
            <w:pStyle w:val="Contents5"/>
            <w:tabs>
              <w:tab w:val="clear" w:pos="7892"/>
              <w:tab w:val="right" w:pos="9026" w:leader="dot"/>
            </w:tabs>
            <w:rPr/>
          </w:pPr>
          <w:hyperlink w:anchor="__RefHeading___Toc3972847_1067777946">
            <w:r>
              <w:rPr>
                <w:webHidden/>
                <w:rStyle w:val="IndexLink"/>
                <w:rtl w:val="true"/>
              </w:rPr>
              <w:t>ضمان و عدم ضمان دندان در فرض گاز گرفتن</w:t>
            </w:r>
            <w:r>
              <w:rPr>
                <w:rStyle w:val="IndexLink"/>
                <w:rtl w:val="true"/>
              </w:rPr>
              <w:tab/>
            </w:r>
            <w:r>
              <w:rPr>
                <w:rStyle w:val="IndexLink"/>
              </w:rPr>
              <w:t>393</w:t>
            </w:r>
          </w:hyperlink>
        </w:p>
        <w:p>
          <w:pPr>
            <w:pStyle w:val="Contents5"/>
            <w:tabs>
              <w:tab w:val="clear" w:pos="7892"/>
              <w:tab w:val="right" w:pos="9026" w:leader="dot"/>
            </w:tabs>
            <w:rPr/>
          </w:pPr>
          <w:hyperlink w:anchor="__RefHeading___Toc3972849_1067777946">
            <w:r>
              <w:rPr>
                <w:webHidden/>
                <w:rStyle w:val="IndexLink"/>
                <w:rtl w:val="true"/>
              </w:rPr>
              <w:t>حكم مقاتلين مسلمان</w:t>
            </w:r>
            <w:r>
              <w:rPr>
                <w:rStyle w:val="IndexLink"/>
                <w:rtl w:val="true"/>
              </w:rPr>
              <w:tab/>
            </w:r>
            <w:r>
              <w:rPr>
                <w:rStyle w:val="IndexLink"/>
              </w:rPr>
              <w:t>394</w:t>
            </w:r>
          </w:hyperlink>
        </w:p>
        <w:p>
          <w:pPr>
            <w:pStyle w:val="Contents5"/>
            <w:tabs>
              <w:tab w:val="clear" w:pos="7892"/>
              <w:tab w:val="right" w:pos="9026" w:leader="dot"/>
            </w:tabs>
            <w:rPr/>
          </w:pPr>
          <w:hyperlink w:anchor="__RefHeading___Toc3972851_1067777946">
            <w:r>
              <w:rPr>
                <w:webHidden/>
                <w:rStyle w:val="IndexLink"/>
                <w:rtl w:val="true"/>
              </w:rPr>
              <w:t>ضمان و عدم ضمان در مأمور توسط نايب و غير او</w:t>
            </w:r>
            <w:r>
              <w:rPr>
                <w:rStyle w:val="IndexLink"/>
                <w:rtl w:val="true"/>
              </w:rPr>
              <w:tab/>
            </w:r>
            <w:r>
              <w:rPr>
                <w:rStyle w:val="IndexLink"/>
              </w:rPr>
              <w:t>394</w:t>
            </w:r>
          </w:hyperlink>
        </w:p>
        <w:p>
          <w:pPr>
            <w:pStyle w:val="Contents5"/>
            <w:tabs>
              <w:tab w:val="clear" w:pos="7892"/>
              <w:tab w:val="right" w:pos="9026" w:leader="dot"/>
            </w:tabs>
            <w:rPr/>
          </w:pPr>
          <w:hyperlink w:anchor="__RefHeading___Toc3972853_1067777946">
            <w:r>
              <w:rPr>
                <w:webHidden/>
                <w:rStyle w:val="IndexLink"/>
                <w:rtl w:val="true"/>
              </w:rPr>
              <w:t>ضمان در فرض ضرب براى تأديب</w:t>
            </w:r>
            <w:r>
              <w:rPr>
                <w:rStyle w:val="IndexLink"/>
                <w:rtl w:val="true"/>
              </w:rPr>
              <w:tab/>
            </w:r>
            <w:r>
              <w:rPr>
                <w:rStyle w:val="IndexLink"/>
              </w:rPr>
              <w:t>395</w:t>
            </w:r>
          </w:hyperlink>
        </w:p>
        <w:p>
          <w:pPr>
            <w:pStyle w:val="Contents5"/>
            <w:tabs>
              <w:tab w:val="clear" w:pos="7892"/>
              <w:tab w:val="right" w:pos="9026" w:leader="dot"/>
            </w:tabs>
            <w:rPr/>
          </w:pPr>
          <w:hyperlink w:anchor="__RefHeading___Toc3972855_1067777946">
            <w:r>
              <w:rPr>
                <w:webHidden/>
                <w:rStyle w:val="IndexLink"/>
                <w:rtl w:val="true"/>
              </w:rPr>
              <w:t>ضمان و عدم ضمان در قطع عضو مريض</w:t>
            </w:r>
            <w:r>
              <w:rPr>
                <w:rStyle w:val="IndexLink"/>
                <w:rtl w:val="true"/>
              </w:rPr>
              <w:tab/>
            </w:r>
            <w:r>
              <w:rPr>
                <w:rStyle w:val="IndexLink"/>
              </w:rPr>
              <w:t>395</w:t>
            </w:r>
          </w:hyperlink>
        </w:p>
        <w:p>
          <w:pPr>
            <w:pStyle w:val="Contents5"/>
            <w:tabs>
              <w:tab w:val="clear" w:pos="7892"/>
              <w:tab w:val="right" w:pos="9026" w:leader="dot"/>
            </w:tabs>
            <w:rPr/>
          </w:pPr>
          <w:hyperlink w:anchor="__RefHeading___Toc3972857_1067777946">
            <w:r>
              <w:rPr>
                <w:webHidden/>
                <w:rStyle w:val="IndexLink"/>
                <w:rtl w:val="true"/>
              </w:rPr>
              <w:t>حق ختان كامل ممتنع براى حاكم</w:t>
            </w:r>
            <w:r>
              <w:rPr>
                <w:rStyle w:val="IndexLink"/>
                <w:rtl w:val="true"/>
              </w:rPr>
              <w:tab/>
            </w:r>
            <w:r>
              <w:rPr>
                <w:rStyle w:val="IndexLink"/>
              </w:rPr>
              <w:t>396</w:t>
            </w:r>
          </w:hyperlink>
        </w:p>
        <w:p>
          <w:pPr>
            <w:pStyle w:val="Contents2"/>
            <w:tabs>
              <w:tab w:val="clear" w:pos="8743"/>
              <w:tab w:val="right" w:pos="9026" w:leader="dot"/>
            </w:tabs>
            <w:rPr/>
          </w:pPr>
          <w:hyperlink w:anchor="__RefHeading___Toc3972859_1067777946">
            <w:r>
              <w:rPr>
                <w:webHidden/>
                <w:rStyle w:val="IndexLink"/>
                <w:rtl w:val="true"/>
              </w:rPr>
              <w:t>كتاب قصاص</w:t>
            </w:r>
            <w:r>
              <w:rPr>
                <w:rStyle w:val="IndexLink"/>
                <w:rtl w:val="true"/>
              </w:rPr>
              <w:tab/>
            </w:r>
            <w:r>
              <w:rPr>
                <w:rStyle w:val="IndexLink"/>
              </w:rPr>
              <w:t>398</w:t>
            </w:r>
          </w:hyperlink>
        </w:p>
        <w:p>
          <w:pPr>
            <w:pStyle w:val="Contents3"/>
            <w:tabs>
              <w:tab w:val="clear" w:pos="8459"/>
              <w:tab w:val="right" w:pos="9026" w:leader="dot"/>
            </w:tabs>
            <w:rPr/>
          </w:pPr>
          <w:hyperlink w:anchor="__RefHeading___Toc3972861_1067777946">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3972863_1067777946">
            <w:r>
              <w:rPr>
                <w:webHidden/>
                <w:rStyle w:val="IndexLink"/>
                <w:rtl w:val="true"/>
              </w:rPr>
              <w:t>فصل اوّل موجبات قصاص نفس</w:t>
            </w:r>
            <w:r>
              <w:rPr>
                <w:rStyle w:val="IndexLink"/>
                <w:rtl w:val="true"/>
              </w:rPr>
              <w:tab/>
            </w:r>
            <w:r>
              <w:rPr>
                <w:rStyle w:val="IndexLink"/>
              </w:rPr>
              <w:t>400</w:t>
            </w:r>
          </w:hyperlink>
        </w:p>
        <w:p>
          <w:pPr>
            <w:pStyle w:val="Contents4"/>
            <w:tabs>
              <w:tab w:val="clear" w:pos="8176"/>
              <w:tab w:val="right" w:pos="9026" w:leader="dot"/>
            </w:tabs>
            <w:rPr/>
          </w:pPr>
          <w:hyperlink w:anchor="__RefHeading___Toc3972865_1067777946">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3972867_1067777946">
            <w:r>
              <w:rPr>
                <w:webHidden/>
                <w:rStyle w:val="IndexLink"/>
              </w:rPr>
              <w:t>1</w:t>
            </w:r>
            <w:r>
              <w:rPr>
                <w:rStyle w:val="IndexLink"/>
                <w:rtl w:val="true"/>
              </w:rPr>
              <w:t xml:space="preserve">. </w:t>
            </w:r>
            <w:r>
              <w:rPr>
                <w:rStyle w:val="IndexLink"/>
                <w:rtl w:val="true"/>
              </w:rPr>
              <w:t>موجبات قصاص نفس</w:t>
            </w:r>
            <w:r>
              <w:rPr>
                <w:rStyle w:val="IndexLink"/>
                <w:rtl w:val="true"/>
              </w:rPr>
              <w:tab/>
            </w:r>
            <w:r>
              <w:rPr>
                <w:rStyle w:val="IndexLink"/>
              </w:rPr>
              <w:t>400</w:t>
            </w:r>
          </w:hyperlink>
        </w:p>
        <w:p>
          <w:pPr>
            <w:pStyle w:val="Contents5"/>
            <w:tabs>
              <w:tab w:val="clear" w:pos="7892"/>
              <w:tab w:val="right" w:pos="9026" w:leader="dot"/>
            </w:tabs>
            <w:rPr/>
          </w:pPr>
          <w:hyperlink w:anchor="__RefHeading___Toc3972869_1067777946">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3972871_1067777946">
            <w:r>
              <w:rPr>
                <w:webHidden/>
                <w:rStyle w:val="IndexLink"/>
                <w:rtl w:val="true"/>
              </w:rPr>
              <w:t>تحقّق قتل عمد</w:t>
            </w:r>
            <w:r>
              <w:rPr>
                <w:rStyle w:val="IndexLink"/>
                <w:rtl w:val="true"/>
              </w:rPr>
              <w:tab/>
            </w:r>
            <w:r>
              <w:rPr>
                <w:rStyle w:val="IndexLink"/>
              </w:rPr>
              <w:t>400</w:t>
            </w:r>
          </w:hyperlink>
        </w:p>
        <w:p>
          <w:pPr>
            <w:pStyle w:val="Contents5"/>
            <w:tabs>
              <w:tab w:val="clear" w:pos="7892"/>
              <w:tab w:val="right" w:pos="9026" w:leader="dot"/>
            </w:tabs>
            <w:rPr/>
          </w:pPr>
          <w:hyperlink w:anchor="__RefHeading___Toc3972873_1067777946">
            <w:r>
              <w:rPr>
                <w:webHidden/>
                <w:rStyle w:val="IndexLink"/>
                <w:rtl w:val="true"/>
              </w:rPr>
              <w:t>چند نمونه از مباشرت عمديه در قتل</w:t>
            </w:r>
            <w:r>
              <w:rPr>
                <w:rStyle w:val="IndexLink"/>
                <w:rtl w:val="true"/>
              </w:rPr>
              <w:tab/>
            </w:r>
            <w:r>
              <w:rPr>
                <w:rStyle w:val="IndexLink"/>
              </w:rPr>
              <w:t>401</w:t>
            </w:r>
          </w:hyperlink>
        </w:p>
        <w:p>
          <w:pPr>
            <w:pStyle w:val="Contents4"/>
            <w:tabs>
              <w:tab w:val="clear" w:pos="8176"/>
              <w:tab w:val="right" w:pos="9026" w:leader="dot"/>
            </w:tabs>
            <w:rPr/>
          </w:pPr>
          <w:hyperlink w:anchor="__RefHeading___Toc3972875_1067777946">
            <w:r>
              <w:rPr>
                <w:webHidden/>
                <w:rStyle w:val="IndexLink"/>
              </w:rPr>
              <w:t>2</w:t>
            </w:r>
            <w:r>
              <w:rPr>
                <w:rStyle w:val="IndexLink"/>
                <w:rtl w:val="true"/>
              </w:rPr>
              <w:t xml:space="preserve">. </w:t>
            </w:r>
            <w:r>
              <w:rPr>
                <w:rStyle w:val="IndexLink"/>
                <w:rtl w:val="true"/>
              </w:rPr>
              <w:t>مراتب تسبيب عمدى در قتل</w:t>
            </w:r>
            <w:r>
              <w:rPr>
                <w:rStyle w:val="IndexLink"/>
                <w:rtl w:val="true"/>
              </w:rPr>
              <w:tab/>
            </w:r>
            <w:r>
              <w:rPr>
                <w:rStyle w:val="IndexLink"/>
              </w:rPr>
              <w:t>401</w:t>
            </w:r>
          </w:hyperlink>
        </w:p>
        <w:p>
          <w:pPr>
            <w:pStyle w:val="Contents5"/>
            <w:tabs>
              <w:tab w:val="clear" w:pos="7892"/>
              <w:tab w:val="right" w:pos="9026" w:leader="dot"/>
            </w:tabs>
            <w:rPr/>
          </w:pPr>
          <w:hyperlink w:anchor="__RefHeading___Toc3972877_1067777946">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3972879_1067777946">
            <w:r>
              <w:rPr>
                <w:webHidden/>
                <w:rStyle w:val="IndexLink"/>
                <w:rtl w:val="true"/>
              </w:rPr>
              <w:t>مرتبۀ اُولى</w:t>
            </w:r>
            <w:r>
              <w:rPr>
                <w:rStyle w:val="IndexLink"/>
                <w:rtl w:val="true"/>
              </w:rPr>
              <w:tab/>
            </w:r>
            <w:r>
              <w:rPr>
                <w:rStyle w:val="IndexLink"/>
              </w:rPr>
              <w:t>401</w:t>
            </w:r>
          </w:hyperlink>
        </w:p>
        <w:p>
          <w:pPr>
            <w:pStyle w:val="Contents6"/>
            <w:tabs>
              <w:tab w:val="clear" w:pos="7609"/>
              <w:tab w:val="right" w:pos="9026" w:leader="dot"/>
            </w:tabs>
            <w:rPr/>
          </w:pPr>
          <w:hyperlink w:anchor="__RefHeading___Toc3972881_1067777946">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3972883_1067777946">
            <w:r>
              <w:rPr>
                <w:webHidden/>
                <w:rStyle w:val="IndexLink"/>
                <w:rtl w:val="true"/>
              </w:rPr>
              <w:t>صورت اوّل تيراندازى</w:t>
            </w:r>
            <w:r>
              <w:rPr>
                <w:rStyle w:val="IndexLink"/>
                <w:rtl w:val="true"/>
              </w:rPr>
              <w:tab/>
            </w:r>
            <w:r>
              <w:rPr>
                <w:rStyle w:val="IndexLink"/>
              </w:rPr>
              <w:t>401</w:t>
            </w:r>
          </w:hyperlink>
        </w:p>
        <w:p>
          <w:pPr>
            <w:pStyle w:val="Contents6"/>
            <w:tabs>
              <w:tab w:val="clear" w:pos="7609"/>
              <w:tab w:val="right" w:pos="9026" w:leader="dot"/>
            </w:tabs>
            <w:rPr/>
          </w:pPr>
          <w:hyperlink w:anchor="__RefHeading___Toc3972885_1067777946">
            <w:r>
              <w:rPr>
                <w:webHidden/>
                <w:rStyle w:val="IndexLink"/>
                <w:rtl w:val="true"/>
              </w:rPr>
              <w:t>صورت دوّم</w:t>
            </w:r>
            <w:r>
              <w:rPr>
                <w:rStyle w:val="IndexLink"/>
                <w:rtl w:val="true"/>
              </w:rPr>
              <w:tab/>
            </w:r>
            <w:r>
              <w:rPr>
                <w:rStyle w:val="IndexLink"/>
              </w:rPr>
              <w:t>402</w:t>
            </w:r>
          </w:hyperlink>
        </w:p>
        <w:p>
          <w:pPr>
            <w:pStyle w:val="Contents6"/>
            <w:tabs>
              <w:tab w:val="clear" w:pos="7609"/>
              <w:tab w:val="right" w:pos="9026" w:leader="dot"/>
            </w:tabs>
            <w:rPr/>
          </w:pPr>
          <w:hyperlink w:anchor="__RefHeading___Toc3972887_1067777946">
            <w:r>
              <w:rPr>
                <w:webHidden/>
                <w:rStyle w:val="IndexLink"/>
                <w:rtl w:val="true"/>
              </w:rPr>
              <w:t>نبودن قصد و غالبى نبودن زدن و آلت</w:t>
            </w:r>
            <w:r>
              <w:rPr>
                <w:rStyle w:val="IndexLink"/>
                <w:rtl w:val="true"/>
              </w:rPr>
              <w:tab/>
            </w:r>
            <w:r>
              <w:rPr>
                <w:rStyle w:val="IndexLink"/>
              </w:rPr>
              <w:t>402</w:t>
            </w:r>
          </w:hyperlink>
        </w:p>
        <w:p>
          <w:pPr>
            <w:pStyle w:val="Contents6"/>
            <w:tabs>
              <w:tab w:val="clear" w:pos="7609"/>
              <w:tab w:val="right" w:pos="9026" w:leader="dot"/>
            </w:tabs>
            <w:rPr/>
          </w:pPr>
          <w:hyperlink w:anchor="__RefHeading___Toc3972889_1067777946">
            <w:r>
              <w:rPr>
                <w:webHidden/>
                <w:rStyle w:val="IndexLink"/>
                <w:rtl w:val="true"/>
              </w:rPr>
              <w:t>مريض شدن در اثر زدن و فوت بعد از آن</w:t>
            </w:r>
            <w:r>
              <w:rPr>
                <w:rStyle w:val="IndexLink"/>
                <w:rtl w:val="true"/>
              </w:rPr>
              <w:tab/>
            </w:r>
            <w:r>
              <w:rPr>
                <w:rStyle w:val="IndexLink"/>
              </w:rPr>
              <w:t>402</w:t>
            </w:r>
          </w:hyperlink>
        </w:p>
        <w:p>
          <w:pPr>
            <w:pStyle w:val="Contents6"/>
            <w:tabs>
              <w:tab w:val="clear" w:pos="7609"/>
              <w:tab w:val="right" w:pos="9026" w:leader="dot"/>
            </w:tabs>
            <w:rPr/>
          </w:pPr>
          <w:hyperlink w:anchor="__RefHeading___Toc3972891_1067777946">
            <w:r>
              <w:rPr>
                <w:webHidden/>
                <w:rStyle w:val="IndexLink"/>
                <w:rtl w:val="true"/>
              </w:rPr>
              <w:t>حبس و منع از غذا و آب</w:t>
            </w:r>
            <w:r>
              <w:rPr>
                <w:rStyle w:val="IndexLink"/>
                <w:rtl w:val="true"/>
              </w:rPr>
              <w:tab/>
            </w:r>
            <w:r>
              <w:rPr>
                <w:rStyle w:val="IndexLink"/>
              </w:rPr>
              <w:t>402</w:t>
            </w:r>
          </w:hyperlink>
        </w:p>
        <w:p>
          <w:pPr>
            <w:pStyle w:val="Contents6"/>
            <w:tabs>
              <w:tab w:val="clear" w:pos="7609"/>
              <w:tab w:val="right" w:pos="9026" w:leader="dot"/>
            </w:tabs>
            <w:rPr/>
          </w:pPr>
          <w:hyperlink w:anchor="__RefHeading___Toc3972893_1067777946">
            <w:r>
              <w:rPr>
                <w:webHidden/>
                <w:rStyle w:val="IndexLink"/>
                <w:rtl w:val="true"/>
              </w:rPr>
              <w:t>صورت سوّم</w:t>
            </w:r>
            <w:r>
              <w:rPr>
                <w:rStyle w:val="IndexLink"/>
                <w:rtl w:val="true"/>
              </w:rPr>
              <w:tab/>
            </w:r>
            <w:r>
              <w:rPr>
                <w:rStyle w:val="IndexLink"/>
              </w:rPr>
              <w:t>402</w:t>
            </w:r>
          </w:hyperlink>
        </w:p>
        <w:p>
          <w:pPr>
            <w:pStyle w:val="Contents6"/>
            <w:tabs>
              <w:tab w:val="clear" w:pos="7609"/>
              <w:tab w:val="right" w:pos="9026" w:leader="dot"/>
            </w:tabs>
            <w:rPr/>
          </w:pPr>
          <w:hyperlink w:anchor="__RefHeading___Toc3972895_1067777946">
            <w:r>
              <w:rPr>
                <w:webHidden/>
                <w:rStyle w:val="IndexLink"/>
                <w:rtl w:val="true"/>
              </w:rPr>
              <w:t>انداختن در آتش</w:t>
            </w:r>
            <w:r>
              <w:rPr>
                <w:rStyle w:val="IndexLink"/>
                <w:rtl w:val="true"/>
              </w:rPr>
              <w:tab/>
            </w:r>
            <w:r>
              <w:rPr>
                <w:rStyle w:val="IndexLink"/>
              </w:rPr>
              <w:t>402</w:t>
            </w:r>
          </w:hyperlink>
        </w:p>
        <w:p>
          <w:pPr>
            <w:pStyle w:val="Contents6"/>
            <w:tabs>
              <w:tab w:val="clear" w:pos="7609"/>
              <w:tab w:val="right" w:pos="9026" w:leader="dot"/>
            </w:tabs>
            <w:rPr/>
          </w:pPr>
          <w:hyperlink w:anchor="__RefHeading___Toc3972897_1067777946">
            <w:r>
              <w:rPr>
                <w:webHidden/>
                <w:rStyle w:val="IndexLink"/>
                <w:rtl w:val="true"/>
              </w:rPr>
              <w:t>انداختن در رود و نهر</w:t>
            </w:r>
            <w:r>
              <w:rPr>
                <w:rStyle w:val="IndexLink"/>
                <w:rtl w:val="true"/>
              </w:rPr>
              <w:tab/>
            </w:r>
            <w:r>
              <w:rPr>
                <w:rStyle w:val="IndexLink"/>
              </w:rPr>
              <w:t>403</w:t>
            </w:r>
          </w:hyperlink>
        </w:p>
        <w:p>
          <w:pPr>
            <w:pStyle w:val="Contents6"/>
            <w:tabs>
              <w:tab w:val="clear" w:pos="7609"/>
              <w:tab w:val="right" w:pos="9026" w:leader="dot"/>
            </w:tabs>
            <w:rPr/>
          </w:pPr>
          <w:hyperlink w:anchor="__RefHeading___Toc3972899_1067777946">
            <w:r>
              <w:rPr>
                <w:webHidden/>
                <w:rStyle w:val="IndexLink"/>
                <w:rtl w:val="true"/>
              </w:rPr>
              <w:t>سرايت كردن جرح به نفس</w:t>
            </w:r>
            <w:r>
              <w:rPr>
                <w:rStyle w:val="IndexLink"/>
                <w:rtl w:val="true"/>
              </w:rPr>
              <w:tab/>
            </w:r>
            <w:r>
              <w:rPr>
                <w:rStyle w:val="IndexLink"/>
              </w:rPr>
              <w:t>403</w:t>
            </w:r>
          </w:hyperlink>
        </w:p>
        <w:p>
          <w:pPr>
            <w:pStyle w:val="Contents6"/>
            <w:tabs>
              <w:tab w:val="clear" w:pos="7609"/>
              <w:tab w:val="right" w:pos="9026" w:leader="dot"/>
            </w:tabs>
            <w:rPr/>
          </w:pPr>
          <w:hyperlink w:anchor="__RefHeading___Toc3972901_1067777946">
            <w:r>
              <w:rPr>
                <w:webHidden/>
                <w:rStyle w:val="IndexLink"/>
                <w:rtl w:val="true"/>
              </w:rPr>
              <w:t>فوت بعد از حجامت</w:t>
            </w:r>
            <w:r>
              <w:rPr>
                <w:rStyle w:val="IndexLink"/>
                <w:rtl w:val="true"/>
              </w:rPr>
              <w:tab/>
            </w:r>
            <w:r>
              <w:rPr>
                <w:rStyle w:val="IndexLink"/>
              </w:rPr>
              <w:t>404</w:t>
            </w:r>
          </w:hyperlink>
        </w:p>
        <w:p>
          <w:pPr>
            <w:pStyle w:val="Contents6"/>
            <w:tabs>
              <w:tab w:val="clear" w:pos="7609"/>
              <w:tab w:val="right" w:pos="9026" w:leader="dot"/>
            </w:tabs>
            <w:rPr/>
          </w:pPr>
          <w:hyperlink w:anchor="__RefHeading___Toc3972903_1067777946">
            <w:r>
              <w:rPr>
                <w:webHidden/>
                <w:rStyle w:val="IndexLink"/>
                <w:rtl w:val="true"/>
              </w:rPr>
              <w:t>صورت چهارم سرايت جنايت عمديّه</w:t>
            </w:r>
            <w:r>
              <w:rPr>
                <w:rStyle w:val="IndexLink"/>
                <w:rtl w:val="true"/>
              </w:rPr>
              <w:tab/>
            </w:r>
            <w:r>
              <w:rPr>
                <w:rStyle w:val="IndexLink"/>
              </w:rPr>
              <w:t>404</w:t>
            </w:r>
          </w:hyperlink>
        </w:p>
        <w:p>
          <w:pPr>
            <w:pStyle w:val="Contents6"/>
            <w:tabs>
              <w:tab w:val="clear" w:pos="7609"/>
              <w:tab w:val="right" w:pos="9026" w:leader="dot"/>
            </w:tabs>
            <w:rPr/>
          </w:pPr>
          <w:hyperlink w:anchor="__RefHeading___Toc3972905_1067777946">
            <w:r>
              <w:rPr>
                <w:webHidden/>
                <w:rStyle w:val="IndexLink"/>
                <w:rtl w:val="true"/>
              </w:rPr>
              <w:t>صورت پنجم</w:t>
            </w:r>
            <w:r>
              <w:rPr>
                <w:rStyle w:val="IndexLink"/>
                <w:rtl w:val="true"/>
              </w:rPr>
              <w:tab/>
            </w:r>
            <w:r>
              <w:rPr>
                <w:rStyle w:val="IndexLink"/>
              </w:rPr>
              <w:t>404</w:t>
            </w:r>
          </w:hyperlink>
        </w:p>
        <w:p>
          <w:pPr>
            <w:pStyle w:val="Contents6"/>
            <w:tabs>
              <w:tab w:val="clear" w:pos="7609"/>
              <w:tab w:val="right" w:pos="9026" w:leader="dot"/>
            </w:tabs>
            <w:rPr/>
          </w:pPr>
          <w:hyperlink w:anchor="__RefHeading___Toc3972907_1067777946">
            <w:r>
              <w:rPr>
                <w:webHidden/>
                <w:rStyle w:val="IndexLink"/>
                <w:rtl w:val="true"/>
              </w:rPr>
              <w:t>پرتاب خود از بالا روى كسى</w:t>
            </w:r>
            <w:r>
              <w:rPr>
                <w:rStyle w:val="IndexLink"/>
                <w:rtl w:val="true"/>
              </w:rPr>
              <w:tab/>
            </w:r>
            <w:r>
              <w:rPr>
                <w:rStyle w:val="IndexLink"/>
              </w:rPr>
              <w:t>404</w:t>
            </w:r>
          </w:hyperlink>
        </w:p>
        <w:p>
          <w:pPr>
            <w:pStyle w:val="Contents6"/>
            <w:tabs>
              <w:tab w:val="clear" w:pos="7609"/>
              <w:tab w:val="right" w:pos="9026" w:leader="dot"/>
            </w:tabs>
            <w:rPr/>
          </w:pPr>
          <w:hyperlink w:anchor="__RefHeading___Toc3972909_1067777946">
            <w:r>
              <w:rPr>
                <w:webHidden/>
                <w:rStyle w:val="IndexLink"/>
                <w:rtl w:val="true"/>
              </w:rPr>
              <w:t>پرتاب شخصى روى شخص ديگر</w:t>
            </w:r>
            <w:r>
              <w:rPr>
                <w:rStyle w:val="IndexLink"/>
                <w:rtl w:val="true"/>
              </w:rPr>
              <w:tab/>
            </w:r>
            <w:r>
              <w:rPr>
                <w:rStyle w:val="IndexLink"/>
              </w:rPr>
              <w:t>404</w:t>
            </w:r>
          </w:hyperlink>
        </w:p>
        <w:p>
          <w:pPr>
            <w:pStyle w:val="Contents6"/>
            <w:tabs>
              <w:tab w:val="clear" w:pos="7609"/>
              <w:tab w:val="right" w:pos="9026" w:leader="dot"/>
            </w:tabs>
            <w:rPr/>
          </w:pPr>
          <w:hyperlink w:anchor="__RefHeading___Toc3972911_1067777946">
            <w:r>
              <w:rPr>
                <w:webHidden/>
                <w:rStyle w:val="IndexLink"/>
                <w:rtl w:val="true"/>
              </w:rPr>
              <w:t>دفاع از پياده در مقابل سواره</w:t>
            </w:r>
            <w:r>
              <w:rPr>
                <w:rStyle w:val="IndexLink"/>
                <w:rtl w:val="true"/>
              </w:rPr>
              <w:tab/>
            </w:r>
            <w:r>
              <w:rPr>
                <w:rStyle w:val="IndexLink"/>
              </w:rPr>
              <w:t>405</w:t>
            </w:r>
          </w:hyperlink>
        </w:p>
        <w:p>
          <w:pPr>
            <w:pStyle w:val="Contents6"/>
            <w:tabs>
              <w:tab w:val="clear" w:pos="7609"/>
              <w:tab w:val="right" w:pos="9026" w:leader="dot"/>
            </w:tabs>
            <w:rPr/>
          </w:pPr>
          <w:hyperlink w:anchor="__RefHeading___Toc3972913_1067777946">
            <w:r>
              <w:rPr>
                <w:webHidden/>
                <w:rStyle w:val="IndexLink"/>
                <w:rtl w:val="true"/>
              </w:rPr>
              <w:t>صورت ششم سحر</w:t>
            </w:r>
            <w:r>
              <w:rPr>
                <w:rStyle w:val="IndexLink"/>
                <w:rtl w:val="true"/>
              </w:rPr>
              <w:tab/>
            </w:r>
            <w:r>
              <w:rPr>
                <w:rStyle w:val="IndexLink"/>
              </w:rPr>
              <w:t>405</w:t>
            </w:r>
          </w:hyperlink>
        </w:p>
        <w:p>
          <w:pPr>
            <w:pStyle w:val="Contents5"/>
            <w:tabs>
              <w:tab w:val="clear" w:pos="7892"/>
              <w:tab w:val="right" w:pos="9026" w:leader="dot"/>
            </w:tabs>
            <w:rPr/>
          </w:pPr>
          <w:hyperlink w:anchor="__RefHeading___Toc3972915_1067777946">
            <w:r>
              <w:rPr>
                <w:webHidden/>
                <w:rStyle w:val="IndexLink"/>
                <w:rtl w:val="true"/>
              </w:rPr>
              <w:t>مرتبۀ ثانيه</w:t>
            </w:r>
            <w:r>
              <w:rPr>
                <w:rStyle w:val="IndexLink"/>
                <w:rtl w:val="true"/>
              </w:rPr>
              <w:tab/>
            </w:r>
            <w:r>
              <w:rPr>
                <w:rStyle w:val="IndexLink"/>
              </w:rPr>
              <w:t>405</w:t>
            </w:r>
          </w:hyperlink>
        </w:p>
        <w:p>
          <w:pPr>
            <w:pStyle w:val="Contents6"/>
            <w:tabs>
              <w:tab w:val="clear" w:pos="7609"/>
              <w:tab w:val="right" w:pos="9026" w:leader="dot"/>
            </w:tabs>
            <w:rPr/>
          </w:pPr>
          <w:hyperlink w:anchor="__RefHeading___Toc3972917_1067777946">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3972919_1067777946">
            <w:r>
              <w:rPr>
                <w:webHidden/>
                <w:rStyle w:val="IndexLink"/>
                <w:rtl w:val="true"/>
              </w:rPr>
              <w:t>صورت اوّل</w:t>
            </w:r>
            <w:r>
              <w:rPr>
                <w:rStyle w:val="IndexLink"/>
                <w:rtl w:val="true"/>
              </w:rPr>
              <w:tab/>
            </w:r>
            <w:r>
              <w:rPr>
                <w:rStyle w:val="IndexLink"/>
              </w:rPr>
              <w:t>406</w:t>
            </w:r>
          </w:hyperlink>
        </w:p>
        <w:p>
          <w:pPr>
            <w:pStyle w:val="Contents6"/>
            <w:tabs>
              <w:tab w:val="clear" w:pos="7609"/>
              <w:tab w:val="right" w:pos="9026" w:leader="dot"/>
            </w:tabs>
            <w:rPr/>
          </w:pPr>
          <w:hyperlink w:anchor="__RefHeading___Toc3972921_1067777946">
            <w:r>
              <w:rPr>
                <w:webHidden/>
                <w:rStyle w:val="IndexLink"/>
                <w:rtl w:val="true"/>
              </w:rPr>
              <w:t>تقديم سم به آگاه به حال</w:t>
            </w:r>
            <w:r>
              <w:rPr>
                <w:rStyle w:val="IndexLink"/>
                <w:rtl w:val="true"/>
              </w:rPr>
              <w:tab/>
            </w:r>
            <w:r>
              <w:rPr>
                <w:rStyle w:val="IndexLink"/>
              </w:rPr>
              <w:t>406</w:t>
            </w:r>
          </w:hyperlink>
        </w:p>
        <w:p>
          <w:pPr>
            <w:pStyle w:val="Contents6"/>
            <w:tabs>
              <w:tab w:val="clear" w:pos="7609"/>
              <w:tab w:val="right" w:pos="9026" w:leader="dot"/>
            </w:tabs>
            <w:rPr/>
          </w:pPr>
          <w:hyperlink w:anchor="__RefHeading___Toc3972923_1067777946">
            <w:r>
              <w:rPr>
                <w:webHidden/>
                <w:rStyle w:val="IndexLink"/>
                <w:rtl w:val="true"/>
              </w:rPr>
              <w:t>تقديم به جاهل</w:t>
            </w:r>
            <w:r>
              <w:rPr>
                <w:rStyle w:val="IndexLink"/>
                <w:rtl w:val="true"/>
              </w:rPr>
              <w:tab/>
            </w:r>
            <w:r>
              <w:rPr>
                <w:rStyle w:val="IndexLink"/>
              </w:rPr>
              <w:t>406</w:t>
            </w:r>
          </w:hyperlink>
        </w:p>
        <w:p>
          <w:pPr>
            <w:pStyle w:val="Contents6"/>
            <w:tabs>
              <w:tab w:val="clear" w:pos="7609"/>
              <w:tab w:val="right" w:pos="9026" w:leader="dot"/>
            </w:tabs>
            <w:rPr/>
          </w:pPr>
          <w:hyperlink w:anchor="__RefHeading___Toc3972925_1067777946">
            <w:r>
              <w:rPr>
                <w:webHidden/>
                <w:rStyle w:val="IndexLink"/>
                <w:rtl w:val="true"/>
              </w:rPr>
              <w:t>اختلاف در جنس سم</w:t>
            </w:r>
            <w:r>
              <w:rPr>
                <w:rStyle w:val="IndexLink"/>
                <w:rtl w:val="true"/>
              </w:rPr>
              <w:tab/>
            </w:r>
            <w:r>
              <w:rPr>
                <w:rStyle w:val="IndexLink"/>
              </w:rPr>
              <w:t>406</w:t>
            </w:r>
          </w:hyperlink>
        </w:p>
        <w:p>
          <w:pPr>
            <w:pStyle w:val="Contents6"/>
            <w:tabs>
              <w:tab w:val="clear" w:pos="7609"/>
              <w:tab w:val="right" w:pos="9026" w:leader="dot"/>
            </w:tabs>
            <w:rPr/>
          </w:pPr>
          <w:hyperlink w:anchor="__RefHeading___Toc3972927_1067777946">
            <w:r>
              <w:rPr>
                <w:webHidden/>
                <w:rStyle w:val="IndexLink"/>
                <w:rtl w:val="true"/>
              </w:rPr>
              <w:t>ضمان تقديم كنندۀ قاصد قتل</w:t>
            </w:r>
            <w:r>
              <w:rPr>
                <w:rStyle w:val="IndexLink"/>
                <w:rtl w:val="true"/>
              </w:rPr>
              <w:tab/>
            </w:r>
            <w:r>
              <w:rPr>
                <w:rStyle w:val="IndexLink"/>
              </w:rPr>
              <w:t>406</w:t>
            </w:r>
          </w:hyperlink>
        </w:p>
        <w:p>
          <w:pPr>
            <w:pStyle w:val="Contents6"/>
            <w:tabs>
              <w:tab w:val="clear" w:pos="7609"/>
              <w:tab w:val="right" w:pos="9026" w:leader="dot"/>
            </w:tabs>
            <w:rPr/>
          </w:pPr>
          <w:hyperlink w:anchor="__RefHeading___Toc3972929_1067777946">
            <w:r>
              <w:rPr>
                <w:webHidden/>
                <w:rStyle w:val="IndexLink"/>
                <w:rtl w:val="true"/>
              </w:rPr>
              <w:t>مسموم كنندۀ طعام صاحب منزل</w:t>
            </w:r>
            <w:r>
              <w:rPr>
                <w:rStyle w:val="IndexLink"/>
                <w:rtl w:val="true"/>
              </w:rPr>
              <w:tab/>
            </w:r>
            <w:r>
              <w:rPr>
                <w:rStyle w:val="IndexLink"/>
              </w:rPr>
              <w:t>407</w:t>
            </w:r>
          </w:hyperlink>
        </w:p>
        <w:p>
          <w:pPr>
            <w:pStyle w:val="Contents6"/>
            <w:tabs>
              <w:tab w:val="clear" w:pos="7609"/>
              <w:tab w:val="right" w:pos="9026" w:leader="dot"/>
            </w:tabs>
            <w:rPr/>
          </w:pPr>
          <w:hyperlink w:anchor="__RefHeading___Toc3972931_1067777946">
            <w:r>
              <w:rPr>
                <w:webHidden/>
                <w:rStyle w:val="IndexLink"/>
                <w:rtl w:val="true"/>
              </w:rPr>
              <w:t>مسموم نمودن طعام خود و اكل غير</w:t>
            </w:r>
            <w:r>
              <w:rPr>
                <w:rStyle w:val="IndexLink"/>
                <w:rtl w:val="true"/>
              </w:rPr>
              <w:tab/>
            </w:r>
            <w:r>
              <w:rPr>
                <w:rStyle w:val="IndexLink"/>
              </w:rPr>
              <w:t>407</w:t>
            </w:r>
          </w:hyperlink>
        </w:p>
        <w:p>
          <w:pPr>
            <w:pStyle w:val="Contents6"/>
            <w:tabs>
              <w:tab w:val="clear" w:pos="7609"/>
              <w:tab w:val="right" w:pos="9026" w:leader="dot"/>
            </w:tabs>
            <w:rPr/>
          </w:pPr>
          <w:hyperlink w:anchor="__RefHeading___Toc3972933_1067777946">
            <w:r>
              <w:rPr>
                <w:webHidden/>
                <w:rStyle w:val="IndexLink"/>
                <w:rtl w:val="true"/>
              </w:rPr>
              <w:t>قرار دادن سم در منزل آكل</w:t>
            </w:r>
            <w:r>
              <w:rPr>
                <w:rStyle w:val="IndexLink"/>
                <w:rtl w:val="true"/>
              </w:rPr>
              <w:tab/>
            </w:r>
            <w:r>
              <w:rPr>
                <w:rStyle w:val="IndexLink"/>
              </w:rPr>
              <w:t>407</w:t>
            </w:r>
          </w:hyperlink>
        </w:p>
        <w:p>
          <w:pPr>
            <w:pStyle w:val="Contents6"/>
            <w:tabs>
              <w:tab w:val="clear" w:pos="7609"/>
              <w:tab w:val="right" w:pos="9026" w:leader="dot"/>
            </w:tabs>
            <w:rPr/>
          </w:pPr>
          <w:hyperlink w:anchor="__RefHeading___Toc3972935_1067777946">
            <w:r>
              <w:rPr>
                <w:webHidden/>
                <w:rStyle w:val="IndexLink"/>
                <w:rtl w:val="true"/>
              </w:rPr>
              <w:t>صورت دوّم حفر نمودن چاه در طريق</w:t>
            </w:r>
            <w:r>
              <w:rPr>
                <w:rStyle w:val="IndexLink"/>
                <w:rtl w:val="true"/>
              </w:rPr>
              <w:tab/>
            </w:r>
            <w:r>
              <w:rPr>
                <w:rStyle w:val="IndexLink"/>
              </w:rPr>
              <w:t>407</w:t>
            </w:r>
          </w:hyperlink>
        </w:p>
        <w:p>
          <w:pPr>
            <w:pStyle w:val="Contents6"/>
            <w:tabs>
              <w:tab w:val="clear" w:pos="7609"/>
              <w:tab w:val="right" w:pos="9026" w:leader="dot"/>
            </w:tabs>
            <w:rPr/>
          </w:pPr>
          <w:hyperlink w:anchor="__RefHeading___Toc3972937_1067777946">
            <w:r>
              <w:rPr>
                <w:webHidden/>
                <w:rStyle w:val="IndexLink"/>
                <w:rtl w:val="true"/>
              </w:rPr>
              <w:t>صورت سوّم</w:t>
            </w:r>
            <w:r>
              <w:rPr>
                <w:rStyle w:val="IndexLink"/>
                <w:rtl w:val="true"/>
              </w:rPr>
              <w:tab/>
            </w:r>
            <w:r>
              <w:rPr>
                <w:rStyle w:val="IndexLink"/>
              </w:rPr>
              <w:t>408</w:t>
            </w:r>
          </w:hyperlink>
        </w:p>
        <w:p>
          <w:pPr>
            <w:pStyle w:val="Contents6"/>
            <w:tabs>
              <w:tab w:val="clear" w:pos="7609"/>
              <w:tab w:val="right" w:pos="9026" w:leader="dot"/>
            </w:tabs>
            <w:rPr/>
          </w:pPr>
          <w:hyperlink w:anchor="__RefHeading___Toc3972939_1067777946">
            <w:r>
              <w:rPr>
                <w:webHidden/>
                <w:rStyle w:val="IndexLink"/>
                <w:rtl w:val="true"/>
              </w:rPr>
              <w:t>معالجه نمودن مجروح خودش را با دواى مسموم</w:t>
            </w:r>
            <w:r>
              <w:rPr>
                <w:rStyle w:val="IndexLink"/>
                <w:rtl w:val="true"/>
              </w:rPr>
              <w:tab/>
            </w:r>
            <w:r>
              <w:rPr>
                <w:rStyle w:val="IndexLink"/>
              </w:rPr>
              <w:t>408</w:t>
            </w:r>
          </w:hyperlink>
        </w:p>
        <w:p>
          <w:pPr>
            <w:pStyle w:val="Contents6"/>
            <w:tabs>
              <w:tab w:val="clear" w:pos="7609"/>
              <w:tab w:val="right" w:pos="9026" w:leader="dot"/>
            </w:tabs>
            <w:rPr/>
          </w:pPr>
          <w:hyperlink w:anchor="__RefHeading___Toc3972941_1067777946">
            <w:r>
              <w:rPr>
                <w:webHidden/>
                <w:rStyle w:val="IndexLink"/>
                <w:rtl w:val="true"/>
              </w:rPr>
              <w:t>عفونت نمودن محل جرّاحى</w:t>
            </w:r>
            <w:r>
              <w:rPr>
                <w:rStyle w:val="IndexLink"/>
                <w:rtl w:val="true"/>
              </w:rPr>
              <w:tab/>
            </w:r>
            <w:r>
              <w:rPr>
                <w:rStyle w:val="IndexLink"/>
              </w:rPr>
              <w:t>408</w:t>
            </w:r>
          </w:hyperlink>
        </w:p>
        <w:p>
          <w:pPr>
            <w:pStyle w:val="Contents5"/>
            <w:tabs>
              <w:tab w:val="clear" w:pos="7892"/>
              <w:tab w:val="right" w:pos="9026" w:leader="dot"/>
            </w:tabs>
            <w:rPr/>
          </w:pPr>
          <w:hyperlink w:anchor="__RefHeading___Toc3972943_1067777946">
            <w:r>
              <w:rPr>
                <w:webHidden/>
                <w:rStyle w:val="IndexLink"/>
                <w:rtl w:val="true"/>
              </w:rPr>
              <w:t>مرتبۀ ثالثه انضمام مباشرت حيوان با فعل شخص قاتل</w:t>
            </w:r>
            <w:r>
              <w:rPr>
                <w:rStyle w:val="IndexLink"/>
                <w:rtl w:val="true"/>
              </w:rPr>
              <w:tab/>
            </w:r>
            <w:r>
              <w:rPr>
                <w:rStyle w:val="IndexLink"/>
              </w:rPr>
              <w:t>409</w:t>
            </w:r>
          </w:hyperlink>
        </w:p>
        <w:p>
          <w:pPr>
            <w:pStyle w:val="Contents6"/>
            <w:tabs>
              <w:tab w:val="clear" w:pos="7609"/>
              <w:tab w:val="right" w:pos="9026" w:leader="dot"/>
            </w:tabs>
            <w:rPr/>
          </w:pPr>
          <w:hyperlink w:anchor="__RefHeading___Toc3972945_1067777946">
            <w:r>
              <w:rPr>
                <w:webHidden/>
                <w:rStyle w:val="IndexLink"/>
                <w:rtl w:val="true"/>
              </w:rPr>
              <w:t>صورت اوّل انداختن كسى در دريا و بلعيده شدن وى</w:t>
            </w:r>
            <w:r>
              <w:rPr>
                <w:rStyle w:val="IndexLink"/>
                <w:rtl w:val="true"/>
              </w:rPr>
              <w:tab/>
            </w:r>
            <w:r>
              <w:rPr>
                <w:rStyle w:val="IndexLink"/>
              </w:rPr>
              <w:t>409</w:t>
            </w:r>
          </w:hyperlink>
        </w:p>
        <w:p>
          <w:pPr>
            <w:pStyle w:val="Contents6"/>
            <w:tabs>
              <w:tab w:val="clear" w:pos="7609"/>
              <w:tab w:val="right" w:pos="9026" w:leader="dot"/>
            </w:tabs>
            <w:rPr/>
          </w:pPr>
          <w:hyperlink w:anchor="__RefHeading___Toc3972947_1067777946">
            <w:r>
              <w:rPr>
                <w:webHidden/>
                <w:rStyle w:val="IndexLink"/>
                <w:rtl w:val="true"/>
              </w:rPr>
              <w:t>صورت دوّم وادار نمودن سگ براى حمله</w:t>
            </w:r>
            <w:r>
              <w:rPr>
                <w:rStyle w:val="IndexLink"/>
                <w:rtl w:val="true"/>
              </w:rPr>
              <w:tab/>
            </w:r>
            <w:r>
              <w:rPr>
                <w:rStyle w:val="IndexLink"/>
              </w:rPr>
              <w:t>409</w:t>
            </w:r>
          </w:hyperlink>
        </w:p>
        <w:p>
          <w:pPr>
            <w:pStyle w:val="Contents6"/>
            <w:tabs>
              <w:tab w:val="clear" w:pos="7609"/>
              <w:tab w:val="right" w:pos="9026" w:leader="dot"/>
            </w:tabs>
            <w:rPr/>
          </w:pPr>
          <w:hyperlink w:anchor="__RefHeading___Toc3972949_1067777946">
            <w:r>
              <w:rPr>
                <w:webHidden/>
                <w:rStyle w:val="IndexLink"/>
                <w:rtl w:val="true"/>
              </w:rPr>
              <w:t>صورت سوّم انداختن مار گزنده</w:t>
            </w:r>
            <w:r>
              <w:rPr>
                <w:rStyle w:val="IndexLink"/>
                <w:rtl w:val="true"/>
              </w:rPr>
              <w:tab/>
            </w:r>
            <w:r>
              <w:rPr>
                <w:rStyle w:val="IndexLink"/>
              </w:rPr>
              <w:t>409</w:t>
            </w:r>
          </w:hyperlink>
        </w:p>
        <w:p>
          <w:pPr>
            <w:pStyle w:val="Contents6"/>
            <w:tabs>
              <w:tab w:val="clear" w:pos="7609"/>
              <w:tab w:val="right" w:pos="9026" w:leader="dot"/>
            </w:tabs>
            <w:rPr/>
          </w:pPr>
          <w:hyperlink w:anchor="__RefHeading___Toc3972951_1067777946">
            <w:r>
              <w:rPr>
                <w:webHidden/>
                <w:rStyle w:val="IndexLink"/>
                <w:rtl w:val="true"/>
              </w:rPr>
              <w:t>صورت چهارم ايجاد جرح و تعاقب آن به جرح درنده</w:t>
            </w:r>
            <w:r>
              <w:rPr>
                <w:rStyle w:val="IndexLink"/>
                <w:rtl w:val="true"/>
              </w:rPr>
              <w:tab/>
            </w:r>
            <w:r>
              <w:rPr>
                <w:rStyle w:val="IndexLink"/>
              </w:rPr>
              <w:t>410</w:t>
            </w:r>
          </w:hyperlink>
        </w:p>
        <w:p>
          <w:pPr>
            <w:pStyle w:val="Contents6"/>
            <w:tabs>
              <w:tab w:val="clear" w:pos="7609"/>
              <w:tab w:val="right" w:pos="9026" w:leader="dot"/>
            </w:tabs>
            <w:rPr/>
          </w:pPr>
          <w:hyperlink w:anchor="__RefHeading___Toc3972953_1067777946">
            <w:r>
              <w:rPr>
                <w:webHidden/>
                <w:rStyle w:val="IndexLink"/>
                <w:rtl w:val="true"/>
              </w:rPr>
              <w:t>صورت پنجم انداختن كسى با دست بسته جلوى شير</w:t>
            </w:r>
            <w:r>
              <w:rPr>
                <w:rStyle w:val="IndexLink"/>
                <w:rtl w:val="true"/>
              </w:rPr>
              <w:tab/>
            </w:r>
            <w:r>
              <w:rPr>
                <w:rStyle w:val="IndexLink"/>
              </w:rPr>
              <w:t>410</w:t>
            </w:r>
          </w:hyperlink>
        </w:p>
        <w:p>
          <w:pPr>
            <w:pStyle w:val="Contents5"/>
            <w:tabs>
              <w:tab w:val="clear" w:pos="7892"/>
              <w:tab w:val="right" w:pos="9026" w:leader="dot"/>
            </w:tabs>
            <w:rPr/>
          </w:pPr>
          <w:hyperlink w:anchor="__RefHeading___Toc3972955_1067777946">
            <w:r>
              <w:rPr>
                <w:webHidden/>
                <w:rStyle w:val="IndexLink"/>
                <w:rtl w:val="true"/>
              </w:rPr>
              <w:t>مرتبۀ رابعه در انضمام مباشرت انسانى با جانى</w:t>
            </w:r>
            <w:r>
              <w:rPr>
                <w:rStyle w:val="IndexLink"/>
                <w:rtl w:val="true"/>
              </w:rPr>
              <w:tab/>
            </w:r>
            <w:r>
              <w:rPr>
                <w:rStyle w:val="IndexLink"/>
              </w:rPr>
              <w:t>411</w:t>
            </w:r>
          </w:hyperlink>
        </w:p>
        <w:p>
          <w:pPr>
            <w:pStyle w:val="Contents6"/>
            <w:tabs>
              <w:tab w:val="clear" w:pos="7609"/>
              <w:tab w:val="right" w:pos="9026" w:leader="dot"/>
            </w:tabs>
            <w:rPr/>
          </w:pPr>
          <w:hyperlink w:anchor="__RefHeading___Toc3972957_1067777946">
            <w:r>
              <w:rPr>
                <w:webHidden/>
                <w:rStyle w:val="IndexLink"/>
                <w:rtl w:val="true"/>
              </w:rPr>
              <w:t>صورت اوّل</w:t>
            </w:r>
            <w:r>
              <w:rPr>
                <w:rStyle w:val="IndexLink"/>
                <w:rtl w:val="true"/>
              </w:rPr>
              <w:tab/>
            </w:r>
            <w:r>
              <w:rPr>
                <w:rStyle w:val="IndexLink"/>
              </w:rPr>
              <w:t>411</w:t>
            </w:r>
          </w:hyperlink>
        </w:p>
        <w:p>
          <w:pPr>
            <w:pStyle w:val="Contents6"/>
            <w:tabs>
              <w:tab w:val="clear" w:pos="7609"/>
              <w:tab w:val="right" w:pos="9026" w:leader="dot"/>
            </w:tabs>
            <w:rPr/>
          </w:pPr>
          <w:hyperlink w:anchor="__RefHeading___Toc3972959_1067777946">
            <w:r>
              <w:rPr>
                <w:webHidden/>
                <w:rStyle w:val="IndexLink"/>
                <w:rtl w:val="true"/>
              </w:rPr>
              <w:t>تعقّب دفع شخصى در چاه بر حفر ديگرى</w:t>
            </w:r>
            <w:r>
              <w:rPr>
                <w:rStyle w:val="IndexLink"/>
                <w:rtl w:val="true"/>
              </w:rPr>
              <w:tab/>
            </w:r>
            <w:r>
              <w:rPr>
                <w:rStyle w:val="IndexLink"/>
              </w:rPr>
              <w:t>411</w:t>
            </w:r>
          </w:hyperlink>
        </w:p>
        <w:p>
          <w:pPr>
            <w:pStyle w:val="Contents6"/>
            <w:tabs>
              <w:tab w:val="clear" w:pos="7609"/>
              <w:tab w:val="right" w:pos="9026" w:leader="dot"/>
            </w:tabs>
            <w:rPr/>
          </w:pPr>
          <w:hyperlink w:anchor="__RefHeading___Toc3972961_1067777946">
            <w:r>
              <w:rPr>
                <w:webHidden/>
                <w:rStyle w:val="IndexLink"/>
                <w:rtl w:val="true"/>
              </w:rPr>
              <w:t>قتل كسى بعد از انداختن ديگرى وى را</w:t>
            </w:r>
            <w:r>
              <w:rPr>
                <w:rStyle w:val="IndexLink"/>
                <w:rtl w:val="true"/>
              </w:rPr>
              <w:tab/>
            </w:r>
            <w:r>
              <w:rPr>
                <w:rStyle w:val="IndexLink"/>
              </w:rPr>
              <w:t>411</w:t>
            </w:r>
          </w:hyperlink>
        </w:p>
        <w:p>
          <w:pPr>
            <w:pStyle w:val="Contents6"/>
            <w:tabs>
              <w:tab w:val="clear" w:pos="7609"/>
              <w:tab w:val="right" w:pos="9026" w:leader="dot"/>
            </w:tabs>
            <w:rPr/>
          </w:pPr>
          <w:hyperlink w:anchor="__RefHeading___Toc3972963_1067777946">
            <w:r>
              <w:rPr>
                <w:webHidden/>
                <w:rStyle w:val="IndexLink"/>
                <w:rtl w:val="true"/>
              </w:rPr>
              <w:t>نگه داشتن فراركننده و كشتن وى توسط ديگرى</w:t>
            </w:r>
            <w:r>
              <w:rPr>
                <w:rStyle w:val="IndexLink"/>
                <w:rtl w:val="true"/>
              </w:rPr>
              <w:tab/>
            </w:r>
            <w:r>
              <w:rPr>
                <w:rStyle w:val="IndexLink"/>
              </w:rPr>
              <w:t>411</w:t>
            </w:r>
          </w:hyperlink>
        </w:p>
        <w:p>
          <w:pPr>
            <w:pStyle w:val="Contents6"/>
            <w:tabs>
              <w:tab w:val="clear" w:pos="7609"/>
              <w:tab w:val="right" w:pos="9026" w:leader="dot"/>
            </w:tabs>
            <w:rPr/>
          </w:pPr>
          <w:hyperlink w:anchor="__RefHeading___Toc3972965_1067777946">
            <w:r>
              <w:rPr>
                <w:webHidden/>
                <w:rStyle w:val="IndexLink"/>
                <w:rtl w:val="true"/>
              </w:rPr>
              <w:t>صورت دوّم</w:t>
            </w:r>
            <w:r>
              <w:rPr>
                <w:rStyle w:val="IndexLink"/>
                <w:rtl w:val="true"/>
              </w:rPr>
              <w:tab/>
            </w:r>
            <w:r>
              <w:rPr>
                <w:rStyle w:val="IndexLink"/>
              </w:rPr>
              <w:t>411</w:t>
            </w:r>
          </w:hyperlink>
        </w:p>
        <w:p>
          <w:pPr>
            <w:pStyle w:val="Contents6"/>
            <w:tabs>
              <w:tab w:val="clear" w:pos="7609"/>
              <w:tab w:val="right" w:pos="9026" w:leader="dot"/>
            </w:tabs>
            <w:rPr/>
          </w:pPr>
          <w:hyperlink w:anchor="__RefHeading___Toc3972967_1067777946">
            <w:r>
              <w:rPr>
                <w:webHidden/>
                <w:rStyle w:val="IndexLink"/>
                <w:rtl w:val="true"/>
              </w:rPr>
              <w:t>اكراه بر قتل با تهديد</w:t>
            </w:r>
            <w:r>
              <w:rPr>
                <w:rStyle w:val="IndexLink"/>
                <w:rtl w:val="true"/>
              </w:rPr>
              <w:tab/>
            </w:r>
            <w:r>
              <w:rPr>
                <w:rStyle w:val="IndexLink"/>
              </w:rPr>
              <w:t>411</w:t>
            </w:r>
          </w:hyperlink>
        </w:p>
        <w:p>
          <w:pPr>
            <w:pStyle w:val="Contents6"/>
            <w:tabs>
              <w:tab w:val="clear" w:pos="7609"/>
              <w:tab w:val="right" w:pos="9026" w:leader="dot"/>
            </w:tabs>
            <w:rPr/>
          </w:pPr>
          <w:hyperlink w:anchor="__RefHeading___Toc3972969_1067777946">
            <w:r>
              <w:rPr>
                <w:webHidden/>
                <w:rStyle w:val="IndexLink"/>
                <w:rtl w:val="true"/>
              </w:rPr>
              <w:t>حبس ابد</w:t>
            </w:r>
            <w:r>
              <w:rPr>
                <w:rStyle w:val="IndexLink"/>
                <w:rtl w:val="true"/>
              </w:rPr>
              <w:tab/>
            </w:r>
            <w:r>
              <w:rPr>
                <w:rStyle w:val="IndexLink"/>
              </w:rPr>
              <w:t>412</w:t>
            </w:r>
          </w:hyperlink>
        </w:p>
        <w:p>
          <w:pPr>
            <w:pStyle w:val="Contents6"/>
            <w:tabs>
              <w:tab w:val="clear" w:pos="7609"/>
              <w:tab w:val="right" w:pos="9026" w:leader="dot"/>
            </w:tabs>
            <w:rPr/>
          </w:pPr>
          <w:hyperlink w:anchor="__RefHeading___Toc3972971_1067777946">
            <w:r>
              <w:rPr>
                <w:webHidden/>
                <w:rStyle w:val="IndexLink"/>
                <w:rtl w:val="true"/>
              </w:rPr>
              <w:t>چند فرع</w:t>
            </w:r>
            <w:r>
              <w:rPr>
                <w:rStyle w:val="IndexLink"/>
                <w:rtl w:val="true"/>
              </w:rPr>
              <w:tab/>
            </w:r>
            <w:r>
              <w:rPr>
                <w:rStyle w:val="IndexLink"/>
              </w:rPr>
              <w:t>412</w:t>
            </w:r>
          </w:hyperlink>
        </w:p>
        <w:p>
          <w:pPr>
            <w:pStyle w:val="Contents6"/>
            <w:tabs>
              <w:tab w:val="clear" w:pos="7609"/>
              <w:tab w:val="right" w:pos="9026" w:leader="dot"/>
            </w:tabs>
            <w:rPr/>
          </w:pPr>
          <w:hyperlink w:anchor="__RefHeading___Toc3972973_1067777946">
            <w:r>
              <w:rPr>
                <w:webHidden/>
                <w:rStyle w:val="IndexLink"/>
                <w:rtl w:val="true"/>
              </w:rPr>
              <w:t>تهديد كسى براى قتل خود</w:t>
            </w:r>
            <w:r>
              <w:rPr>
                <w:rStyle w:val="IndexLink"/>
                <w:rtl w:val="true"/>
              </w:rPr>
              <w:tab/>
            </w:r>
            <w:r>
              <w:rPr>
                <w:rStyle w:val="IndexLink"/>
              </w:rPr>
              <w:t>412</w:t>
            </w:r>
          </w:hyperlink>
        </w:p>
        <w:p>
          <w:pPr>
            <w:pStyle w:val="Contents6"/>
            <w:tabs>
              <w:tab w:val="clear" w:pos="7609"/>
              <w:tab w:val="right" w:pos="9026" w:leader="dot"/>
            </w:tabs>
            <w:rPr/>
          </w:pPr>
          <w:hyperlink w:anchor="__RefHeading___Toc3972975_1067777946">
            <w:r>
              <w:rPr>
                <w:webHidden/>
                <w:rStyle w:val="IndexLink"/>
                <w:rtl w:val="true"/>
              </w:rPr>
              <w:t>اگر كسى به ديگرى بگويد خودت را بكش</w:t>
            </w:r>
            <w:r>
              <w:rPr>
                <w:rStyle w:val="IndexLink"/>
                <w:rtl w:val="true"/>
              </w:rPr>
              <w:tab/>
            </w:r>
            <w:r>
              <w:rPr>
                <w:rStyle w:val="IndexLink"/>
              </w:rPr>
              <w:t>413</w:t>
            </w:r>
          </w:hyperlink>
        </w:p>
        <w:p>
          <w:pPr>
            <w:pStyle w:val="Contents6"/>
            <w:tabs>
              <w:tab w:val="clear" w:pos="7609"/>
              <w:tab w:val="right" w:pos="9026" w:leader="dot"/>
            </w:tabs>
            <w:rPr/>
          </w:pPr>
          <w:hyperlink w:anchor="__RefHeading___Toc3972977_1067777946">
            <w:r>
              <w:rPr>
                <w:webHidden/>
                <w:rStyle w:val="IndexLink"/>
                <w:rtl w:val="true"/>
              </w:rPr>
              <w:t>جواز قطع عضو براى تخلص از قتل</w:t>
            </w:r>
            <w:r>
              <w:rPr>
                <w:rStyle w:val="IndexLink"/>
                <w:rtl w:val="true"/>
              </w:rPr>
              <w:tab/>
            </w:r>
            <w:r>
              <w:rPr>
                <w:rStyle w:val="IndexLink"/>
              </w:rPr>
              <w:t>413</w:t>
            </w:r>
          </w:hyperlink>
        </w:p>
        <w:p>
          <w:pPr>
            <w:pStyle w:val="Contents6"/>
            <w:tabs>
              <w:tab w:val="clear" w:pos="7609"/>
              <w:tab w:val="right" w:pos="9026" w:leader="dot"/>
            </w:tabs>
            <w:rPr/>
          </w:pPr>
          <w:hyperlink w:anchor="__RefHeading___Toc3972979_1067777946">
            <w:r>
              <w:rPr>
                <w:webHidden/>
                <w:rStyle w:val="IndexLink"/>
                <w:rtl w:val="true"/>
              </w:rPr>
              <w:t>اكراه كسى بر بالا رفتن از درخت</w:t>
            </w:r>
            <w:r>
              <w:rPr>
                <w:rStyle w:val="IndexLink"/>
                <w:rtl w:val="true"/>
              </w:rPr>
              <w:tab/>
            </w:r>
            <w:r>
              <w:rPr>
                <w:rStyle w:val="IndexLink"/>
              </w:rPr>
              <w:t>413</w:t>
            </w:r>
          </w:hyperlink>
        </w:p>
        <w:p>
          <w:pPr>
            <w:pStyle w:val="Contents6"/>
            <w:tabs>
              <w:tab w:val="clear" w:pos="7609"/>
              <w:tab w:val="right" w:pos="9026" w:leader="dot"/>
            </w:tabs>
            <w:rPr/>
          </w:pPr>
          <w:hyperlink w:anchor="__RefHeading___Toc3972981_1067777946">
            <w:r>
              <w:rPr>
                <w:webHidden/>
                <w:rStyle w:val="IndexLink"/>
                <w:rtl w:val="true"/>
              </w:rPr>
              <w:t>صورت سوّم شهادت دروغ بيّنه بر قتل و امثال آن</w:t>
            </w:r>
            <w:r>
              <w:rPr>
                <w:rStyle w:val="IndexLink"/>
                <w:rtl w:val="true"/>
              </w:rPr>
              <w:tab/>
            </w:r>
            <w:r>
              <w:rPr>
                <w:rStyle w:val="IndexLink"/>
              </w:rPr>
              <w:t>413</w:t>
            </w:r>
          </w:hyperlink>
        </w:p>
        <w:p>
          <w:pPr>
            <w:pStyle w:val="Contents6"/>
            <w:tabs>
              <w:tab w:val="clear" w:pos="7609"/>
              <w:tab w:val="right" w:pos="9026" w:leader="dot"/>
            </w:tabs>
            <w:rPr/>
          </w:pPr>
          <w:hyperlink w:anchor="__RefHeading___Toc3972983_1067777946">
            <w:r>
              <w:rPr>
                <w:webHidden/>
                <w:rStyle w:val="IndexLink"/>
                <w:rtl w:val="true"/>
              </w:rPr>
              <w:t>صورت چهارم قتل يك نفر توسط دو نفر</w:t>
            </w:r>
            <w:r>
              <w:rPr>
                <w:rStyle w:val="IndexLink"/>
                <w:rtl w:val="true"/>
              </w:rPr>
              <w:tab/>
            </w:r>
            <w:r>
              <w:rPr>
                <w:rStyle w:val="IndexLink"/>
              </w:rPr>
              <w:t>414</w:t>
            </w:r>
          </w:hyperlink>
        </w:p>
        <w:p>
          <w:pPr>
            <w:pStyle w:val="Contents6"/>
            <w:tabs>
              <w:tab w:val="clear" w:pos="7609"/>
              <w:tab w:val="right" w:pos="9026" w:leader="dot"/>
            </w:tabs>
            <w:rPr/>
          </w:pPr>
          <w:hyperlink w:anchor="__RefHeading___Toc3972985_1067777946">
            <w:r>
              <w:rPr>
                <w:webHidden/>
                <w:rStyle w:val="IndexLink"/>
                <w:rtl w:val="true"/>
              </w:rPr>
              <w:t>صورت پنجم</w:t>
            </w:r>
            <w:r>
              <w:rPr>
                <w:rStyle w:val="IndexLink"/>
                <w:rtl w:val="true"/>
              </w:rPr>
              <w:tab/>
            </w:r>
            <w:r>
              <w:rPr>
                <w:rStyle w:val="IndexLink"/>
              </w:rPr>
              <w:t>415</w:t>
            </w:r>
          </w:hyperlink>
        </w:p>
        <w:p>
          <w:pPr>
            <w:pStyle w:val="Contents6"/>
            <w:tabs>
              <w:tab w:val="clear" w:pos="7609"/>
              <w:tab w:val="right" w:pos="9026" w:leader="dot"/>
            </w:tabs>
            <w:rPr/>
          </w:pPr>
          <w:hyperlink w:anchor="__RefHeading___Toc3972987_1067777946">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3972989_1067777946">
            <w:r>
              <w:rPr>
                <w:webHidden/>
                <w:rStyle w:val="IndexLink"/>
                <w:rtl w:val="true"/>
              </w:rPr>
              <w:t>فرع</w:t>
            </w:r>
            <w:r>
              <w:rPr>
                <w:rStyle w:val="IndexLink"/>
                <w:rtl w:val="true"/>
              </w:rPr>
              <w:tab/>
            </w:r>
            <w:r>
              <w:rPr>
                <w:rStyle w:val="IndexLink"/>
              </w:rPr>
              <w:t>415</w:t>
            </w:r>
          </w:hyperlink>
        </w:p>
        <w:p>
          <w:pPr>
            <w:pStyle w:val="Contents6"/>
            <w:tabs>
              <w:tab w:val="clear" w:pos="7609"/>
              <w:tab w:val="right" w:pos="9026" w:leader="dot"/>
            </w:tabs>
            <w:rPr/>
          </w:pPr>
          <w:hyperlink w:anchor="__RefHeading___Toc3972991_1067777946">
            <w:r>
              <w:rPr>
                <w:webHidden/>
                <w:rStyle w:val="IndexLink"/>
                <w:rtl w:val="true"/>
              </w:rPr>
              <w:t>صورت ششم</w:t>
            </w:r>
            <w:r>
              <w:rPr>
                <w:rStyle w:val="IndexLink"/>
                <w:rtl w:val="true"/>
              </w:rPr>
              <w:tab/>
            </w:r>
            <w:r>
              <w:rPr>
                <w:rStyle w:val="IndexLink"/>
              </w:rPr>
              <w:t>415</w:t>
            </w:r>
          </w:hyperlink>
        </w:p>
        <w:p>
          <w:pPr>
            <w:pStyle w:val="Contents6"/>
            <w:tabs>
              <w:tab w:val="clear" w:pos="7609"/>
              <w:tab w:val="right" w:pos="9026" w:leader="dot"/>
            </w:tabs>
            <w:rPr/>
          </w:pPr>
          <w:hyperlink w:anchor="__RefHeading___Toc3972993_1067777946">
            <w:r>
              <w:rPr>
                <w:webHidden/>
                <w:rStyle w:val="IndexLink"/>
                <w:rtl w:val="true"/>
              </w:rPr>
              <w:t>قطع يد از بند توسط كسى و از مرفق توسط ديگرى و حصول قتل</w:t>
            </w:r>
            <w:r>
              <w:rPr>
                <w:rStyle w:val="IndexLink"/>
                <w:rtl w:val="true"/>
              </w:rPr>
              <w:tab/>
            </w:r>
            <w:r>
              <w:rPr>
                <w:rStyle w:val="IndexLink"/>
              </w:rPr>
              <w:t>415</w:t>
            </w:r>
          </w:hyperlink>
        </w:p>
        <w:p>
          <w:pPr>
            <w:pStyle w:val="Contents6"/>
            <w:tabs>
              <w:tab w:val="clear" w:pos="7609"/>
              <w:tab w:val="right" w:pos="9026" w:leader="dot"/>
            </w:tabs>
            <w:rPr/>
          </w:pPr>
          <w:hyperlink w:anchor="__RefHeading___Toc3972995_1067777946">
            <w:r>
              <w:rPr>
                <w:webHidden/>
                <w:rStyle w:val="IndexLink"/>
                <w:rtl w:val="true"/>
              </w:rPr>
              <w:t>وحدت جانى در طرف و نفس</w:t>
            </w:r>
            <w:r>
              <w:rPr>
                <w:rStyle w:val="IndexLink"/>
                <w:rtl w:val="true"/>
              </w:rPr>
              <w:tab/>
            </w:r>
            <w:r>
              <w:rPr>
                <w:rStyle w:val="IndexLink"/>
              </w:rPr>
              <w:t>416</w:t>
            </w:r>
          </w:hyperlink>
        </w:p>
        <w:p>
          <w:pPr>
            <w:pStyle w:val="Contents3"/>
            <w:tabs>
              <w:tab w:val="clear" w:pos="8459"/>
              <w:tab w:val="right" w:pos="9026" w:leader="dot"/>
            </w:tabs>
            <w:rPr/>
          </w:pPr>
          <w:hyperlink w:anchor="__RefHeading___Toc3972997_1067777946">
            <w:r>
              <w:rPr>
                <w:webHidden/>
                <w:rStyle w:val="IndexLink"/>
                <w:rtl w:val="true"/>
              </w:rPr>
              <w:t>فصل دوم اشتراك در قتل</w:t>
            </w:r>
            <w:r>
              <w:rPr>
                <w:rStyle w:val="IndexLink"/>
                <w:rtl w:val="true"/>
              </w:rPr>
              <w:tab/>
            </w:r>
            <w:r>
              <w:rPr>
                <w:rStyle w:val="IndexLink"/>
              </w:rPr>
              <w:t>417</w:t>
            </w:r>
          </w:hyperlink>
        </w:p>
        <w:p>
          <w:pPr>
            <w:pStyle w:val="Contents4"/>
            <w:tabs>
              <w:tab w:val="clear" w:pos="8176"/>
              <w:tab w:val="right" w:pos="9026" w:leader="dot"/>
            </w:tabs>
            <w:rPr/>
          </w:pPr>
          <w:hyperlink w:anchor="__RefHeading___Toc3972999_1067777946">
            <w:r>
              <w:rPr>
                <w:webHidden/>
                <w:rStyle w:val="IndexLink"/>
                <w:rtl w:val="true"/>
              </w:rPr>
              <w:t>اگر چند نفر يكى را به قتل برسانند</w:t>
            </w:r>
            <w:r>
              <w:rPr>
                <w:rStyle w:val="IndexLink"/>
                <w:rtl w:val="true"/>
              </w:rPr>
              <w:tab/>
            </w:r>
            <w:r>
              <w:rPr>
                <w:rStyle w:val="IndexLink"/>
              </w:rPr>
              <w:t>417</w:t>
            </w:r>
          </w:hyperlink>
        </w:p>
        <w:p>
          <w:pPr>
            <w:pStyle w:val="Contents4"/>
            <w:tabs>
              <w:tab w:val="clear" w:pos="8176"/>
              <w:tab w:val="right" w:pos="9026" w:leader="dot"/>
            </w:tabs>
            <w:rPr/>
          </w:pPr>
          <w:hyperlink w:anchor="__RefHeading___Toc3973001_1067777946">
            <w:r>
              <w:rPr>
                <w:webHidden/>
                <w:rStyle w:val="IndexLink"/>
                <w:rtl w:val="true"/>
              </w:rPr>
              <w:t>نحوۀ تحقق شركتى كه مجوّز قصاص از همه است</w:t>
            </w:r>
            <w:r>
              <w:rPr>
                <w:rStyle w:val="IndexLink"/>
                <w:rtl w:val="true"/>
              </w:rPr>
              <w:tab/>
            </w:r>
            <w:r>
              <w:rPr>
                <w:rStyle w:val="IndexLink"/>
              </w:rPr>
              <w:t>417</w:t>
            </w:r>
          </w:hyperlink>
        </w:p>
        <w:p>
          <w:pPr>
            <w:pStyle w:val="Contents4"/>
            <w:tabs>
              <w:tab w:val="clear" w:pos="8176"/>
              <w:tab w:val="right" w:pos="9026" w:leader="dot"/>
            </w:tabs>
            <w:rPr/>
          </w:pPr>
          <w:hyperlink w:anchor="__RefHeading___Toc3973003_1067777946">
            <w:r>
              <w:rPr>
                <w:webHidden/>
                <w:rStyle w:val="IndexLink"/>
                <w:rtl w:val="true"/>
              </w:rPr>
              <w:t>جريان حكم قتل مشترك در جنايت مشترك بر طرف</w:t>
            </w:r>
            <w:r>
              <w:rPr>
                <w:rStyle w:val="IndexLink"/>
                <w:rtl w:val="true"/>
              </w:rPr>
              <w:tab/>
            </w:r>
            <w:r>
              <w:rPr>
                <w:rStyle w:val="IndexLink"/>
              </w:rPr>
              <w:t>418</w:t>
            </w:r>
          </w:hyperlink>
        </w:p>
        <w:p>
          <w:pPr>
            <w:pStyle w:val="Contents4"/>
            <w:tabs>
              <w:tab w:val="clear" w:pos="8176"/>
              <w:tab w:val="right" w:pos="9026" w:leader="dot"/>
            </w:tabs>
            <w:rPr/>
          </w:pPr>
          <w:hyperlink w:anchor="__RefHeading___Toc3973005_1067777946">
            <w:r>
              <w:rPr>
                <w:webHidden/>
                <w:rStyle w:val="IndexLink"/>
                <w:rtl w:val="true"/>
              </w:rPr>
              <w:t>شركت دو يا چند زن در قتل مردى</w:t>
            </w:r>
            <w:r>
              <w:rPr>
                <w:rStyle w:val="IndexLink"/>
                <w:rtl w:val="true"/>
              </w:rPr>
              <w:tab/>
            </w:r>
            <w:r>
              <w:rPr>
                <w:rStyle w:val="IndexLink"/>
              </w:rPr>
              <w:t>419</w:t>
            </w:r>
          </w:hyperlink>
        </w:p>
        <w:p>
          <w:pPr>
            <w:pStyle w:val="Contents4"/>
            <w:tabs>
              <w:tab w:val="clear" w:pos="8176"/>
              <w:tab w:val="right" w:pos="9026" w:leader="dot"/>
            </w:tabs>
            <w:rPr/>
          </w:pPr>
          <w:hyperlink w:anchor="__RefHeading___Toc3973007_1067777946">
            <w:r>
              <w:rPr>
                <w:webHidden/>
                <w:rStyle w:val="IndexLink"/>
                <w:rtl w:val="true"/>
              </w:rPr>
              <w:t>قتل يك زن توسط دو مرد</w:t>
            </w:r>
            <w:r>
              <w:rPr>
                <w:rStyle w:val="IndexLink"/>
                <w:rtl w:val="true"/>
              </w:rPr>
              <w:tab/>
            </w:r>
            <w:r>
              <w:rPr>
                <w:rStyle w:val="IndexLink"/>
              </w:rPr>
              <w:t>419</w:t>
            </w:r>
          </w:hyperlink>
        </w:p>
        <w:p>
          <w:pPr>
            <w:pStyle w:val="Contents4"/>
            <w:tabs>
              <w:tab w:val="clear" w:pos="8176"/>
              <w:tab w:val="right" w:pos="9026" w:leader="dot"/>
            </w:tabs>
            <w:rPr/>
          </w:pPr>
          <w:hyperlink w:anchor="__RefHeading___Toc3973009_1067777946">
            <w:r>
              <w:rPr>
                <w:webHidden/>
                <w:rStyle w:val="IndexLink"/>
                <w:rtl w:val="true"/>
              </w:rPr>
              <w:t>شركت مرد و زن در قتل</w:t>
            </w:r>
            <w:r>
              <w:rPr>
                <w:rStyle w:val="IndexLink"/>
                <w:rtl w:val="true"/>
              </w:rPr>
              <w:tab/>
            </w:r>
            <w:r>
              <w:rPr>
                <w:rStyle w:val="IndexLink"/>
              </w:rPr>
              <w:t>419</w:t>
            </w:r>
          </w:hyperlink>
        </w:p>
        <w:p>
          <w:pPr>
            <w:pStyle w:val="Contents4"/>
            <w:tabs>
              <w:tab w:val="clear" w:pos="8176"/>
              <w:tab w:val="right" w:pos="9026" w:leader="dot"/>
            </w:tabs>
            <w:rPr/>
          </w:pPr>
          <w:hyperlink w:anchor="__RefHeading___Toc3973011_1067777946">
            <w:r>
              <w:rPr>
                <w:webHidden/>
                <w:rStyle w:val="IndexLink"/>
                <w:rtl w:val="true"/>
              </w:rPr>
              <w:t>اشتراك حرّ و عبد در قتل</w:t>
            </w:r>
            <w:r>
              <w:rPr>
                <w:rStyle w:val="IndexLink"/>
                <w:rtl w:val="true"/>
              </w:rPr>
              <w:tab/>
            </w:r>
            <w:r>
              <w:rPr>
                <w:rStyle w:val="IndexLink"/>
              </w:rPr>
              <w:t>420</w:t>
            </w:r>
          </w:hyperlink>
        </w:p>
        <w:p>
          <w:pPr>
            <w:pStyle w:val="Contents4"/>
            <w:tabs>
              <w:tab w:val="clear" w:pos="8176"/>
              <w:tab w:val="right" w:pos="9026" w:leader="dot"/>
            </w:tabs>
            <w:rPr/>
          </w:pPr>
          <w:hyperlink w:anchor="__RefHeading___Toc3973013_1067777946">
            <w:r>
              <w:rPr>
                <w:webHidden/>
                <w:rStyle w:val="IndexLink"/>
                <w:rtl w:val="true"/>
              </w:rPr>
              <w:t>اشتراك حرّه و عبد در قتل</w:t>
            </w:r>
            <w:r>
              <w:rPr>
                <w:rStyle w:val="IndexLink"/>
                <w:rtl w:val="true"/>
              </w:rPr>
              <w:tab/>
            </w:r>
            <w:r>
              <w:rPr>
                <w:rStyle w:val="IndexLink"/>
              </w:rPr>
              <w:t>421</w:t>
            </w:r>
          </w:hyperlink>
        </w:p>
        <w:p>
          <w:pPr>
            <w:pStyle w:val="Contents4"/>
            <w:tabs>
              <w:tab w:val="clear" w:pos="8176"/>
              <w:tab w:val="right" w:pos="9026" w:leader="dot"/>
            </w:tabs>
            <w:rPr/>
          </w:pPr>
          <w:hyperlink w:anchor="__RefHeading___Toc3973015_1067777946">
            <w:r>
              <w:rPr>
                <w:webHidden/>
                <w:rStyle w:val="IndexLink"/>
                <w:rtl w:val="true"/>
              </w:rPr>
              <w:t>تشارك مردى با خنثى در قتل مردى</w:t>
            </w:r>
            <w:r>
              <w:rPr>
                <w:rStyle w:val="IndexLink"/>
                <w:rtl w:val="true"/>
              </w:rPr>
              <w:tab/>
            </w:r>
            <w:r>
              <w:rPr>
                <w:rStyle w:val="IndexLink"/>
              </w:rPr>
              <w:t>421</w:t>
            </w:r>
          </w:hyperlink>
        </w:p>
        <w:p>
          <w:pPr>
            <w:pStyle w:val="Contents4"/>
            <w:tabs>
              <w:tab w:val="clear" w:pos="8176"/>
              <w:tab w:val="right" w:pos="9026" w:leader="dot"/>
            </w:tabs>
            <w:rPr/>
          </w:pPr>
          <w:hyperlink w:anchor="__RefHeading___Toc3973017_1067777946">
            <w:r>
              <w:rPr>
                <w:webHidden/>
                <w:rStyle w:val="IndexLink"/>
                <w:rtl w:val="true"/>
              </w:rPr>
              <w:t>تشارك مردى و خنثى در قتل يك زن</w:t>
            </w:r>
            <w:r>
              <w:rPr>
                <w:rStyle w:val="IndexLink"/>
                <w:rtl w:val="true"/>
              </w:rPr>
              <w:tab/>
            </w:r>
            <w:r>
              <w:rPr>
                <w:rStyle w:val="IndexLink"/>
              </w:rPr>
              <w:t>422</w:t>
            </w:r>
          </w:hyperlink>
        </w:p>
        <w:p>
          <w:pPr>
            <w:pStyle w:val="Contents3"/>
            <w:tabs>
              <w:tab w:val="clear" w:pos="8459"/>
              <w:tab w:val="right" w:pos="9026" w:leader="dot"/>
            </w:tabs>
            <w:rPr/>
          </w:pPr>
          <w:hyperlink w:anchor="__RefHeading___Toc3973019_1067777946">
            <w:r>
              <w:rPr>
                <w:webHidden/>
                <w:rStyle w:val="IndexLink"/>
                <w:rtl w:val="true"/>
              </w:rPr>
              <w:t>فصل سوم شروط معتبره در قصاص</w:t>
            </w:r>
            <w:r>
              <w:rPr>
                <w:rStyle w:val="IndexLink"/>
                <w:rtl w:val="true"/>
              </w:rPr>
              <w:tab/>
            </w:r>
            <w:r>
              <w:rPr>
                <w:rStyle w:val="IndexLink"/>
              </w:rPr>
              <w:t>423</w:t>
            </w:r>
          </w:hyperlink>
        </w:p>
        <w:p>
          <w:pPr>
            <w:pStyle w:val="Contents4"/>
            <w:tabs>
              <w:tab w:val="clear" w:pos="8176"/>
              <w:tab w:val="right" w:pos="9026" w:leader="dot"/>
            </w:tabs>
            <w:rPr/>
          </w:pPr>
          <w:hyperlink w:anchor="__RefHeading___Toc3973021_1067777946">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3973023_1067777946">
            <w:r>
              <w:rPr>
                <w:webHidden/>
                <w:rStyle w:val="IndexLink"/>
              </w:rPr>
              <w:t>1</w:t>
            </w:r>
            <w:r>
              <w:rPr>
                <w:rStyle w:val="IndexLink"/>
                <w:rtl w:val="true"/>
              </w:rPr>
              <w:t xml:space="preserve">. </w:t>
            </w:r>
            <w:r>
              <w:rPr>
                <w:rStyle w:val="IndexLink"/>
                <w:rtl w:val="true"/>
              </w:rPr>
              <w:t>شرط اول</w:t>
            </w:r>
            <w:r>
              <w:rPr>
                <w:rStyle w:val="IndexLink"/>
                <w:rtl w:val="true"/>
              </w:rPr>
              <w:t xml:space="preserve">: </w:t>
            </w:r>
            <w:r>
              <w:rPr>
                <w:rStyle w:val="IndexLink"/>
                <w:rtl w:val="true"/>
              </w:rPr>
              <w:t>تساوى در حريّت و رقيّت</w:t>
            </w:r>
            <w:r>
              <w:rPr>
                <w:rStyle w:val="IndexLink"/>
                <w:rtl w:val="true"/>
              </w:rPr>
              <w:tab/>
            </w:r>
            <w:r>
              <w:rPr>
                <w:rStyle w:val="IndexLink"/>
              </w:rPr>
              <w:t>423</w:t>
            </w:r>
          </w:hyperlink>
        </w:p>
        <w:p>
          <w:pPr>
            <w:pStyle w:val="Contents5"/>
            <w:tabs>
              <w:tab w:val="clear" w:pos="7892"/>
              <w:tab w:val="right" w:pos="9026" w:leader="dot"/>
            </w:tabs>
            <w:rPr/>
          </w:pPr>
          <w:hyperlink w:anchor="__RefHeading___Toc3973025_1067777946">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3973027_1067777946">
            <w:r>
              <w:rPr>
                <w:webHidden/>
                <w:rStyle w:val="IndexLink"/>
                <w:rtl w:val="true"/>
              </w:rPr>
              <w:t>قصاص اطراف</w:t>
            </w:r>
            <w:r>
              <w:rPr>
                <w:rStyle w:val="IndexLink"/>
                <w:rtl w:val="true"/>
              </w:rPr>
              <w:tab/>
            </w:r>
            <w:r>
              <w:rPr>
                <w:rStyle w:val="IndexLink"/>
              </w:rPr>
              <w:t>423</w:t>
            </w:r>
          </w:hyperlink>
        </w:p>
        <w:p>
          <w:pPr>
            <w:pStyle w:val="Contents5"/>
            <w:tabs>
              <w:tab w:val="clear" w:pos="7892"/>
              <w:tab w:val="right" w:pos="9026" w:leader="dot"/>
            </w:tabs>
            <w:rPr/>
          </w:pPr>
          <w:hyperlink w:anchor="__RefHeading___Toc3973029_1067777946">
            <w:r>
              <w:rPr>
                <w:webHidden/>
                <w:rStyle w:val="IndexLink"/>
                <w:rtl w:val="true"/>
              </w:rPr>
              <w:t>ديۀ ثابتۀ زن و حدّ تنصيف آن</w:t>
            </w:r>
            <w:r>
              <w:rPr>
                <w:rStyle w:val="IndexLink"/>
                <w:rtl w:val="true"/>
              </w:rPr>
              <w:tab/>
            </w:r>
            <w:r>
              <w:rPr>
                <w:rStyle w:val="IndexLink"/>
              </w:rPr>
              <w:t>424</w:t>
            </w:r>
          </w:hyperlink>
        </w:p>
        <w:p>
          <w:pPr>
            <w:pStyle w:val="Contents5"/>
            <w:tabs>
              <w:tab w:val="clear" w:pos="7892"/>
              <w:tab w:val="right" w:pos="9026" w:leader="dot"/>
            </w:tabs>
            <w:rPr/>
          </w:pPr>
          <w:hyperlink w:anchor="__RefHeading___Toc3973031_1067777946">
            <w:r>
              <w:rPr>
                <w:webHidden/>
                <w:rStyle w:val="IndexLink"/>
                <w:rtl w:val="true"/>
              </w:rPr>
              <w:t>قصاص عبد و بر عبد</w:t>
            </w:r>
            <w:r>
              <w:rPr>
                <w:rStyle w:val="IndexLink"/>
                <w:rtl w:val="true"/>
              </w:rPr>
              <w:tab/>
            </w:r>
            <w:r>
              <w:rPr>
                <w:rStyle w:val="IndexLink"/>
              </w:rPr>
              <w:t>425</w:t>
            </w:r>
          </w:hyperlink>
        </w:p>
        <w:p>
          <w:pPr>
            <w:pStyle w:val="Contents5"/>
            <w:tabs>
              <w:tab w:val="clear" w:pos="7892"/>
              <w:tab w:val="right" w:pos="9026" w:leader="dot"/>
            </w:tabs>
            <w:rPr/>
          </w:pPr>
          <w:hyperlink w:anchor="__RefHeading___Toc3973033_1067777946">
            <w:r>
              <w:rPr>
                <w:webHidden/>
                <w:rStyle w:val="IndexLink"/>
                <w:rtl w:val="true"/>
              </w:rPr>
              <w:t>جنايت بر مملوك</w:t>
            </w:r>
            <w:r>
              <w:rPr>
                <w:rStyle w:val="IndexLink"/>
                <w:rtl w:val="true"/>
              </w:rPr>
              <w:tab/>
            </w:r>
            <w:r>
              <w:rPr>
                <w:rStyle w:val="IndexLink"/>
              </w:rPr>
              <w:t>425</w:t>
            </w:r>
          </w:hyperlink>
        </w:p>
        <w:p>
          <w:pPr>
            <w:pStyle w:val="Contents5"/>
            <w:tabs>
              <w:tab w:val="clear" w:pos="7892"/>
              <w:tab w:val="right" w:pos="9026" w:leader="dot"/>
            </w:tabs>
            <w:rPr/>
          </w:pPr>
          <w:hyperlink w:anchor="__RefHeading___Toc3973035_1067777946">
            <w:r>
              <w:rPr>
                <w:webHidden/>
                <w:rStyle w:val="IndexLink"/>
                <w:rtl w:val="true"/>
              </w:rPr>
              <w:t>قتل مملوك ذمّى و مملوكۀ ذميّه</w:t>
            </w:r>
            <w:r>
              <w:rPr>
                <w:rStyle w:val="IndexLink"/>
                <w:rtl w:val="true"/>
              </w:rPr>
              <w:tab/>
            </w:r>
            <w:r>
              <w:rPr>
                <w:rStyle w:val="IndexLink"/>
              </w:rPr>
              <w:t>426</w:t>
            </w:r>
          </w:hyperlink>
        </w:p>
        <w:p>
          <w:pPr>
            <w:pStyle w:val="Contents5"/>
            <w:tabs>
              <w:tab w:val="clear" w:pos="7892"/>
              <w:tab w:val="right" w:pos="9026" w:leader="dot"/>
            </w:tabs>
            <w:rPr/>
          </w:pPr>
          <w:hyperlink w:anchor="__RefHeading___Toc3973037_1067777946">
            <w:r>
              <w:rPr>
                <w:webHidden/>
                <w:rStyle w:val="IndexLink"/>
                <w:rtl w:val="true"/>
              </w:rPr>
              <w:t>قتل عبد مسلمان توسط ذمّى</w:t>
            </w:r>
            <w:r>
              <w:rPr>
                <w:rStyle w:val="IndexLink"/>
                <w:rtl w:val="true"/>
              </w:rPr>
              <w:tab/>
            </w:r>
            <w:r>
              <w:rPr>
                <w:rStyle w:val="IndexLink"/>
              </w:rPr>
              <w:t>426</w:t>
            </w:r>
          </w:hyperlink>
        </w:p>
        <w:p>
          <w:pPr>
            <w:pStyle w:val="Contents5"/>
            <w:tabs>
              <w:tab w:val="clear" w:pos="7892"/>
              <w:tab w:val="right" w:pos="9026" w:leader="dot"/>
            </w:tabs>
            <w:rPr/>
          </w:pPr>
          <w:hyperlink w:anchor="__RefHeading___Toc3973039_1067777946">
            <w:r>
              <w:rPr>
                <w:webHidden/>
                <w:rStyle w:val="IndexLink"/>
                <w:rtl w:val="true"/>
              </w:rPr>
              <w:t>قتل حرّ توسط مملوك</w:t>
            </w:r>
            <w:r>
              <w:rPr>
                <w:rStyle w:val="IndexLink"/>
                <w:rtl w:val="true"/>
              </w:rPr>
              <w:tab/>
            </w:r>
            <w:r>
              <w:rPr>
                <w:rStyle w:val="IndexLink"/>
              </w:rPr>
              <w:t>426</w:t>
            </w:r>
          </w:hyperlink>
        </w:p>
        <w:p>
          <w:pPr>
            <w:pStyle w:val="Contents5"/>
            <w:tabs>
              <w:tab w:val="clear" w:pos="7892"/>
              <w:tab w:val="right" w:pos="9026" w:leader="dot"/>
            </w:tabs>
            <w:rPr/>
          </w:pPr>
          <w:hyperlink w:anchor="__RefHeading___Toc3973041_1067777946">
            <w:r>
              <w:rPr>
                <w:webHidden/>
                <w:rStyle w:val="IndexLink"/>
                <w:rtl w:val="true"/>
              </w:rPr>
              <w:t>مجروح شدن حرّ توسط مملوك</w:t>
            </w:r>
            <w:r>
              <w:rPr>
                <w:rStyle w:val="IndexLink"/>
                <w:rtl w:val="true"/>
              </w:rPr>
              <w:tab/>
            </w:r>
            <w:r>
              <w:rPr>
                <w:rStyle w:val="IndexLink"/>
              </w:rPr>
              <w:t>426</w:t>
            </w:r>
          </w:hyperlink>
        </w:p>
        <w:p>
          <w:pPr>
            <w:pStyle w:val="Contents5"/>
            <w:tabs>
              <w:tab w:val="clear" w:pos="7892"/>
              <w:tab w:val="right" w:pos="9026" w:leader="dot"/>
            </w:tabs>
            <w:rPr/>
          </w:pPr>
          <w:hyperlink w:anchor="__RefHeading___Toc3973043_1067777946">
            <w:r>
              <w:rPr>
                <w:webHidden/>
                <w:rStyle w:val="IndexLink"/>
                <w:rtl w:val="true"/>
              </w:rPr>
              <w:t>صور مختلف قتل عبد توسط عبد و حكم هر كدام</w:t>
            </w:r>
            <w:r>
              <w:rPr>
                <w:rStyle w:val="IndexLink"/>
                <w:rtl w:val="true"/>
              </w:rPr>
              <w:tab/>
            </w:r>
            <w:r>
              <w:rPr>
                <w:rStyle w:val="IndexLink"/>
              </w:rPr>
              <w:t>427</w:t>
            </w:r>
          </w:hyperlink>
        </w:p>
        <w:p>
          <w:pPr>
            <w:pStyle w:val="Contents5"/>
            <w:tabs>
              <w:tab w:val="clear" w:pos="7892"/>
              <w:tab w:val="right" w:pos="9026" w:leader="dot"/>
            </w:tabs>
            <w:rPr/>
          </w:pPr>
          <w:hyperlink w:anchor="__RefHeading___Toc3973045_1067777946">
            <w:r>
              <w:rPr>
                <w:webHidden/>
                <w:rStyle w:val="IndexLink"/>
                <w:rtl w:val="true"/>
              </w:rPr>
              <w:t>چند مسأله</w:t>
            </w:r>
            <w:r>
              <w:rPr>
                <w:rStyle w:val="IndexLink"/>
                <w:rtl w:val="true"/>
              </w:rPr>
              <w:tab/>
            </w:r>
            <w:r>
              <w:rPr>
                <w:rStyle w:val="IndexLink"/>
              </w:rPr>
              <w:t>430</w:t>
            </w:r>
          </w:hyperlink>
        </w:p>
        <w:p>
          <w:pPr>
            <w:pStyle w:val="Contents6"/>
            <w:tabs>
              <w:tab w:val="clear" w:pos="7609"/>
              <w:tab w:val="right" w:pos="9026" w:leader="dot"/>
            </w:tabs>
            <w:rPr/>
          </w:pPr>
          <w:hyperlink w:anchor="__RefHeading___Toc3973047_1067777946">
            <w:r>
              <w:rPr>
                <w:webHidden/>
                <w:rStyle w:val="IndexLink"/>
                <w:rtl w:val="true"/>
              </w:rPr>
              <w:t>كشته شدن شخصى توسط دو نفر و مسأله قصاص</w:t>
            </w:r>
            <w:r>
              <w:rPr>
                <w:rStyle w:val="IndexLink"/>
                <w:rtl w:val="true"/>
              </w:rPr>
              <w:tab/>
            </w:r>
            <w:r>
              <w:rPr>
                <w:rStyle w:val="IndexLink"/>
              </w:rPr>
              <w:t>430</w:t>
            </w:r>
          </w:hyperlink>
        </w:p>
        <w:p>
          <w:pPr>
            <w:pStyle w:val="Contents6"/>
            <w:tabs>
              <w:tab w:val="clear" w:pos="7609"/>
              <w:tab w:val="right" w:pos="9026" w:leader="dot"/>
            </w:tabs>
            <w:rPr/>
          </w:pPr>
          <w:hyperlink w:anchor="__RefHeading___Toc3973049_1067777946">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3973051_1067777946">
            <w:r>
              <w:rPr>
                <w:webHidden/>
                <w:rStyle w:val="IndexLink"/>
                <w:rtl w:val="true"/>
              </w:rPr>
              <w:t>تعاقب قطع دست توسط يك نفر</w:t>
            </w:r>
            <w:r>
              <w:rPr>
                <w:rStyle w:val="IndexLink"/>
                <w:rtl w:val="true"/>
              </w:rPr>
              <w:tab/>
            </w:r>
            <w:r>
              <w:rPr>
                <w:rStyle w:val="IndexLink"/>
              </w:rPr>
              <w:t>430</w:t>
            </w:r>
          </w:hyperlink>
        </w:p>
        <w:p>
          <w:pPr>
            <w:pStyle w:val="Contents6"/>
            <w:tabs>
              <w:tab w:val="clear" w:pos="7609"/>
              <w:tab w:val="right" w:pos="9026" w:leader="dot"/>
            </w:tabs>
            <w:rPr/>
          </w:pPr>
          <w:hyperlink w:anchor="__RefHeading___Toc3973053_1067777946">
            <w:r>
              <w:rPr>
                <w:webHidden/>
                <w:rStyle w:val="IndexLink"/>
                <w:rtl w:val="true"/>
              </w:rPr>
              <w:t>ثبوت قصاص به تبديل</w:t>
            </w:r>
            <w:r>
              <w:rPr>
                <w:rStyle w:val="IndexLink"/>
                <w:rtl w:val="true"/>
              </w:rPr>
              <w:tab/>
            </w:r>
            <w:r>
              <w:rPr>
                <w:rStyle w:val="IndexLink"/>
              </w:rPr>
              <w:t>431</w:t>
            </w:r>
          </w:hyperlink>
        </w:p>
        <w:p>
          <w:pPr>
            <w:pStyle w:val="Contents6"/>
            <w:tabs>
              <w:tab w:val="clear" w:pos="7609"/>
              <w:tab w:val="right" w:pos="9026" w:leader="dot"/>
            </w:tabs>
            <w:rPr/>
          </w:pPr>
          <w:hyperlink w:anchor="__RefHeading___Toc3973055_1067777946">
            <w:r>
              <w:rPr>
                <w:webHidden/>
                <w:rStyle w:val="IndexLink"/>
                <w:rtl w:val="true"/>
              </w:rPr>
              <w:t>قتل دفعى دو نفر توسط يك عبد</w:t>
            </w:r>
            <w:r>
              <w:rPr>
                <w:rStyle w:val="IndexLink"/>
                <w:rtl w:val="true"/>
              </w:rPr>
              <w:tab/>
            </w:r>
            <w:r>
              <w:rPr>
                <w:rStyle w:val="IndexLink"/>
              </w:rPr>
              <w:t>431</w:t>
            </w:r>
          </w:hyperlink>
        </w:p>
        <w:p>
          <w:pPr>
            <w:pStyle w:val="Contents6"/>
            <w:tabs>
              <w:tab w:val="clear" w:pos="7609"/>
              <w:tab w:val="right" w:pos="9026" w:leader="dot"/>
            </w:tabs>
            <w:rPr/>
          </w:pPr>
          <w:hyperlink w:anchor="__RefHeading___Toc3973057_1067777946">
            <w:r>
              <w:rPr>
                <w:webHidden/>
                <w:rStyle w:val="IndexLink"/>
                <w:rtl w:val="true"/>
              </w:rPr>
              <w:t>ملاحظۀ قيمت عبد در ديه</w:t>
            </w:r>
            <w:r>
              <w:rPr>
                <w:rStyle w:val="IndexLink"/>
                <w:rtl w:val="true"/>
              </w:rPr>
              <w:tab/>
            </w:r>
            <w:r>
              <w:rPr>
                <w:rStyle w:val="IndexLink"/>
              </w:rPr>
              <w:t>432</w:t>
            </w:r>
          </w:hyperlink>
        </w:p>
        <w:p>
          <w:pPr>
            <w:pStyle w:val="Contents6"/>
            <w:tabs>
              <w:tab w:val="clear" w:pos="7609"/>
              <w:tab w:val="right" w:pos="9026" w:leader="dot"/>
            </w:tabs>
            <w:rPr/>
          </w:pPr>
          <w:hyperlink w:anchor="__RefHeading___Toc3973059_1067777946">
            <w:r>
              <w:rPr>
                <w:webHidden/>
                <w:rStyle w:val="IndexLink"/>
                <w:rtl w:val="true"/>
              </w:rPr>
              <w:t>فرعى در جنايت حرّ بر عبد</w:t>
            </w:r>
            <w:r>
              <w:rPr>
                <w:rStyle w:val="IndexLink"/>
                <w:rtl w:val="true"/>
              </w:rPr>
              <w:tab/>
            </w:r>
            <w:r>
              <w:rPr>
                <w:rStyle w:val="IndexLink"/>
              </w:rPr>
              <w:t>432</w:t>
            </w:r>
          </w:hyperlink>
        </w:p>
        <w:p>
          <w:pPr>
            <w:pStyle w:val="Contents6"/>
            <w:tabs>
              <w:tab w:val="clear" w:pos="7609"/>
              <w:tab w:val="right" w:pos="9026" w:leader="dot"/>
            </w:tabs>
            <w:rPr/>
          </w:pPr>
          <w:hyperlink w:anchor="__RefHeading___Toc3973061_1067777946">
            <w:r>
              <w:rPr>
                <w:webHidden/>
                <w:rStyle w:val="IndexLink"/>
                <w:rtl w:val="true"/>
              </w:rPr>
              <w:t>فرع ديگر</w:t>
            </w:r>
            <w:r>
              <w:rPr>
                <w:rStyle w:val="IndexLink"/>
                <w:rtl w:val="true"/>
              </w:rPr>
              <w:tab/>
            </w:r>
            <w:r>
              <w:rPr>
                <w:rStyle w:val="IndexLink"/>
              </w:rPr>
              <w:t>433</w:t>
            </w:r>
          </w:hyperlink>
        </w:p>
        <w:p>
          <w:pPr>
            <w:pStyle w:val="Contents6"/>
            <w:tabs>
              <w:tab w:val="clear" w:pos="7609"/>
              <w:tab w:val="right" w:pos="9026" w:leader="dot"/>
            </w:tabs>
            <w:rPr/>
          </w:pPr>
          <w:hyperlink w:anchor="__RefHeading___Toc3973063_1067777946">
            <w:r>
              <w:rPr>
                <w:webHidden/>
                <w:rStyle w:val="IndexLink"/>
                <w:rtl w:val="true"/>
              </w:rPr>
              <w:t>صور مختلف قتل دو عبد توسط ديگرى و حكم هر كدام</w:t>
            </w:r>
            <w:r>
              <w:rPr>
                <w:rStyle w:val="IndexLink"/>
                <w:rtl w:val="true"/>
              </w:rPr>
              <w:tab/>
            </w:r>
            <w:r>
              <w:rPr>
                <w:rStyle w:val="IndexLink"/>
              </w:rPr>
              <w:t>433</w:t>
            </w:r>
          </w:hyperlink>
        </w:p>
        <w:p>
          <w:pPr>
            <w:pStyle w:val="Contents6"/>
            <w:tabs>
              <w:tab w:val="clear" w:pos="7609"/>
              <w:tab w:val="right" w:pos="9026" w:leader="dot"/>
            </w:tabs>
            <w:rPr/>
          </w:pPr>
          <w:hyperlink w:anchor="__RefHeading___Toc3973065_1067777946">
            <w:r>
              <w:rPr>
                <w:webHidden/>
                <w:rStyle w:val="IndexLink"/>
                <w:rtl w:val="true"/>
              </w:rPr>
              <w:t>قتل عبد ديگرى توسط ده بنده از ده مالك</w:t>
            </w:r>
            <w:r>
              <w:rPr>
                <w:rStyle w:val="IndexLink"/>
                <w:rtl w:val="true"/>
              </w:rPr>
              <w:tab/>
            </w:r>
            <w:r>
              <w:rPr>
                <w:rStyle w:val="IndexLink"/>
              </w:rPr>
              <w:t>436</w:t>
            </w:r>
          </w:hyperlink>
        </w:p>
        <w:p>
          <w:pPr>
            <w:pStyle w:val="Contents6"/>
            <w:tabs>
              <w:tab w:val="clear" w:pos="7609"/>
              <w:tab w:val="right" w:pos="9026" w:leader="dot"/>
            </w:tabs>
            <w:rPr/>
          </w:pPr>
          <w:hyperlink w:anchor="__RefHeading___Toc3973067_1067777946">
            <w:r>
              <w:rPr>
                <w:webHidden/>
                <w:rStyle w:val="IndexLink"/>
                <w:rtl w:val="true"/>
              </w:rPr>
              <w:t>قتل حرّ توسط عبد و فرض عتق وى</w:t>
            </w:r>
            <w:r>
              <w:rPr>
                <w:rStyle w:val="IndexLink"/>
                <w:rtl w:val="true"/>
              </w:rPr>
              <w:tab/>
            </w:r>
            <w:r>
              <w:rPr>
                <w:rStyle w:val="IndexLink"/>
              </w:rPr>
              <w:t>438</w:t>
            </w:r>
          </w:hyperlink>
        </w:p>
        <w:p>
          <w:pPr>
            <w:pStyle w:val="Contents5"/>
            <w:tabs>
              <w:tab w:val="clear" w:pos="7892"/>
              <w:tab w:val="right" w:pos="9026" w:leader="dot"/>
            </w:tabs>
            <w:rPr/>
          </w:pPr>
          <w:hyperlink w:anchor="__RefHeading___Toc3973069_1067777946">
            <w:r>
              <w:rPr>
                <w:webHidden/>
                <w:rStyle w:val="IndexLink"/>
                <w:rtl w:val="true"/>
              </w:rPr>
              <w:t>مسائلى در سرايت و اشتراط تساوى در حرّيّت و رقيّت در قصاص</w:t>
            </w:r>
            <w:r>
              <w:rPr>
                <w:rStyle w:val="IndexLink"/>
                <w:rtl w:val="true"/>
              </w:rPr>
              <w:tab/>
            </w:r>
            <w:r>
              <w:rPr>
                <w:rStyle w:val="IndexLink"/>
              </w:rPr>
              <w:t>438</w:t>
            </w:r>
          </w:hyperlink>
        </w:p>
        <w:p>
          <w:pPr>
            <w:pStyle w:val="Contents6"/>
            <w:tabs>
              <w:tab w:val="clear" w:pos="7609"/>
              <w:tab w:val="right" w:pos="9026" w:leader="dot"/>
            </w:tabs>
            <w:rPr/>
          </w:pPr>
          <w:hyperlink w:anchor="__RefHeading___Toc3973071_1067777946">
            <w:r>
              <w:rPr>
                <w:webHidden/>
                <w:rStyle w:val="IndexLink"/>
                <w:rtl w:val="true"/>
              </w:rPr>
              <w:t>جنايت حرّ بر مملوك</w:t>
            </w:r>
            <w:r>
              <w:rPr>
                <w:rStyle w:val="IndexLink"/>
                <w:rtl w:val="true"/>
              </w:rPr>
              <w:tab/>
            </w:r>
            <w:r>
              <w:rPr>
                <w:rStyle w:val="IndexLink"/>
              </w:rPr>
              <w:t>438</w:t>
            </w:r>
          </w:hyperlink>
        </w:p>
        <w:p>
          <w:pPr>
            <w:pStyle w:val="Contents6"/>
            <w:tabs>
              <w:tab w:val="clear" w:pos="7609"/>
              <w:tab w:val="right" w:pos="9026" w:leader="dot"/>
            </w:tabs>
            <w:rPr/>
          </w:pPr>
          <w:hyperlink w:anchor="__RefHeading___Toc3973073_1067777946">
            <w:r>
              <w:rPr>
                <w:webHidden/>
                <w:rStyle w:val="IndexLink"/>
                <w:rtl w:val="true"/>
              </w:rPr>
              <w:t>اگر حرّ دست مملوك را قطع كرد</w:t>
            </w:r>
            <w:r>
              <w:rPr>
                <w:rStyle w:val="IndexLink"/>
                <w:rtl w:val="true"/>
              </w:rPr>
              <w:t>...</w:t>
              <w:tab/>
            </w:r>
            <w:r>
              <w:rPr>
                <w:rStyle w:val="IndexLink"/>
              </w:rPr>
              <w:t>439</w:t>
            </w:r>
          </w:hyperlink>
        </w:p>
        <w:p>
          <w:pPr>
            <w:pStyle w:val="Contents6"/>
            <w:tabs>
              <w:tab w:val="clear" w:pos="7609"/>
              <w:tab w:val="right" w:pos="9026" w:leader="dot"/>
            </w:tabs>
            <w:rPr/>
          </w:pPr>
          <w:hyperlink w:anchor="__RefHeading___Toc3973075_1067777946">
            <w:r>
              <w:rPr>
                <w:webHidden/>
                <w:rStyle w:val="IndexLink"/>
                <w:rtl w:val="true"/>
              </w:rPr>
              <w:t>اگر حرّ دست و پاى او را قطع كرد</w:t>
            </w:r>
            <w:r>
              <w:rPr>
                <w:rStyle w:val="IndexLink"/>
                <w:rtl w:val="true"/>
              </w:rPr>
              <w:t>...</w:t>
              <w:tab/>
            </w:r>
            <w:r>
              <w:rPr>
                <w:rStyle w:val="IndexLink"/>
              </w:rPr>
              <w:t>440</w:t>
            </w:r>
          </w:hyperlink>
        </w:p>
        <w:p>
          <w:pPr>
            <w:pStyle w:val="Contents4"/>
            <w:tabs>
              <w:tab w:val="clear" w:pos="8176"/>
              <w:tab w:val="right" w:pos="9026" w:leader="dot"/>
            </w:tabs>
            <w:rPr/>
          </w:pPr>
          <w:hyperlink w:anchor="__RefHeading___Toc3973077_1067777946">
            <w:r>
              <w:rPr>
                <w:webHidden/>
                <w:rStyle w:val="IndexLink"/>
              </w:rPr>
              <w:t>2</w:t>
            </w:r>
            <w:r>
              <w:rPr>
                <w:rStyle w:val="IndexLink"/>
                <w:rtl w:val="true"/>
              </w:rPr>
              <w:t xml:space="preserve">. </w:t>
            </w:r>
            <w:r>
              <w:rPr>
                <w:rStyle w:val="IndexLink"/>
                <w:rtl w:val="true"/>
              </w:rPr>
              <w:t>شرط دوم قصاص</w:t>
            </w:r>
            <w:r>
              <w:rPr>
                <w:rStyle w:val="IndexLink"/>
                <w:rtl w:val="true"/>
              </w:rPr>
              <w:t xml:space="preserve">: </w:t>
            </w:r>
            <w:r>
              <w:rPr>
                <w:rStyle w:val="IndexLink"/>
                <w:rtl w:val="true"/>
              </w:rPr>
              <w:t>مساوات در دين است</w:t>
            </w:r>
            <w:r>
              <w:rPr>
                <w:rStyle w:val="IndexLink"/>
                <w:rtl w:val="true"/>
              </w:rPr>
              <w:tab/>
            </w:r>
            <w:r>
              <w:rPr>
                <w:rStyle w:val="IndexLink"/>
              </w:rPr>
              <w:t>440</w:t>
            </w:r>
          </w:hyperlink>
        </w:p>
        <w:p>
          <w:pPr>
            <w:pStyle w:val="Contents5"/>
            <w:tabs>
              <w:tab w:val="clear" w:pos="7892"/>
              <w:tab w:val="right" w:pos="9026" w:leader="dot"/>
            </w:tabs>
            <w:rPr/>
          </w:pPr>
          <w:hyperlink w:anchor="__RefHeading___Toc3973079_1067777946">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3973081_1067777946">
            <w:r>
              <w:rPr>
                <w:webHidden/>
                <w:rStyle w:val="IndexLink"/>
                <w:rtl w:val="true"/>
              </w:rPr>
              <w:t>مسائلى از لواحق باب</w:t>
            </w:r>
            <w:r>
              <w:rPr>
                <w:rStyle w:val="IndexLink"/>
                <w:rtl w:val="true"/>
              </w:rPr>
              <w:tab/>
            </w:r>
            <w:r>
              <w:rPr>
                <w:rStyle w:val="IndexLink"/>
              </w:rPr>
              <w:t>441</w:t>
            </w:r>
          </w:hyperlink>
        </w:p>
        <w:p>
          <w:pPr>
            <w:pStyle w:val="Contents6"/>
            <w:tabs>
              <w:tab w:val="clear" w:pos="7609"/>
              <w:tab w:val="right" w:pos="9026" w:leader="dot"/>
            </w:tabs>
            <w:rPr/>
          </w:pPr>
          <w:hyperlink w:anchor="__RefHeading___Toc3973083_1067777946">
            <w:r>
              <w:rPr>
                <w:webHidden/>
                <w:rStyle w:val="IndexLink"/>
                <w:rtl w:val="true"/>
              </w:rPr>
              <w:t>قطع يد ذمى و اختيار اسلام توسط وى و يا انعتاق وى</w:t>
            </w:r>
            <w:r>
              <w:rPr>
                <w:rStyle w:val="IndexLink"/>
                <w:rtl w:val="true"/>
              </w:rPr>
              <w:tab/>
            </w:r>
            <w:r>
              <w:rPr>
                <w:rStyle w:val="IndexLink"/>
              </w:rPr>
              <w:t>441</w:t>
            </w:r>
          </w:hyperlink>
        </w:p>
        <w:p>
          <w:pPr>
            <w:pStyle w:val="Contents6"/>
            <w:tabs>
              <w:tab w:val="clear" w:pos="7609"/>
              <w:tab w:val="right" w:pos="9026" w:leader="dot"/>
            </w:tabs>
            <w:rPr/>
          </w:pPr>
          <w:hyperlink w:anchor="__RefHeading___Toc3973085_1067777946">
            <w:r>
              <w:rPr>
                <w:webHidden/>
                <w:rStyle w:val="IndexLink"/>
                <w:rtl w:val="true"/>
              </w:rPr>
              <w:t>رجوع به اسلام حربى يا مرتدّ مقطوع اليد</w:t>
            </w:r>
            <w:r>
              <w:rPr>
                <w:rStyle w:val="IndexLink"/>
                <w:rtl w:val="true"/>
              </w:rPr>
              <w:tab/>
            </w:r>
            <w:r>
              <w:rPr>
                <w:rStyle w:val="IndexLink"/>
              </w:rPr>
              <w:t>442</w:t>
            </w:r>
          </w:hyperlink>
        </w:p>
        <w:p>
          <w:pPr>
            <w:pStyle w:val="Contents6"/>
            <w:tabs>
              <w:tab w:val="clear" w:pos="7609"/>
              <w:tab w:val="right" w:pos="9026" w:leader="dot"/>
            </w:tabs>
            <w:rPr/>
          </w:pPr>
          <w:hyperlink w:anchor="__RefHeading___Toc3973087_1067777946">
            <w:r>
              <w:rPr>
                <w:webHidden/>
                <w:rStyle w:val="IndexLink"/>
                <w:rtl w:val="true"/>
              </w:rPr>
              <w:t>قطع دست و سرايت به نفس در حال ارتداد</w:t>
            </w:r>
            <w:r>
              <w:rPr>
                <w:rStyle w:val="IndexLink"/>
                <w:rtl w:val="true"/>
              </w:rPr>
              <w:tab/>
            </w:r>
            <w:r>
              <w:rPr>
                <w:rStyle w:val="IndexLink"/>
              </w:rPr>
              <w:t>442</w:t>
            </w:r>
          </w:hyperlink>
        </w:p>
        <w:p>
          <w:pPr>
            <w:pStyle w:val="Contents6"/>
            <w:tabs>
              <w:tab w:val="clear" w:pos="7609"/>
              <w:tab w:val="right" w:pos="9026" w:leader="dot"/>
            </w:tabs>
            <w:rPr/>
          </w:pPr>
          <w:hyperlink w:anchor="__RefHeading___Toc3973089_1067777946">
            <w:r>
              <w:rPr>
                <w:webHidden/>
                <w:rStyle w:val="IndexLink"/>
                <w:rtl w:val="true"/>
              </w:rPr>
              <w:t>قتل ذمّى توسط مرتد</w:t>
            </w:r>
            <w:r>
              <w:rPr>
                <w:rStyle w:val="IndexLink"/>
                <w:rtl w:val="true"/>
              </w:rPr>
              <w:tab/>
            </w:r>
            <w:r>
              <w:rPr>
                <w:rStyle w:val="IndexLink"/>
              </w:rPr>
              <w:t>443</w:t>
            </w:r>
          </w:hyperlink>
        </w:p>
        <w:p>
          <w:pPr>
            <w:pStyle w:val="Contents6"/>
            <w:tabs>
              <w:tab w:val="clear" w:pos="7609"/>
              <w:tab w:val="right" w:pos="9026" w:leader="dot"/>
            </w:tabs>
            <w:rPr/>
          </w:pPr>
          <w:hyperlink w:anchor="__RefHeading___Toc3973091_1067777946">
            <w:r>
              <w:rPr>
                <w:webHidden/>
                <w:rStyle w:val="IndexLink"/>
                <w:rtl w:val="true"/>
              </w:rPr>
              <w:t>سرايت در جنايت بر نصرانى و چند فرع ديگر</w:t>
            </w:r>
            <w:r>
              <w:rPr>
                <w:rStyle w:val="IndexLink"/>
                <w:rtl w:val="true"/>
              </w:rPr>
              <w:tab/>
            </w:r>
            <w:r>
              <w:rPr>
                <w:rStyle w:val="IndexLink"/>
              </w:rPr>
              <w:t>443</w:t>
            </w:r>
          </w:hyperlink>
        </w:p>
        <w:p>
          <w:pPr>
            <w:pStyle w:val="Contents6"/>
            <w:tabs>
              <w:tab w:val="clear" w:pos="7609"/>
              <w:tab w:val="right" w:pos="9026" w:leader="dot"/>
            </w:tabs>
            <w:rPr/>
          </w:pPr>
          <w:hyperlink w:anchor="__RefHeading___Toc3973093_1067777946">
            <w:r>
              <w:rPr>
                <w:webHidden/>
                <w:rStyle w:val="IndexLink"/>
                <w:rtl w:val="true"/>
              </w:rPr>
              <w:t>قتل مرتدّ توسط ذمّى</w:t>
            </w:r>
            <w:r>
              <w:rPr>
                <w:rStyle w:val="IndexLink"/>
                <w:rtl w:val="true"/>
              </w:rPr>
              <w:tab/>
            </w:r>
            <w:r>
              <w:rPr>
                <w:rStyle w:val="IndexLink"/>
              </w:rPr>
              <w:t>444</w:t>
            </w:r>
          </w:hyperlink>
        </w:p>
        <w:p>
          <w:pPr>
            <w:pStyle w:val="Contents6"/>
            <w:tabs>
              <w:tab w:val="clear" w:pos="7609"/>
              <w:tab w:val="right" w:pos="9026" w:leader="dot"/>
            </w:tabs>
            <w:rPr/>
          </w:pPr>
          <w:hyperlink w:anchor="__RefHeading___Toc3973095_1067777946">
            <w:r>
              <w:rPr>
                <w:webHidden/>
                <w:rStyle w:val="IndexLink"/>
                <w:rtl w:val="true"/>
              </w:rPr>
              <w:t>قتل واجب القصاص يا واجب القتل بدون اذن لازم</w:t>
            </w:r>
            <w:r>
              <w:rPr>
                <w:rStyle w:val="IndexLink"/>
                <w:rtl w:val="true"/>
              </w:rPr>
              <w:tab/>
            </w:r>
            <w:r>
              <w:rPr>
                <w:rStyle w:val="IndexLink"/>
              </w:rPr>
              <w:t>444</w:t>
            </w:r>
          </w:hyperlink>
        </w:p>
        <w:p>
          <w:pPr>
            <w:pStyle w:val="Contents4"/>
            <w:tabs>
              <w:tab w:val="clear" w:pos="8176"/>
              <w:tab w:val="right" w:pos="9026" w:leader="dot"/>
            </w:tabs>
            <w:rPr/>
          </w:pPr>
          <w:hyperlink w:anchor="__RefHeading___Toc3973097_1067777946">
            <w:r>
              <w:rPr>
                <w:webHidden/>
                <w:rStyle w:val="IndexLink"/>
              </w:rPr>
              <w:t>3</w:t>
            </w:r>
            <w:r>
              <w:rPr>
                <w:rStyle w:val="IndexLink"/>
                <w:rtl w:val="true"/>
              </w:rPr>
              <w:t xml:space="preserve">. </w:t>
            </w:r>
            <w:r>
              <w:rPr>
                <w:rStyle w:val="IndexLink"/>
                <w:rtl w:val="true"/>
              </w:rPr>
              <w:t>شرط سوم قصاص در نفس و طرف</w:t>
            </w:r>
            <w:r>
              <w:rPr>
                <w:rStyle w:val="IndexLink"/>
                <w:rtl w:val="true"/>
              </w:rPr>
              <w:t xml:space="preserve">: </w:t>
            </w:r>
            <w:r>
              <w:rPr>
                <w:rStyle w:val="IndexLink"/>
                <w:rtl w:val="true"/>
              </w:rPr>
              <w:t>جانى، پدر مجنى عليه نباشد</w:t>
            </w:r>
            <w:r>
              <w:rPr>
                <w:rStyle w:val="IndexLink"/>
                <w:rtl w:val="true"/>
              </w:rPr>
              <w:tab/>
            </w:r>
            <w:r>
              <w:rPr>
                <w:rStyle w:val="IndexLink"/>
              </w:rPr>
              <w:t>444</w:t>
            </w:r>
          </w:hyperlink>
        </w:p>
        <w:p>
          <w:pPr>
            <w:pStyle w:val="Contents5"/>
            <w:tabs>
              <w:tab w:val="clear" w:pos="7892"/>
              <w:tab w:val="right" w:pos="9026" w:leader="dot"/>
            </w:tabs>
            <w:rPr/>
          </w:pPr>
          <w:hyperlink w:anchor="__RefHeading___Toc3973099_1067777946">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3973101_1067777946">
            <w:r>
              <w:rPr>
                <w:webHidden/>
                <w:rStyle w:val="IndexLink"/>
                <w:rtl w:val="true"/>
              </w:rPr>
              <w:t>فروع مسألۀ مذكوره</w:t>
            </w:r>
            <w:r>
              <w:rPr>
                <w:rStyle w:val="IndexLink"/>
                <w:rtl w:val="true"/>
              </w:rPr>
              <w:tab/>
            </w:r>
            <w:r>
              <w:rPr>
                <w:rStyle w:val="IndexLink"/>
              </w:rPr>
              <w:t>445</w:t>
            </w:r>
          </w:hyperlink>
        </w:p>
        <w:p>
          <w:pPr>
            <w:pStyle w:val="Contents6"/>
            <w:tabs>
              <w:tab w:val="clear" w:pos="7609"/>
              <w:tab w:val="right" w:pos="9026" w:leader="dot"/>
            </w:tabs>
            <w:rPr/>
          </w:pPr>
          <w:hyperlink w:anchor="__RefHeading___Toc3973103_1067777946">
            <w:r>
              <w:rPr>
                <w:webHidden/>
                <w:rStyle w:val="IndexLink"/>
                <w:rtl w:val="true"/>
              </w:rPr>
              <w:t>وقوع قتل بعد از ادّعاى دو نفر ولد مجهول را</w:t>
            </w:r>
            <w:r>
              <w:rPr>
                <w:rStyle w:val="IndexLink"/>
                <w:rtl w:val="true"/>
              </w:rPr>
              <w:tab/>
            </w:r>
            <w:r>
              <w:rPr>
                <w:rStyle w:val="IndexLink"/>
              </w:rPr>
              <w:t>445</w:t>
            </w:r>
          </w:hyperlink>
        </w:p>
        <w:p>
          <w:pPr>
            <w:pStyle w:val="Contents6"/>
            <w:tabs>
              <w:tab w:val="clear" w:pos="7609"/>
              <w:tab w:val="right" w:pos="9026" w:leader="dot"/>
            </w:tabs>
            <w:rPr/>
          </w:pPr>
          <w:hyperlink w:anchor="__RefHeading___Toc3973105_1067777946">
            <w:r>
              <w:rPr>
                <w:webHidden/>
                <w:rStyle w:val="IndexLink"/>
                <w:rtl w:val="true"/>
              </w:rPr>
              <w:t>ادّعاى دو نفر ولديت را و رجوع يكى و اشتراك در قتل</w:t>
            </w:r>
            <w:r>
              <w:rPr>
                <w:rStyle w:val="IndexLink"/>
                <w:rtl w:val="true"/>
              </w:rPr>
              <w:tab/>
            </w:r>
            <w:r>
              <w:rPr>
                <w:rStyle w:val="IndexLink"/>
              </w:rPr>
              <w:t>445</w:t>
            </w:r>
          </w:hyperlink>
        </w:p>
        <w:p>
          <w:pPr>
            <w:pStyle w:val="Contents6"/>
            <w:tabs>
              <w:tab w:val="clear" w:pos="7609"/>
              <w:tab w:val="right" w:pos="9026" w:leader="dot"/>
            </w:tabs>
            <w:rPr/>
          </w:pPr>
          <w:hyperlink w:anchor="__RefHeading___Toc3973107_1067777946">
            <w:r>
              <w:rPr>
                <w:webHidden/>
                <w:rStyle w:val="IndexLink"/>
                <w:rtl w:val="true"/>
              </w:rPr>
              <w:t>قتل يا قذف زوجه توسط زوج</w:t>
            </w:r>
            <w:r>
              <w:rPr>
                <w:rStyle w:val="IndexLink"/>
                <w:rtl w:val="true"/>
              </w:rPr>
              <w:tab/>
            </w:r>
            <w:r>
              <w:rPr>
                <w:rStyle w:val="IndexLink"/>
              </w:rPr>
              <w:t>446</w:t>
            </w:r>
          </w:hyperlink>
        </w:p>
        <w:p>
          <w:pPr>
            <w:pStyle w:val="Contents4"/>
            <w:tabs>
              <w:tab w:val="clear" w:pos="8176"/>
              <w:tab w:val="right" w:pos="9026" w:leader="dot"/>
            </w:tabs>
            <w:rPr/>
          </w:pPr>
          <w:hyperlink w:anchor="__RefHeading___Toc3973109_1067777946">
            <w:r>
              <w:rPr>
                <w:webHidden/>
                <w:rStyle w:val="IndexLink"/>
              </w:rPr>
              <w:t>4</w:t>
            </w:r>
            <w:r>
              <w:rPr>
                <w:rStyle w:val="IndexLink"/>
                <w:rtl w:val="true"/>
              </w:rPr>
              <w:t xml:space="preserve">. </w:t>
            </w:r>
            <w:r>
              <w:rPr>
                <w:rStyle w:val="IndexLink"/>
                <w:rtl w:val="true"/>
              </w:rPr>
              <w:t>شرط چهارم قصاص</w:t>
            </w:r>
            <w:r>
              <w:rPr>
                <w:rStyle w:val="IndexLink"/>
                <w:rtl w:val="true"/>
              </w:rPr>
              <w:t xml:space="preserve">: </w:t>
            </w:r>
            <w:r>
              <w:rPr>
                <w:rStyle w:val="IndexLink"/>
                <w:rtl w:val="true"/>
              </w:rPr>
              <w:t>كمال عقل</w:t>
            </w:r>
            <w:r>
              <w:rPr>
                <w:rStyle w:val="IndexLink"/>
                <w:rtl w:val="true"/>
              </w:rPr>
              <w:tab/>
            </w:r>
            <w:r>
              <w:rPr>
                <w:rStyle w:val="IndexLink"/>
              </w:rPr>
              <w:t>447</w:t>
            </w:r>
          </w:hyperlink>
        </w:p>
        <w:p>
          <w:pPr>
            <w:pStyle w:val="Contents5"/>
            <w:tabs>
              <w:tab w:val="clear" w:pos="7892"/>
              <w:tab w:val="right" w:pos="9026" w:leader="dot"/>
            </w:tabs>
            <w:rPr/>
          </w:pPr>
          <w:hyperlink w:anchor="__RefHeading___Toc3973111_1067777946">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3973113_1067777946">
            <w:r>
              <w:rPr>
                <w:webHidden/>
                <w:rStyle w:val="IndexLink"/>
                <w:rtl w:val="true"/>
              </w:rPr>
              <w:t>اختلاف ولى و جانى در بعض فروع</w:t>
            </w:r>
            <w:r>
              <w:rPr>
                <w:rStyle w:val="IndexLink"/>
                <w:rtl w:val="true"/>
              </w:rPr>
              <w:tab/>
            </w:r>
            <w:r>
              <w:rPr>
                <w:rStyle w:val="IndexLink"/>
              </w:rPr>
              <w:t>447</w:t>
            </w:r>
          </w:hyperlink>
        </w:p>
        <w:p>
          <w:pPr>
            <w:pStyle w:val="Contents5"/>
            <w:tabs>
              <w:tab w:val="clear" w:pos="7892"/>
              <w:tab w:val="right" w:pos="9026" w:leader="dot"/>
            </w:tabs>
            <w:rPr/>
          </w:pPr>
          <w:hyperlink w:anchor="__RefHeading___Toc3973115_1067777946">
            <w:r>
              <w:rPr>
                <w:webHidden/>
                <w:rStyle w:val="IndexLink"/>
                <w:rtl w:val="true"/>
              </w:rPr>
              <w:t>قتل صبى توسط بالغ</w:t>
            </w:r>
            <w:r>
              <w:rPr>
                <w:rStyle w:val="IndexLink"/>
                <w:rtl w:val="true"/>
              </w:rPr>
              <w:tab/>
            </w:r>
            <w:r>
              <w:rPr>
                <w:rStyle w:val="IndexLink"/>
              </w:rPr>
              <w:t>447</w:t>
            </w:r>
          </w:hyperlink>
        </w:p>
        <w:p>
          <w:pPr>
            <w:pStyle w:val="Contents5"/>
            <w:tabs>
              <w:tab w:val="clear" w:pos="7892"/>
              <w:tab w:val="right" w:pos="9026" w:leader="dot"/>
            </w:tabs>
            <w:rPr/>
          </w:pPr>
          <w:hyperlink w:anchor="__RefHeading___Toc3973117_1067777946">
            <w:r>
              <w:rPr>
                <w:webHidden/>
                <w:rStyle w:val="IndexLink"/>
                <w:rtl w:val="true"/>
              </w:rPr>
              <w:t>مورد ثبوت ديه بر قاتل و عاقله</w:t>
            </w:r>
            <w:r>
              <w:rPr>
                <w:rStyle w:val="IndexLink"/>
                <w:rtl w:val="true"/>
              </w:rPr>
              <w:tab/>
            </w:r>
            <w:r>
              <w:rPr>
                <w:rStyle w:val="IndexLink"/>
              </w:rPr>
              <w:t>448</w:t>
            </w:r>
          </w:hyperlink>
        </w:p>
        <w:p>
          <w:pPr>
            <w:pStyle w:val="Contents5"/>
            <w:tabs>
              <w:tab w:val="clear" w:pos="7892"/>
              <w:tab w:val="right" w:pos="9026" w:leader="dot"/>
            </w:tabs>
            <w:rPr/>
          </w:pPr>
          <w:hyperlink w:anchor="__RefHeading___Toc3973119_1067777946">
            <w:r>
              <w:rPr>
                <w:webHidden/>
                <w:rStyle w:val="IndexLink"/>
                <w:rtl w:val="true"/>
              </w:rPr>
              <w:t>قتل مست</w:t>
            </w:r>
            <w:r>
              <w:rPr>
                <w:rStyle w:val="IndexLink"/>
                <w:rtl w:val="true"/>
              </w:rPr>
              <w:tab/>
            </w:r>
            <w:r>
              <w:rPr>
                <w:rStyle w:val="IndexLink"/>
              </w:rPr>
              <w:t>448</w:t>
            </w:r>
          </w:hyperlink>
        </w:p>
        <w:p>
          <w:pPr>
            <w:pStyle w:val="Contents5"/>
            <w:tabs>
              <w:tab w:val="clear" w:pos="7892"/>
              <w:tab w:val="right" w:pos="9026" w:leader="dot"/>
            </w:tabs>
            <w:rPr/>
          </w:pPr>
          <w:hyperlink w:anchor="__RefHeading___Toc3973121_1067777946">
            <w:r>
              <w:rPr>
                <w:webHidden/>
                <w:rStyle w:val="IndexLink"/>
                <w:rtl w:val="true"/>
              </w:rPr>
              <w:t>تناول بنج يا مرقد</w:t>
            </w:r>
            <w:r>
              <w:rPr>
                <w:rStyle w:val="IndexLink"/>
                <w:rtl w:val="true"/>
              </w:rPr>
              <w:tab/>
            </w:r>
            <w:r>
              <w:rPr>
                <w:rStyle w:val="IndexLink"/>
              </w:rPr>
              <w:t>448</w:t>
            </w:r>
          </w:hyperlink>
        </w:p>
        <w:p>
          <w:pPr>
            <w:pStyle w:val="Contents5"/>
            <w:tabs>
              <w:tab w:val="clear" w:pos="7892"/>
              <w:tab w:val="right" w:pos="9026" w:leader="dot"/>
            </w:tabs>
            <w:rPr/>
          </w:pPr>
          <w:hyperlink w:anchor="__RefHeading___Toc3973123_1067777946">
            <w:r>
              <w:rPr>
                <w:webHidden/>
                <w:rStyle w:val="IndexLink"/>
                <w:rtl w:val="true"/>
              </w:rPr>
              <w:t>عدم قصاص بر نائم</w:t>
            </w:r>
            <w:r>
              <w:rPr>
                <w:rStyle w:val="IndexLink"/>
                <w:rtl w:val="true"/>
              </w:rPr>
              <w:tab/>
            </w:r>
            <w:r>
              <w:rPr>
                <w:rStyle w:val="IndexLink"/>
              </w:rPr>
              <w:t>448</w:t>
            </w:r>
          </w:hyperlink>
        </w:p>
        <w:p>
          <w:pPr>
            <w:pStyle w:val="Contents5"/>
            <w:tabs>
              <w:tab w:val="clear" w:pos="7892"/>
              <w:tab w:val="right" w:pos="9026" w:leader="dot"/>
            </w:tabs>
            <w:rPr/>
          </w:pPr>
          <w:hyperlink w:anchor="__RefHeading___Toc3973125_1067777946">
            <w:r>
              <w:rPr>
                <w:webHidden/>
                <w:rStyle w:val="IndexLink"/>
                <w:rtl w:val="true"/>
              </w:rPr>
              <w:t>نابينا</w:t>
            </w:r>
            <w:r>
              <w:rPr>
                <w:rStyle w:val="IndexLink"/>
                <w:rtl w:val="true"/>
              </w:rPr>
              <w:tab/>
            </w:r>
            <w:r>
              <w:rPr>
                <w:rStyle w:val="IndexLink"/>
              </w:rPr>
              <w:t>448</w:t>
            </w:r>
          </w:hyperlink>
        </w:p>
        <w:p>
          <w:pPr>
            <w:pStyle w:val="Contents4"/>
            <w:tabs>
              <w:tab w:val="clear" w:pos="8176"/>
              <w:tab w:val="right" w:pos="9026" w:leader="dot"/>
            </w:tabs>
            <w:rPr/>
          </w:pPr>
          <w:hyperlink w:anchor="__RefHeading___Toc3973127_1067777946">
            <w:r>
              <w:rPr>
                <w:webHidden/>
                <w:rStyle w:val="IndexLink"/>
              </w:rPr>
              <w:t>5</w:t>
            </w:r>
            <w:r>
              <w:rPr>
                <w:rStyle w:val="IndexLink"/>
                <w:rtl w:val="true"/>
              </w:rPr>
              <w:t xml:space="preserve">. </w:t>
            </w:r>
            <w:r>
              <w:rPr>
                <w:rStyle w:val="IndexLink"/>
                <w:rtl w:val="true"/>
              </w:rPr>
              <w:t>شرط پنجم در قصاص</w:t>
            </w:r>
            <w:r>
              <w:rPr>
                <w:rStyle w:val="IndexLink"/>
                <w:rtl w:val="true"/>
              </w:rPr>
              <w:t xml:space="preserve">: </w:t>
            </w:r>
            <w:r>
              <w:rPr>
                <w:rStyle w:val="IndexLink"/>
                <w:rtl w:val="true"/>
              </w:rPr>
              <w:t>مقتول، محقون الدم باشد و مهدور الدم نباشد</w:t>
            </w:r>
            <w:r>
              <w:rPr>
                <w:rStyle w:val="IndexLink"/>
                <w:rtl w:val="true"/>
              </w:rPr>
              <w:tab/>
            </w:r>
            <w:r>
              <w:rPr>
                <w:rStyle w:val="IndexLink"/>
              </w:rPr>
              <w:t>449</w:t>
            </w:r>
          </w:hyperlink>
        </w:p>
        <w:p>
          <w:pPr>
            <w:pStyle w:val="Contents3"/>
            <w:tabs>
              <w:tab w:val="clear" w:pos="8459"/>
              <w:tab w:val="right" w:pos="9026" w:leader="dot"/>
            </w:tabs>
            <w:rPr/>
          </w:pPr>
          <w:hyperlink w:anchor="__RefHeading___Toc3973129_1067777946">
            <w:r>
              <w:rPr>
                <w:webHidden/>
                <w:rStyle w:val="IndexLink"/>
                <w:rtl w:val="true"/>
              </w:rPr>
              <w:t>فصل چهارم دعواى قتل و مُثبِت آن</w:t>
            </w:r>
            <w:r>
              <w:rPr>
                <w:rStyle w:val="IndexLink"/>
                <w:rtl w:val="true"/>
              </w:rPr>
              <w:tab/>
            </w:r>
            <w:r>
              <w:rPr>
                <w:rStyle w:val="IndexLink"/>
              </w:rPr>
              <w:t>450</w:t>
            </w:r>
          </w:hyperlink>
        </w:p>
        <w:p>
          <w:pPr>
            <w:pStyle w:val="Contents4"/>
            <w:tabs>
              <w:tab w:val="clear" w:pos="8176"/>
              <w:tab w:val="right" w:pos="9026" w:leader="dot"/>
            </w:tabs>
            <w:rPr/>
          </w:pPr>
          <w:hyperlink w:anchor="__RefHeading___Toc3973131_1067777946">
            <w:r>
              <w:rPr>
                <w:webHidden/>
                <w:rStyle w:val="IndexLink"/>
              </w:rPr>
              <w:t>1</w:t>
            </w:r>
            <w:r>
              <w:rPr>
                <w:rStyle w:val="IndexLink"/>
                <w:rtl w:val="true"/>
              </w:rPr>
              <w:t xml:space="preserve">. </w:t>
            </w:r>
            <w:r>
              <w:rPr>
                <w:rStyle w:val="IndexLink"/>
                <w:rtl w:val="true"/>
              </w:rPr>
              <w:t>دعواى قتل</w:t>
            </w:r>
            <w:r>
              <w:rPr>
                <w:rStyle w:val="IndexLink"/>
                <w:rtl w:val="true"/>
              </w:rPr>
              <w:tab/>
            </w:r>
            <w:r>
              <w:rPr>
                <w:rStyle w:val="IndexLink"/>
              </w:rPr>
              <w:t>450</w:t>
            </w:r>
          </w:hyperlink>
        </w:p>
        <w:p>
          <w:pPr>
            <w:pStyle w:val="Contents5"/>
            <w:tabs>
              <w:tab w:val="clear" w:pos="7892"/>
              <w:tab w:val="right" w:pos="9026" w:leader="dot"/>
            </w:tabs>
            <w:rPr/>
          </w:pPr>
          <w:hyperlink w:anchor="__RefHeading___Toc3973133_1067777946">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3973135_1067777946">
            <w:r>
              <w:rPr>
                <w:webHidden/>
                <w:rStyle w:val="IndexLink"/>
                <w:rtl w:val="true"/>
              </w:rPr>
              <w:t>آن چه در مسموعيّت دعواى قتل معتبر است</w:t>
            </w:r>
            <w:r>
              <w:rPr>
                <w:rStyle w:val="IndexLink"/>
                <w:rtl w:val="true"/>
              </w:rPr>
              <w:tab/>
            </w:r>
            <w:r>
              <w:rPr>
                <w:rStyle w:val="IndexLink"/>
              </w:rPr>
              <w:t>450</w:t>
            </w:r>
          </w:hyperlink>
        </w:p>
        <w:p>
          <w:pPr>
            <w:pStyle w:val="Contents5"/>
            <w:tabs>
              <w:tab w:val="clear" w:pos="7892"/>
              <w:tab w:val="right" w:pos="9026" w:leader="dot"/>
            </w:tabs>
            <w:rPr/>
          </w:pPr>
          <w:hyperlink w:anchor="__RefHeading___Toc3973137_1067777946">
            <w:r>
              <w:rPr>
                <w:webHidden/>
                <w:rStyle w:val="IndexLink"/>
                <w:rtl w:val="true"/>
              </w:rPr>
              <w:t>چند مسأله</w:t>
            </w:r>
            <w:r>
              <w:rPr>
                <w:rStyle w:val="IndexLink"/>
                <w:rtl w:val="true"/>
              </w:rPr>
              <w:tab/>
            </w:r>
            <w:r>
              <w:rPr>
                <w:rStyle w:val="IndexLink"/>
              </w:rPr>
              <w:t>450</w:t>
            </w:r>
          </w:hyperlink>
        </w:p>
        <w:p>
          <w:pPr>
            <w:pStyle w:val="Contents6"/>
            <w:tabs>
              <w:tab w:val="clear" w:pos="7609"/>
              <w:tab w:val="right" w:pos="9026" w:leader="dot"/>
            </w:tabs>
            <w:rPr/>
          </w:pPr>
          <w:hyperlink w:anchor="__RefHeading___Toc3973139_1067777946">
            <w:r>
              <w:rPr>
                <w:webHidden/>
                <w:rStyle w:val="IndexLink"/>
                <w:rtl w:val="true"/>
              </w:rPr>
              <w:t>چند فرض ادّعاى ممكن يا غير ممكن</w:t>
            </w:r>
            <w:r>
              <w:rPr>
                <w:rStyle w:val="IndexLink"/>
                <w:rtl w:val="true"/>
              </w:rPr>
              <w:tab/>
            </w:r>
            <w:r>
              <w:rPr>
                <w:rStyle w:val="IndexLink"/>
              </w:rPr>
              <w:t>450</w:t>
            </w:r>
          </w:hyperlink>
        </w:p>
        <w:p>
          <w:pPr>
            <w:pStyle w:val="Contents6"/>
            <w:tabs>
              <w:tab w:val="clear" w:pos="7609"/>
              <w:tab w:val="right" w:pos="9026" w:leader="dot"/>
            </w:tabs>
            <w:rPr/>
          </w:pPr>
          <w:hyperlink w:anchor="__RefHeading___Toc3973141_1067777946">
            <w:r>
              <w:rPr>
                <w:webHidden/>
                <w:rStyle w:val="IndexLink"/>
                <w:rtl w:val="true"/>
              </w:rPr>
              <w:t>ادّعاى قتل بدون تعيين عمد و خطا</w:t>
            </w:r>
            <w:r>
              <w:rPr>
                <w:rStyle w:val="IndexLink"/>
                <w:rtl w:val="true"/>
              </w:rPr>
              <w:tab/>
            </w:r>
            <w:r>
              <w:rPr>
                <w:rStyle w:val="IndexLink"/>
              </w:rPr>
              <w:t>451</w:t>
            </w:r>
          </w:hyperlink>
        </w:p>
        <w:p>
          <w:pPr>
            <w:pStyle w:val="Contents6"/>
            <w:tabs>
              <w:tab w:val="clear" w:pos="7609"/>
              <w:tab w:val="right" w:pos="9026" w:leader="dot"/>
            </w:tabs>
            <w:rPr/>
          </w:pPr>
          <w:hyperlink w:anchor="__RefHeading___Toc3973143_1067777946">
            <w:r>
              <w:rPr>
                <w:webHidden/>
                <w:rStyle w:val="IndexLink"/>
                <w:rtl w:val="true"/>
              </w:rPr>
              <w:t>ادّعاى قتل كسى و تعقّب به ادّعاى بر ديگرى</w:t>
            </w:r>
            <w:r>
              <w:rPr>
                <w:rStyle w:val="IndexLink"/>
                <w:rtl w:val="true"/>
              </w:rPr>
              <w:tab/>
            </w:r>
            <w:r>
              <w:rPr>
                <w:rStyle w:val="IndexLink"/>
              </w:rPr>
              <w:t>451</w:t>
            </w:r>
          </w:hyperlink>
        </w:p>
        <w:p>
          <w:pPr>
            <w:pStyle w:val="Contents6"/>
            <w:tabs>
              <w:tab w:val="clear" w:pos="7609"/>
              <w:tab w:val="right" w:pos="9026" w:leader="dot"/>
            </w:tabs>
            <w:rPr/>
          </w:pPr>
          <w:hyperlink w:anchor="__RefHeading___Toc3973145_1067777946">
            <w:r>
              <w:rPr>
                <w:webHidden/>
                <w:rStyle w:val="IndexLink"/>
                <w:rtl w:val="true"/>
              </w:rPr>
              <w:t>ادّعاى قتل عمدى يا خطايى و تفسير به عكس</w:t>
            </w:r>
            <w:r>
              <w:rPr>
                <w:rStyle w:val="IndexLink"/>
                <w:rtl w:val="true"/>
              </w:rPr>
              <w:tab/>
            </w:r>
            <w:r>
              <w:rPr>
                <w:rStyle w:val="IndexLink"/>
              </w:rPr>
              <w:t>452</w:t>
            </w:r>
          </w:hyperlink>
        </w:p>
        <w:p>
          <w:pPr>
            <w:pStyle w:val="Contents6"/>
            <w:tabs>
              <w:tab w:val="clear" w:pos="7609"/>
              <w:tab w:val="right" w:pos="9026" w:leader="dot"/>
            </w:tabs>
            <w:rPr/>
          </w:pPr>
          <w:hyperlink w:anchor="__RefHeading___Toc3973147_1067777946">
            <w:r>
              <w:rPr>
                <w:webHidden/>
                <w:rStyle w:val="IndexLink"/>
                <w:rtl w:val="true"/>
              </w:rPr>
              <w:t>ادّعاى قتل و مصالحه به مال و ادّعاى ظلم در گرفتن</w:t>
            </w:r>
            <w:r>
              <w:rPr>
                <w:rStyle w:val="IndexLink"/>
                <w:rtl w:val="true"/>
              </w:rPr>
              <w:tab/>
            </w:r>
            <w:r>
              <w:rPr>
                <w:rStyle w:val="IndexLink"/>
              </w:rPr>
              <w:t>452</w:t>
            </w:r>
          </w:hyperlink>
        </w:p>
        <w:p>
          <w:pPr>
            <w:pStyle w:val="Contents5"/>
            <w:tabs>
              <w:tab w:val="clear" w:pos="7892"/>
              <w:tab w:val="right" w:pos="9026" w:leader="dot"/>
            </w:tabs>
            <w:rPr/>
          </w:pPr>
          <w:hyperlink w:anchor="__RefHeading___Toc3973149_1067777946">
            <w:r>
              <w:rPr>
                <w:webHidden/>
                <w:rStyle w:val="IndexLink"/>
              </w:rPr>
              <w:t>2</w:t>
            </w:r>
            <w:r>
              <w:rPr>
                <w:rStyle w:val="IndexLink"/>
                <w:rtl w:val="true"/>
              </w:rPr>
              <w:t xml:space="preserve">. </w:t>
            </w:r>
            <w:r>
              <w:rPr>
                <w:rStyle w:val="IndexLink"/>
                <w:rtl w:val="true"/>
              </w:rPr>
              <w:t>مُثبِتات سه گانۀ دعواى قتل</w:t>
            </w:r>
            <w:r>
              <w:rPr>
                <w:rStyle w:val="IndexLink"/>
                <w:rtl w:val="true"/>
              </w:rPr>
              <w:tab/>
            </w:r>
            <w:r>
              <w:rPr>
                <w:rStyle w:val="IndexLink"/>
              </w:rPr>
              <w:t>452</w:t>
            </w:r>
          </w:hyperlink>
        </w:p>
        <w:p>
          <w:pPr>
            <w:pStyle w:val="Contents6"/>
            <w:tabs>
              <w:tab w:val="clear" w:pos="7609"/>
              <w:tab w:val="right" w:pos="9026" w:leader="dot"/>
            </w:tabs>
            <w:rPr/>
          </w:pPr>
          <w:hyperlink w:anchor="__RefHeading___Toc3973151_1067777946">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3973153_1067777946">
            <w:r>
              <w:rPr>
                <w:webHidden/>
                <w:rStyle w:val="IndexLink"/>
                <w:rtl w:val="true"/>
              </w:rPr>
              <w:t>مثبت اول</w:t>
            </w:r>
            <w:r>
              <w:rPr>
                <w:rStyle w:val="IndexLink"/>
                <w:rtl w:val="true"/>
              </w:rPr>
              <w:t xml:space="preserve">: </w:t>
            </w:r>
            <w:r>
              <w:rPr>
                <w:rStyle w:val="IndexLink"/>
                <w:rtl w:val="true"/>
              </w:rPr>
              <w:t>اقرار</w:t>
            </w:r>
            <w:r>
              <w:rPr>
                <w:rStyle w:val="IndexLink"/>
                <w:rtl w:val="true"/>
              </w:rPr>
              <w:tab/>
            </w:r>
            <w:r>
              <w:rPr>
                <w:rStyle w:val="IndexLink"/>
              </w:rPr>
              <w:t>452</w:t>
            </w:r>
          </w:hyperlink>
        </w:p>
        <w:p>
          <w:pPr>
            <w:pStyle w:val="Contents6"/>
            <w:tabs>
              <w:tab w:val="clear" w:pos="7609"/>
              <w:tab w:val="right" w:pos="9026" w:leader="dot"/>
            </w:tabs>
            <w:rPr/>
          </w:pPr>
          <w:hyperlink w:anchor="__RefHeading___Toc3973155_1067777946">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3973157_1067777946">
            <w:r>
              <w:rPr>
                <w:webHidden/>
                <w:rStyle w:val="IndexLink"/>
                <w:rtl w:val="true"/>
              </w:rPr>
              <w:t>آن چه در مُقِرّ بر قتل معتبر است</w:t>
            </w:r>
            <w:r>
              <w:rPr>
                <w:rStyle w:val="IndexLink"/>
                <w:rtl w:val="true"/>
              </w:rPr>
              <w:tab/>
            </w:r>
            <w:r>
              <w:rPr>
                <w:rStyle w:val="IndexLink"/>
              </w:rPr>
              <w:t>452</w:t>
            </w:r>
          </w:hyperlink>
        </w:p>
        <w:p>
          <w:pPr>
            <w:pStyle w:val="Contents6"/>
            <w:tabs>
              <w:tab w:val="clear" w:pos="7609"/>
              <w:tab w:val="right" w:pos="9026" w:leader="dot"/>
            </w:tabs>
            <w:rPr/>
          </w:pPr>
          <w:hyperlink w:anchor="__RefHeading___Toc3973159_1067777946">
            <w:r>
              <w:rPr>
                <w:webHidden/>
                <w:rStyle w:val="IndexLink"/>
                <w:rtl w:val="true"/>
              </w:rPr>
              <w:t>اقرار يكى به عمد و ديگرى به خطا</w:t>
            </w:r>
            <w:r>
              <w:rPr>
                <w:rStyle w:val="IndexLink"/>
                <w:rtl w:val="true"/>
              </w:rPr>
              <w:tab/>
            </w:r>
            <w:r>
              <w:rPr>
                <w:rStyle w:val="IndexLink"/>
              </w:rPr>
              <w:t>453</w:t>
            </w:r>
          </w:hyperlink>
        </w:p>
        <w:p>
          <w:pPr>
            <w:pStyle w:val="Contents6"/>
            <w:tabs>
              <w:tab w:val="clear" w:pos="7609"/>
              <w:tab w:val="right" w:pos="9026" w:leader="dot"/>
            </w:tabs>
            <w:rPr/>
          </w:pPr>
          <w:hyperlink w:anchor="__RefHeading___Toc3973161_1067777946">
            <w:r>
              <w:rPr>
                <w:webHidden/>
                <w:rStyle w:val="IndexLink"/>
                <w:rtl w:val="true"/>
              </w:rPr>
              <w:t>مثبت دوم</w:t>
            </w:r>
            <w:r>
              <w:rPr>
                <w:rStyle w:val="IndexLink"/>
                <w:rtl w:val="true"/>
              </w:rPr>
              <w:t xml:space="preserve">: </w:t>
            </w:r>
            <w:r>
              <w:rPr>
                <w:rStyle w:val="IndexLink"/>
                <w:rtl w:val="true"/>
              </w:rPr>
              <w:t>بيّنه</w:t>
            </w:r>
            <w:r>
              <w:rPr>
                <w:rStyle w:val="IndexLink"/>
                <w:rtl w:val="true"/>
              </w:rPr>
              <w:tab/>
            </w:r>
            <w:r>
              <w:rPr>
                <w:rStyle w:val="IndexLink"/>
              </w:rPr>
              <w:t>453</w:t>
            </w:r>
          </w:hyperlink>
        </w:p>
        <w:p>
          <w:pPr>
            <w:pStyle w:val="Contents6"/>
            <w:tabs>
              <w:tab w:val="clear" w:pos="7609"/>
              <w:tab w:val="right" w:pos="9026" w:leader="dot"/>
            </w:tabs>
            <w:rPr/>
          </w:pPr>
          <w:hyperlink w:anchor="__RefHeading___Toc3973163_1067777946">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3973165_1067777946">
            <w:r>
              <w:rPr>
                <w:webHidden/>
                <w:rStyle w:val="IndexLink"/>
                <w:rtl w:val="true"/>
              </w:rPr>
              <w:t>شهادت بر هاشمۀ مسبوقۀ به ايضاح</w:t>
            </w:r>
            <w:r>
              <w:rPr>
                <w:rStyle w:val="IndexLink"/>
                <w:rtl w:val="true"/>
              </w:rPr>
              <w:tab/>
            </w:r>
            <w:r>
              <w:rPr>
                <w:rStyle w:val="IndexLink"/>
              </w:rPr>
              <w:t>454</w:t>
            </w:r>
          </w:hyperlink>
        </w:p>
        <w:p>
          <w:pPr>
            <w:pStyle w:val="Contents6"/>
            <w:tabs>
              <w:tab w:val="clear" w:pos="7609"/>
              <w:tab w:val="right" w:pos="9026" w:leader="dot"/>
            </w:tabs>
            <w:rPr/>
          </w:pPr>
          <w:hyperlink w:anchor="__RefHeading___Toc3973167_1067777946">
            <w:r>
              <w:rPr>
                <w:webHidden/>
                <w:rStyle w:val="IndexLink"/>
                <w:rtl w:val="true"/>
              </w:rPr>
              <w:t>شهادت يك مرد و دو زن به عمد در رمى كسى و اصابت خطايى به شخص ديگر</w:t>
            </w:r>
            <w:r>
              <w:rPr>
                <w:rStyle w:val="IndexLink"/>
                <w:rtl w:val="true"/>
              </w:rPr>
              <w:tab/>
            </w:r>
            <w:r>
              <w:rPr>
                <w:rStyle w:val="IndexLink"/>
              </w:rPr>
              <w:t>454</w:t>
            </w:r>
          </w:hyperlink>
        </w:p>
        <w:p>
          <w:pPr>
            <w:pStyle w:val="Contents6"/>
            <w:tabs>
              <w:tab w:val="clear" w:pos="7609"/>
              <w:tab w:val="right" w:pos="9026" w:leader="dot"/>
            </w:tabs>
            <w:rPr/>
          </w:pPr>
          <w:hyperlink w:anchor="__RefHeading___Toc3973169_1067777946">
            <w:r>
              <w:rPr>
                <w:webHidden/>
                <w:rStyle w:val="IndexLink"/>
                <w:rtl w:val="true"/>
              </w:rPr>
              <w:t>اكتفاى به ظهور در شهادت بر قتل</w:t>
            </w:r>
            <w:r>
              <w:rPr>
                <w:rStyle w:val="IndexLink"/>
                <w:rtl w:val="true"/>
              </w:rPr>
              <w:tab/>
            </w:r>
            <w:r>
              <w:rPr>
                <w:rStyle w:val="IndexLink"/>
              </w:rPr>
              <w:t>454</w:t>
            </w:r>
          </w:hyperlink>
        </w:p>
        <w:p>
          <w:pPr>
            <w:pStyle w:val="Contents6"/>
            <w:tabs>
              <w:tab w:val="clear" w:pos="7609"/>
              <w:tab w:val="right" w:pos="9026" w:leader="dot"/>
            </w:tabs>
            <w:rPr/>
          </w:pPr>
          <w:hyperlink w:anchor="__RefHeading___Toc3973171_1067777946">
            <w:r>
              <w:rPr>
                <w:webHidden/>
                <w:rStyle w:val="IndexLink"/>
                <w:rtl w:val="true"/>
              </w:rPr>
              <w:t>شهادت به موضحه و رؤيت دو موضحه</w:t>
            </w:r>
            <w:r>
              <w:rPr>
                <w:rStyle w:val="IndexLink"/>
                <w:rtl w:val="true"/>
              </w:rPr>
              <w:tab/>
            </w:r>
            <w:r>
              <w:rPr>
                <w:rStyle w:val="IndexLink"/>
              </w:rPr>
              <w:t>455</w:t>
            </w:r>
          </w:hyperlink>
        </w:p>
        <w:p>
          <w:pPr>
            <w:pStyle w:val="Contents6"/>
            <w:tabs>
              <w:tab w:val="clear" w:pos="7609"/>
              <w:tab w:val="right" w:pos="9026" w:leader="dot"/>
            </w:tabs>
            <w:rPr/>
          </w:pPr>
          <w:hyperlink w:anchor="__RefHeading___Toc3973173_1067777946">
            <w:r>
              <w:rPr>
                <w:webHidden/>
                <w:rStyle w:val="IndexLink"/>
                <w:rtl w:val="true"/>
              </w:rPr>
              <w:t>لزوم توافق دو شهادت در خصوصيّات</w:t>
            </w:r>
            <w:r>
              <w:rPr>
                <w:rStyle w:val="IndexLink"/>
                <w:rtl w:val="true"/>
              </w:rPr>
              <w:tab/>
            </w:r>
            <w:r>
              <w:rPr>
                <w:rStyle w:val="IndexLink"/>
              </w:rPr>
              <w:t>455</w:t>
            </w:r>
          </w:hyperlink>
        </w:p>
        <w:p>
          <w:pPr>
            <w:pStyle w:val="Contents6"/>
            <w:tabs>
              <w:tab w:val="clear" w:pos="7609"/>
              <w:tab w:val="right" w:pos="9026" w:leader="dot"/>
            </w:tabs>
            <w:rPr/>
          </w:pPr>
          <w:hyperlink w:anchor="__RefHeading___Toc3973175_1067777946">
            <w:r>
              <w:rPr>
                <w:webHidden/>
                <w:rStyle w:val="IndexLink"/>
                <w:rtl w:val="true"/>
              </w:rPr>
              <w:t>مسائلى مربوط به شهادت بر قتل</w:t>
            </w:r>
            <w:r>
              <w:rPr>
                <w:rStyle w:val="IndexLink"/>
                <w:rtl w:val="true"/>
              </w:rPr>
              <w:tab/>
            </w:r>
            <w:r>
              <w:rPr>
                <w:rStyle w:val="IndexLink"/>
              </w:rPr>
              <w:t>455</w:t>
            </w:r>
          </w:hyperlink>
        </w:p>
        <w:p>
          <w:pPr>
            <w:pStyle w:val="Contents6"/>
            <w:tabs>
              <w:tab w:val="clear" w:pos="7609"/>
              <w:tab w:val="right" w:pos="9026" w:leader="dot"/>
            </w:tabs>
            <w:rPr/>
          </w:pPr>
          <w:hyperlink w:anchor="__RefHeading___Toc3973177_1067777946">
            <w:r>
              <w:rPr>
                <w:webHidden/>
                <w:rStyle w:val="IndexLink"/>
                <w:rtl w:val="true"/>
              </w:rPr>
              <w:t>اختلاف شهادت بر اقرار به قتل</w:t>
            </w:r>
            <w:r>
              <w:rPr>
                <w:rStyle w:val="IndexLink"/>
                <w:rtl w:val="true"/>
              </w:rPr>
              <w:tab/>
            </w:r>
            <w:r>
              <w:rPr>
                <w:rStyle w:val="IndexLink"/>
              </w:rPr>
              <w:t>455</w:t>
            </w:r>
          </w:hyperlink>
        </w:p>
        <w:p>
          <w:pPr>
            <w:pStyle w:val="Contents6"/>
            <w:tabs>
              <w:tab w:val="clear" w:pos="7609"/>
              <w:tab w:val="right" w:pos="9026" w:leader="dot"/>
            </w:tabs>
            <w:rPr/>
          </w:pPr>
          <w:hyperlink w:anchor="__RefHeading___Toc3973179_1067777946">
            <w:r>
              <w:rPr>
                <w:webHidden/>
                <w:rStyle w:val="IndexLink"/>
                <w:rtl w:val="true"/>
              </w:rPr>
              <w:t>شهادت يكى بر قتل عمدى و ديگرى بر اصل قتل</w:t>
            </w:r>
            <w:r>
              <w:rPr>
                <w:rStyle w:val="IndexLink"/>
                <w:rtl w:val="true"/>
              </w:rPr>
              <w:tab/>
            </w:r>
            <w:r>
              <w:rPr>
                <w:rStyle w:val="IndexLink"/>
              </w:rPr>
              <w:t>456</w:t>
            </w:r>
          </w:hyperlink>
        </w:p>
        <w:p>
          <w:pPr>
            <w:pStyle w:val="Contents6"/>
            <w:tabs>
              <w:tab w:val="clear" w:pos="7609"/>
              <w:tab w:val="right" w:pos="9026" w:leader="dot"/>
            </w:tabs>
            <w:rPr/>
          </w:pPr>
          <w:hyperlink w:anchor="__RefHeading___Toc3973181_1067777946">
            <w:r>
              <w:rPr>
                <w:webHidden/>
                <w:rStyle w:val="IndexLink"/>
                <w:rtl w:val="true"/>
              </w:rPr>
              <w:t>شهادت يكى بر عمد و ديگرى بر خطا</w:t>
            </w:r>
            <w:r>
              <w:rPr>
                <w:rStyle w:val="IndexLink"/>
                <w:rtl w:val="true"/>
              </w:rPr>
              <w:tab/>
            </w:r>
            <w:r>
              <w:rPr>
                <w:rStyle w:val="IndexLink"/>
              </w:rPr>
              <w:t>456</w:t>
            </w:r>
          </w:hyperlink>
        </w:p>
        <w:p>
          <w:pPr>
            <w:pStyle w:val="Contents6"/>
            <w:tabs>
              <w:tab w:val="clear" w:pos="7609"/>
              <w:tab w:val="right" w:pos="9026" w:leader="dot"/>
            </w:tabs>
            <w:rPr/>
          </w:pPr>
          <w:hyperlink w:anchor="__RefHeading___Toc3973183_1067777946">
            <w:r>
              <w:rPr>
                <w:webHidden/>
                <w:rStyle w:val="IndexLink"/>
                <w:rtl w:val="true"/>
              </w:rPr>
              <w:t>شهادت دو عادل بر قتل دو نفر و</w:t>
            </w:r>
            <w:r>
              <w:rPr>
                <w:rStyle w:val="IndexLink"/>
                <w:rtl w:val="true"/>
              </w:rPr>
              <w:t>...</w:t>
              <w:tab/>
            </w:r>
            <w:r>
              <w:rPr>
                <w:rStyle w:val="IndexLink"/>
              </w:rPr>
              <w:t>456</w:t>
            </w:r>
          </w:hyperlink>
        </w:p>
        <w:p>
          <w:pPr>
            <w:pStyle w:val="Contents6"/>
            <w:tabs>
              <w:tab w:val="clear" w:pos="7609"/>
              <w:tab w:val="right" w:pos="9026" w:leader="dot"/>
            </w:tabs>
            <w:rPr/>
          </w:pPr>
          <w:hyperlink w:anchor="__RefHeading___Toc3973185_1067777946">
            <w:r>
              <w:rPr>
                <w:webHidden/>
                <w:rStyle w:val="IndexLink"/>
                <w:rtl w:val="true"/>
              </w:rPr>
              <w:t>فرضى براى ردّ شهادت به تهمت</w:t>
            </w:r>
            <w:r>
              <w:rPr>
                <w:rStyle w:val="IndexLink"/>
                <w:rtl w:val="true"/>
              </w:rPr>
              <w:tab/>
            </w:r>
            <w:r>
              <w:rPr>
                <w:rStyle w:val="IndexLink"/>
              </w:rPr>
              <w:t>457</w:t>
            </w:r>
          </w:hyperlink>
        </w:p>
        <w:p>
          <w:pPr>
            <w:pStyle w:val="Contents6"/>
            <w:tabs>
              <w:tab w:val="clear" w:pos="7609"/>
              <w:tab w:val="right" w:pos="9026" w:leader="dot"/>
            </w:tabs>
            <w:rPr/>
          </w:pPr>
          <w:hyperlink w:anchor="__RefHeading___Toc3973187_1067777946">
            <w:r>
              <w:rPr>
                <w:webHidden/>
                <w:rStyle w:val="IndexLink"/>
                <w:rtl w:val="true"/>
              </w:rPr>
              <w:t>شهادت عاقله بر فسق شاهد قتل</w:t>
            </w:r>
            <w:r>
              <w:rPr>
                <w:rStyle w:val="IndexLink"/>
                <w:rtl w:val="true"/>
              </w:rPr>
              <w:tab/>
            </w:r>
            <w:r>
              <w:rPr>
                <w:rStyle w:val="IndexLink"/>
              </w:rPr>
              <w:t>457</w:t>
            </w:r>
          </w:hyperlink>
        </w:p>
        <w:p>
          <w:pPr>
            <w:pStyle w:val="Contents6"/>
            <w:tabs>
              <w:tab w:val="clear" w:pos="7609"/>
              <w:tab w:val="right" w:pos="9026" w:leader="dot"/>
            </w:tabs>
            <w:rPr/>
          </w:pPr>
          <w:hyperlink w:anchor="__RefHeading___Toc3973189_1067777946">
            <w:r>
              <w:rPr>
                <w:webHidden/>
                <w:rStyle w:val="IndexLink"/>
                <w:rtl w:val="true"/>
              </w:rPr>
              <w:t>شهادت دو بيّنه بر تعيين قاتل به نحو اختلاف</w:t>
            </w:r>
            <w:r>
              <w:rPr>
                <w:rStyle w:val="IndexLink"/>
                <w:rtl w:val="true"/>
              </w:rPr>
              <w:tab/>
            </w:r>
            <w:r>
              <w:rPr>
                <w:rStyle w:val="IndexLink"/>
              </w:rPr>
              <w:t>457</w:t>
            </w:r>
          </w:hyperlink>
        </w:p>
        <w:p>
          <w:pPr>
            <w:pStyle w:val="Contents6"/>
            <w:tabs>
              <w:tab w:val="clear" w:pos="7609"/>
              <w:tab w:val="right" w:pos="9026" w:leader="dot"/>
            </w:tabs>
            <w:rPr/>
          </w:pPr>
          <w:hyperlink w:anchor="__RefHeading___Toc3973191_1067777946">
            <w:r>
              <w:rPr>
                <w:webHidden/>
                <w:rStyle w:val="IndexLink"/>
                <w:rtl w:val="true"/>
              </w:rPr>
              <w:t>اختلاف شهادت با اقرار</w:t>
            </w:r>
            <w:r>
              <w:rPr>
                <w:rStyle w:val="IndexLink"/>
                <w:rtl w:val="true"/>
              </w:rPr>
              <w:tab/>
            </w:r>
            <w:r>
              <w:rPr>
                <w:rStyle w:val="IndexLink"/>
              </w:rPr>
              <w:t>458</w:t>
            </w:r>
          </w:hyperlink>
        </w:p>
        <w:p>
          <w:pPr>
            <w:pStyle w:val="Contents6"/>
            <w:tabs>
              <w:tab w:val="clear" w:pos="7609"/>
              <w:tab w:val="right" w:pos="9026" w:leader="dot"/>
            </w:tabs>
            <w:rPr/>
          </w:pPr>
          <w:hyperlink w:anchor="__RefHeading___Toc3973193_1067777946">
            <w:r>
              <w:rPr>
                <w:webHidden/>
                <w:rStyle w:val="IndexLink"/>
                <w:rtl w:val="true"/>
              </w:rPr>
              <w:t>صحت عفو احتمالى</w:t>
            </w:r>
            <w:r>
              <w:rPr>
                <w:rStyle w:val="IndexLink"/>
                <w:rtl w:val="true"/>
              </w:rPr>
              <w:tab/>
            </w:r>
            <w:r>
              <w:rPr>
                <w:rStyle w:val="IndexLink"/>
              </w:rPr>
              <w:t>458</w:t>
            </w:r>
          </w:hyperlink>
        </w:p>
        <w:p>
          <w:pPr>
            <w:pStyle w:val="Contents4"/>
            <w:tabs>
              <w:tab w:val="clear" w:pos="8176"/>
              <w:tab w:val="right" w:pos="9026" w:leader="dot"/>
            </w:tabs>
            <w:rPr/>
          </w:pPr>
          <w:hyperlink w:anchor="__RefHeading___Toc3973195_1067777946">
            <w:r>
              <w:rPr>
                <w:webHidden/>
                <w:rStyle w:val="IndexLink"/>
              </w:rPr>
              <w:t>3</w:t>
            </w:r>
            <w:r>
              <w:rPr>
                <w:rStyle w:val="IndexLink"/>
                <w:rtl w:val="true"/>
              </w:rPr>
              <w:t xml:space="preserve">. </w:t>
            </w:r>
            <w:r>
              <w:rPr>
                <w:rStyle w:val="IndexLink"/>
                <w:rtl w:val="true"/>
              </w:rPr>
              <w:t>قَسامه</w:t>
            </w:r>
            <w:r>
              <w:rPr>
                <w:rStyle w:val="IndexLink"/>
                <w:rtl w:val="true"/>
              </w:rPr>
              <w:tab/>
            </w:r>
            <w:r>
              <w:rPr>
                <w:rStyle w:val="IndexLink"/>
              </w:rPr>
              <w:t>458</w:t>
            </w:r>
          </w:hyperlink>
        </w:p>
        <w:p>
          <w:pPr>
            <w:pStyle w:val="Contents5"/>
            <w:tabs>
              <w:tab w:val="clear" w:pos="7892"/>
              <w:tab w:val="right" w:pos="9026" w:leader="dot"/>
            </w:tabs>
            <w:rPr/>
          </w:pPr>
          <w:hyperlink w:anchor="__RefHeading___Toc3973197_1067777946">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3973199_1067777946">
            <w:r>
              <w:rPr>
                <w:webHidden/>
                <w:rStyle w:val="IndexLink"/>
                <w:rtl w:val="true"/>
              </w:rPr>
              <w:t>مقصد اوّل</w:t>
            </w:r>
            <w:r>
              <w:rPr>
                <w:rStyle w:val="IndexLink"/>
                <w:rtl w:val="true"/>
              </w:rPr>
              <w:t xml:space="preserve">: </w:t>
            </w:r>
            <w:r>
              <w:rPr>
                <w:rStyle w:val="IndexLink"/>
                <w:rtl w:val="true"/>
              </w:rPr>
              <w:t>در لوث</w:t>
            </w:r>
            <w:r>
              <w:rPr>
                <w:rStyle w:val="IndexLink"/>
                <w:rtl w:val="true"/>
              </w:rPr>
              <w:tab/>
            </w:r>
            <w:r>
              <w:rPr>
                <w:rStyle w:val="IndexLink"/>
              </w:rPr>
              <w:t>459</w:t>
            </w:r>
          </w:hyperlink>
        </w:p>
        <w:p>
          <w:pPr>
            <w:pStyle w:val="Contents6"/>
            <w:tabs>
              <w:tab w:val="clear" w:pos="7609"/>
              <w:tab w:val="right" w:pos="9026" w:leader="dot"/>
            </w:tabs>
            <w:rPr/>
          </w:pPr>
          <w:hyperlink w:anchor="__RefHeading___Toc3973201_1067777946">
            <w:r>
              <w:rPr>
                <w:webHidden/>
                <w:rStyle w:val="IndexLink"/>
                <w:rtl w:val="true"/>
              </w:rPr>
              <w:t>اشاره</w:t>
            </w:r>
            <w:r>
              <w:rPr>
                <w:rStyle w:val="IndexLink"/>
                <w:rtl w:val="true"/>
              </w:rPr>
              <w:tab/>
            </w:r>
            <w:r>
              <w:rPr>
                <w:rStyle w:val="IndexLink"/>
              </w:rPr>
              <w:t>459</w:t>
            </w:r>
          </w:hyperlink>
        </w:p>
        <w:p>
          <w:pPr>
            <w:pStyle w:val="Contents6"/>
            <w:tabs>
              <w:tab w:val="clear" w:pos="7609"/>
              <w:tab w:val="right" w:pos="9026" w:leader="dot"/>
            </w:tabs>
            <w:rPr/>
          </w:pPr>
          <w:hyperlink w:anchor="__RefHeading___Toc3973203_1067777946">
            <w:r>
              <w:rPr>
                <w:webHidden/>
                <w:rStyle w:val="IndexLink"/>
                <w:rtl w:val="true"/>
              </w:rPr>
              <w:t>بعض اصناف لوث</w:t>
            </w:r>
            <w:r>
              <w:rPr>
                <w:rStyle w:val="IndexLink"/>
                <w:rtl w:val="true"/>
              </w:rPr>
              <w:tab/>
            </w:r>
            <w:r>
              <w:rPr>
                <w:rStyle w:val="IndexLink"/>
              </w:rPr>
              <w:t>459</w:t>
            </w:r>
          </w:hyperlink>
        </w:p>
        <w:p>
          <w:pPr>
            <w:pStyle w:val="Contents6"/>
            <w:tabs>
              <w:tab w:val="clear" w:pos="7609"/>
              <w:tab w:val="right" w:pos="9026" w:leader="dot"/>
            </w:tabs>
            <w:rPr/>
          </w:pPr>
          <w:hyperlink w:anchor="__RefHeading___Toc3973205_1067777946">
            <w:r>
              <w:rPr>
                <w:webHidden/>
                <w:rStyle w:val="IndexLink"/>
                <w:rtl w:val="true"/>
              </w:rPr>
              <w:t>مسائلى مربوطه به لوث</w:t>
            </w:r>
            <w:r>
              <w:rPr>
                <w:rStyle w:val="IndexLink"/>
                <w:rtl w:val="true"/>
              </w:rPr>
              <w:tab/>
            </w:r>
            <w:r>
              <w:rPr>
                <w:rStyle w:val="IndexLink"/>
              </w:rPr>
              <w:t>459</w:t>
            </w:r>
          </w:hyperlink>
        </w:p>
        <w:p>
          <w:pPr>
            <w:pStyle w:val="Contents5"/>
            <w:tabs>
              <w:tab w:val="clear" w:pos="7892"/>
              <w:tab w:val="right" w:pos="9026" w:leader="dot"/>
            </w:tabs>
            <w:rPr/>
          </w:pPr>
          <w:hyperlink w:anchor="__RefHeading___Toc3973207_1067777946">
            <w:r>
              <w:rPr>
                <w:webHidden/>
                <w:rStyle w:val="IndexLink"/>
                <w:rtl w:val="true"/>
              </w:rPr>
              <w:t>مقصد دوّم</w:t>
            </w:r>
            <w:r>
              <w:rPr>
                <w:rStyle w:val="IndexLink"/>
                <w:rtl w:val="true"/>
              </w:rPr>
              <w:t xml:space="preserve">: </w:t>
            </w:r>
            <w:r>
              <w:rPr>
                <w:rStyle w:val="IndexLink"/>
                <w:rtl w:val="true"/>
              </w:rPr>
              <w:t>در كمّيت و كيفيّت قسامه</w:t>
            </w:r>
            <w:r>
              <w:rPr>
                <w:rStyle w:val="IndexLink"/>
                <w:rtl w:val="true"/>
              </w:rPr>
              <w:tab/>
            </w:r>
            <w:r>
              <w:rPr>
                <w:rStyle w:val="IndexLink"/>
              </w:rPr>
              <w:t>460</w:t>
            </w:r>
          </w:hyperlink>
        </w:p>
        <w:p>
          <w:pPr>
            <w:pStyle w:val="Contents6"/>
            <w:tabs>
              <w:tab w:val="clear" w:pos="7609"/>
              <w:tab w:val="right" w:pos="9026" w:leader="dot"/>
            </w:tabs>
            <w:rPr/>
          </w:pPr>
          <w:hyperlink w:anchor="__RefHeading___Toc3973209_1067777946">
            <w:r>
              <w:rPr>
                <w:webHidden/>
                <w:rStyle w:val="IndexLink"/>
                <w:rtl w:val="true"/>
              </w:rPr>
              <w:t>قسامه در قتل نفس</w:t>
            </w:r>
            <w:r>
              <w:rPr>
                <w:rStyle w:val="IndexLink"/>
                <w:rtl w:val="true"/>
              </w:rPr>
              <w:tab/>
            </w:r>
            <w:r>
              <w:rPr>
                <w:rStyle w:val="IndexLink"/>
              </w:rPr>
              <w:t>460</w:t>
            </w:r>
          </w:hyperlink>
        </w:p>
        <w:p>
          <w:pPr>
            <w:pStyle w:val="Contents6"/>
            <w:tabs>
              <w:tab w:val="clear" w:pos="7609"/>
              <w:tab w:val="right" w:pos="9026" w:leader="dot"/>
            </w:tabs>
            <w:rPr/>
          </w:pPr>
          <w:hyperlink w:anchor="__RefHeading___Toc3973211_1067777946">
            <w:r>
              <w:rPr>
                <w:webHidden/>
                <w:rStyle w:val="IndexLink"/>
                <w:rtl w:val="true"/>
              </w:rPr>
              <w:t>عدد قسم و كمى و زيادى افراد</w:t>
            </w:r>
            <w:r>
              <w:rPr>
                <w:rStyle w:val="IndexLink"/>
                <w:rtl w:val="true"/>
              </w:rPr>
              <w:tab/>
            </w:r>
            <w:r>
              <w:rPr>
                <w:rStyle w:val="IndexLink"/>
              </w:rPr>
              <w:t>460</w:t>
            </w:r>
          </w:hyperlink>
        </w:p>
        <w:p>
          <w:pPr>
            <w:pStyle w:val="Contents6"/>
            <w:tabs>
              <w:tab w:val="clear" w:pos="7609"/>
              <w:tab w:val="right" w:pos="9026" w:leader="dot"/>
            </w:tabs>
            <w:rPr/>
          </w:pPr>
          <w:hyperlink w:anchor="__RefHeading___Toc3973213_1067777946">
            <w:r>
              <w:rPr>
                <w:webHidden/>
                <w:rStyle w:val="IndexLink"/>
                <w:rtl w:val="true"/>
              </w:rPr>
              <w:t>كيفيّت حلف قسامه</w:t>
            </w:r>
            <w:r>
              <w:rPr>
                <w:rStyle w:val="IndexLink"/>
                <w:rtl w:val="true"/>
              </w:rPr>
              <w:tab/>
            </w:r>
            <w:r>
              <w:rPr>
                <w:rStyle w:val="IndexLink"/>
              </w:rPr>
              <w:t>460</w:t>
            </w:r>
          </w:hyperlink>
        </w:p>
        <w:p>
          <w:pPr>
            <w:pStyle w:val="Contents6"/>
            <w:tabs>
              <w:tab w:val="clear" w:pos="7609"/>
              <w:tab w:val="right" w:pos="9026" w:leader="dot"/>
            </w:tabs>
            <w:rPr/>
          </w:pPr>
          <w:hyperlink w:anchor="__RefHeading___Toc3973215_1067777946">
            <w:r>
              <w:rPr>
                <w:webHidden/>
                <w:rStyle w:val="IndexLink"/>
                <w:rtl w:val="true"/>
              </w:rPr>
              <w:t>كيفيّت يمين مدّعىٰ عليه</w:t>
            </w:r>
            <w:r>
              <w:rPr>
                <w:rStyle w:val="IndexLink"/>
                <w:rtl w:val="true"/>
              </w:rPr>
              <w:tab/>
            </w:r>
            <w:r>
              <w:rPr>
                <w:rStyle w:val="IndexLink"/>
              </w:rPr>
              <w:t>461</w:t>
            </w:r>
          </w:hyperlink>
        </w:p>
        <w:p>
          <w:pPr>
            <w:pStyle w:val="Contents6"/>
            <w:tabs>
              <w:tab w:val="clear" w:pos="7609"/>
              <w:tab w:val="right" w:pos="9026" w:leader="dot"/>
            </w:tabs>
            <w:rPr/>
          </w:pPr>
          <w:hyperlink w:anchor="__RefHeading___Toc3973217_1067777946">
            <w:r>
              <w:rPr>
                <w:webHidden/>
                <w:rStyle w:val="IndexLink"/>
                <w:rtl w:val="true"/>
              </w:rPr>
              <w:t>اتحاد كيفيّت حلف بين طايفه مدّعىٖ و مدّعىٰ عليه</w:t>
            </w:r>
            <w:r>
              <w:rPr>
                <w:rStyle w:val="IndexLink"/>
                <w:rtl w:val="true"/>
              </w:rPr>
              <w:tab/>
            </w:r>
            <w:r>
              <w:rPr>
                <w:rStyle w:val="IndexLink"/>
              </w:rPr>
              <w:t>461</w:t>
            </w:r>
          </w:hyperlink>
        </w:p>
        <w:p>
          <w:pPr>
            <w:pStyle w:val="Contents6"/>
            <w:tabs>
              <w:tab w:val="clear" w:pos="7609"/>
              <w:tab w:val="right" w:pos="9026" w:leader="dot"/>
            </w:tabs>
            <w:rPr/>
          </w:pPr>
          <w:hyperlink w:anchor="__RefHeading___Toc3973219_1067777946">
            <w:r>
              <w:rPr>
                <w:webHidden/>
                <w:rStyle w:val="IndexLink"/>
                <w:rtl w:val="true"/>
              </w:rPr>
              <w:t>نكول مدّعى عليه از قسم</w:t>
            </w:r>
            <w:r>
              <w:rPr>
                <w:rStyle w:val="IndexLink"/>
                <w:rtl w:val="true"/>
              </w:rPr>
              <w:tab/>
            </w:r>
            <w:r>
              <w:rPr>
                <w:rStyle w:val="IndexLink"/>
              </w:rPr>
              <w:t>462</w:t>
            </w:r>
          </w:hyperlink>
        </w:p>
        <w:p>
          <w:pPr>
            <w:pStyle w:val="Contents6"/>
            <w:tabs>
              <w:tab w:val="clear" w:pos="7609"/>
              <w:tab w:val="right" w:pos="9026" w:leader="dot"/>
            </w:tabs>
            <w:rPr/>
          </w:pPr>
          <w:hyperlink w:anchor="__RefHeading___Toc3973221_1067777946">
            <w:r>
              <w:rPr>
                <w:webHidden/>
                <w:rStyle w:val="IndexLink"/>
                <w:rtl w:val="true"/>
              </w:rPr>
              <w:t>قسامه در اعضا</w:t>
            </w:r>
            <w:r>
              <w:rPr>
                <w:rStyle w:val="IndexLink"/>
                <w:rtl w:val="true"/>
              </w:rPr>
              <w:tab/>
            </w:r>
            <w:r>
              <w:rPr>
                <w:rStyle w:val="IndexLink"/>
              </w:rPr>
              <w:t>462</w:t>
            </w:r>
          </w:hyperlink>
        </w:p>
        <w:p>
          <w:pPr>
            <w:pStyle w:val="Contents6"/>
            <w:tabs>
              <w:tab w:val="clear" w:pos="7609"/>
              <w:tab w:val="right" w:pos="9026" w:leader="dot"/>
            </w:tabs>
            <w:rPr/>
          </w:pPr>
          <w:hyperlink w:anchor="__RefHeading___Toc3973223_1067777946">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3973225_1067777946">
            <w:r>
              <w:rPr>
                <w:webHidden/>
                <w:rStyle w:val="IndexLink"/>
                <w:rtl w:val="true"/>
              </w:rPr>
              <w:t>عدد قسامه در اعضا</w:t>
            </w:r>
            <w:r>
              <w:rPr>
                <w:rStyle w:val="IndexLink"/>
                <w:rtl w:val="true"/>
              </w:rPr>
              <w:tab/>
            </w:r>
            <w:r>
              <w:rPr>
                <w:rStyle w:val="IndexLink"/>
              </w:rPr>
              <w:t>462</w:t>
            </w:r>
          </w:hyperlink>
        </w:p>
        <w:p>
          <w:pPr>
            <w:pStyle w:val="Contents6"/>
            <w:tabs>
              <w:tab w:val="clear" w:pos="7609"/>
              <w:tab w:val="right" w:pos="9026" w:leader="dot"/>
            </w:tabs>
            <w:rPr/>
          </w:pPr>
          <w:hyperlink w:anchor="__RefHeading___Toc3973227_1067777946">
            <w:r>
              <w:rPr>
                <w:webHidden/>
                <w:rStyle w:val="IndexLink"/>
                <w:rtl w:val="true"/>
              </w:rPr>
              <w:t xml:space="preserve">اشتراط </w:t>
            </w:r>
            <w:r>
              <w:rPr>
                <w:rStyle w:val="IndexLink"/>
                <w:rtl w:val="true"/>
              </w:rPr>
              <w:t>«</w:t>
            </w:r>
            <w:r>
              <w:rPr>
                <w:rStyle w:val="IndexLink"/>
                <w:rtl w:val="true"/>
              </w:rPr>
              <w:t>علم</w:t>
            </w:r>
            <w:r>
              <w:rPr>
                <w:rStyle w:val="IndexLink"/>
                <w:rtl w:val="true"/>
              </w:rPr>
              <w:t xml:space="preserve">» </w:t>
            </w:r>
            <w:r>
              <w:rPr>
                <w:rStyle w:val="IndexLink"/>
                <w:rtl w:val="true"/>
              </w:rPr>
              <w:t>در قسامه</w:t>
            </w:r>
            <w:r>
              <w:rPr>
                <w:rStyle w:val="IndexLink"/>
                <w:rtl w:val="true"/>
              </w:rPr>
              <w:tab/>
            </w:r>
            <w:r>
              <w:rPr>
                <w:rStyle w:val="IndexLink"/>
              </w:rPr>
              <w:t>463</w:t>
            </w:r>
          </w:hyperlink>
        </w:p>
        <w:p>
          <w:pPr>
            <w:pStyle w:val="Contents6"/>
            <w:tabs>
              <w:tab w:val="clear" w:pos="7609"/>
              <w:tab w:val="right" w:pos="9026" w:leader="dot"/>
            </w:tabs>
            <w:rPr/>
          </w:pPr>
          <w:hyperlink w:anchor="__RefHeading___Toc3973229_1067777946">
            <w:r>
              <w:rPr>
                <w:webHidden/>
                <w:rStyle w:val="IndexLink"/>
                <w:rtl w:val="true"/>
              </w:rPr>
              <w:t>قسامۀ كافر بر مسلم</w:t>
            </w:r>
            <w:r>
              <w:rPr>
                <w:rStyle w:val="IndexLink"/>
                <w:rtl w:val="true"/>
              </w:rPr>
              <w:tab/>
            </w:r>
            <w:r>
              <w:rPr>
                <w:rStyle w:val="IndexLink"/>
              </w:rPr>
              <w:t>463</w:t>
            </w:r>
          </w:hyperlink>
        </w:p>
        <w:p>
          <w:pPr>
            <w:pStyle w:val="Contents6"/>
            <w:tabs>
              <w:tab w:val="clear" w:pos="7609"/>
              <w:tab w:val="right" w:pos="9026" w:leader="dot"/>
            </w:tabs>
            <w:rPr/>
          </w:pPr>
          <w:hyperlink w:anchor="__RefHeading___Toc3973231_1067777946">
            <w:r>
              <w:rPr>
                <w:webHidden/>
                <w:rStyle w:val="IndexLink"/>
                <w:rtl w:val="true"/>
              </w:rPr>
              <w:t>قسامه در عبد و اَمه</w:t>
            </w:r>
            <w:r>
              <w:rPr>
                <w:rStyle w:val="IndexLink"/>
                <w:rtl w:val="true"/>
              </w:rPr>
              <w:tab/>
            </w:r>
            <w:r>
              <w:rPr>
                <w:rStyle w:val="IndexLink"/>
              </w:rPr>
              <w:t>463</w:t>
            </w:r>
          </w:hyperlink>
        </w:p>
        <w:p>
          <w:pPr>
            <w:pStyle w:val="Contents6"/>
            <w:tabs>
              <w:tab w:val="clear" w:pos="7609"/>
              <w:tab w:val="right" w:pos="9026" w:leader="dot"/>
            </w:tabs>
            <w:rPr/>
          </w:pPr>
          <w:hyperlink w:anchor="__RefHeading___Toc3973233_1067777946">
            <w:r>
              <w:rPr>
                <w:webHidden/>
                <w:rStyle w:val="IndexLink"/>
                <w:rtl w:val="true"/>
              </w:rPr>
              <w:t>قسامۀ مرتدّ</w:t>
            </w:r>
            <w:r>
              <w:rPr>
                <w:rStyle w:val="IndexLink"/>
                <w:rtl w:val="true"/>
              </w:rPr>
              <w:tab/>
            </w:r>
            <w:r>
              <w:rPr>
                <w:rStyle w:val="IndexLink"/>
              </w:rPr>
              <w:t>464</w:t>
            </w:r>
          </w:hyperlink>
        </w:p>
        <w:p>
          <w:pPr>
            <w:pStyle w:val="Contents6"/>
            <w:tabs>
              <w:tab w:val="clear" w:pos="7609"/>
              <w:tab w:val="right" w:pos="9026" w:leader="dot"/>
            </w:tabs>
            <w:rPr/>
          </w:pPr>
          <w:hyperlink w:anchor="__RefHeading___Toc3973235_1067777946">
            <w:r>
              <w:rPr>
                <w:webHidden/>
                <w:rStyle w:val="IndexLink"/>
                <w:rtl w:val="true"/>
              </w:rPr>
              <w:t>امور معتبره در قسامه</w:t>
            </w:r>
            <w:r>
              <w:rPr>
                <w:rStyle w:val="IndexLink"/>
                <w:rtl w:val="true"/>
              </w:rPr>
              <w:tab/>
            </w:r>
            <w:r>
              <w:rPr>
                <w:rStyle w:val="IndexLink"/>
              </w:rPr>
              <w:t>464</w:t>
            </w:r>
          </w:hyperlink>
        </w:p>
        <w:p>
          <w:pPr>
            <w:pStyle w:val="Contents5"/>
            <w:tabs>
              <w:tab w:val="clear" w:pos="7892"/>
              <w:tab w:val="right" w:pos="9026" w:leader="dot"/>
            </w:tabs>
            <w:rPr/>
          </w:pPr>
          <w:hyperlink w:anchor="__RefHeading___Toc3973237_1067777946">
            <w:r>
              <w:rPr>
                <w:webHidden/>
                <w:rStyle w:val="IndexLink"/>
                <w:rtl w:val="true"/>
              </w:rPr>
              <w:t>مقصد سوم</w:t>
            </w:r>
            <w:r>
              <w:rPr>
                <w:rStyle w:val="IndexLink"/>
                <w:rtl w:val="true"/>
              </w:rPr>
              <w:t xml:space="preserve">: </w:t>
            </w:r>
            <w:r>
              <w:rPr>
                <w:rStyle w:val="IndexLink"/>
                <w:rtl w:val="true"/>
              </w:rPr>
              <w:t>در احكام قسامه است</w:t>
            </w:r>
            <w:r>
              <w:rPr>
                <w:rStyle w:val="IndexLink"/>
                <w:rtl w:val="true"/>
              </w:rPr>
              <w:tab/>
            </w:r>
            <w:r>
              <w:rPr>
                <w:rStyle w:val="IndexLink"/>
              </w:rPr>
              <w:t>464</w:t>
            </w:r>
          </w:hyperlink>
        </w:p>
        <w:p>
          <w:pPr>
            <w:pStyle w:val="Contents6"/>
            <w:tabs>
              <w:tab w:val="clear" w:pos="7609"/>
              <w:tab w:val="right" w:pos="9026" w:leader="dot"/>
            </w:tabs>
            <w:rPr/>
          </w:pPr>
          <w:hyperlink w:anchor="__RefHeading___Toc3973239_1067777946">
            <w:r>
              <w:rPr>
                <w:webHidden/>
                <w:rStyle w:val="IndexLink"/>
                <w:rtl w:val="true"/>
              </w:rPr>
              <w:t>آن چه به سبب قسامه ثابت مى شود</w:t>
            </w:r>
            <w:r>
              <w:rPr>
                <w:rStyle w:val="IndexLink"/>
                <w:rtl w:val="true"/>
              </w:rPr>
              <w:tab/>
            </w:r>
            <w:r>
              <w:rPr>
                <w:rStyle w:val="IndexLink"/>
              </w:rPr>
              <w:t>464</w:t>
            </w:r>
          </w:hyperlink>
        </w:p>
        <w:p>
          <w:pPr>
            <w:pStyle w:val="Contents6"/>
            <w:tabs>
              <w:tab w:val="clear" w:pos="7609"/>
              <w:tab w:val="right" w:pos="9026" w:leader="dot"/>
            </w:tabs>
            <w:rPr/>
          </w:pPr>
          <w:hyperlink w:anchor="__RefHeading___Toc3973241_1067777946">
            <w:r>
              <w:rPr>
                <w:webHidden/>
                <w:rStyle w:val="IndexLink"/>
                <w:rtl w:val="true"/>
              </w:rPr>
              <w:t>ادّعاى قتل دو نفر و بودن لوث در يكى</w:t>
            </w:r>
            <w:r>
              <w:rPr>
                <w:rStyle w:val="IndexLink"/>
                <w:rtl w:val="true"/>
              </w:rPr>
              <w:tab/>
            </w:r>
            <w:r>
              <w:rPr>
                <w:rStyle w:val="IndexLink"/>
              </w:rPr>
              <w:t>464</w:t>
            </w:r>
          </w:hyperlink>
        </w:p>
        <w:p>
          <w:pPr>
            <w:pStyle w:val="Contents6"/>
            <w:tabs>
              <w:tab w:val="clear" w:pos="7609"/>
              <w:tab w:val="right" w:pos="9026" w:leader="dot"/>
            </w:tabs>
            <w:rPr/>
          </w:pPr>
          <w:hyperlink w:anchor="__RefHeading___Toc3973243_1067777946">
            <w:r>
              <w:rPr>
                <w:webHidden/>
                <w:rStyle w:val="IndexLink"/>
                <w:rtl w:val="true"/>
              </w:rPr>
              <w:t>ثابت بودن لوث و غيبت يكى از دو ولىّ‌</w:t>
            </w:r>
            <w:r>
              <w:rPr>
                <w:rStyle w:val="IndexLink"/>
                <w:rtl w:val="true"/>
              </w:rPr>
              <w:tab/>
            </w:r>
            <w:r>
              <w:rPr>
                <w:rStyle w:val="IndexLink"/>
              </w:rPr>
              <w:t>465</w:t>
            </w:r>
          </w:hyperlink>
        </w:p>
        <w:p>
          <w:pPr>
            <w:pStyle w:val="Contents6"/>
            <w:tabs>
              <w:tab w:val="clear" w:pos="7609"/>
              <w:tab w:val="right" w:pos="9026" w:leader="dot"/>
            </w:tabs>
            <w:rPr/>
          </w:pPr>
          <w:hyperlink w:anchor="__RefHeading___Toc3973245_1067777946">
            <w:r>
              <w:rPr>
                <w:webHidden/>
                <w:rStyle w:val="IndexLink"/>
                <w:rtl w:val="true"/>
              </w:rPr>
              <w:t>غيبت بعضى از ورثه و حضور برخى از آنها</w:t>
            </w:r>
            <w:r>
              <w:rPr>
                <w:rStyle w:val="IndexLink"/>
                <w:rtl w:val="true"/>
              </w:rPr>
              <w:tab/>
            </w:r>
            <w:r>
              <w:rPr>
                <w:rStyle w:val="IndexLink"/>
              </w:rPr>
              <w:t>465</w:t>
            </w:r>
          </w:hyperlink>
        </w:p>
        <w:p>
          <w:pPr>
            <w:pStyle w:val="Contents6"/>
            <w:tabs>
              <w:tab w:val="clear" w:pos="7609"/>
              <w:tab w:val="right" w:pos="9026" w:leader="dot"/>
            </w:tabs>
            <w:rPr/>
          </w:pPr>
          <w:hyperlink w:anchor="__RefHeading___Toc3973247_1067777946">
            <w:r>
              <w:rPr>
                <w:webHidden/>
                <w:rStyle w:val="IndexLink"/>
                <w:rtl w:val="true"/>
              </w:rPr>
              <w:t>حضور غايب و تصديق و عدم تصديق او</w:t>
            </w:r>
            <w:r>
              <w:rPr>
                <w:rStyle w:val="IndexLink"/>
                <w:rtl w:val="true"/>
              </w:rPr>
              <w:tab/>
            </w:r>
            <w:r>
              <w:rPr>
                <w:rStyle w:val="IndexLink"/>
              </w:rPr>
              <w:t>466</w:t>
            </w:r>
          </w:hyperlink>
        </w:p>
        <w:p>
          <w:pPr>
            <w:pStyle w:val="Contents6"/>
            <w:tabs>
              <w:tab w:val="clear" w:pos="7609"/>
              <w:tab w:val="right" w:pos="9026" w:leader="dot"/>
            </w:tabs>
            <w:rPr/>
          </w:pPr>
          <w:hyperlink w:anchor="__RefHeading___Toc3973249_1067777946">
            <w:r>
              <w:rPr>
                <w:webHidden/>
                <w:rStyle w:val="IndexLink"/>
                <w:rtl w:val="true"/>
              </w:rPr>
              <w:t>تكذيب اوليا يكديگر را</w:t>
            </w:r>
            <w:r>
              <w:rPr>
                <w:rStyle w:val="IndexLink"/>
                <w:rtl w:val="true"/>
              </w:rPr>
              <w:tab/>
            </w:r>
            <w:r>
              <w:rPr>
                <w:rStyle w:val="IndexLink"/>
              </w:rPr>
              <w:t>466</w:t>
            </w:r>
          </w:hyperlink>
        </w:p>
        <w:p>
          <w:pPr>
            <w:pStyle w:val="Contents6"/>
            <w:tabs>
              <w:tab w:val="clear" w:pos="7609"/>
              <w:tab w:val="right" w:pos="9026" w:leader="dot"/>
            </w:tabs>
            <w:rPr/>
          </w:pPr>
          <w:hyperlink w:anchor="__RefHeading___Toc3973251_1067777946">
            <w:r>
              <w:rPr>
                <w:webHidden/>
                <w:rStyle w:val="IndexLink"/>
                <w:rtl w:val="true"/>
              </w:rPr>
              <w:t>فوت ولى قبل از حلف و يا در اثناى آن</w:t>
            </w:r>
            <w:r>
              <w:rPr>
                <w:rStyle w:val="IndexLink"/>
                <w:rtl w:val="true"/>
              </w:rPr>
              <w:tab/>
            </w:r>
            <w:r>
              <w:rPr>
                <w:rStyle w:val="IndexLink"/>
              </w:rPr>
              <w:t>467</w:t>
            </w:r>
          </w:hyperlink>
        </w:p>
        <w:p>
          <w:pPr>
            <w:pStyle w:val="Contents6"/>
            <w:tabs>
              <w:tab w:val="clear" w:pos="7609"/>
              <w:tab w:val="right" w:pos="9026" w:leader="dot"/>
            </w:tabs>
            <w:rPr/>
          </w:pPr>
          <w:hyperlink w:anchor="__RefHeading___Toc3973253_1067777946">
            <w:r>
              <w:rPr>
                <w:webHidden/>
                <w:rStyle w:val="IndexLink"/>
                <w:rtl w:val="true"/>
              </w:rPr>
              <w:t>چند مسأله</w:t>
            </w:r>
            <w:r>
              <w:rPr>
                <w:rStyle w:val="IndexLink"/>
                <w:rtl w:val="true"/>
              </w:rPr>
              <w:tab/>
            </w:r>
            <w:r>
              <w:rPr>
                <w:rStyle w:val="IndexLink"/>
              </w:rPr>
              <w:t>467</w:t>
            </w:r>
          </w:hyperlink>
        </w:p>
        <w:p>
          <w:pPr>
            <w:pStyle w:val="Contents6"/>
            <w:tabs>
              <w:tab w:val="clear" w:pos="7609"/>
              <w:tab w:val="right" w:pos="9026" w:leader="dot"/>
            </w:tabs>
            <w:rPr/>
          </w:pPr>
          <w:hyperlink w:anchor="__RefHeading___Toc3973255_1067777946">
            <w:r>
              <w:rPr>
                <w:webHidden/>
                <w:rStyle w:val="IndexLink"/>
                <w:rtl w:val="true"/>
              </w:rPr>
              <w:t>قيام بيّنه بر غايب بودن در زمان مدّعىٰ‌</w:t>
            </w:r>
            <w:r>
              <w:rPr>
                <w:rStyle w:val="IndexLink"/>
                <w:rtl w:val="true"/>
              </w:rPr>
              <w:tab/>
            </w:r>
            <w:r>
              <w:rPr>
                <w:rStyle w:val="IndexLink"/>
              </w:rPr>
              <w:t>467</w:t>
            </w:r>
          </w:hyperlink>
        </w:p>
        <w:p>
          <w:pPr>
            <w:pStyle w:val="Contents6"/>
            <w:tabs>
              <w:tab w:val="clear" w:pos="7609"/>
              <w:tab w:val="right" w:pos="9026" w:leader="dot"/>
            </w:tabs>
            <w:rPr/>
          </w:pPr>
          <w:hyperlink w:anchor="__RefHeading___Toc3973257_1067777946">
            <w:r>
              <w:rPr>
                <w:webHidden/>
                <w:rStyle w:val="IndexLink"/>
                <w:rtl w:val="true"/>
              </w:rPr>
              <w:t xml:space="preserve">اگر ولى نسبت به ديه بگويد </w:t>
            </w:r>
            <w:r>
              <w:rPr>
                <w:rStyle w:val="IndexLink"/>
                <w:rtl w:val="true"/>
              </w:rPr>
              <w:t>«</w:t>
            </w:r>
            <w:r>
              <w:rPr>
                <w:rStyle w:val="IndexLink"/>
                <w:rtl w:val="true"/>
              </w:rPr>
              <w:t>اين مال حرام است</w:t>
            </w:r>
            <w:r>
              <w:rPr>
                <w:rStyle w:val="IndexLink"/>
                <w:rtl w:val="true"/>
              </w:rPr>
              <w:t>»</w:t>
              <w:tab/>
            </w:r>
            <w:r>
              <w:rPr>
                <w:rStyle w:val="IndexLink"/>
              </w:rPr>
              <w:t>467</w:t>
            </w:r>
          </w:hyperlink>
        </w:p>
        <w:p>
          <w:pPr>
            <w:pStyle w:val="Contents6"/>
            <w:tabs>
              <w:tab w:val="clear" w:pos="7609"/>
              <w:tab w:val="right" w:pos="9026" w:leader="dot"/>
            </w:tabs>
            <w:rPr/>
          </w:pPr>
          <w:hyperlink w:anchor="__RefHeading___Toc3973259_1067777946">
            <w:r>
              <w:rPr>
                <w:webHidden/>
                <w:rStyle w:val="IndexLink"/>
                <w:rtl w:val="true"/>
              </w:rPr>
              <w:t>اقرار به قتل توسط شخصى بعد از قسامه</w:t>
            </w:r>
            <w:r>
              <w:rPr>
                <w:rStyle w:val="IndexLink"/>
                <w:rtl w:val="true"/>
              </w:rPr>
              <w:tab/>
            </w:r>
            <w:r>
              <w:rPr>
                <w:rStyle w:val="IndexLink"/>
              </w:rPr>
              <w:t>468</w:t>
            </w:r>
          </w:hyperlink>
        </w:p>
        <w:p>
          <w:pPr>
            <w:pStyle w:val="Contents6"/>
            <w:tabs>
              <w:tab w:val="clear" w:pos="7609"/>
              <w:tab w:val="right" w:pos="9026" w:leader="dot"/>
            </w:tabs>
            <w:rPr/>
          </w:pPr>
          <w:hyperlink w:anchor="__RefHeading___Toc3973261_1067777946">
            <w:r>
              <w:rPr>
                <w:webHidden/>
                <w:rStyle w:val="IndexLink"/>
                <w:rtl w:val="true"/>
              </w:rPr>
              <w:t>حبس متهم به قتل</w:t>
            </w:r>
            <w:r>
              <w:rPr>
                <w:rStyle w:val="IndexLink"/>
                <w:rtl w:val="true"/>
              </w:rPr>
              <w:tab/>
            </w:r>
            <w:r>
              <w:rPr>
                <w:rStyle w:val="IndexLink"/>
              </w:rPr>
              <w:t>468</w:t>
            </w:r>
          </w:hyperlink>
        </w:p>
        <w:p>
          <w:pPr>
            <w:pStyle w:val="Contents3"/>
            <w:tabs>
              <w:tab w:val="clear" w:pos="8459"/>
              <w:tab w:val="right" w:pos="9026" w:leader="dot"/>
            </w:tabs>
            <w:rPr/>
          </w:pPr>
          <w:hyperlink w:anchor="__RefHeading___Toc3973263_1067777946">
            <w:r>
              <w:rPr>
                <w:webHidden/>
                <w:rStyle w:val="IndexLink"/>
                <w:rtl w:val="true"/>
              </w:rPr>
              <w:t>فصل پنجم كيفيّت استيفا</w:t>
            </w:r>
            <w:r>
              <w:rPr>
                <w:rStyle w:val="IndexLink"/>
                <w:rtl w:val="true"/>
              </w:rPr>
              <w:tab/>
            </w:r>
            <w:r>
              <w:rPr>
                <w:rStyle w:val="IndexLink"/>
              </w:rPr>
              <w:t>469</w:t>
            </w:r>
          </w:hyperlink>
        </w:p>
        <w:p>
          <w:pPr>
            <w:pStyle w:val="Contents4"/>
            <w:tabs>
              <w:tab w:val="clear" w:pos="8176"/>
              <w:tab w:val="right" w:pos="9026" w:leader="dot"/>
            </w:tabs>
            <w:rPr/>
          </w:pPr>
          <w:hyperlink w:anchor="__RefHeading___Toc3973265_1067777946">
            <w:r>
              <w:rPr>
                <w:webHidden/>
                <w:rStyle w:val="IndexLink"/>
                <w:rtl w:val="true"/>
              </w:rPr>
              <w:t>عدول از قصاص به ديه</w:t>
            </w:r>
            <w:r>
              <w:rPr>
                <w:rStyle w:val="IndexLink"/>
                <w:rtl w:val="true"/>
              </w:rPr>
              <w:tab/>
            </w:r>
            <w:r>
              <w:rPr>
                <w:rStyle w:val="IndexLink"/>
              </w:rPr>
              <w:t>469</w:t>
            </w:r>
          </w:hyperlink>
        </w:p>
        <w:p>
          <w:pPr>
            <w:pStyle w:val="Contents4"/>
            <w:tabs>
              <w:tab w:val="clear" w:pos="8176"/>
              <w:tab w:val="right" w:pos="9026" w:leader="dot"/>
            </w:tabs>
            <w:rPr/>
          </w:pPr>
          <w:hyperlink w:anchor="__RefHeading___Toc3973267_1067777946">
            <w:r>
              <w:rPr>
                <w:webHidden/>
                <w:rStyle w:val="IndexLink"/>
                <w:rtl w:val="true"/>
              </w:rPr>
              <w:t>مطالبۀ بذل ديه يا امتناع از بذل ديه</w:t>
            </w:r>
            <w:r>
              <w:rPr>
                <w:rStyle w:val="IndexLink"/>
                <w:rtl w:val="true"/>
              </w:rPr>
              <w:tab/>
            </w:r>
            <w:r>
              <w:rPr>
                <w:rStyle w:val="IndexLink"/>
              </w:rPr>
              <w:t>469</w:t>
            </w:r>
          </w:hyperlink>
        </w:p>
        <w:p>
          <w:pPr>
            <w:pStyle w:val="Contents4"/>
            <w:tabs>
              <w:tab w:val="clear" w:pos="8176"/>
              <w:tab w:val="right" w:pos="9026" w:leader="dot"/>
            </w:tabs>
            <w:rPr/>
          </w:pPr>
          <w:hyperlink w:anchor="__RefHeading___Toc3973269_1067777946">
            <w:r>
              <w:rPr>
                <w:webHidden/>
                <w:rStyle w:val="IndexLink"/>
                <w:rtl w:val="true"/>
              </w:rPr>
              <w:t>رضايت ولى به بيش از ديه</w:t>
            </w:r>
            <w:r>
              <w:rPr>
                <w:rStyle w:val="IndexLink"/>
                <w:rtl w:val="true"/>
              </w:rPr>
              <w:tab/>
            </w:r>
            <w:r>
              <w:rPr>
                <w:rStyle w:val="IndexLink"/>
              </w:rPr>
              <w:t>469</w:t>
            </w:r>
          </w:hyperlink>
        </w:p>
        <w:p>
          <w:pPr>
            <w:pStyle w:val="Contents4"/>
            <w:tabs>
              <w:tab w:val="clear" w:pos="8176"/>
              <w:tab w:val="right" w:pos="9026" w:leader="dot"/>
            </w:tabs>
            <w:rPr/>
          </w:pPr>
          <w:hyperlink w:anchor="__RefHeading___Toc3973271_1067777946">
            <w:r>
              <w:rPr>
                <w:webHidden/>
                <w:rStyle w:val="IndexLink"/>
                <w:rtl w:val="true"/>
              </w:rPr>
              <w:t>شرط قصاص در مورد سرايت</w:t>
            </w:r>
            <w:r>
              <w:rPr>
                <w:rStyle w:val="IndexLink"/>
                <w:rtl w:val="true"/>
              </w:rPr>
              <w:tab/>
            </w:r>
            <w:r>
              <w:rPr>
                <w:rStyle w:val="IndexLink"/>
              </w:rPr>
              <w:t>470</w:t>
            </w:r>
          </w:hyperlink>
        </w:p>
        <w:p>
          <w:pPr>
            <w:pStyle w:val="Contents4"/>
            <w:tabs>
              <w:tab w:val="clear" w:pos="8176"/>
              <w:tab w:val="right" w:pos="9026" w:leader="dot"/>
            </w:tabs>
            <w:rPr/>
          </w:pPr>
          <w:hyperlink w:anchor="__RefHeading___Toc3973273_1067777946">
            <w:r>
              <w:rPr>
                <w:webHidden/>
                <w:rStyle w:val="IndexLink"/>
                <w:rtl w:val="true"/>
              </w:rPr>
              <w:t>وارث قصاص و ديه</w:t>
            </w:r>
            <w:r>
              <w:rPr>
                <w:rStyle w:val="IndexLink"/>
                <w:rtl w:val="true"/>
              </w:rPr>
              <w:tab/>
            </w:r>
            <w:r>
              <w:rPr>
                <w:rStyle w:val="IndexLink"/>
              </w:rPr>
              <w:t>470</w:t>
            </w:r>
          </w:hyperlink>
        </w:p>
        <w:p>
          <w:pPr>
            <w:pStyle w:val="Contents4"/>
            <w:tabs>
              <w:tab w:val="clear" w:pos="8176"/>
              <w:tab w:val="right" w:pos="9026" w:leader="dot"/>
            </w:tabs>
            <w:rPr/>
          </w:pPr>
          <w:hyperlink w:anchor="__RefHeading___Toc3973275_1067777946">
            <w:r>
              <w:rPr>
                <w:webHidden/>
                <w:rStyle w:val="IndexLink"/>
                <w:rtl w:val="true"/>
              </w:rPr>
              <w:t>اعتبار اذن امام يا شركا، در اجراى قصاص</w:t>
            </w:r>
            <w:r>
              <w:rPr>
                <w:rStyle w:val="IndexLink"/>
                <w:rtl w:val="true"/>
              </w:rPr>
              <w:tab/>
            </w:r>
            <w:r>
              <w:rPr>
                <w:rStyle w:val="IndexLink"/>
              </w:rPr>
              <w:t>470</w:t>
            </w:r>
          </w:hyperlink>
        </w:p>
        <w:p>
          <w:pPr>
            <w:pStyle w:val="Contents4"/>
            <w:tabs>
              <w:tab w:val="clear" w:pos="8176"/>
              <w:tab w:val="right" w:pos="9026" w:leader="dot"/>
            </w:tabs>
            <w:rPr/>
          </w:pPr>
          <w:hyperlink w:anchor="__RefHeading___Toc3973277_1067777946">
            <w:r>
              <w:rPr>
                <w:webHidden/>
                <w:rStyle w:val="IndexLink"/>
                <w:rtl w:val="true"/>
              </w:rPr>
              <w:t>قصاص نفس يا طَرَف، با آلت مسمومه</w:t>
            </w:r>
            <w:r>
              <w:rPr>
                <w:rStyle w:val="IndexLink"/>
                <w:rtl w:val="true"/>
              </w:rPr>
              <w:tab/>
            </w:r>
            <w:r>
              <w:rPr>
                <w:rStyle w:val="IndexLink"/>
              </w:rPr>
              <w:t>470</w:t>
            </w:r>
          </w:hyperlink>
        </w:p>
        <w:p>
          <w:pPr>
            <w:pStyle w:val="Contents4"/>
            <w:tabs>
              <w:tab w:val="clear" w:pos="8176"/>
              <w:tab w:val="right" w:pos="9026" w:leader="dot"/>
            </w:tabs>
            <w:rPr/>
          </w:pPr>
          <w:hyperlink w:anchor="__RefHeading___Toc3973279_1067777946">
            <w:r>
              <w:rPr>
                <w:webHidden/>
                <w:rStyle w:val="IndexLink"/>
                <w:rtl w:val="true"/>
              </w:rPr>
              <w:t>كيفيت اجراى قصاص</w:t>
            </w:r>
            <w:r>
              <w:rPr>
                <w:rStyle w:val="IndexLink"/>
                <w:rtl w:val="true"/>
              </w:rPr>
              <w:tab/>
            </w:r>
            <w:r>
              <w:rPr>
                <w:rStyle w:val="IndexLink"/>
              </w:rPr>
              <w:t>471</w:t>
            </w:r>
          </w:hyperlink>
        </w:p>
        <w:p>
          <w:pPr>
            <w:pStyle w:val="Contents5"/>
            <w:tabs>
              <w:tab w:val="clear" w:pos="7892"/>
              <w:tab w:val="right" w:pos="9026" w:leader="dot"/>
            </w:tabs>
            <w:rPr/>
          </w:pPr>
          <w:hyperlink w:anchor="__RefHeading___Toc3973281_1067777946">
            <w:r>
              <w:rPr>
                <w:webHidden/>
                <w:rStyle w:val="IndexLink"/>
                <w:rtl w:val="true"/>
              </w:rPr>
              <w:t>آلت قصاص و مسأله ديه قصاص در اطاله و تعذيب</w:t>
            </w:r>
            <w:r>
              <w:rPr>
                <w:rStyle w:val="IndexLink"/>
                <w:rtl w:val="true"/>
              </w:rPr>
              <w:tab/>
            </w:r>
            <w:r>
              <w:rPr>
                <w:rStyle w:val="IndexLink"/>
              </w:rPr>
              <w:t>471</w:t>
            </w:r>
          </w:hyperlink>
        </w:p>
        <w:p>
          <w:pPr>
            <w:pStyle w:val="Contents5"/>
            <w:tabs>
              <w:tab w:val="clear" w:pos="7892"/>
              <w:tab w:val="right" w:pos="9026" w:leader="dot"/>
            </w:tabs>
            <w:rPr/>
          </w:pPr>
          <w:hyperlink w:anchor="__RefHeading___Toc3973283_1067777946">
            <w:r>
              <w:rPr>
                <w:webHidden/>
                <w:rStyle w:val="IndexLink"/>
                <w:rtl w:val="true"/>
              </w:rPr>
              <w:t>قصاص پناهندۀ به حرمين، مشاهد، مساجد يا ملك ديگران</w:t>
            </w:r>
            <w:r>
              <w:rPr>
                <w:rStyle w:val="IndexLink"/>
                <w:rtl w:val="true"/>
              </w:rPr>
              <w:tab/>
            </w:r>
            <w:r>
              <w:rPr>
                <w:rStyle w:val="IndexLink"/>
              </w:rPr>
              <w:t>472</w:t>
            </w:r>
          </w:hyperlink>
        </w:p>
        <w:p>
          <w:pPr>
            <w:pStyle w:val="Contents4"/>
            <w:tabs>
              <w:tab w:val="clear" w:pos="8176"/>
              <w:tab w:val="right" w:pos="9026" w:leader="dot"/>
            </w:tabs>
            <w:rPr/>
          </w:pPr>
          <w:hyperlink w:anchor="__RefHeading___Toc3973285_1067777946">
            <w:r>
              <w:rPr>
                <w:webHidden/>
                <w:rStyle w:val="IndexLink"/>
                <w:rtl w:val="true"/>
              </w:rPr>
              <w:t>پناه گرفتن مستوجب قصاص به ملك ديگران</w:t>
            </w:r>
            <w:r>
              <w:rPr>
                <w:rStyle w:val="IndexLink"/>
                <w:rtl w:val="true"/>
              </w:rPr>
              <w:tab/>
            </w:r>
            <w:r>
              <w:rPr>
                <w:rStyle w:val="IndexLink"/>
              </w:rPr>
              <w:t>472</w:t>
            </w:r>
          </w:hyperlink>
        </w:p>
        <w:p>
          <w:pPr>
            <w:pStyle w:val="Contents4"/>
            <w:tabs>
              <w:tab w:val="clear" w:pos="8176"/>
              <w:tab w:val="right" w:pos="9026" w:leader="dot"/>
            </w:tabs>
            <w:rPr/>
          </w:pPr>
          <w:hyperlink w:anchor="__RefHeading___Toc3973287_1067777946">
            <w:r>
              <w:rPr>
                <w:webHidden/>
                <w:rStyle w:val="IndexLink"/>
                <w:rtl w:val="true"/>
              </w:rPr>
              <w:t>اجرت استيفاى قصاص</w:t>
            </w:r>
            <w:r>
              <w:rPr>
                <w:rStyle w:val="IndexLink"/>
                <w:rtl w:val="true"/>
              </w:rPr>
              <w:tab/>
            </w:r>
            <w:r>
              <w:rPr>
                <w:rStyle w:val="IndexLink"/>
              </w:rPr>
              <w:t>472</w:t>
            </w:r>
          </w:hyperlink>
        </w:p>
        <w:p>
          <w:pPr>
            <w:pStyle w:val="Contents4"/>
            <w:tabs>
              <w:tab w:val="clear" w:pos="8176"/>
              <w:tab w:val="right" w:pos="9026" w:leader="dot"/>
            </w:tabs>
            <w:rPr/>
          </w:pPr>
          <w:hyperlink w:anchor="__RefHeading___Toc3973289_1067777946">
            <w:r>
              <w:rPr>
                <w:webHidden/>
                <w:rStyle w:val="IndexLink"/>
                <w:rtl w:val="true"/>
              </w:rPr>
              <w:t>اگر قصاص در طرف، سرايت به نفس نمود</w:t>
            </w:r>
            <w:r>
              <w:rPr>
                <w:rStyle w:val="IndexLink"/>
                <w:rtl w:val="true"/>
              </w:rPr>
              <w:tab/>
            </w:r>
            <w:r>
              <w:rPr>
                <w:rStyle w:val="IndexLink"/>
              </w:rPr>
              <w:t>472</w:t>
            </w:r>
          </w:hyperlink>
        </w:p>
        <w:p>
          <w:pPr>
            <w:pStyle w:val="Contents4"/>
            <w:tabs>
              <w:tab w:val="clear" w:pos="8176"/>
              <w:tab w:val="right" w:pos="9026" w:leader="dot"/>
            </w:tabs>
            <w:rPr/>
          </w:pPr>
          <w:hyperlink w:anchor="__RefHeading___Toc3973291_1067777946">
            <w:r>
              <w:rPr>
                <w:webHidden/>
                <w:rStyle w:val="IndexLink"/>
                <w:rtl w:val="true"/>
              </w:rPr>
              <w:t>اشتراك نفس و طرف، در شروط و موانع قصاص</w:t>
            </w:r>
            <w:r>
              <w:rPr>
                <w:rStyle w:val="IndexLink"/>
                <w:rtl w:val="true"/>
              </w:rPr>
              <w:tab/>
            </w:r>
            <w:r>
              <w:rPr>
                <w:rStyle w:val="IndexLink"/>
              </w:rPr>
              <w:t>473</w:t>
            </w:r>
          </w:hyperlink>
        </w:p>
        <w:p>
          <w:pPr>
            <w:pStyle w:val="Contents4"/>
            <w:tabs>
              <w:tab w:val="clear" w:pos="8176"/>
              <w:tab w:val="right" w:pos="9026" w:leader="dot"/>
            </w:tabs>
            <w:rPr/>
          </w:pPr>
          <w:hyperlink w:anchor="__RefHeading___Toc3973293_1067777946">
            <w:r>
              <w:rPr>
                <w:webHidden/>
                <w:rStyle w:val="IndexLink"/>
                <w:rtl w:val="true"/>
              </w:rPr>
              <w:t>چند مسأله</w:t>
            </w:r>
            <w:r>
              <w:rPr>
                <w:rStyle w:val="IndexLink"/>
                <w:rtl w:val="true"/>
              </w:rPr>
              <w:tab/>
            </w:r>
            <w:r>
              <w:rPr>
                <w:rStyle w:val="IndexLink"/>
              </w:rPr>
              <w:t>473</w:t>
            </w:r>
          </w:hyperlink>
        </w:p>
        <w:p>
          <w:pPr>
            <w:pStyle w:val="Contents5"/>
            <w:tabs>
              <w:tab w:val="clear" w:pos="7892"/>
              <w:tab w:val="right" w:pos="9026" w:leader="dot"/>
            </w:tabs>
            <w:rPr/>
          </w:pPr>
          <w:hyperlink w:anchor="__RefHeading___Toc3973295_1067777946">
            <w:r>
              <w:rPr>
                <w:webHidden/>
                <w:rStyle w:val="IndexLink"/>
                <w:rtl w:val="true"/>
              </w:rPr>
              <w:t>عدم اعتبار اذن شركا در قصاص و جواز مبادرت</w:t>
            </w:r>
            <w:r>
              <w:rPr>
                <w:rStyle w:val="IndexLink"/>
                <w:rtl w:val="true"/>
              </w:rPr>
              <w:tab/>
            </w:r>
            <w:r>
              <w:rPr>
                <w:rStyle w:val="IndexLink"/>
              </w:rPr>
              <w:t>473</w:t>
            </w:r>
          </w:hyperlink>
        </w:p>
        <w:p>
          <w:pPr>
            <w:pStyle w:val="Contents5"/>
            <w:tabs>
              <w:tab w:val="clear" w:pos="7892"/>
              <w:tab w:val="right" w:pos="9026" w:leader="dot"/>
            </w:tabs>
            <w:rPr/>
          </w:pPr>
          <w:hyperlink w:anchor="__RefHeading___Toc3973297_1067777946">
            <w:r>
              <w:rPr>
                <w:webHidden/>
                <w:rStyle w:val="IndexLink"/>
                <w:rtl w:val="true"/>
              </w:rPr>
              <w:t>اگر ولىّ قصاص مجنون يا صغير باشد</w:t>
            </w:r>
            <w:r>
              <w:rPr>
                <w:rStyle w:val="IndexLink"/>
                <w:rtl w:val="true"/>
              </w:rPr>
              <w:tab/>
            </w:r>
            <w:r>
              <w:rPr>
                <w:rStyle w:val="IndexLink"/>
              </w:rPr>
              <w:t>473</w:t>
            </w:r>
          </w:hyperlink>
        </w:p>
        <w:p>
          <w:pPr>
            <w:pStyle w:val="Contents5"/>
            <w:tabs>
              <w:tab w:val="clear" w:pos="7892"/>
              <w:tab w:val="right" w:pos="9026" w:leader="dot"/>
            </w:tabs>
            <w:rPr/>
          </w:pPr>
          <w:hyperlink w:anchor="__RefHeading___Toc3973299_1067777946">
            <w:r>
              <w:rPr>
                <w:webHidden/>
                <w:rStyle w:val="IndexLink"/>
                <w:rtl w:val="true"/>
              </w:rPr>
              <w:t>اگر بعضى از اوليا از قصاص عفو نمايند</w:t>
            </w:r>
            <w:r>
              <w:rPr>
                <w:rStyle w:val="IndexLink"/>
                <w:rtl w:val="true"/>
              </w:rPr>
              <w:tab/>
            </w:r>
            <w:r>
              <w:rPr>
                <w:rStyle w:val="IndexLink"/>
              </w:rPr>
              <w:t>474</w:t>
            </w:r>
          </w:hyperlink>
        </w:p>
        <w:p>
          <w:pPr>
            <w:pStyle w:val="Contents5"/>
            <w:tabs>
              <w:tab w:val="clear" w:pos="7892"/>
              <w:tab w:val="right" w:pos="9026" w:leader="dot"/>
            </w:tabs>
            <w:rPr/>
          </w:pPr>
          <w:hyperlink w:anchor="__RefHeading___Toc3973301_1067777946">
            <w:r>
              <w:rPr>
                <w:webHidden/>
                <w:rStyle w:val="IndexLink"/>
                <w:rtl w:val="true"/>
              </w:rPr>
              <w:t>اقرار يكى از دو شريك بر عفو ديگرى</w:t>
            </w:r>
            <w:r>
              <w:rPr>
                <w:rStyle w:val="IndexLink"/>
                <w:rtl w:val="true"/>
              </w:rPr>
              <w:tab/>
            </w:r>
            <w:r>
              <w:rPr>
                <w:rStyle w:val="IndexLink"/>
              </w:rPr>
              <w:t>474</w:t>
            </w:r>
          </w:hyperlink>
        </w:p>
        <w:p>
          <w:pPr>
            <w:pStyle w:val="Contents5"/>
            <w:tabs>
              <w:tab w:val="clear" w:pos="7892"/>
              <w:tab w:val="right" w:pos="9026" w:leader="dot"/>
            </w:tabs>
            <w:rPr/>
          </w:pPr>
          <w:hyperlink w:anchor="__RefHeading___Toc3973303_1067777946">
            <w:r>
              <w:rPr>
                <w:webHidden/>
                <w:rStyle w:val="IndexLink"/>
                <w:rtl w:val="true"/>
              </w:rPr>
              <w:t>بعضى از انحاى مشاركت در قتل</w:t>
            </w:r>
            <w:r>
              <w:rPr>
                <w:rStyle w:val="IndexLink"/>
                <w:rtl w:val="true"/>
              </w:rPr>
              <w:tab/>
            </w:r>
            <w:r>
              <w:rPr>
                <w:rStyle w:val="IndexLink"/>
              </w:rPr>
              <w:t>474</w:t>
            </w:r>
          </w:hyperlink>
        </w:p>
        <w:p>
          <w:pPr>
            <w:pStyle w:val="Contents5"/>
            <w:tabs>
              <w:tab w:val="clear" w:pos="7892"/>
              <w:tab w:val="right" w:pos="9026" w:leader="dot"/>
            </w:tabs>
            <w:rPr/>
          </w:pPr>
          <w:hyperlink w:anchor="__RefHeading___Toc3973305_1067777946">
            <w:r>
              <w:rPr>
                <w:webHidden/>
                <w:rStyle w:val="IndexLink"/>
                <w:rtl w:val="true"/>
              </w:rPr>
              <w:t>جواز قصاص براى مفلَّس و سفيه</w:t>
            </w:r>
            <w:r>
              <w:rPr>
                <w:rStyle w:val="IndexLink"/>
                <w:rtl w:val="true"/>
              </w:rPr>
              <w:tab/>
            </w:r>
            <w:r>
              <w:rPr>
                <w:rStyle w:val="IndexLink"/>
              </w:rPr>
              <w:t>475</w:t>
            </w:r>
          </w:hyperlink>
        </w:p>
        <w:p>
          <w:pPr>
            <w:pStyle w:val="Contents5"/>
            <w:tabs>
              <w:tab w:val="clear" w:pos="7892"/>
              <w:tab w:val="right" w:pos="9026" w:leader="dot"/>
            </w:tabs>
            <w:rPr/>
          </w:pPr>
          <w:hyperlink w:anchor="__RefHeading___Toc3973307_1067777946">
            <w:r>
              <w:rPr>
                <w:webHidden/>
                <w:rStyle w:val="IndexLink"/>
                <w:rtl w:val="true"/>
              </w:rPr>
              <w:t>اگر مقتول مديون بود</w:t>
            </w:r>
            <w:r>
              <w:rPr>
                <w:rStyle w:val="IndexLink"/>
                <w:rtl w:val="true"/>
              </w:rPr>
              <w:tab/>
            </w:r>
            <w:r>
              <w:rPr>
                <w:rStyle w:val="IndexLink"/>
              </w:rPr>
              <w:t>475</w:t>
            </w:r>
          </w:hyperlink>
        </w:p>
        <w:p>
          <w:pPr>
            <w:pStyle w:val="Contents5"/>
            <w:tabs>
              <w:tab w:val="clear" w:pos="7892"/>
              <w:tab w:val="right" w:pos="9026" w:leader="dot"/>
            </w:tabs>
            <w:rPr/>
          </w:pPr>
          <w:hyperlink w:anchor="__RefHeading___Toc3973309_1067777946">
            <w:r>
              <w:rPr>
                <w:webHidden/>
                <w:rStyle w:val="IndexLink"/>
                <w:rtl w:val="true"/>
              </w:rPr>
              <w:t>اگر مديون مقتول به عمد شد</w:t>
            </w:r>
            <w:r>
              <w:rPr>
                <w:rStyle w:val="IndexLink"/>
                <w:rtl w:val="true"/>
              </w:rPr>
              <w:tab/>
            </w:r>
            <w:r>
              <w:rPr>
                <w:rStyle w:val="IndexLink"/>
              </w:rPr>
              <w:t>475</w:t>
            </w:r>
          </w:hyperlink>
        </w:p>
        <w:p>
          <w:pPr>
            <w:pStyle w:val="Contents5"/>
            <w:tabs>
              <w:tab w:val="clear" w:pos="7892"/>
              <w:tab w:val="right" w:pos="9026" w:leader="dot"/>
            </w:tabs>
            <w:rPr/>
          </w:pPr>
          <w:hyperlink w:anchor="__RefHeading___Toc3973311_1067777946">
            <w:r>
              <w:rPr>
                <w:webHidden/>
                <w:rStyle w:val="IndexLink"/>
                <w:rtl w:val="true"/>
              </w:rPr>
              <w:t>كشته شدن جماعتى توسط يك نفر به تعاقب</w:t>
            </w:r>
            <w:r>
              <w:rPr>
                <w:rStyle w:val="IndexLink"/>
                <w:rtl w:val="true"/>
              </w:rPr>
              <w:tab/>
            </w:r>
            <w:r>
              <w:rPr>
                <w:rStyle w:val="IndexLink"/>
              </w:rPr>
              <w:t>475</w:t>
            </w:r>
          </w:hyperlink>
        </w:p>
        <w:p>
          <w:pPr>
            <w:pStyle w:val="Contents6"/>
            <w:tabs>
              <w:tab w:val="clear" w:pos="7609"/>
              <w:tab w:val="right" w:pos="9026" w:leader="dot"/>
            </w:tabs>
            <w:rPr/>
          </w:pPr>
          <w:hyperlink w:anchor="__RefHeading___Toc3973313_1067777946">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3973315_1067777946">
            <w:r>
              <w:rPr>
                <w:webHidden/>
                <w:rStyle w:val="IndexLink"/>
                <w:rtl w:val="true"/>
              </w:rPr>
              <w:t>قتل دفعى چند نفر</w:t>
            </w:r>
            <w:r>
              <w:rPr>
                <w:rStyle w:val="IndexLink"/>
                <w:rtl w:val="true"/>
              </w:rPr>
              <w:tab/>
            </w:r>
            <w:r>
              <w:rPr>
                <w:rStyle w:val="IndexLink"/>
              </w:rPr>
              <w:t>476</w:t>
            </w:r>
          </w:hyperlink>
        </w:p>
        <w:p>
          <w:pPr>
            <w:pStyle w:val="Contents6"/>
            <w:tabs>
              <w:tab w:val="clear" w:pos="7609"/>
              <w:tab w:val="right" w:pos="9026" w:leader="dot"/>
            </w:tabs>
            <w:rPr/>
          </w:pPr>
          <w:hyperlink w:anchor="__RefHeading___Toc3973317_1067777946">
            <w:r>
              <w:rPr>
                <w:webHidden/>
                <w:rStyle w:val="IndexLink"/>
                <w:rtl w:val="true"/>
              </w:rPr>
              <w:t>قتل خطايى جانى توسط اجنبى</w:t>
            </w:r>
            <w:r>
              <w:rPr>
                <w:rStyle w:val="IndexLink"/>
                <w:rtl w:val="true"/>
              </w:rPr>
              <w:tab/>
            </w:r>
            <w:r>
              <w:rPr>
                <w:rStyle w:val="IndexLink"/>
              </w:rPr>
              <w:t>476</w:t>
            </w:r>
          </w:hyperlink>
        </w:p>
        <w:p>
          <w:pPr>
            <w:pStyle w:val="Contents5"/>
            <w:tabs>
              <w:tab w:val="clear" w:pos="7892"/>
              <w:tab w:val="right" w:pos="9026" w:leader="dot"/>
            </w:tabs>
            <w:rPr/>
          </w:pPr>
          <w:hyperlink w:anchor="__RefHeading___Toc3973319_1067777946">
            <w:r>
              <w:rPr>
                <w:webHidden/>
                <w:rStyle w:val="IndexLink"/>
                <w:rtl w:val="true"/>
              </w:rPr>
              <w:t>توكيل براى قصاص و تفريعات عزل وكيل</w:t>
            </w:r>
            <w:r>
              <w:rPr>
                <w:rStyle w:val="IndexLink"/>
                <w:rtl w:val="true"/>
              </w:rPr>
              <w:tab/>
            </w:r>
            <w:r>
              <w:rPr>
                <w:rStyle w:val="IndexLink"/>
              </w:rPr>
              <w:t>476</w:t>
            </w:r>
          </w:hyperlink>
        </w:p>
        <w:p>
          <w:pPr>
            <w:pStyle w:val="Contents5"/>
            <w:tabs>
              <w:tab w:val="clear" w:pos="7892"/>
              <w:tab w:val="right" w:pos="9026" w:leader="dot"/>
            </w:tabs>
            <w:rPr/>
          </w:pPr>
          <w:hyperlink w:anchor="__RefHeading___Toc3973321_1067777946">
            <w:r>
              <w:rPr>
                <w:webHidden/>
                <w:rStyle w:val="IndexLink"/>
                <w:rtl w:val="true"/>
              </w:rPr>
              <w:t>عدم قصاص از حامل</w:t>
            </w:r>
            <w:r>
              <w:rPr>
                <w:rStyle w:val="IndexLink"/>
                <w:rtl w:val="true"/>
              </w:rPr>
              <w:tab/>
            </w:r>
            <w:r>
              <w:rPr>
                <w:rStyle w:val="IndexLink"/>
              </w:rPr>
              <w:t>477</w:t>
            </w:r>
          </w:hyperlink>
        </w:p>
        <w:p>
          <w:pPr>
            <w:pStyle w:val="Contents5"/>
            <w:tabs>
              <w:tab w:val="clear" w:pos="7892"/>
              <w:tab w:val="right" w:pos="9026" w:leader="dot"/>
            </w:tabs>
            <w:rPr/>
          </w:pPr>
          <w:hyperlink w:anchor="__RefHeading___Toc3973323_1067777946">
            <w:r>
              <w:rPr>
                <w:webHidden/>
                <w:rStyle w:val="IndexLink"/>
                <w:rtl w:val="true"/>
              </w:rPr>
              <w:t>تعقّب قتل بر قطع دست ديگرى</w:t>
            </w:r>
            <w:r>
              <w:rPr>
                <w:rStyle w:val="IndexLink"/>
                <w:rtl w:val="true"/>
              </w:rPr>
              <w:tab/>
            </w:r>
            <w:r>
              <w:rPr>
                <w:rStyle w:val="IndexLink"/>
              </w:rPr>
              <w:t>478</w:t>
            </w:r>
          </w:hyperlink>
        </w:p>
        <w:p>
          <w:pPr>
            <w:pStyle w:val="Contents6"/>
            <w:tabs>
              <w:tab w:val="clear" w:pos="7609"/>
              <w:tab w:val="right" w:pos="9026" w:leader="dot"/>
            </w:tabs>
            <w:rPr/>
          </w:pPr>
          <w:hyperlink w:anchor="__RefHeading___Toc3973325_1067777946">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3973327_1067777946">
            <w:r>
              <w:rPr>
                <w:webHidden/>
                <w:rStyle w:val="IndexLink"/>
                <w:rtl w:val="true"/>
              </w:rPr>
              <w:t>قطع دو دست و سرايت به نفس</w:t>
            </w:r>
            <w:r>
              <w:rPr>
                <w:rStyle w:val="IndexLink"/>
                <w:rtl w:val="true"/>
              </w:rPr>
              <w:tab/>
            </w:r>
            <w:r>
              <w:rPr>
                <w:rStyle w:val="IndexLink"/>
              </w:rPr>
              <w:t>478</w:t>
            </w:r>
          </w:hyperlink>
        </w:p>
        <w:p>
          <w:pPr>
            <w:pStyle w:val="Contents6"/>
            <w:tabs>
              <w:tab w:val="clear" w:pos="7609"/>
              <w:tab w:val="right" w:pos="9026" w:leader="dot"/>
            </w:tabs>
            <w:rPr/>
          </w:pPr>
          <w:hyperlink w:anchor="__RefHeading___Toc3973329_1067777946">
            <w:r>
              <w:rPr>
                <w:webHidden/>
                <w:rStyle w:val="IndexLink"/>
                <w:rtl w:val="true"/>
              </w:rPr>
              <w:t>فرض ديگر سرايت توسط ذمى</w:t>
            </w:r>
            <w:r>
              <w:rPr>
                <w:rStyle w:val="IndexLink"/>
                <w:rtl w:val="true"/>
              </w:rPr>
              <w:tab/>
            </w:r>
            <w:r>
              <w:rPr>
                <w:rStyle w:val="IndexLink"/>
              </w:rPr>
              <w:t>479</w:t>
            </w:r>
          </w:hyperlink>
        </w:p>
        <w:p>
          <w:pPr>
            <w:pStyle w:val="Contents6"/>
            <w:tabs>
              <w:tab w:val="clear" w:pos="7609"/>
              <w:tab w:val="right" w:pos="9026" w:leader="dot"/>
            </w:tabs>
            <w:rPr/>
          </w:pPr>
          <w:hyperlink w:anchor="__RefHeading___Toc3973331_1067777946">
            <w:r>
              <w:rPr>
                <w:webHidden/>
                <w:rStyle w:val="IndexLink"/>
                <w:rtl w:val="true"/>
              </w:rPr>
              <w:t>سرايت قطع دست به نفس بعد از قصاص قاطعه</w:t>
            </w:r>
            <w:r>
              <w:rPr>
                <w:rStyle w:val="IndexLink"/>
                <w:rtl w:val="true"/>
              </w:rPr>
              <w:tab/>
            </w:r>
            <w:r>
              <w:rPr>
                <w:rStyle w:val="IndexLink"/>
              </w:rPr>
              <w:t>479</w:t>
            </w:r>
          </w:hyperlink>
        </w:p>
        <w:p>
          <w:pPr>
            <w:pStyle w:val="Contents6"/>
            <w:tabs>
              <w:tab w:val="clear" w:pos="7609"/>
              <w:tab w:val="right" w:pos="9026" w:leader="dot"/>
            </w:tabs>
            <w:rPr/>
          </w:pPr>
          <w:hyperlink w:anchor="__RefHeading___Toc3973333_1067777946">
            <w:r>
              <w:rPr>
                <w:webHidden/>
                <w:rStyle w:val="IndexLink"/>
                <w:rtl w:val="true"/>
              </w:rPr>
              <w:t>سرايت دو دست به نفس بعد از قصاص قاطع</w:t>
            </w:r>
            <w:r>
              <w:rPr>
                <w:rStyle w:val="IndexLink"/>
                <w:rtl w:val="true"/>
              </w:rPr>
              <w:tab/>
            </w:r>
            <w:r>
              <w:rPr>
                <w:rStyle w:val="IndexLink"/>
              </w:rPr>
              <w:t>479</w:t>
            </w:r>
          </w:hyperlink>
        </w:p>
        <w:p>
          <w:pPr>
            <w:pStyle w:val="Contents6"/>
            <w:tabs>
              <w:tab w:val="clear" w:pos="7609"/>
              <w:tab w:val="right" w:pos="9026" w:leader="dot"/>
            </w:tabs>
            <w:rPr/>
          </w:pPr>
          <w:hyperlink w:anchor="__RefHeading___Toc3973335_1067777946">
            <w:r>
              <w:rPr>
                <w:webHidden/>
                <w:rStyle w:val="IndexLink"/>
                <w:rtl w:val="true"/>
              </w:rPr>
              <w:t>ثبوت ديه بر حسب صلح و عدم توقف قصاص نفس بر ردّ ديۀ قطع</w:t>
            </w:r>
            <w:r>
              <w:rPr>
                <w:rStyle w:val="IndexLink"/>
                <w:rtl w:val="true"/>
              </w:rPr>
              <w:tab/>
            </w:r>
            <w:r>
              <w:rPr>
                <w:rStyle w:val="IndexLink"/>
              </w:rPr>
              <w:t>479</w:t>
            </w:r>
          </w:hyperlink>
        </w:p>
        <w:p>
          <w:pPr>
            <w:pStyle w:val="Contents5"/>
            <w:tabs>
              <w:tab w:val="clear" w:pos="7892"/>
              <w:tab w:val="right" w:pos="9026" w:leader="dot"/>
            </w:tabs>
            <w:rPr/>
          </w:pPr>
          <w:hyperlink w:anchor="__RefHeading___Toc3973337_1067777946">
            <w:r>
              <w:rPr>
                <w:webHidden/>
                <w:rStyle w:val="IndexLink"/>
                <w:rtl w:val="true"/>
              </w:rPr>
              <w:t>اگر قاتل به عمد در فرار و مثل آن بميرد</w:t>
            </w:r>
            <w:r>
              <w:rPr>
                <w:rStyle w:val="IndexLink"/>
                <w:rtl w:val="true"/>
              </w:rPr>
              <w:tab/>
            </w:r>
            <w:r>
              <w:rPr>
                <w:rStyle w:val="IndexLink"/>
              </w:rPr>
              <w:t>480</w:t>
            </w:r>
          </w:hyperlink>
        </w:p>
        <w:p>
          <w:pPr>
            <w:pStyle w:val="Contents5"/>
            <w:tabs>
              <w:tab w:val="clear" w:pos="7892"/>
              <w:tab w:val="right" w:pos="9026" w:leader="dot"/>
            </w:tabs>
            <w:rPr/>
          </w:pPr>
          <w:hyperlink w:anchor="__RefHeading___Toc3973339_1067777946">
            <w:r>
              <w:rPr>
                <w:webHidden/>
                <w:rStyle w:val="IndexLink"/>
                <w:rtl w:val="true"/>
              </w:rPr>
              <w:t>فوت مجنىٌّ عليه به وسيله سرايت بعد از قصاص قاطع</w:t>
            </w:r>
            <w:r>
              <w:rPr>
                <w:rStyle w:val="IndexLink"/>
                <w:rtl w:val="true"/>
              </w:rPr>
              <w:tab/>
            </w:r>
            <w:r>
              <w:rPr>
                <w:rStyle w:val="IndexLink"/>
              </w:rPr>
              <w:t>480</w:t>
            </w:r>
          </w:hyperlink>
        </w:p>
        <w:p>
          <w:pPr>
            <w:pStyle w:val="Contents5"/>
            <w:tabs>
              <w:tab w:val="clear" w:pos="7892"/>
              <w:tab w:val="right" w:pos="9026" w:leader="dot"/>
            </w:tabs>
            <w:rPr/>
          </w:pPr>
          <w:hyperlink w:anchor="__RefHeading___Toc3973341_1067777946">
            <w:r>
              <w:rPr>
                <w:webHidden/>
                <w:rStyle w:val="IndexLink"/>
                <w:rtl w:val="true"/>
              </w:rPr>
              <w:t>عفو قاطع يد و قتل مقطوع اليد توسط قاطع</w:t>
            </w:r>
            <w:r>
              <w:rPr>
                <w:rStyle w:val="IndexLink"/>
                <w:rtl w:val="true"/>
              </w:rPr>
              <w:tab/>
            </w:r>
            <w:r>
              <w:rPr>
                <w:rStyle w:val="IndexLink"/>
              </w:rPr>
              <w:t>480</w:t>
            </w:r>
          </w:hyperlink>
        </w:p>
        <w:p>
          <w:pPr>
            <w:pStyle w:val="Contents5"/>
            <w:tabs>
              <w:tab w:val="clear" w:pos="7892"/>
              <w:tab w:val="right" w:pos="9026" w:leader="dot"/>
            </w:tabs>
            <w:rPr/>
          </w:pPr>
          <w:hyperlink w:anchor="__RefHeading___Toc3973343_1067777946">
            <w:r>
              <w:rPr>
                <w:webHidden/>
                <w:rStyle w:val="IndexLink"/>
                <w:rtl w:val="true"/>
              </w:rPr>
              <w:t>ضرب شديد جانى توسط ولىّ مقتول</w:t>
            </w:r>
            <w:r>
              <w:rPr>
                <w:rStyle w:val="IndexLink"/>
                <w:rtl w:val="true"/>
              </w:rPr>
              <w:tab/>
            </w:r>
            <w:r>
              <w:rPr>
                <w:rStyle w:val="IndexLink"/>
              </w:rPr>
              <w:t>481</w:t>
            </w:r>
          </w:hyperlink>
        </w:p>
        <w:p>
          <w:pPr>
            <w:pStyle w:val="Contents3"/>
            <w:tabs>
              <w:tab w:val="clear" w:pos="8459"/>
              <w:tab w:val="right" w:pos="9026" w:leader="dot"/>
            </w:tabs>
            <w:rPr/>
          </w:pPr>
          <w:hyperlink w:anchor="__RefHeading___Toc3973345_1067777946">
            <w:r>
              <w:rPr>
                <w:webHidden/>
                <w:rStyle w:val="IndexLink"/>
                <w:rtl w:val="true"/>
              </w:rPr>
              <w:t>فصل ششم قصاص در طرف</w:t>
            </w:r>
            <w:r>
              <w:rPr>
                <w:rStyle w:val="IndexLink"/>
                <w:rtl w:val="true"/>
              </w:rPr>
              <w:tab/>
            </w:r>
            <w:r>
              <w:rPr>
                <w:rStyle w:val="IndexLink"/>
              </w:rPr>
              <w:t>482</w:t>
            </w:r>
          </w:hyperlink>
        </w:p>
        <w:p>
          <w:pPr>
            <w:pStyle w:val="Contents4"/>
            <w:tabs>
              <w:tab w:val="clear" w:pos="8176"/>
              <w:tab w:val="right" w:pos="9026" w:leader="dot"/>
            </w:tabs>
            <w:rPr/>
          </w:pPr>
          <w:hyperlink w:anchor="__RefHeading___Toc3973347_1067777946">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3973349_1067777946">
            <w:r>
              <w:rPr>
                <w:webHidden/>
                <w:rStyle w:val="IndexLink"/>
              </w:rPr>
              <w:t>1</w:t>
            </w:r>
            <w:r>
              <w:rPr>
                <w:rStyle w:val="IndexLink"/>
                <w:rtl w:val="true"/>
              </w:rPr>
              <w:t xml:space="preserve">. </w:t>
            </w:r>
            <w:r>
              <w:rPr>
                <w:rStyle w:val="IndexLink"/>
                <w:rtl w:val="true"/>
              </w:rPr>
              <w:t>موجِب قصاص</w:t>
            </w:r>
            <w:r>
              <w:rPr>
                <w:rStyle w:val="IndexLink"/>
                <w:rtl w:val="true"/>
              </w:rPr>
              <w:tab/>
            </w:r>
            <w:r>
              <w:rPr>
                <w:rStyle w:val="IndexLink"/>
              </w:rPr>
              <w:t>482</w:t>
            </w:r>
          </w:hyperlink>
        </w:p>
        <w:p>
          <w:pPr>
            <w:pStyle w:val="Contents5"/>
            <w:tabs>
              <w:tab w:val="clear" w:pos="7892"/>
              <w:tab w:val="right" w:pos="9026" w:leader="dot"/>
            </w:tabs>
            <w:rPr/>
          </w:pPr>
          <w:hyperlink w:anchor="__RefHeading___Toc3973351_1067777946">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3973353_1067777946">
            <w:r>
              <w:rPr>
                <w:webHidden/>
                <w:rStyle w:val="IndexLink"/>
                <w:rtl w:val="true"/>
              </w:rPr>
              <w:t>مباشرت و تسبيب</w:t>
            </w:r>
            <w:r>
              <w:rPr>
                <w:rStyle w:val="IndexLink"/>
                <w:rtl w:val="true"/>
              </w:rPr>
              <w:tab/>
            </w:r>
            <w:r>
              <w:rPr>
                <w:rStyle w:val="IndexLink"/>
              </w:rPr>
              <w:t>482</w:t>
            </w:r>
          </w:hyperlink>
        </w:p>
        <w:p>
          <w:pPr>
            <w:pStyle w:val="Contents4"/>
            <w:tabs>
              <w:tab w:val="clear" w:pos="8176"/>
              <w:tab w:val="right" w:pos="9026" w:leader="dot"/>
            </w:tabs>
            <w:rPr/>
          </w:pPr>
          <w:hyperlink w:anchor="__RefHeading___Toc3973355_1067777946">
            <w:r>
              <w:rPr>
                <w:webHidden/>
                <w:rStyle w:val="IndexLink"/>
              </w:rPr>
              <w:t>2</w:t>
            </w:r>
            <w:r>
              <w:rPr>
                <w:rStyle w:val="IndexLink"/>
                <w:rtl w:val="true"/>
              </w:rPr>
              <w:t xml:space="preserve">. </w:t>
            </w:r>
            <w:r>
              <w:rPr>
                <w:rStyle w:val="IndexLink"/>
                <w:rtl w:val="true"/>
              </w:rPr>
              <w:t>شروط معتبره در قصاص طَرَف</w:t>
            </w:r>
            <w:r>
              <w:rPr>
                <w:rStyle w:val="IndexLink"/>
                <w:rtl w:val="true"/>
              </w:rPr>
              <w:tab/>
            </w:r>
            <w:r>
              <w:rPr>
                <w:rStyle w:val="IndexLink"/>
              </w:rPr>
              <w:t>482</w:t>
            </w:r>
          </w:hyperlink>
        </w:p>
        <w:p>
          <w:pPr>
            <w:pStyle w:val="Contents5"/>
            <w:tabs>
              <w:tab w:val="clear" w:pos="7892"/>
              <w:tab w:val="right" w:pos="9026" w:leader="dot"/>
            </w:tabs>
            <w:rPr/>
          </w:pPr>
          <w:hyperlink w:anchor="__RefHeading___Toc3973357_1067777946">
            <w:r>
              <w:rPr>
                <w:webHidden/>
                <w:rStyle w:val="IndexLink"/>
                <w:rtl w:val="true"/>
              </w:rPr>
              <w:t>اشتراط تساوى در كمال يا اكمليّت مجنىٌّ عليه</w:t>
            </w:r>
            <w:r>
              <w:rPr>
                <w:rStyle w:val="IndexLink"/>
                <w:rtl w:val="true"/>
              </w:rPr>
              <w:tab/>
            </w:r>
            <w:r>
              <w:rPr>
                <w:rStyle w:val="IndexLink"/>
              </w:rPr>
              <w:t>482</w:t>
            </w:r>
          </w:hyperlink>
        </w:p>
        <w:p>
          <w:pPr>
            <w:pStyle w:val="Contents5"/>
            <w:tabs>
              <w:tab w:val="clear" w:pos="7892"/>
              <w:tab w:val="right" w:pos="9026" w:leader="dot"/>
            </w:tabs>
            <w:rPr/>
          </w:pPr>
          <w:hyperlink w:anchor="__RefHeading___Toc3973359_1067777946">
            <w:r>
              <w:rPr>
                <w:webHidden/>
                <w:rStyle w:val="IndexLink"/>
                <w:rtl w:val="true"/>
              </w:rPr>
              <w:t>اشتراط انتفاى ابوت در جانى</w:t>
            </w:r>
            <w:r>
              <w:rPr>
                <w:rStyle w:val="IndexLink"/>
                <w:rtl w:val="true"/>
              </w:rPr>
              <w:tab/>
            </w:r>
            <w:r>
              <w:rPr>
                <w:rStyle w:val="IndexLink"/>
              </w:rPr>
              <w:t>482</w:t>
            </w:r>
          </w:hyperlink>
        </w:p>
        <w:p>
          <w:pPr>
            <w:pStyle w:val="Contents5"/>
            <w:tabs>
              <w:tab w:val="clear" w:pos="7892"/>
              <w:tab w:val="right" w:pos="9026" w:leader="dot"/>
            </w:tabs>
            <w:rPr/>
          </w:pPr>
          <w:hyperlink w:anchor="__RefHeading___Toc3973361_1067777946">
            <w:r>
              <w:rPr>
                <w:webHidden/>
                <w:rStyle w:val="IndexLink"/>
                <w:rtl w:val="true"/>
              </w:rPr>
              <w:t>عدم اعتبار مساوات در ذكورت و انوثت</w:t>
            </w:r>
            <w:r>
              <w:rPr>
                <w:rStyle w:val="IndexLink"/>
                <w:rtl w:val="true"/>
              </w:rPr>
              <w:tab/>
            </w:r>
            <w:r>
              <w:rPr>
                <w:rStyle w:val="IndexLink"/>
              </w:rPr>
              <w:t>483</w:t>
            </w:r>
          </w:hyperlink>
        </w:p>
        <w:p>
          <w:pPr>
            <w:pStyle w:val="Contents5"/>
            <w:tabs>
              <w:tab w:val="clear" w:pos="7892"/>
              <w:tab w:val="right" w:pos="9026" w:leader="dot"/>
            </w:tabs>
            <w:rPr/>
          </w:pPr>
          <w:hyperlink w:anchor="__RefHeading___Toc3973363_1067777946">
            <w:r>
              <w:rPr>
                <w:webHidden/>
                <w:rStyle w:val="IndexLink"/>
                <w:rtl w:val="true"/>
              </w:rPr>
              <w:t>احكام ذمى و عبد در مقام</w:t>
            </w:r>
            <w:r>
              <w:rPr>
                <w:rStyle w:val="IndexLink"/>
                <w:rtl w:val="true"/>
              </w:rPr>
              <w:tab/>
            </w:r>
            <w:r>
              <w:rPr>
                <w:rStyle w:val="IndexLink"/>
              </w:rPr>
              <w:t>483</w:t>
            </w:r>
          </w:hyperlink>
        </w:p>
        <w:p>
          <w:pPr>
            <w:pStyle w:val="Contents5"/>
            <w:tabs>
              <w:tab w:val="clear" w:pos="7892"/>
              <w:tab w:val="right" w:pos="9026" w:leader="dot"/>
            </w:tabs>
            <w:rPr/>
          </w:pPr>
          <w:hyperlink w:anchor="__RefHeading___Toc3973365_1067777946">
            <w:r>
              <w:rPr>
                <w:webHidden/>
                <w:rStyle w:val="IndexLink"/>
                <w:rtl w:val="true"/>
              </w:rPr>
              <w:t>اعتبار تساوى در سلامت در قصاص</w:t>
            </w:r>
            <w:r>
              <w:rPr>
                <w:rStyle w:val="IndexLink"/>
                <w:rtl w:val="true"/>
              </w:rPr>
              <w:tab/>
            </w:r>
            <w:r>
              <w:rPr>
                <w:rStyle w:val="IndexLink"/>
              </w:rPr>
              <w:t>484</w:t>
            </w:r>
          </w:hyperlink>
        </w:p>
        <w:p>
          <w:pPr>
            <w:pStyle w:val="Contents5"/>
            <w:tabs>
              <w:tab w:val="clear" w:pos="7892"/>
              <w:tab w:val="right" w:pos="9026" w:leader="dot"/>
            </w:tabs>
            <w:rPr/>
          </w:pPr>
          <w:hyperlink w:anchor="__RefHeading___Toc3973367_1067777946">
            <w:r>
              <w:rPr>
                <w:webHidden/>
                <w:rStyle w:val="IndexLink"/>
                <w:rtl w:val="true"/>
              </w:rPr>
              <w:t>لزوم مراجعه به خبره براى عدم سرايت در قصاص</w:t>
            </w:r>
            <w:r>
              <w:rPr>
                <w:rStyle w:val="IndexLink"/>
                <w:rtl w:val="true"/>
              </w:rPr>
              <w:tab/>
            </w:r>
            <w:r>
              <w:rPr>
                <w:rStyle w:val="IndexLink"/>
              </w:rPr>
              <w:t>484</w:t>
            </w:r>
          </w:hyperlink>
        </w:p>
        <w:p>
          <w:pPr>
            <w:pStyle w:val="Contents5"/>
            <w:tabs>
              <w:tab w:val="clear" w:pos="7892"/>
              <w:tab w:val="right" w:pos="9026" w:leader="dot"/>
            </w:tabs>
            <w:rPr/>
          </w:pPr>
          <w:hyperlink w:anchor="__RefHeading___Toc3973369_1067777946">
            <w:r>
              <w:rPr>
                <w:webHidden/>
                <w:rStyle w:val="IndexLink"/>
                <w:rtl w:val="true"/>
              </w:rPr>
              <w:t>مراد از شلل</w:t>
            </w:r>
            <w:r>
              <w:rPr>
                <w:rStyle w:val="IndexLink"/>
                <w:rtl w:val="true"/>
              </w:rPr>
              <w:tab/>
            </w:r>
            <w:r>
              <w:rPr>
                <w:rStyle w:val="IndexLink"/>
              </w:rPr>
              <w:t>484</w:t>
            </w:r>
          </w:hyperlink>
        </w:p>
        <w:p>
          <w:pPr>
            <w:pStyle w:val="Contents5"/>
            <w:tabs>
              <w:tab w:val="clear" w:pos="7892"/>
              <w:tab w:val="right" w:pos="9026" w:leader="dot"/>
            </w:tabs>
            <w:rPr/>
          </w:pPr>
          <w:hyperlink w:anchor="__RefHeading___Toc3973371_1067777946">
            <w:r>
              <w:rPr>
                <w:webHidden/>
                <w:rStyle w:val="IndexLink"/>
                <w:rtl w:val="true"/>
              </w:rPr>
              <w:t>عدم لزوم تساوى در سلامت مطلقه</w:t>
            </w:r>
            <w:r>
              <w:rPr>
                <w:rStyle w:val="IndexLink"/>
                <w:rtl w:val="true"/>
              </w:rPr>
              <w:tab/>
            </w:r>
            <w:r>
              <w:rPr>
                <w:rStyle w:val="IndexLink"/>
              </w:rPr>
              <w:t>484</w:t>
            </w:r>
          </w:hyperlink>
        </w:p>
        <w:p>
          <w:pPr>
            <w:pStyle w:val="Contents5"/>
            <w:tabs>
              <w:tab w:val="clear" w:pos="7892"/>
              <w:tab w:val="right" w:pos="9026" w:leader="dot"/>
            </w:tabs>
            <w:rPr/>
          </w:pPr>
          <w:hyperlink w:anchor="__RefHeading___Toc3973373_1067777946">
            <w:r>
              <w:rPr>
                <w:webHidden/>
                <w:rStyle w:val="IndexLink"/>
                <w:rtl w:val="true"/>
              </w:rPr>
              <w:t>شلل داشتن بعضى از انگشتان</w:t>
            </w:r>
            <w:r>
              <w:rPr>
                <w:rStyle w:val="IndexLink"/>
                <w:rtl w:val="true"/>
              </w:rPr>
              <w:tab/>
            </w:r>
            <w:r>
              <w:rPr>
                <w:rStyle w:val="IndexLink"/>
              </w:rPr>
              <w:t>484</w:t>
            </w:r>
          </w:hyperlink>
        </w:p>
        <w:p>
          <w:pPr>
            <w:pStyle w:val="Contents5"/>
            <w:tabs>
              <w:tab w:val="clear" w:pos="7892"/>
              <w:tab w:val="right" w:pos="9026" w:leader="dot"/>
            </w:tabs>
            <w:rPr/>
          </w:pPr>
          <w:hyperlink w:anchor="__RefHeading___Toc3973375_1067777946">
            <w:r>
              <w:rPr>
                <w:webHidden/>
                <w:rStyle w:val="IndexLink"/>
                <w:rtl w:val="true"/>
              </w:rPr>
              <w:t>اعتبار تساوى در محل با امكان، در قصاص</w:t>
            </w:r>
            <w:r>
              <w:rPr>
                <w:rStyle w:val="IndexLink"/>
                <w:rtl w:val="true"/>
              </w:rPr>
              <w:tab/>
            </w:r>
            <w:r>
              <w:rPr>
                <w:rStyle w:val="IndexLink"/>
              </w:rPr>
              <w:t>485</w:t>
            </w:r>
          </w:hyperlink>
        </w:p>
        <w:p>
          <w:pPr>
            <w:pStyle w:val="Contents5"/>
            <w:tabs>
              <w:tab w:val="clear" w:pos="7892"/>
              <w:tab w:val="right" w:pos="9026" w:leader="dot"/>
            </w:tabs>
            <w:rPr/>
          </w:pPr>
          <w:hyperlink w:anchor="__RefHeading___Toc3973377_1067777946">
            <w:r>
              <w:rPr>
                <w:webHidden/>
                <w:rStyle w:val="IndexLink"/>
                <w:rtl w:val="true"/>
              </w:rPr>
              <w:t>مقطوع نمودن دست و پاهاى جماعتى به تعاقب</w:t>
            </w:r>
            <w:r>
              <w:rPr>
                <w:rStyle w:val="IndexLink"/>
                <w:rtl w:val="true"/>
              </w:rPr>
              <w:tab/>
            </w:r>
            <w:r>
              <w:rPr>
                <w:rStyle w:val="IndexLink"/>
              </w:rPr>
              <w:t>485</w:t>
            </w:r>
          </w:hyperlink>
        </w:p>
        <w:p>
          <w:pPr>
            <w:pStyle w:val="Contents5"/>
            <w:tabs>
              <w:tab w:val="clear" w:pos="7892"/>
              <w:tab w:val="right" w:pos="9026" w:leader="dot"/>
            </w:tabs>
            <w:rPr/>
          </w:pPr>
          <w:hyperlink w:anchor="__RefHeading___Toc3973379_1067777946">
            <w:r>
              <w:rPr>
                <w:webHidden/>
                <w:rStyle w:val="IndexLink"/>
                <w:rtl w:val="true"/>
              </w:rPr>
              <w:t>آن چه در شجاج و عمق معتبر است</w:t>
            </w:r>
            <w:r>
              <w:rPr>
                <w:rStyle w:val="IndexLink"/>
                <w:rtl w:val="true"/>
              </w:rPr>
              <w:tab/>
            </w:r>
            <w:r>
              <w:rPr>
                <w:rStyle w:val="IndexLink"/>
              </w:rPr>
              <w:t>485</w:t>
            </w:r>
          </w:hyperlink>
        </w:p>
        <w:p>
          <w:pPr>
            <w:pStyle w:val="Contents5"/>
            <w:tabs>
              <w:tab w:val="clear" w:pos="7892"/>
              <w:tab w:val="right" w:pos="9026" w:leader="dot"/>
            </w:tabs>
            <w:rPr/>
          </w:pPr>
          <w:hyperlink w:anchor="__RefHeading___Toc3973381_1067777946">
            <w:r>
              <w:rPr>
                <w:webHidden/>
                <w:rStyle w:val="IndexLink"/>
                <w:rtl w:val="true"/>
              </w:rPr>
              <w:t>عدم قصاص در موارد خوف</w:t>
            </w:r>
            <w:r>
              <w:rPr>
                <w:rStyle w:val="IndexLink"/>
                <w:rtl w:val="true"/>
              </w:rPr>
              <w:tab/>
            </w:r>
            <w:r>
              <w:rPr>
                <w:rStyle w:val="IndexLink"/>
              </w:rPr>
              <w:t>486</w:t>
            </w:r>
          </w:hyperlink>
        </w:p>
        <w:p>
          <w:pPr>
            <w:pStyle w:val="Contents5"/>
            <w:tabs>
              <w:tab w:val="clear" w:pos="7892"/>
              <w:tab w:val="right" w:pos="9026" w:leader="dot"/>
            </w:tabs>
            <w:rPr/>
          </w:pPr>
          <w:hyperlink w:anchor="__RefHeading___Toc3973383_1067777946">
            <w:r>
              <w:rPr>
                <w:webHidden/>
                <w:rStyle w:val="IndexLink"/>
                <w:rtl w:val="true"/>
              </w:rPr>
              <w:t>قصاص قبل از اندمال</w:t>
            </w:r>
            <w:r>
              <w:rPr>
                <w:rStyle w:val="IndexLink"/>
                <w:rtl w:val="true"/>
              </w:rPr>
              <w:tab/>
            </w:r>
            <w:r>
              <w:rPr>
                <w:rStyle w:val="IndexLink"/>
              </w:rPr>
              <w:t>486</w:t>
            </w:r>
          </w:hyperlink>
        </w:p>
        <w:p>
          <w:pPr>
            <w:pStyle w:val="Contents4"/>
            <w:tabs>
              <w:tab w:val="clear" w:pos="8176"/>
              <w:tab w:val="right" w:pos="9026" w:leader="dot"/>
            </w:tabs>
            <w:rPr/>
          </w:pPr>
          <w:hyperlink w:anchor="__RefHeading___Toc3973385_1067777946">
            <w:r>
              <w:rPr>
                <w:webHidden/>
                <w:rStyle w:val="IndexLink"/>
              </w:rPr>
              <w:t>3</w:t>
            </w:r>
            <w:r>
              <w:rPr>
                <w:rStyle w:val="IndexLink"/>
                <w:rtl w:val="true"/>
              </w:rPr>
              <w:t xml:space="preserve">. </w:t>
            </w:r>
            <w:r>
              <w:rPr>
                <w:rStyle w:val="IndexLink"/>
                <w:rtl w:val="true"/>
              </w:rPr>
              <w:t>كيفيت قصاص در جراحتها</w:t>
            </w:r>
            <w:r>
              <w:rPr>
                <w:rStyle w:val="IndexLink"/>
                <w:rtl w:val="true"/>
              </w:rPr>
              <w:tab/>
            </w:r>
            <w:r>
              <w:rPr>
                <w:rStyle w:val="IndexLink"/>
              </w:rPr>
              <w:t>487</w:t>
            </w:r>
          </w:hyperlink>
        </w:p>
        <w:p>
          <w:pPr>
            <w:pStyle w:val="Contents5"/>
            <w:tabs>
              <w:tab w:val="clear" w:pos="7892"/>
              <w:tab w:val="right" w:pos="9026" w:leader="dot"/>
            </w:tabs>
            <w:rPr/>
          </w:pPr>
          <w:hyperlink w:anchor="__RefHeading___Toc3973387_1067777946">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3973389_1067777946">
            <w:r>
              <w:rPr>
                <w:webHidden/>
                <w:rStyle w:val="IndexLink"/>
                <w:rtl w:val="true"/>
              </w:rPr>
              <w:t>جراحت زيادتى بر استحقاق و ضمان آن</w:t>
            </w:r>
            <w:r>
              <w:rPr>
                <w:rStyle w:val="IndexLink"/>
                <w:rtl w:val="true"/>
              </w:rPr>
              <w:tab/>
            </w:r>
            <w:r>
              <w:rPr>
                <w:rStyle w:val="IndexLink"/>
              </w:rPr>
              <w:t>487</w:t>
            </w:r>
          </w:hyperlink>
        </w:p>
        <w:p>
          <w:pPr>
            <w:pStyle w:val="Contents5"/>
            <w:tabs>
              <w:tab w:val="clear" w:pos="7892"/>
              <w:tab w:val="right" w:pos="9026" w:leader="dot"/>
            </w:tabs>
            <w:rPr/>
          </w:pPr>
          <w:hyperlink w:anchor="__RefHeading___Toc3973391_1067777946">
            <w:r>
              <w:rPr>
                <w:webHidden/>
                <w:rStyle w:val="IndexLink"/>
                <w:rtl w:val="true"/>
              </w:rPr>
              <w:t>لزوم اقتصار بر مقدار مساحت جراحت حتى با استيعاب در مجنىّ عليه</w:t>
            </w:r>
            <w:r>
              <w:rPr>
                <w:rStyle w:val="IndexLink"/>
                <w:rtl w:val="true"/>
              </w:rPr>
              <w:tab/>
            </w:r>
            <w:r>
              <w:rPr>
                <w:rStyle w:val="IndexLink"/>
              </w:rPr>
              <w:t>487</w:t>
            </w:r>
          </w:hyperlink>
        </w:p>
        <w:p>
          <w:pPr>
            <w:pStyle w:val="Contents5"/>
            <w:tabs>
              <w:tab w:val="clear" w:pos="7892"/>
              <w:tab w:val="right" w:pos="9026" w:leader="dot"/>
            </w:tabs>
            <w:rPr/>
          </w:pPr>
          <w:hyperlink w:anchor="__RefHeading___Toc3973393_1067777946">
            <w:r>
              <w:rPr>
                <w:webHidden/>
                <w:rStyle w:val="IndexLink"/>
                <w:rtl w:val="true"/>
              </w:rPr>
              <w:t>اگر سر جانى بزرگتر مجنىّ عليه باشد</w:t>
            </w:r>
            <w:r>
              <w:rPr>
                <w:rStyle w:val="IndexLink"/>
                <w:rtl w:val="true"/>
              </w:rPr>
              <w:tab/>
            </w:r>
            <w:r>
              <w:rPr>
                <w:rStyle w:val="IndexLink"/>
              </w:rPr>
              <w:t>488</w:t>
            </w:r>
          </w:hyperlink>
        </w:p>
        <w:p>
          <w:pPr>
            <w:pStyle w:val="Contents5"/>
            <w:tabs>
              <w:tab w:val="clear" w:pos="7892"/>
              <w:tab w:val="right" w:pos="9026" w:leader="dot"/>
            </w:tabs>
            <w:rPr/>
          </w:pPr>
          <w:hyperlink w:anchor="__RefHeading___Toc3973395_1067777946">
            <w:r>
              <w:rPr>
                <w:webHidden/>
                <w:rStyle w:val="IndexLink"/>
                <w:rtl w:val="true"/>
              </w:rPr>
              <w:t>اگر جراحت در يك طرف مخصوص باشد</w:t>
            </w:r>
            <w:r>
              <w:rPr>
                <w:rStyle w:val="IndexLink"/>
                <w:rtl w:val="true"/>
              </w:rPr>
              <w:tab/>
            </w:r>
            <w:r>
              <w:rPr>
                <w:rStyle w:val="IndexLink"/>
              </w:rPr>
              <w:t>488</w:t>
            </w:r>
          </w:hyperlink>
        </w:p>
        <w:p>
          <w:pPr>
            <w:pStyle w:val="Contents5"/>
            <w:tabs>
              <w:tab w:val="clear" w:pos="7892"/>
              <w:tab w:val="right" w:pos="9026" w:leader="dot"/>
            </w:tabs>
            <w:rPr/>
          </w:pPr>
          <w:hyperlink w:anchor="__RefHeading___Toc3973397_1067777946">
            <w:r>
              <w:rPr>
                <w:webHidden/>
                <w:rStyle w:val="IndexLink"/>
                <w:rtl w:val="true"/>
              </w:rPr>
              <w:t>اگر سر جانى صغير باشد</w:t>
            </w:r>
            <w:r>
              <w:rPr>
                <w:rStyle w:val="IndexLink"/>
                <w:rtl w:val="true"/>
              </w:rPr>
              <w:tab/>
            </w:r>
            <w:r>
              <w:rPr>
                <w:rStyle w:val="IndexLink"/>
              </w:rPr>
              <w:t>488</w:t>
            </w:r>
          </w:hyperlink>
        </w:p>
        <w:p>
          <w:pPr>
            <w:pStyle w:val="Contents5"/>
            <w:tabs>
              <w:tab w:val="clear" w:pos="7892"/>
              <w:tab w:val="right" w:pos="9026" w:leader="dot"/>
            </w:tabs>
            <w:rPr/>
          </w:pPr>
          <w:hyperlink w:anchor="__RefHeading___Toc3973399_1067777946">
            <w:r>
              <w:rPr>
                <w:webHidden/>
                <w:rStyle w:val="IndexLink"/>
                <w:rtl w:val="true"/>
              </w:rPr>
              <w:t>تعدد جنايت سر و وجه</w:t>
            </w:r>
            <w:r>
              <w:rPr>
                <w:rStyle w:val="IndexLink"/>
                <w:rtl w:val="true"/>
              </w:rPr>
              <w:tab/>
            </w:r>
            <w:r>
              <w:rPr>
                <w:rStyle w:val="IndexLink"/>
              </w:rPr>
              <w:t>488</w:t>
            </w:r>
          </w:hyperlink>
        </w:p>
        <w:p>
          <w:pPr>
            <w:pStyle w:val="Contents5"/>
            <w:tabs>
              <w:tab w:val="clear" w:pos="7892"/>
              <w:tab w:val="right" w:pos="9026" w:leader="dot"/>
            </w:tabs>
            <w:rPr/>
          </w:pPr>
          <w:hyperlink w:anchor="__RefHeading___Toc3973401_1067777946">
            <w:r>
              <w:rPr>
                <w:webHidden/>
                <w:rStyle w:val="IndexLink"/>
                <w:rtl w:val="true"/>
              </w:rPr>
              <w:t>تأخير براى شدت سرما يا گرما</w:t>
            </w:r>
            <w:r>
              <w:rPr>
                <w:rStyle w:val="IndexLink"/>
                <w:rtl w:val="true"/>
              </w:rPr>
              <w:tab/>
            </w:r>
            <w:r>
              <w:rPr>
                <w:rStyle w:val="IndexLink"/>
              </w:rPr>
              <w:t>488</w:t>
            </w:r>
          </w:hyperlink>
        </w:p>
        <w:p>
          <w:pPr>
            <w:pStyle w:val="Contents5"/>
            <w:tabs>
              <w:tab w:val="clear" w:pos="7892"/>
              <w:tab w:val="right" w:pos="9026" w:leader="dot"/>
            </w:tabs>
            <w:rPr/>
          </w:pPr>
          <w:hyperlink w:anchor="__RefHeading___Toc3973403_1067777946">
            <w:r>
              <w:rPr>
                <w:webHidden/>
                <w:rStyle w:val="IndexLink"/>
                <w:rtl w:val="true"/>
              </w:rPr>
              <w:t>آلتى كه با آن قصاص صورت مى گيرد</w:t>
            </w:r>
            <w:r>
              <w:rPr>
                <w:rStyle w:val="IndexLink"/>
                <w:rtl w:val="true"/>
              </w:rPr>
              <w:tab/>
            </w:r>
            <w:r>
              <w:rPr>
                <w:rStyle w:val="IndexLink"/>
              </w:rPr>
              <w:t>488</w:t>
            </w:r>
          </w:hyperlink>
        </w:p>
        <w:p>
          <w:pPr>
            <w:pStyle w:val="Contents5"/>
            <w:tabs>
              <w:tab w:val="clear" w:pos="7892"/>
              <w:tab w:val="right" w:pos="9026" w:leader="dot"/>
            </w:tabs>
            <w:rPr/>
          </w:pPr>
          <w:hyperlink w:anchor="__RefHeading___Toc3973405_1067777946">
            <w:r>
              <w:rPr>
                <w:webHidden/>
                <w:rStyle w:val="IndexLink"/>
                <w:rtl w:val="true"/>
              </w:rPr>
              <w:t>اجتماع موضحه با غير يا دو موضحه يا متلاحمه</w:t>
            </w:r>
            <w:r>
              <w:rPr>
                <w:rStyle w:val="IndexLink"/>
                <w:rtl w:val="true"/>
              </w:rPr>
              <w:tab/>
            </w:r>
            <w:r>
              <w:rPr>
                <w:rStyle w:val="IndexLink"/>
              </w:rPr>
              <w:t>489</w:t>
            </w:r>
          </w:hyperlink>
        </w:p>
        <w:p>
          <w:pPr>
            <w:pStyle w:val="Contents5"/>
            <w:tabs>
              <w:tab w:val="clear" w:pos="7892"/>
              <w:tab w:val="right" w:pos="9026" w:leader="dot"/>
            </w:tabs>
            <w:rPr/>
          </w:pPr>
          <w:hyperlink w:anchor="__RefHeading___Toc3973407_1067777946">
            <w:r>
              <w:rPr>
                <w:webHidden/>
                <w:rStyle w:val="IndexLink"/>
                <w:rtl w:val="true"/>
              </w:rPr>
              <w:t>وصل نمودن عضو بعد از قصاص</w:t>
            </w:r>
            <w:r>
              <w:rPr>
                <w:rStyle w:val="IndexLink"/>
                <w:rtl w:val="true"/>
              </w:rPr>
              <w:tab/>
            </w:r>
            <w:r>
              <w:rPr>
                <w:rStyle w:val="IndexLink"/>
              </w:rPr>
              <w:t>489</w:t>
            </w:r>
          </w:hyperlink>
        </w:p>
        <w:p>
          <w:pPr>
            <w:pStyle w:val="Contents5"/>
            <w:tabs>
              <w:tab w:val="clear" w:pos="7892"/>
              <w:tab w:val="right" w:pos="9026" w:leader="dot"/>
            </w:tabs>
            <w:rPr/>
          </w:pPr>
          <w:hyperlink w:anchor="__RefHeading___Toc3973409_1067777946">
            <w:r>
              <w:rPr>
                <w:webHidden/>
                <w:rStyle w:val="IndexLink"/>
                <w:rtl w:val="true"/>
              </w:rPr>
              <w:t>قصاص در چشم</w:t>
            </w:r>
            <w:r>
              <w:rPr>
                <w:rStyle w:val="IndexLink"/>
                <w:rtl w:val="true"/>
              </w:rPr>
              <w:tab/>
            </w:r>
            <w:r>
              <w:rPr>
                <w:rStyle w:val="IndexLink"/>
              </w:rPr>
              <w:t>490</w:t>
            </w:r>
          </w:hyperlink>
        </w:p>
        <w:p>
          <w:pPr>
            <w:pStyle w:val="Contents6"/>
            <w:tabs>
              <w:tab w:val="clear" w:pos="7609"/>
              <w:tab w:val="right" w:pos="9026" w:leader="dot"/>
            </w:tabs>
            <w:rPr/>
          </w:pPr>
          <w:hyperlink w:anchor="__RefHeading___Toc3973411_1067777946">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3973413_1067777946">
            <w:r>
              <w:rPr>
                <w:webHidden/>
                <w:rStyle w:val="IndexLink"/>
                <w:rtl w:val="true"/>
              </w:rPr>
              <w:t>در آوردن چشم شخص يك چشمى توسط سالم</w:t>
            </w:r>
            <w:r>
              <w:rPr>
                <w:rStyle w:val="IndexLink"/>
                <w:rtl w:val="true"/>
              </w:rPr>
              <w:tab/>
            </w:r>
            <w:r>
              <w:rPr>
                <w:rStyle w:val="IndexLink"/>
              </w:rPr>
              <w:t>490</w:t>
            </w:r>
          </w:hyperlink>
        </w:p>
        <w:p>
          <w:pPr>
            <w:pStyle w:val="Contents6"/>
            <w:tabs>
              <w:tab w:val="clear" w:pos="7609"/>
              <w:tab w:val="right" w:pos="9026" w:leader="dot"/>
            </w:tabs>
            <w:rPr/>
          </w:pPr>
          <w:hyperlink w:anchor="__RefHeading___Toc3973415_1067777946">
            <w:r>
              <w:rPr>
                <w:webHidden/>
                <w:rStyle w:val="IndexLink"/>
                <w:rtl w:val="true"/>
              </w:rPr>
              <w:t>عدم اضرار عيب چشم به قصاص</w:t>
            </w:r>
            <w:r>
              <w:rPr>
                <w:rStyle w:val="IndexLink"/>
                <w:rtl w:val="true"/>
              </w:rPr>
              <w:tab/>
            </w:r>
            <w:r>
              <w:rPr>
                <w:rStyle w:val="IndexLink"/>
              </w:rPr>
              <w:t>491</w:t>
            </w:r>
          </w:hyperlink>
        </w:p>
        <w:p>
          <w:pPr>
            <w:pStyle w:val="Contents6"/>
            <w:tabs>
              <w:tab w:val="clear" w:pos="7609"/>
              <w:tab w:val="right" w:pos="9026" w:leader="dot"/>
            </w:tabs>
            <w:rPr/>
          </w:pPr>
          <w:hyperlink w:anchor="__RefHeading___Toc3973417_1067777946">
            <w:r>
              <w:rPr>
                <w:webHidden/>
                <w:rStyle w:val="IndexLink"/>
                <w:rtl w:val="true"/>
              </w:rPr>
              <w:t>كور نمودن بدون در آوردن چشم</w:t>
            </w:r>
            <w:r>
              <w:rPr>
                <w:rStyle w:val="IndexLink"/>
                <w:rtl w:val="true"/>
              </w:rPr>
              <w:tab/>
            </w:r>
            <w:r>
              <w:rPr>
                <w:rStyle w:val="IndexLink"/>
              </w:rPr>
              <w:t>491</w:t>
            </w:r>
          </w:hyperlink>
        </w:p>
        <w:p>
          <w:pPr>
            <w:pStyle w:val="Contents5"/>
            <w:tabs>
              <w:tab w:val="clear" w:pos="7892"/>
              <w:tab w:val="right" w:pos="9026" w:leader="dot"/>
            </w:tabs>
            <w:rPr/>
          </w:pPr>
          <w:hyperlink w:anchor="__RefHeading___Toc3973419_1067777946">
            <w:r>
              <w:rPr>
                <w:webHidden/>
                <w:rStyle w:val="IndexLink"/>
                <w:rtl w:val="true"/>
              </w:rPr>
              <w:t>قصاص در موى سر و ريش و ابرو و مژه</w:t>
            </w:r>
            <w:r>
              <w:rPr>
                <w:rStyle w:val="IndexLink"/>
                <w:rtl w:val="true"/>
              </w:rPr>
              <w:tab/>
            </w:r>
            <w:r>
              <w:rPr>
                <w:rStyle w:val="IndexLink"/>
              </w:rPr>
              <w:t>491</w:t>
            </w:r>
          </w:hyperlink>
        </w:p>
        <w:p>
          <w:pPr>
            <w:pStyle w:val="Contents5"/>
            <w:tabs>
              <w:tab w:val="clear" w:pos="7892"/>
              <w:tab w:val="right" w:pos="9026" w:leader="dot"/>
            </w:tabs>
            <w:rPr/>
          </w:pPr>
          <w:hyperlink w:anchor="__RefHeading___Toc3973421_1067777946">
            <w:r>
              <w:rPr>
                <w:webHidden/>
                <w:rStyle w:val="IndexLink"/>
                <w:rtl w:val="true"/>
              </w:rPr>
              <w:t>قصاص در آلت رجوليّت</w:t>
            </w:r>
            <w:r>
              <w:rPr>
                <w:rStyle w:val="IndexLink"/>
                <w:rtl w:val="true"/>
              </w:rPr>
              <w:tab/>
            </w:r>
            <w:r>
              <w:rPr>
                <w:rStyle w:val="IndexLink"/>
              </w:rPr>
              <w:t>491</w:t>
            </w:r>
          </w:hyperlink>
        </w:p>
        <w:p>
          <w:pPr>
            <w:pStyle w:val="Contents5"/>
            <w:tabs>
              <w:tab w:val="clear" w:pos="7892"/>
              <w:tab w:val="right" w:pos="9026" w:leader="dot"/>
            </w:tabs>
            <w:rPr/>
          </w:pPr>
          <w:hyperlink w:anchor="__RefHeading___Toc3973423_1067777946">
            <w:r>
              <w:rPr>
                <w:webHidden/>
                <w:rStyle w:val="IndexLink"/>
                <w:rtl w:val="true"/>
              </w:rPr>
              <w:t>قصاص در مورد فرج زن</w:t>
            </w:r>
            <w:r>
              <w:rPr>
                <w:rStyle w:val="IndexLink"/>
                <w:rtl w:val="true"/>
              </w:rPr>
              <w:tab/>
            </w:r>
            <w:r>
              <w:rPr>
                <w:rStyle w:val="IndexLink"/>
              </w:rPr>
              <w:t>492</w:t>
            </w:r>
          </w:hyperlink>
        </w:p>
        <w:p>
          <w:pPr>
            <w:pStyle w:val="Contents5"/>
            <w:tabs>
              <w:tab w:val="clear" w:pos="7892"/>
              <w:tab w:val="right" w:pos="9026" w:leader="dot"/>
            </w:tabs>
            <w:rPr/>
          </w:pPr>
          <w:hyperlink w:anchor="__RefHeading___Toc3973425_1067777946">
            <w:r>
              <w:rPr>
                <w:webHidden/>
                <w:rStyle w:val="IndexLink"/>
                <w:rtl w:val="true"/>
              </w:rPr>
              <w:t>قصاص در مورد آلات خنثى</w:t>
            </w:r>
            <w:r>
              <w:rPr>
                <w:rStyle w:val="IndexLink"/>
                <w:rtl w:val="true"/>
              </w:rPr>
              <w:tab/>
            </w:r>
            <w:r>
              <w:rPr>
                <w:rStyle w:val="IndexLink"/>
              </w:rPr>
              <w:t>493</w:t>
            </w:r>
          </w:hyperlink>
        </w:p>
        <w:p>
          <w:pPr>
            <w:pStyle w:val="Contents6"/>
            <w:tabs>
              <w:tab w:val="clear" w:pos="7609"/>
              <w:tab w:val="right" w:pos="9026" w:leader="dot"/>
            </w:tabs>
            <w:rPr/>
          </w:pPr>
          <w:hyperlink w:anchor="__RefHeading___Toc3973427_1067777946">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3973429_1067777946">
            <w:r>
              <w:rPr>
                <w:webHidden/>
                <w:rStyle w:val="IndexLink"/>
                <w:rtl w:val="true"/>
              </w:rPr>
              <w:t>اگر مرد بودن مجنىّ عليه معلوم شود</w:t>
            </w:r>
            <w:r>
              <w:rPr>
                <w:rStyle w:val="IndexLink"/>
                <w:rtl w:val="true"/>
              </w:rPr>
              <w:tab/>
            </w:r>
            <w:r>
              <w:rPr>
                <w:rStyle w:val="IndexLink"/>
              </w:rPr>
              <w:t>493</w:t>
            </w:r>
          </w:hyperlink>
        </w:p>
        <w:p>
          <w:pPr>
            <w:pStyle w:val="Contents6"/>
            <w:tabs>
              <w:tab w:val="clear" w:pos="7609"/>
              <w:tab w:val="right" w:pos="9026" w:leader="dot"/>
            </w:tabs>
            <w:rPr/>
          </w:pPr>
          <w:hyperlink w:anchor="__RefHeading___Toc3973431_1067777946">
            <w:r>
              <w:rPr>
                <w:webHidden/>
                <w:rStyle w:val="IndexLink"/>
                <w:rtl w:val="true"/>
              </w:rPr>
              <w:t>اگر زن بودن مجنىّ عليه معلوم شود</w:t>
            </w:r>
            <w:r>
              <w:rPr>
                <w:rStyle w:val="IndexLink"/>
                <w:rtl w:val="true"/>
              </w:rPr>
              <w:tab/>
            </w:r>
            <w:r>
              <w:rPr>
                <w:rStyle w:val="IndexLink"/>
              </w:rPr>
              <w:t>493</w:t>
            </w:r>
          </w:hyperlink>
        </w:p>
        <w:p>
          <w:pPr>
            <w:pStyle w:val="Contents6"/>
            <w:tabs>
              <w:tab w:val="clear" w:pos="7609"/>
              <w:tab w:val="right" w:pos="9026" w:leader="dot"/>
            </w:tabs>
            <w:rPr/>
          </w:pPr>
          <w:hyperlink w:anchor="__RefHeading___Toc3973433_1067777946">
            <w:r>
              <w:rPr>
                <w:webHidden/>
                <w:rStyle w:val="IndexLink"/>
                <w:rtl w:val="true"/>
              </w:rPr>
              <w:t>اگر جانى خنثى باشد</w:t>
            </w:r>
            <w:r>
              <w:rPr>
                <w:rStyle w:val="IndexLink"/>
                <w:rtl w:val="true"/>
              </w:rPr>
              <w:tab/>
            </w:r>
            <w:r>
              <w:rPr>
                <w:rStyle w:val="IndexLink"/>
              </w:rPr>
              <w:t>493</w:t>
            </w:r>
          </w:hyperlink>
        </w:p>
        <w:p>
          <w:pPr>
            <w:pStyle w:val="Contents5"/>
            <w:tabs>
              <w:tab w:val="clear" w:pos="7892"/>
              <w:tab w:val="right" w:pos="9026" w:leader="dot"/>
            </w:tabs>
            <w:rPr/>
          </w:pPr>
          <w:hyperlink w:anchor="__RefHeading___Toc3973435_1067777946">
            <w:r>
              <w:rPr>
                <w:webHidden/>
                <w:rStyle w:val="IndexLink"/>
                <w:rtl w:val="true"/>
              </w:rPr>
              <w:t>قصاص در اليتين</w:t>
            </w:r>
            <w:r>
              <w:rPr>
                <w:rStyle w:val="IndexLink"/>
                <w:rtl w:val="true"/>
              </w:rPr>
              <w:tab/>
            </w:r>
            <w:r>
              <w:rPr>
                <w:rStyle w:val="IndexLink"/>
              </w:rPr>
              <w:t>495</w:t>
            </w:r>
          </w:hyperlink>
        </w:p>
        <w:p>
          <w:pPr>
            <w:pStyle w:val="Contents5"/>
            <w:tabs>
              <w:tab w:val="clear" w:pos="7892"/>
              <w:tab w:val="right" w:pos="9026" w:leader="dot"/>
            </w:tabs>
            <w:rPr/>
          </w:pPr>
          <w:hyperlink w:anchor="__RefHeading___Toc3973437_1067777946">
            <w:r>
              <w:rPr>
                <w:webHidden/>
                <w:rStyle w:val="IndexLink"/>
                <w:rtl w:val="true"/>
              </w:rPr>
              <w:t>قصاص در عضو مجذوم</w:t>
            </w:r>
            <w:r>
              <w:rPr>
                <w:rStyle w:val="IndexLink"/>
                <w:rtl w:val="true"/>
              </w:rPr>
              <w:tab/>
            </w:r>
            <w:r>
              <w:rPr>
                <w:rStyle w:val="IndexLink"/>
              </w:rPr>
              <w:t>495</w:t>
            </w:r>
          </w:hyperlink>
        </w:p>
        <w:p>
          <w:pPr>
            <w:pStyle w:val="Contents5"/>
            <w:tabs>
              <w:tab w:val="clear" w:pos="7892"/>
              <w:tab w:val="right" w:pos="9026" w:leader="dot"/>
            </w:tabs>
            <w:rPr/>
          </w:pPr>
          <w:hyperlink w:anchor="__RefHeading___Toc3973439_1067777946">
            <w:r>
              <w:rPr>
                <w:webHidden/>
                <w:rStyle w:val="IndexLink"/>
                <w:rtl w:val="true"/>
              </w:rPr>
              <w:t>قصاص در بينى</w:t>
            </w:r>
            <w:r>
              <w:rPr>
                <w:rStyle w:val="IndexLink"/>
                <w:rtl w:val="true"/>
              </w:rPr>
              <w:tab/>
            </w:r>
            <w:r>
              <w:rPr>
                <w:rStyle w:val="IndexLink"/>
              </w:rPr>
              <w:t>495</w:t>
            </w:r>
          </w:hyperlink>
        </w:p>
        <w:p>
          <w:pPr>
            <w:pStyle w:val="Contents5"/>
            <w:tabs>
              <w:tab w:val="clear" w:pos="7892"/>
              <w:tab w:val="right" w:pos="9026" w:leader="dot"/>
            </w:tabs>
            <w:rPr/>
          </w:pPr>
          <w:hyperlink w:anchor="__RefHeading___Toc3973441_1067777946">
            <w:r>
              <w:rPr>
                <w:webHidden/>
                <w:rStyle w:val="IndexLink"/>
                <w:rtl w:val="true"/>
              </w:rPr>
              <w:t>قصاص در گوش</w:t>
            </w:r>
            <w:r>
              <w:rPr>
                <w:rStyle w:val="IndexLink"/>
                <w:rtl w:val="true"/>
              </w:rPr>
              <w:tab/>
            </w:r>
            <w:r>
              <w:rPr>
                <w:rStyle w:val="IndexLink"/>
              </w:rPr>
              <w:t>496</w:t>
            </w:r>
          </w:hyperlink>
        </w:p>
        <w:p>
          <w:pPr>
            <w:pStyle w:val="Contents5"/>
            <w:tabs>
              <w:tab w:val="clear" w:pos="7892"/>
              <w:tab w:val="right" w:pos="9026" w:leader="dot"/>
            </w:tabs>
            <w:rPr/>
          </w:pPr>
          <w:hyperlink w:anchor="__RefHeading___Toc3973443_1067777946">
            <w:r>
              <w:rPr>
                <w:webHidden/>
                <w:rStyle w:val="IndexLink"/>
                <w:rtl w:val="true"/>
              </w:rPr>
              <w:t>قصاص در دندان</w:t>
            </w:r>
            <w:r>
              <w:rPr>
                <w:rStyle w:val="IndexLink"/>
                <w:rtl w:val="true"/>
              </w:rPr>
              <w:tab/>
            </w:r>
            <w:r>
              <w:rPr>
                <w:rStyle w:val="IndexLink"/>
              </w:rPr>
              <w:t>496</w:t>
            </w:r>
          </w:hyperlink>
        </w:p>
        <w:p>
          <w:pPr>
            <w:pStyle w:val="Contents6"/>
            <w:tabs>
              <w:tab w:val="clear" w:pos="7609"/>
              <w:tab w:val="right" w:pos="9026" w:leader="dot"/>
            </w:tabs>
            <w:rPr/>
          </w:pPr>
          <w:hyperlink w:anchor="__RefHeading___Toc3973445_1067777946">
            <w:r>
              <w:rPr>
                <w:webHidden/>
                <w:rStyle w:val="IndexLink"/>
                <w:rtl w:val="true"/>
              </w:rPr>
              <w:t>اشاره</w:t>
            </w:r>
            <w:r>
              <w:rPr>
                <w:rStyle w:val="IndexLink"/>
                <w:rtl w:val="true"/>
              </w:rPr>
              <w:tab/>
            </w:r>
            <w:r>
              <w:rPr>
                <w:rStyle w:val="IndexLink"/>
              </w:rPr>
              <w:t>496</w:t>
            </w:r>
          </w:hyperlink>
        </w:p>
        <w:p>
          <w:pPr>
            <w:pStyle w:val="Contents6"/>
            <w:tabs>
              <w:tab w:val="clear" w:pos="7609"/>
              <w:tab w:val="right" w:pos="9026" w:leader="dot"/>
            </w:tabs>
            <w:rPr/>
          </w:pPr>
          <w:hyperlink w:anchor="__RefHeading___Toc3973447_1067777946">
            <w:r>
              <w:rPr>
                <w:webHidden/>
                <w:rStyle w:val="IndexLink"/>
                <w:rtl w:val="true"/>
              </w:rPr>
              <w:t>اخبار اهل خبره به رويش يا عدم رويش دندان كنده شده</w:t>
            </w:r>
            <w:r>
              <w:rPr>
                <w:rStyle w:val="IndexLink"/>
                <w:rtl w:val="true"/>
              </w:rPr>
              <w:tab/>
            </w:r>
            <w:r>
              <w:rPr>
                <w:rStyle w:val="IndexLink"/>
              </w:rPr>
              <w:t>496</w:t>
            </w:r>
          </w:hyperlink>
        </w:p>
        <w:p>
          <w:pPr>
            <w:pStyle w:val="Contents6"/>
            <w:tabs>
              <w:tab w:val="clear" w:pos="7609"/>
              <w:tab w:val="right" w:pos="9026" w:leader="dot"/>
            </w:tabs>
            <w:rPr/>
          </w:pPr>
          <w:hyperlink w:anchor="__RefHeading___Toc3973449_1067777946">
            <w:r>
              <w:rPr>
                <w:webHidden/>
                <w:rStyle w:val="IndexLink"/>
                <w:rtl w:val="true"/>
              </w:rPr>
              <w:t>رويش دوبارۀ دندان قصاص شده</w:t>
            </w:r>
            <w:r>
              <w:rPr>
                <w:rStyle w:val="IndexLink"/>
                <w:rtl w:val="true"/>
              </w:rPr>
              <w:tab/>
            </w:r>
            <w:r>
              <w:rPr>
                <w:rStyle w:val="IndexLink"/>
              </w:rPr>
              <w:t>497</w:t>
            </w:r>
          </w:hyperlink>
        </w:p>
        <w:p>
          <w:pPr>
            <w:pStyle w:val="Contents6"/>
            <w:tabs>
              <w:tab w:val="clear" w:pos="7609"/>
              <w:tab w:val="right" w:pos="9026" w:leader="dot"/>
            </w:tabs>
            <w:rPr/>
          </w:pPr>
          <w:hyperlink w:anchor="__RefHeading___Toc3973451_1067777946">
            <w:r>
              <w:rPr>
                <w:webHidden/>
                <w:rStyle w:val="IndexLink"/>
                <w:rtl w:val="true"/>
              </w:rPr>
              <w:t>اعتبار تساوى محل در قصاص دندان</w:t>
            </w:r>
            <w:r>
              <w:rPr>
                <w:rStyle w:val="IndexLink"/>
                <w:rtl w:val="true"/>
              </w:rPr>
              <w:tab/>
            </w:r>
            <w:r>
              <w:rPr>
                <w:rStyle w:val="IndexLink"/>
              </w:rPr>
              <w:t>497</w:t>
            </w:r>
          </w:hyperlink>
        </w:p>
        <w:p>
          <w:pPr>
            <w:pStyle w:val="Contents5"/>
            <w:tabs>
              <w:tab w:val="clear" w:pos="7892"/>
              <w:tab w:val="right" w:pos="9026" w:leader="dot"/>
            </w:tabs>
            <w:rPr/>
          </w:pPr>
          <w:hyperlink w:anchor="__RefHeading___Toc3973453_1067777946">
            <w:r>
              <w:rPr>
                <w:webHidden/>
                <w:rStyle w:val="IndexLink"/>
                <w:rtl w:val="true"/>
              </w:rPr>
              <w:t>قصاص در انگشتها</w:t>
            </w:r>
            <w:r>
              <w:rPr>
                <w:rStyle w:val="IndexLink"/>
                <w:rtl w:val="true"/>
              </w:rPr>
              <w:tab/>
            </w:r>
            <w:r>
              <w:rPr>
                <w:rStyle w:val="IndexLink"/>
              </w:rPr>
              <w:t>497</w:t>
            </w:r>
          </w:hyperlink>
        </w:p>
        <w:p>
          <w:pPr>
            <w:pStyle w:val="Contents5"/>
            <w:tabs>
              <w:tab w:val="clear" w:pos="7892"/>
              <w:tab w:val="right" w:pos="9026" w:leader="dot"/>
            </w:tabs>
            <w:rPr/>
          </w:pPr>
          <w:hyperlink w:anchor="__RefHeading___Toc3973455_1067777946">
            <w:r>
              <w:rPr>
                <w:webHidden/>
                <w:rStyle w:val="IndexLink"/>
                <w:rtl w:val="true"/>
              </w:rPr>
              <w:t>چند مسأله</w:t>
            </w:r>
            <w:r>
              <w:rPr>
                <w:rStyle w:val="IndexLink"/>
                <w:rtl w:val="true"/>
              </w:rPr>
              <w:tab/>
            </w:r>
            <w:r>
              <w:rPr>
                <w:rStyle w:val="IndexLink"/>
              </w:rPr>
              <w:t>498</w:t>
            </w:r>
          </w:hyperlink>
        </w:p>
        <w:p>
          <w:pPr>
            <w:pStyle w:val="Contents6"/>
            <w:tabs>
              <w:tab w:val="clear" w:pos="7609"/>
              <w:tab w:val="right" w:pos="9026" w:leader="dot"/>
            </w:tabs>
            <w:rPr/>
          </w:pPr>
          <w:hyperlink w:anchor="__RefHeading___Toc3973457_1067777946">
            <w:r>
              <w:rPr>
                <w:webHidden/>
                <w:rStyle w:val="IndexLink"/>
                <w:rtl w:val="true"/>
              </w:rPr>
              <w:t>اگر ناقصى، دست كاملى را قطع نمايد</w:t>
            </w:r>
            <w:r>
              <w:rPr>
                <w:rStyle w:val="IndexLink"/>
                <w:rtl w:val="true"/>
              </w:rPr>
              <w:tab/>
            </w:r>
            <w:r>
              <w:rPr>
                <w:rStyle w:val="IndexLink"/>
              </w:rPr>
              <w:t>498</w:t>
            </w:r>
          </w:hyperlink>
        </w:p>
        <w:p>
          <w:pPr>
            <w:pStyle w:val="Contents6"/>
            <w:tabs>
              <w:tab w:val="clear" w:pos="7609"/>
              <w:tab w:val="right" w:pos="9026" w:leader="dot"/>
            </w:tabs>
            <w:rPr/>
          </w:pPr>
          <w:hyperlink w:anchor="__RefHeading___Toc3973459_1067777946">
            <w:r>
              <w:rPr>
                <w:webHidden/>
                <w:rStyle w:val="IndexLink"/>
                <w:rtl w:val="true"/>
              </w:rPr>
              <w:t>اشاره</w:t>
            </w:r>
            <w:r>
              <w:rPr>
                <w:rStyle w:val="IndexLink"/>
                <w:rtl w:val="true"/>
              </w:rPr>
              <w:tab/>
            </w:r>
            <w:r>
              <w:rPr>
                <w:rStyle w:val="IndexLink"/>
              </w:rPr>
              <w:t>498</w:t>
            </w:r>
          </w:hyperlink>
        </w:p>
        <w:p>
          <w:pPr>
            <w:pStyle w:val="Contents6"/>
            <w:tabs>
              <w:tab w:val="clear" w:pos="7609"/>
              <w:tab w:val="right" w:pos="9026" w:leader="dot"/>
            </w:tabs>
            <w:rPr/>
          </w:pPr>
          <w:hyperlink w:anchor="__RefHeading___Toc3973461_1067777946">
            <w:r>
              <w:rPr>
                <w:webHidden/>
                <w:rStyle w:val="IndexLink"/>
                <w:rtl w:val="true"/>
              </w:rPr>
              <w:t>اگر جنايت به انگشت سرايت به كف دست نمايد</w:t>
            </w:r>
            <w:r>
              <w:rPr>
                <w:rStyle w:val="IndexLink"/>
                <w:rtl w:val="true"/>
              </w:rPr>
              <w:tab/>
            </w:r>
            <w:r>
              <w:rPr>
                <w:rStyle w:val="IndexLink"/>
              </w:rPr>
              <w:t>498</w:t>
            </w:r>
          </w:hyperlink>
        </w:p>
        <w:p>
          <w:pPr>
            <w:pStyle w:val="Contents6"/>
            <w:tabs>
              <w:tab w:val="clear" w:pos="7609"/>
              <w:tab w:val="right" w:pos="9026" w:leader="dot"/>
            </w:tabs>
            <w:rPr/>
          </w:pPr>
          <w:hyperlink w:anchor="__RefHeading___Toc3973463_1067777946">
            <w:r>
              <w:rPr>
                <w:webHidden/>
                <w:rStyle w:val="IndexLink"/>
                <w:rtl w:val="true"/>
              </w:rPr>
              <w:t>فروض مختلف قطع دست و نحوۀ قصاص</w:t>
            </w:r>
            <w:r>
              <w:rPr>
                <w:rStyle w:val="IndexLink"/>
                <w:rtl w:val="true"/>
              </w:rPr>
              <w:tab/>
            </w:r>
            <w:r>
              <w:rPr>
                <w:rStyle w:val="IndexLink"/>
              </w:rPr>
              <w:t>498</w:t>
            </w:r>
          </w:hyperlink>
        </w:p>
        <w:p>
          <w:pPr>
            <w:pStyle w:val="Contents6"/>
            <w:tabs>
              <w:tab w:val="clear" w:pos="7609"/>
              <w:tab w:val="right" w:pos="9026" w:leader="dot"/>
            </w:tabs>
            <w:rPr/>
          </w:pPr>
          <w:hyperlink w:anchor="__RefHeading___Toc3973465_1067777946">
            <w:r>
              <w:rPr>
                <w:webHidden/>
                <w:rStyle w:val="IndexLink"/>
                <w:rtl w:val="true"/>
              </w:rPr>
              <w:t>فروع مختلف انگشت اضافى در جانى يا مجنى عليه</w:t>
            </w:r>
            <w:r>
              <w:rPr>
                <w:rStyle w:val="IndexLink"/>
                <w:rtl w:val="true"/>
              </w:rPr>
              <w:tab/>
            </w:r>
            <w:r>
              <w:rPr>
                <w:rStyle w:val="IndexLink"/>
              </w:rPr>
              <w:t>499</w:t>
            </w:r>
          </w:hyperlink>
        </w:p>
        <w:p>
          <w:pPr>
            <w:pStyle w:val="Contents6"/>
            <w:tabs>
              <w:tab w:val="clear" w:pos="7609"/>
              <w:tab w:val="right" w:pos="9026" w:leader="dot"/>
            </w:tabs>
            <w:rPr/>
          </w:pPr>
          <w:hyperlink w:anchor="__RefHeading___Toc3973467_1067777946">
            <w:r>
              <w:rPr>
                <w:webHidden/>
                <w:rStyle w:val="IndexLink"/>
                <w:rtl w:val="true"/>
              </w:rPr>
              <w:t>قصاص دست چپ به جاى دست راست</w:t>
            </w:r>
            <w:r>
              <w:rPr>
                <w:rStyle w:val="IndexLink"/>
                <w:rtl w:val="true"/>
              </w:rPr>
              <w:tab/>
            </w:r>
            <w:r>
              <w:rPr>
                <w:rStyle w:val="IndexLink"/>
              </w:rPr>
              <w:t>502</w:t>
            </w:r>
          </w:hyperlink>
        </w:p>
        <w:p>
          <w:pPr>
            <w:pStyle w:val="Contents6"/>
            <w:tabs>
              <w:tab w:val="clear" w:pos="7609"/>
              <w:tab w:val="right" w:pos="9026" w:leader="dot"/>
            </w:tabs>
            <w:rPr/>
          </w:pPr>
          <w:hyperlink w:anchor="__RefHeading___Toc3973469_1067777946">
            <w:r>
              <w:rPr>
                <w:webHidden/>
                <w:rStyle w:val="IndexLink"/>
                <w:rtl w:val="true"/>
              </w:rPr>
              <w:t>اشاره</w:t>
            </w:r>
            <w:r>
              <w:rPr>
                <w:rStyle w:val="IndexLink"/>
                <w:rtl w:val="true"/>
              </w:rPr>
              <w:tab/>
            </w:r>
            <w:r>
              <w:rPr>
                <w:rStyle w:val="IndexLink"/>
              </w:rPr>
              <w:t>502</w:t>
            </w:r>
          </w:hyperlink>
        </w:p>
        <w:p>
          <w:pPr>
            <w:pStyle w:val="Contents6"/>
            <w:tabs>
              <w:tab w:val="clear" w:pos="7609"/>
              <w:tab w:val="right" w:pos="9026" w:leader="dot"/>
            </w:tabs>
            <w:rPr/>
          </w:pPr>
          <w:hyperlink w:anchor="__RefHeading___Toc3973471_1067777946">
            <w:r>
              <w:rPr>
                <w:webHidden/>
                <w:rStyle w:val="IndexLink"/>
                <w:rtl w:val="true"/>
              </w:rPr>
              <w:t>مضمونيّت جنايت سرايت به نفس با فرض مضمونيّت در طرف</w:t>
            </w:r>
            <w:r>
              <w:rPr>
                <w:rStyle w:val="IndexLink"/>
                <w:rtl w:val="true"/>
              </w:rPr>
              <w:tab/>
            </w:r>
            <w:r>
              <w:rPr>
                <w:rStyle w:val="IndexLink"/>
              </w:rPr>
              <w:t>502</w:t>
            </w:r>
          </w:hyperlink>
        </w:p>
        <w:p>
          <w:pPr>
            <w:pStyle w:val="Contents6"/>
            <w:tabs>
              <w:tab w:val="clear" w:pos="7609"/>
              <w:tab w:val="right" w:pos="9026" w:leader="dot"/>
            </w:tabs>
            <w:rPr/>
          </w:pPr>
          <w:hyperlink w:anchor="__RefHeading___Toc3973473_1067777946">
            <w:r>
              <w:rPr>
                <w:webHidden/>
                <w:rStyle w:val="IndexLink"/>
                <w:rtl w:val="true"/>
              </w:rPr>
              <w:t>فوت مجنىٌّ عليه بعد از قطع دست و پا و فروع اختلاف در آن</w:t>
            </w:r>
            <w:r>
              <w:rPr>
                <w:rStyle w:val="IndexLink"/>
                <w:rtl w:val="true"/>
              </w:rPr>
              <w:tab/>
            </w:r>
            <w:r>
              <w:rPr>
                <w:rStyle w:val="IndexLink"/>
              </w:rPr>
              <w:t>503</w:t>
            </w:r>
          </w:hyperlink>
        </w:p>
        <w:p>
          <w:pPr>
            <w:pStyle w:val="Contents6"/>
            <w:tabs>
              <w:tab w:val="clear" w:pos="7609"/>
              <w:tab w:val="right" w:pos="9026" w:leader="dot"/>
            </w:tabs>
            <w:rPr/>
          </w:pPr>
          <w:hyperlink w:anchor="__RefHeading___Toc3973475_1067777946">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3973477_1067777946">
            <w:r>
              <w:rPr>
                <w:webHidden/>
                <w:rStyle w:val="IndexLink"/>
                <w:rtl w:val="true"/>
              </w:rPr>
              <w:t>ادّعاى اندمال قطع، توسط جانى</w:t>
            </w:r>
            <w:r>
              <w:rPr>
                <w:rStyle w:val="IndexLink"/>
                <w:rtl w:val="true"/>
              </w:rPr>
              <w:tab/>
            </w:r>
            <w:r>
              <w:rPr>
                <w:rStyle w:val="IndexLink"/>
              </w:rPr>
              <w:t>504</w:t>
            </w:r>
          </w:hyperlink>
        </w:p>
        <w:p>
          <w:pPr>
            <w:pStyle w:val="Contents6"/>
            <w:tabs>
              <w:tab w:val="clear" w:pos="7609"/>
              <w:tab w:val="right" w:pos="9026" w:leader="dot"/>
            </w:tabs>
            <w:rPr/>
          </w:pPr>
          <w:hyperlink w:anchor="__RefHeading___Toc3973479_1067777946">
            <w:r>
              <w:rPr>
                <w:webHidden/>
                <w:rStyle w:val="IndexLink"/>
                <w:rtl w:val="true"/>
              </w:rPr>
              <w:t>فرض تقدم قول جانى در اختلاف</w:t>
            </w:r>
            <w:r>
              <w:rPr>
                <w:rStyle w:val="IndexLink"/>
                <w:rtl w:val="true"/>
              </w:rPr>
              <w:tab/>
            </w:r>
            <w:r>
              <w:rPr>
                <w:rStyle w:val="IndexLink"/>
              </w:rPr>
              <w:t>504</w:t>
            </w:r>
          </w:hyperlink>
        </w:p>
        <w:p>
          <w:pPr>
            <w:pStyle w:val="Contents6"/>
            <w:tabs>
              <w:tab w:val="clear" w:pos="7609"/>
              <w:tab w:val="right" w:pos="9026" w:leader="dot"/>
            </w:tabs>
            <w:rPr/>
          </w:pPr>
          <w:hyperlink w:anchor="__RefHeading___Toc3973481_1067777946">
            <w:r>
              <w:rPr>
                <w:webHidden/>
                <w:rStyle w:val="IndexLink"/>
                <w:rtl w:val="true"/>
              </w:rPr>
              <w:t>اختلاف در عيب از جهت مادرزادى</w:t>
            </w:r>
            <w:r>
              <w:rPr>
                <w:rStyle w:val="IndexLink"/>
                <w:rtl w:val="true"/>
              </w:rPr>
              <w:tab/>
            </w:r>
            <w:r>
              <w:rPr>
                <w:rStyle w:val="IndexLink"/>
              </w:rPr>
              <w:t>504</w:t>
            </w:r>
          </w:hyperlink>
        </w:p>
        <w:p>
          <w:pPr>
            <w:pStyle w:val="Contents6"/>
            <w:tabs>
              <w:tab w:val="clear" w:pos="7609"/>
              <w:tab w:val="right" w:pos="9026" w:leader="dot"/>
            </w:tabs>
            <w:rPr/>
          </w:pPr>
          <w:hyperlink w:anchor="__RefHeading___Toc3973483_1067777946">
            <w:r>
              <w:rPr>
                <w:webHidden/>
                <w:rStyle w:val="IndexLink"/>
                <w:rtl w:val="true"/>
              </w:rPr>
              <w:t>ادّعاى صغير بودن در وقت جنايت، توسط جانى</w:t>
            </w:r>
            <w:r>
              <w:rPr>
                <w:rStyle w:val="IndexLink"/>
                <w:rtl w:val="true"/>
              </w:rPr>
              <w:tab/>
            </w:r>
            <w:r>
              <w:rPr>
                <w:rStyle w:val="IndexLink"/>
              </w:rPr>
              <w:t>504</w:t>
            </w:r>
          </w:hyperlink>
        </w:p>
        <w:p>
          <w:pPr>
            <w:pStyle w:val="Contents6"/>
            <w:tabs>
              <w:tab w:val="clear" w:pos="7609"/>
              <w:tab w:val="right" w:pos="9026" w:leader="dot"/>
            </w:tabs>
            <w:rPr/>
          </w:pPr>
          <w:hyperlink w:anchor="__RefHeading___Toc3973485_1067777946">
            <w:r>
              <w:rPr>
                <w:webHidden/>
                <w:rStyle w:val="IndexLink"/>
                <w:rtl w:val="true"/>
              </w:rPr>
              <w:t>ادّعاى جنون</w:t>
            </w:r>
            <w:r>
              <w:rPr>
                <w:rStyle w:val="IndexLink"/>
                <w:rtl w:val="true"/>
              </w:rPr>
              <w:tab/>
            </w:r>
            <w:r>
              <w:rPr>
                <w:rStyle w:val="IndexLink"/>
              </w:rPr>
              <w:t>505</w:t>
            </w:r>
          </w:hyperlink>
        </w:p>
        <w:p>
          <w:pPr>
            <w:pStyle w:val="Contents6"/>
            <w:tabs>
              <w:tab w:val="clear" w:pos="7609"/>
              <w:tab w:val="right" w:pos="9026" w:leader="dot"/>
            </w:tabs>
            <w:rPr/>
          </w:pPr>
          <w:hyperlink w:anchor="__RefHeading___Toc3973487_1067777946">
            <w:r>
              <w:rPr>
                <w:webHidden/>
                <w:rStyle w:val="IndexLink"/>
                <w:rtl w:val="true"/>
              </w:rPr>
              <w:t>اختلاف در تعداد موضحه</w:t>
            </w:r>
            <w:r>
              <w:rPr>
                <w:rStyle w:val="IndexLink"/>
                <w:rtl w:val="true"/>
              </w:rPr>
              <w:tab/>
            </w:r>
            <w:r>
              <w:rPr>
                <w:rStyle w:val="IndexLink"/>
              </w:rPr>
              <w:t>505</w:t>
            </w:r>
          </w:hyperlink>
        </w:p>
        <w:p>
          <w:pPr>
            <w:pStyle w:val="Contents6"/>
            <w:tabs>
              <w:tab w:val="clear" w:pos="7609"/>
              <w:tab w:val="right" w:pos="9026" w:leader="dot"/>
            </w:tabs>
            <w:rPr/>
          </w:pPr>
          <w:hyperlink w:anchor="__RefHeading___Toc3973489_1067777946">
            <w:r>
              <w:rPr>
                <w:webHidden/>
                <w:rStyle w:val="IndexLink"/>
                <w:rtl w:val="true"/>
              </w:rPr>
              <w:t>قتل معهود الكفريه او الرقيّه و ادّعاى اسلام و يا حريّت توسط ولى</w:t>
            </w:r>
            <w:r>
              <w:rPr>
                <w:rStyle w:val="IndexLink"/>
                <w:rtl w:val="true"/>
              </w:rPr>
              <w:tab/>
            </w:r>
            <w:r>
              <w:rPr>
                <w:rStyle w:val="IndexLink"/>
              </w:rPr>
              <w:t>505</w:t>
            </w:r>
          </w:hyperlink>
        </w:p>
        <w:p>
          <w:pPr>
            <w:pStyle w:val="Contents6"/>
            <w:tabs>
              <w:tab w:val="clear" w:pos="7609"/>
              <w:tab w:val="right" w:pos="9026" w:leader="dot"/>
            </w:tabs>
            <w:rPr/>
          </w:pPr>
          <w:hyperlink w:anchor="__RefHeading___Toc3973491_1067777946">
            <w:r>
              <w:rPr>
                <w:webHidden/>
                <w:rStyle w:val="IndexLink"/>
                <w:rtl w:val="true"/>
              </w:rPr>
              <w:t>پيدايش خوره بعد از مداواى انگشت</w:t>
            </w:r>
            <w:r>
              <w:rPr>
                <w:rStyle w:val="IndexLink"/>
                <w:rtl w:val="true"/>
              </w:rPr>
              <w:tab/>
            </w:r>
            <w:r>
              <w:rPr>
                <w:rStyle w:val="IndexLink"/>
              </w:rPr>
              <w:t>505</w:t>
            </w:r>
          </w:hyperlink>
        </w:p>
        <w:p>
          <w:pPr>
            <w:pStyle w:val="Contents6"/>
            <w:tabs>
              <w:tab w:val="clear" w:pos="7609"/>
              <w:tab w:val="right" w:pos="9026" w:leader="dot"/>
            </w:tabs>
            <w:rPr/>
          </w:pPr>
          <w:hyperlink w:anchor="__RefHeading___Toc3973493_1067777946">
            <w:r>
              <w:rPr>
                <w:webHidden/>
                <w:rStyle w:val="IndexLink"/>
                <w:rtl w:val="true"/>
              </w:rPr>
              <w:t>تعاقب قطع دست راست شخصى بر قطع انگشت ديگرى</w:t>
            </w:r>
            <w:r>
              <w:rPr>
                <w:rStyle w:val="IndexLink"/>
                <w:rtl w:val="true"/>
              </w:rPr>
              <w:tab/>
            </w:r>
            <w:r>
              <w:rPr>
                <w:rStyle w:val="IndexLink"/>
              </w:rPr>
              <w:t>506</w:t>
            </w:r>
          </w:hyperlink>
        </w:p>
        <w:p>
          <w:pPr>
            <w:pStyle w:val="Contents6"/>
            <w:tabs>
              <w:tab w:val="clear" w:pos="7609"/>
              <w:tab w:val="right" w:pos="9026" w:leader="dot"/>
            </w:tabs>
            <w:rPr/>
          </w:pPr>
          <w:hyperlink w:anchor="__RefHeading___Toc3973495_1067777946">
            <w:r>
              <w:rPr>
                <w:webHidden/>
                <w:rStyle w:val="IndexLink"/>
                <w:rtl w:val="true"/>
              </w:rPr>
              <w:t>عفو قبل از اندمال</w:t>
            </w:r>
            <w:r>
              <w:rPr>
                <w:rStyle w:val="IndexLink"/>
                <w:rtl w:val="true"/>
              </w:rPr>
              <w:tab/>
            </w:r>
            <w:r>
              <w:rPr>
                <w:rStyle w:val="IndexLink"/>
              </w:rPr>
              <w:t>506</w:t>
            </w:r>
          </w:hyperlink>
        </w:p>
        <w:p>
          <w:pPr>
            <w:pStyle w:val="Contents6"/>
            <w:tabs>
              <w:tab w:val="clear" w:pos="7609"/>
              <w:tab w:val="right" w:pos="9026" w:leader="dot"/>
            </w:tabs>
            <w:rPr/>
          </w:pPr>
          <w:hyperlink w:anchor="__RefHeading___Toc3973497_1067777946">
            <w:r>
              <w:rPr>
                <w:webHidden/>
                <w:rStyle w:val="IndexLink"/>
                <w:rtl w:val="true"/>
              </w:rPr>
              <w:t>اشاره</w:t>
            </w:r>
            <w:r>
              <w:rPr>
                <w:rStyle w:val="IndexLink"/>
                <w:rtl w:val="true"/>
              </w:rPr>
              <w:tab/>
            </w:r>
            <w:r>
              <w:rPr>
                <w:rStyle w:val="IndexLink"/>
              </w:rPr>
              <w:t>506</w:t>
            </w:r>
          </w:hyperlink>
        </w:p>
        <w:p>
          <w:pPr>
            <w:pStyle w:val="Contents6"/>
            <w:tabs>
              <w:tab w:val="clear" w:pos="7609"/>
              <w:tab w:val="right" w:pos="9026" w:leader="dot"/>
            </w:tabs>
            <w:rPr/>
          </w:pPr>
          <w:hyperlink w:anchor="__RefHeading___Toc3973499_1067777946">
            <w:r>
              <w:rPr>
                <w:webHidden/>
                <w:rStyle w:val="IndexLink"/>
                <w:rtl w:val="true"/>
              </w:rPr>
              <w:t>لوازم انحاى مختلف عفو از جنايت يا قصاص</w:t>
            </w:r>
            <w:r>
              <w:rPr>
                <w:rStyle w:val="IndexLink"/>
                <w:rtl w:val="true"/>
              </w:rPr>
              <w:tab/>
            </w:r>
            <w:r>
              <w:rPr>
                <w:rStyle w:val="IndexLink"/>
              </w:rPr>
              <w:t>506</w:t>
            </w:r>
          </w:hyperlink>
        </w:p>
        <w:p>
          <w:pPr>
            <w:pStyle w:val="Contents6"/>
            <w:tabs>
              <w:tab w:val="clear" w:pos="7609"/>
              <w:tab w:val="right" w:pos="9026" w:leader="dot"/>
            </w:tabs>
            <w:rPr/>
          </w:pPr>
          <w:hyperlink w:anchor="__RefHeading___Toc3973501_1067777946">
            <w:r>
              <w:rPr>
                <w:webHidden/>
                <w:rStyle w:val="IndexLink"/>
                <w:rtl w:val="true"/>
              </w:rPr>
              <w:t>اختلاف در نحوۀ عفو</w:t>
            </w:r>
            <w:r>
              <w:rPr>
                <w:rStyle w:val="IndexLink"/>
                <w:rtl w:val="true"/>
              </w:rPr>
              <w:tab/>
            </w:r>
            <w:r>
              <w:rPr>
                <w:rStyle w:val="IndexLink"/>
              </w:rPr>
              <w:t>507</w:t>
            </w:r>
          </w:hyperlink>
        </w:p>
        <w:p>
          <w:pPr>
            <w:pStyle w:val="Contents6"/>
            <w:tabs>
              <w:tab w:val="clear" w:pos="7609"/>
              <w:tab w:val="right" w:pos="9026" w:leader="dot"/>
            </w:tabs>
            <w:rPr/>
          </w:pPr>
          <w:hyperlink w:anchor="__RefHeading___Toc3973503_1067777946">
            <w:r>
              <w:rPr>
                <w:webHidden/>
                <w:rStyle w:val="IndexLink"/>
                <w:rtl w:val="true"/>
              </w:rPr>
              <w:t>فرعى در جنايت عبد بر حرّ</w:t>
            </w:r>
            <w:r>
              <w:rPr>
                <w:rStyle w:val="IndexLink"/>
                <w:rtl w:val="true"/>
              </w:rPr>
              <w:tab/>
            </w:r>
            <w:r>
              <w:rPr>
                <w:rStyle w:val="IndexLink"/>
              </w:rPr>
              <w:t>507</w:t>
            </w:r>
          </w:hyperlink>
        </w:p>
        <w:p>
          <w:pPr>
            <w:pStyle w:val="Contents6"/>
            <w:tabs>
              <w:tab w:val="clear" w:pos="7609"/>
              <w:tab w:val="right" w:pos="9026" w:leader="dot"/>
            </w:tabs>
            <w:rPr/>
          </w:pPr>
          <w:hyperlink w:anchor="__RefHeading___Toc3973505_1067777946">
            <w:r>
              <w:rPr>
                <w:webHidden/>
                <w:rStyle w:val="IndexLink"/>
                <w:rtl w:val="true"/>
              </w:rPr>
              <w:t>اشاره</w:t>
            </w:r>
            <w:r>
              <w:rPr>
                <w:rStyle w:val="IndexLink"/>
                <w:rtl w:val="true"/>
              </w:rPr>
              <w:tab/>
            </w:r>
            <w:r>
              <w:rPr>
                <w:rStyle w:val="IndexLink"/>
              </w:rPr>
              <w:t>507</w:t>
            </w:r>
          </w:hyperlink>
        </w:p>
        <w:p>
          <w:pPr>
            <w:pStyle w:val="Contents6"/>
            <w:tabs>
              <w:tab w:val="clear" w:pos="7609"/>
              <w:tab w:val="right" w:pos="9026" w:leader="dot"/>
            </w:tabs>
            <w:rPr/>
          </w:pPr>
          <w:hyperlink w:anchor="__RefHeading___Toc3973507_1067777946">
            <w:r>
              <w:rPr>
                <w:webHidden/>
                <w:rStyle w:val="IndexLink"/>
                <w:rtl w:val="true"/>
              </w:rPr>
              <w:t>ابراى مؤثّر و غير مؤثّر</w:t>
            </w:r>
            <w:r>
              <w:rPr>
                <w:rStyle w:val="IndexLink"/>
                <w:rtl w:val="true"/>
              </w:rPr>
              <w:tab/>
            </w:r>
            <w:r>
              <w:rPr>
                <w:rStyle w:val="IndexLink"/>
              </w:rPr>
              <w:t>508</w:t>
            </w:r>
          </w:hyperlink>
        </w:p>
        <w:p>
          <w:pPr>
            <w:pStyle w:val="Contents2"/>
            <w:tabs>
              <w:tab w:val="clear" w:pos="8743"/>
              <w:tab w:val="right" w:pos="9026" w:leader="dot"/>
            </w:tabs>
            <w:rPr/>
          </w:pPr>
          <w:hyperlink w:anchor="__RefHeading___Toc3973509_1067777946">
            <w:r>
              <w:rPr>
                <w:webHidden/>
                <w:rStyle w:val="IndexLink"/>
                <w:rtl w:val="true"/>
              </w:rPr>
              <w:t>كتاب ديات</w:t>
            </w:r>
            <w:r>
              <w:rPr>
                <w:rStyle w:val="IndexLink"/>
                <w:rtl w:val="true"/>
              </w:rPr>
              <w:tab/>
            </w:r>
            <w:r>
              <w:rPr>
                <w:rStyle w:val="IndexLink"/>
              </w:rPr>
              <w:t>510</w:t>
            </w:r>
          </w:hyperlink>
        </w:p>
        <w:p>
          <w:pPr>
            <w:pStyle w:val="Contents3"/>
            <w:tabs>
              <w:tab w:val="clear" w:pos="8459"/>
              <w:tab w:val="right" w:pos="9026" w:leader="dot"/>
            </w:tabs>
            <w:rPr/>
          </w:pPr>
          <w:hyperlink w:anchor="__RefHeading___Toc3973511_1067777946">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3973513_1067777946">
            <w:r>
              <w:rPr>
                <w:webHidden/>
                <w:rStyle w:val="IndexLink"/>
                <w:rtl w:val="true"/>
              </w:rPr>
              <w:t>فصل اول اقسام قتل و مقدار ديه</w:t>
            </w:r>
            <w:r>
              <w:rPr>
                <w:rStyle w:val="IndexLink"/>
                <w:rtl w:val="true"/>
              </w:rPr>
              <w:tab/>
            </w:r>
            <w:r>
              <w:rPr>
                <w:rStyle w:val="IndexLink"/>
              </w:rPr>
              <w:t>512</w:t>
            </w:r>
          </w:hyperlink>
        </w:p>
        <w:p>
          <w:pPr>
            <w:pStyle w:val="Contents4"/>
            <w:tabs>
              <w:tab w:val="clear" w:pos="8176"/>
              <w:tab w:val="right" w:pos="9026" w:leader="dot"/>
            </w:tabs>
            <w:rPr/>
          </w:pPr>
          <w:hyperlink w:anchor="__RefHeading___Toc3973515_1067777946">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3973517_1067777946">
            <w:r>
              <w:rPr>
                <w:webHidden/>
                <w:rStyle w:val="IndexLink"/>
                <w:rtl w:val="true"/>
              </w:rPr>
              <w:t>مراد از ديه</w:t>
            </w:r>
            <w:r>
              <w:rPr>
                <w:rStyle w:val="IndexLink"/>
                <w:rtl w:val="true"/>
              </w:rPr>
              <w:tab/>
            </w:r>
            <w:r>
              <w:rPr>
                <w:rStyle w:val="IndexLink"/>
              </w:rPr>
              <w:t>512</w:t>
            </w:r>
          </w:hyperlink>
        </w:p>
        <w:p>
          <w:pPr>
            <w:pStyle w:val="Contents4"/>
            <w:tabs>
              <w:tab w:val="clear" w:pos="8176"/>
              <w:tab w:val="right" w:pos="9026" w:leader="dot"/>
            </w:tabs>
            <w:rPr/>
          </w:pPr>
          <w:hyperlink w:anchor="__RefHeading___Toc3973519_1067777946">
            <w:r>
              <w:rPr>
                <w:webHidden/>
                <w:rStyle w:val="IndexLink"/>
              </w:rPr>
              <w:t>1</w:t>
            </w:r>
            <w:r>
              <w:rPr>
                <w:rStyle w:val="IndexLink"/>
                <w:rtl w:val="true"/>
              </w:rPr>
              <w:t xml:space="preserve">. </w:t>
            </w:r>
            <w:r>
              <w:rPr>
                <w:rStyle w:val="IndexLink"/>
                <w:rtl w:val="true"/>
              </w:rPr>
              <w:t>اقسام قتل</w:t>
            </w:r>
            <w:r>
              <w:rPr>
                <w:rStyle w:val="IndexLink"/>
                <w:rtl w:val="true"/>
              </w:rPr>
              <w:tab/>
            </w:r>
            <w:r>
              <w:rPr>
                <w:rStyle w:val="IndexLink"/>
              </w:rPr>
              <w:t>512</w:t>
            </w:r>
          </w:hyperlink>
        </w:p>
        <w:p>
          <w:pPr>
            <w:pStyle w:val="Contents4"/>
            <w:tabs>
              <w:tab w:val="clear" w:pos="8176"/>
              <w:tab w:val="right" w:pos="9026" w:leader="dot"/>
            </w:tabs>
            <w:rPr/>
          </w:pPr>
          <w:hyperlink w:anchor="__RefHeading___Toc3973521_1067777946">
            <w:r>
              <w:rPr>
                <w:webHidden/>
                <w:rStyle w:val="IndexLink"/>
              </w:rPr>
              <w:t>2</w:t>
            </w:r>
            <w:r>
              <w:rPr>
                <w:rStyle w:val="IndexLink"/>
                <w:rtl w:val="true"/>
              </w:rPr>
              <w:t xml:space="preserve">. </w:t>
            </w:r>
            <w:r>
              <w:rPr>
                <w:rStyle w:val="IndexLink"/>
                <w:rtl w:val="true"/>
              </w:rPr>
              <w:t>اقسام ديه</w:t>
            </w:r>
            <w:r>
              <w:rPr>
                <w:rStyle w:val="IndexLink"/>
                <w:rtl w:val="true"/>
              </w:rPr>
              <w:tab/>
            </w:r>
            <w:r>
              <w:rPr>
                <w:rStyle w:val="IndexLink"/>
              </w:rPr>
              <w:t>513</w:t>
            </w:r>
          </w:hyperlink>
        </w:p>
        <w:p>
          <w:pPr>
            <w:pStyle w:val="Contents5"/>
            <w:tabs>
              <w:tab w:val="clear" w:pos="7892"/>
              <w:tab w:val="right" w:pos="9026" w:leader="dot"/>
            </w:tabs>
            <w:rPr/>
          </w:pPr>
          <w:hyperlink w:anchor="__RefHeading___Toc3973523_1067777946">
            <w:r>
              <w:rPr>
                <w:webHidden/>
                <w:rStyle w:val="IndexLink"/>
                <w:rtl w:val="true"/>
              </w:rPr>
              <w:t>الف</w:t>
            </w:r>
            <w:r>
              <w:rPr>
                <w:rStyle w:val="IndexLink"/>
                <w:rtl w:val="true"/>
              </w:rPr>
              <w:t xml:space="preserve">. </w:t>
            </w:r>
            <w:r>
              <w:rPr>
                <w:rStyle w:val="IndexLink"/>
                <w:rtl w:val="true"/>
              </w:rPr>
              <w:t>ديۀ قتل عمدى</w:t>
            </w:r>
            <w:r>
              <w:rPr>
                <w:rStyle w:val="IndexLink"/>
                <w:rtl w:val="true"/>
              </w:rPr>
              <w:tab/>
            </w:r>
            <w:r>
              <w:rPr>
                <w:rStyle w:val="IndexLink"/>
              </w:rPr>
              <w:t>513</w:t>
            </w:r>
          </w:hyperlink>
        </w:p>
        <w:p>
          <w:pPr>
            <w:pStyle w:val="Contents6"/>
            <w:tabs>
              <w:tab w:val="clear" w:pos="7609"/>
              <w:tab w:val="right" w:pos="9026" w:leader="dot"/>
            </w:tabs>
            <w:rPr/>
          </w:pPr>
          <w:hyperlink w:anchor="__RefHeading___Toc3973525_1067777946">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3973527_1067777946">
            <w:r>
              <w:rPr>
                <w:webHidden/>
                <w:rStyle w:val="IndexLink"/>
                <w:rtl w:val="true"/>
              </w:rPr>
              <w:t>اختيار تعيين با قاتل است</w:t>
            </w:r>
            <w:r>
              <w:rPr>
                <w:rStyle w:val="IndexLink"/>
                <w:rtl w:val="true"/>
              </w:rPr>
              <w:tab/>
            </w:r>
            <w:r>
              <w:rPr>
                <w:rStyle w:val="IndexLink"/>
              </w:rPr>
              <w:t>513</w:t>
            </w:r>
          </w:hyperlink>
        </w:p>
        <w:p>
          <w:pPr>
            <w:pStyle w:val="Contents6"/>
            <w:tabs>
              <w:tab w:val="clear" w:pos="7609"/>
              <w:tab w:val="right" w:pos="9026" w:leader="dot"/>
            </w:tabs>
            <w:rPr/>
          </w:pPr>
          <w:hyperlink w:anchor="__RefHeading___Toc3973529_1067777946">
            <w:r>
              <w:rPr>
                <w:webHidden/>
                <w:rStyle w:val="IndexLink"/>
                <w:rtl w:val="true"/>
              </w:rPr>
              <w:t>ديۀ عمد از مال جانى است و در يك سال وصول مى شود</w:t>
            </w:r>
            <w:r>
              <w:rPr>
                <w:rStyle w:val="IndexLink"/>
                <w:rtl w:val="true"/>
              </w:rPr>
              <w:tab/>
            </w:r>
            <w:r>
              <w:rPr>
                <w:rStyle w:val="IndexLink"/>
              </w:rPr>
              <w:t>513</w:t>
            </w:r>
          </w:hyperlink>
        </w:p>
        <w:p>
          <w:pPr>
            <w:pStyle w:val="Contents6"/>
            <w:tabs>
              <w:tab w:val="clear" w:pos="7609"/>
              <w:tab w:val="right" w:pos="9026" w:leader="dot"/>
            </w:tabs>
            <w:rPr/>
          </w:pPr>
          <w:hyperlink w:anchor="__RefHeading___Toc3973531_1067777946">
            <w:r>
              <w:rPr>
                <w:webHidden/>
                <w:rStyle w:val="IndexLink"/>
                <w:rtl w:val="true"/>
              </w:rPr>
              <w:t>مبدء سال اخذ ديه</w:t>
            </w:r>
            <w:r>
              <w:rPr>
                <w:rStyle w:val="IndexLink"/>
                <w:rtl w:val="true"/>
              </w:rPr>
              <w:tab/>
            </w:r>
            <w:r>
              <w:rPr>
                <w:rStyle w:val="IndexLink"/>
              </w:rPr>
              <w:t>514</w:t>
            </w:r>
          </w:hyperlink>
        </w:p>
        <w:p>
          <w:pPr>
            <w:pStyle w:val="Contents6"/>
            <w:tabs>
              <w:tab w:val="clear" w:pos="7609"/>
              <w:tab w:val="right" w:pos="9026" w:leader="dot"/>
            </w:tabs>
            <w:rPr/>
          </w:pPr>
          <w:hyperlink w:anchor="__RefHeading___Toc3973533_1067777946">
            <w:r>
              <w:rPr>
                <w:webHidden/>
                <w:rStyle w:val="IndexLink"/>
                <w:rtl w:val="true"/>
              </w:rPr>
              <w:t>تغليظ ديۀ عمد</w:t>
            </w:r>
            <w:r>
              <w:rPr>
                <w:rStyle w:val="IndexLink"/>
                <w:rtl w:val="true"/>
              </w:rPr>
              <w:tab/>
            </w:r>
            <w:r>
              <w:rPr>
                <w:rStyle w:val="IndexLink"/>
              </w:rPr>
              <w:t>514</w:t>
            </w:r>
          </w:hyperlink>
        </w:p>
        <w:p>
          <w:pPr>
            <w:pStyle w:val="Contents6"/>
            <w:tabs>
              <w:tab w:val="clear" w:pos="7609"/>
              <w:tab w:val="right" w:pos="9026" w:leader="dot"/>
            </w:tabs>
            <w:rPr/>
          </w:pPr>
          <w:hyperlink w:anchor="__RefHeading___Toc3973535_1067777946">
            <w:r>
              <w:rPr>
                <w:webHidden/>
                <w:rStyle w:val="IndexLink"/>
                <w:rtl w:val="true"/>
              </w:rPr>
              <w:t>اناطۀ اكتفاى به بذل قيمت سوقيه به تراضى</w:t>
            </w:r>
            <w:r>
              <w:rPr>
                <w:rStyle w:val="IndexLink"/>
                <w:rtl w:val="true"/>
              </w:rPr>
              <w:tab/>
            </w:r>
            <w:r>
              <w:rPr>
                <w:rStyle w:val="IndexLink"/>
              </w:rPr>
              <w:t>514</w:t>
            </w:r>
          </w:hyperlink>
        </w:p>
        <w:p>
          <w:pPr>
            <w:pStyle w:val="Contents5"/>
            <w:tabs>
              <w:tab w:val="clear" w:pos="7892"/>
              <w:tab w:val="right" w:pos="9026" w:leader="dot"/>
            </w:tabs>
            <w:rPr/>
          </w:pPr>
          <w:hyperlink w:anchor="__RefHeading___Toc3973537_1067777946">
            <w:r>
              <w:rPr>
                <w:webHidden/>
                <w:rStyle w:val="IndexLink"/>
                <w:rtl w:val="true"/>
              </w:rPr>
              <w:t>ب</w:t>
            </w:r>
            <w:r>
              <w:rPr>
                <w:rStyle w:val="IndexLink"/>
                <w:rtl w:val="true"/>
              </w:rPr>
              <w:t xml:space="preserve">. </w:t>
            </w:r>
            <w:r>
              <w:rPr>
                <w:rStyle w:val="IndexLink"/>
                <w:rtl w:val="true"/>
              </w:rPr>
              <w:t>ديۀ شبيه به عمد</w:t>
            </w:r>
            <w:r>
              <w:rPr>
                <w:rStyle w:val="IndexLink"/>
                <w:rtl w:val="true"/>
              </w:rPr>
              <w:tab/>
            </w:r>
            <w:r>
              <w:rPr>
                <w:rStyle w:val="IndexLink"/>
              </w:rPr>
              <w:t>514</w:t>
            </w:r>
          </w:hyperlink>
        </w:p>
        <w:p>
          <w:pPr>
            <w:pStyle w:val="Contents6"/>
            <w:tabs>
              <w:tab w:val="clear" w:pos="7609"/>
              <w:tab w:val="right" w:pos="9026" w:leader="dot"/>
            </w:tabs>
            <w:rPr/>
          </w:pPr>
          <w:hyperlink w:anchor="__RefHeading___Toc3973539_1067777946">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3973541_1067777946">
            <w:r>
              <w:rPr>
                <w:webHidden/>
                <w:rStyle w:val="IndexLink"/>
                <w:rtl w:val="true"/>
              </w:rPr>
              <w:t>اگر جانى ديۀ شبيه به عمد را نداشته باشد</w:t>
            </w:r>
            <w:r>
              <w:rPr>
                <w:rStyle w:val="IndexLink"/>
                <w:rtl w:val="true"/>
              </w:rPr>
              <w:tab/>
            </w:r>
            <w:r>
              <w:rPr>
                <w:rStyle w:val="IndexLink"/>
              </w:rPr>
              <w:t>515</w:t>
            </w:r>
          </w:hyperlink>
        </w:p>
        <w:p>
          <w:pPr>
            <w:pStyle w:val="Contents6"/>
            <w:tabs>
              <w:tab w:val="clear" w:pos="7609"/>
              <w:tab w:val="right" w:pos="9026" w:leader="dot"/>
            </w:tabs>
            <w:rPr/>
          </w:pPr>
          <w:hyperlink w:anchor="__RefHeading___Toc3973543_1067777946">
            <w:r>
              <w:rPr>
                <w:webHidden/>
                <w:rStyle w:val="IndexLink"/>
                <w:rtl w:val="true"/>
              </w:rPr>
              <w:t>زمان اداى ديه در شبه عمد</w:t>
            </w:r>
            <w:r>
              <w:rPr>
                <w:rStyle w:val="IndexLink"/>
                <w:rtl w:val="true"/>
              </w:rPr>
              <w:tab/>
            </w:r>
            <w:r>
              <w:rPr>
                <w:rStyle w:val="IndexLink"/>
              </w:rPr>
              <w:t>515</w:t>
            </w:r>
          </w:hyperlink>
        </w:p>
        <w:p>
          <w:pPr>
            <w:pStyle w:val="Contents6"/>
            <w:tabs>
              <w:tab w:val="clear" w:pos="7609"/>
              <w:tab w:val="right" w:pos="9026" w:leader="dot"/>
            </w:tabs>
            <w:rPr/>
          </w:pPr>
          <w:hyperlink w:anchor="__RefHeading___Toc3973545_1067777946">
            <w:r>
              <w:rPr>
                <w:webHidden/>
                <w:rStyle w:val="IndexLink"/>
                <w:rtl w:val="true"/>
              </w:rPr>
              <w:t>بعض فروع اختلاف</w:t>
            </w:r>
            <w:r>
              <w:rPr>
                <w:rStyle w:val="IndexLink"/>
                <w:rtl w:val="true"/>
              </w:rPr>
              <w:tab/>
            </w:r>
            <w:r>
              <w:rPr>
                <w:rStyle w:val="IndexLink"/>
              </w:rPr>
              <w:t>515</w:t>
            </w:r>
          </w:hyperlink>
        </w:p>
        <w:p>
          <w:pPr>
            <w:pStyle w:val="Contents5"/>
            <w:tabs>
              <w:tab w:val="clear" w:pos="7892"/>
              <w:tab w:val="right" w:pos="9026" w:leader="dot"/>
            </w:tabs>
            <w:rPr/>
          </w:pPr>
          <w:hyperlink w:anchor="__RefHeading___Toc3973547_1067777946">
            <w:r>
              <w:rPr>
                <w:webHidden/>
                <w:rStyle w:val="IndexLink"/>
                <w:rtl w:val="true"/>
              </w:rPr>
              <w:t>ج</w:t>
            </w:r>
            <w:r>
              <w:rPr>
                <w:rStyle w:val="IndexLink"/>
                <w:rtl w:val="true"/>
              </w:rPr>
              <w:t xml:space="preserve">. </w:t>
            </w:r>
            <w:r>
              <w:rPr>
                <w:rStyle w:val="IndexLink"/>
                <w:rtl w:val="true"/>
              </w:rPr>
              <w:t>ديه خطأ محض</w:t>
            </w:r>
            <w:r>
              <w:rPr>
                <w:rStyle w:val="IndexLink"/>
                <w:rtl w:val="true"/>
              </w:rPr>
              <w:tab/>
            </w:r>
            <w:r>
              <w:rPr>
                <w:rStyle w:val="IndexLink"/>
              </w:rPr>
              <w:t>515</w:t>
            </w:r>
          </w:hyperlink>
        </w:p>
        <w:p>
          <w:pPr>
            <w:pStyle w:val="Contents6"/>
            <w:tabs>
              <w:tab w:val="clear" w:pos="7609"/>
              <w:tab w:val="right" w:pos="9026" w:leader="dot"/>
            </w:tabs>
            <w:rPr/>
          </w:pPr>
          <w:hyperlink w:anchor="__RefHeading___Toc3973549_1067777946">
            <w:r>
              <w:rPr>
                <w:webHidden/>
                <w:rStyle w:val="IndexLink"/>
                <w:rtl w:val="true"/>
              </w:rPr>
              <w:t>اشاره</w:t>
            </w:r>
            <w:r>
              <w:rPr>
                <w:rStyle w:val="IndexLink"/>
                <w:rtl w:val="true"/>
              </w:rPr>
              <w:tab/>
            </w:r>
            <w:r>
              <w:rPr>
                <w:rStyle w:val="IndexLink"/>
              </w:rPr>
              <w:t>515</w:t>
            </w:r>
          </w:hyperlink>
        </w:p>
        <w:p>
          <w:pPr>
            <w:pStyle w:val="Contents6"/>
            <w:tabs>
              <w:tab w:val="clear" w:pos="7609"/>
              <w:tab w:val="right" w:pos="9026" w:leader="dot"/>
            </w:tabs>
            <w:rPr/>
          </w:pPr>
          <w:hyperlink w:anchor="__RefHeading___Toc3973551_1067777946">
            <w:r>
              <w:rPr>
                <w:webHidden/>
                <w:rStyle w:val="IndexLink"/>
                <w:rtl w:val="true"/>
              </w:rPr>
              <w:t>زمان استيفاى ديه</w:t>
            </w:r>
            <w:r>
              <w:rPr>
                <w:rStyle w:val="IndexLink"/>
                <w:rtl w:val="true"/>
              </w:rPr>
              <w:tab/>
            </w:r>
            <w:r>
              <w:rPr>
                <w:rStyle w:val="IndexLink"/>
              </w:rPr>
              <w:t>516</w:t>
            </w:r>
          </w:hyperlink>
        </w:p>
        <w:p>
          <w:pPr>
            <w:pStyle w:val="Contents6"/>
            <w:tabs>
              <w:tab w:val="clear" w:pos="7609"/>
              <w:tab w:val="right" w:pos="9026" w:leader="dot"/>
            </w:tabs>
            <w:rPr/>
          </w:pPr>
          <w:hyperlink w:anchor="__RefHeading___Toc3973553_1067777946">
            <w:r>
              <w:rPr>
                <w:webHidden/>
                <w:rStyle w:val="IndexLink"/>
                <w:rtl w:val="true"/>
              </w:rPr>
              <w:t>ثبوت ديۀ خطاى محض بر عاقله</w:t>
            </w:r>
            <w:r>
              <w:rPr>
                <w:rStyle w:val="IndexLink"/>
                <w:rtl w:val="true"/>
              </w:rPr>
              <w:tab/>
            </w:r>
            <w:r>
              <w:rPr>
                <w:rStyle w:val="IndexLink"/>
              </w:rPr>
              <w:t>516</w:t>
            </w:r>
          </w:hyperlink>
        </w:p>
        <w:p>
          <w:pPr>
            <w:pStyle w:val="Contents4"/>
            <w:tabs>
              <w:tab w:val="clear" w:pos="8176"/>
              <w:tab w:val="right" w:pos="9026" w:leader="dot"/>
            </w:tabs>
            <w:rPr/>
          </w:pPr>
          <w:hyperlink w:anchor="__RefHeading___Toc3973555_1067777946">
            <w:r>
              <w:rPr>
                <w:webHidden/>
                <w:rStyle w:val="IndexLink"/>
                <w:rtl w:val="true"/>
              </w:rPr>
              <w:t>موارد تغليظ ديه</w:t>
            </w:r>
            <w:r>
              <w:rPr>
                <w:rStyle w:val="IndexLink"/>
                <w:rtl w:val="true"/>
              </w:rPr>
              <w:t xml:space="preserve">: </w:t>
            </w:r>
            <w:r>
              <w:rPr>
                <w:rStyle w:val="IndexLink"/>
                <w:rtl w:val="true"/>
              </w:rPr>
              <w:t>ماههاى حرام، حرم الهى و نبوى و مشاهد مشرفه</w:t>
            </w:r>
            <w:r>
              <w:rPr>
                <w:rStyle w:val="IndexLink"/>
                <w:rtl w:val="true"/>
              </w:rPr>
              <w:tab/>
            </w:r>
            <w:r>
              <w:rPr>
                <w:rStyle w:val="IndexLink"/>
              </w:rPr>
              <w:t>516</w:t>
            </w:r>
          </w:hyperlink>
        </w:p>
        <w:p>
          <w:pPr>
            <w:pStyle w:val="Contents5"/>
            <w:tabs>
              <w:tab w:val="clear" w:pos="7892"/>
              <w:tab w:val="right" w:pos="9026" w:leader="dot"/>
            </w:tabs>
            <w:rPr/>
          </w:pPr>
          <w:hyperlink w:anchor="__RefHeading___Toc3973557_1067777946">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3973559_1067777946">
            <w:r>
              <w:rPr>
                <w:webHidden/>
                <w:rStyle w:val="IndexLink"/>
                <w:rtl w:val="true"/>
              </w:rPr>
              <w:t>رمى در حل يا حرم</w:t>
            </w:r>
            <w:r>
              <w:rPr>
                <w:rStyle w:val="IndexLink"/>
                <w:rtl w:val="true"/>
              </w:rPr>
              <w:tab/>
            </w:r>
            <w:r>
              <w:rPr>
                <w:rStyle w:val="IndexLink"/>
              </w:rPr>
              <w:t>517</w:t>
            </w:r>
          </w:hyperlink>
        </w:p>
        <w:p>
          <w:pPr>
            <w:pStyle w:val="Contents5"/>
            <w:tabs>
              <w:tab w:val="clear" w:pos="7892"/>
              <w:tab w:val="right" w:pos="9026" w:leader="dot"/>
            </w:tabs>
            <w:rPr/>
          </w:pPr>
          <w:hyperlink w:anchor="__RefHeading___Toc3973561_1067777946">
            <w:r>
              <w:rPr>
                <w:webHidden/>
                <w:rStyle w:val="IndexLink"/>
                <w:rtl w:val="true"/>
              </w:rPr>
              <w:t>پناه آوردن جانى به حرم</w:t>
            </w:r>
            <w:r>
              <w:rPr>
                <w:rStyle w:val="IndexLink"/>
                <w:rtl w:val="true"/>
              </w:rPr>
              <w:tab/>
            </w:r>
            <w:r>
              <w:rPr>
                <w:rStyle w:val="IndexLink"/>
              </w:rPr>
              <w:t>517</w:t>
            </w:r>
          </w:hyperlink>
        </w:p>
        <w:p>
          <w:pPr>
            <w:pStyle w:val="Contents5"/>
            <w:tabs>
              <w:tab w:val="clear" w:pos="7892"/>
              <w:tab w:val="right" w:pos="9026" w:leader="dot"/>
            </w:tabs>
            <w:rPr/>
          </w:pPr>
          <w:hyperlink w:anchor="__RefHeading___Toc3973563_1067777946">
            <w:r>
              <w:rPr>
                <w:webHidden/>
                <w:rStyle w:val="IndexLink"/>
                <w:rtl w:val="true"/>
              </w:rPr>
              <w:t>الحاق مشاهد مشرفه و مساجد به حرم</w:t>
            </w:r>
            <w:r>
              <w:rPr>
                <w:rStyle w:val="IndexLink"/>
                <w:rtl w:val="true"/>
              </w:rPr>
              <w:tab/>
            </w:r>
            <w:r>
              <w:rPr>
                <w:rStyle w:val="IndexLink"/>
              </w:rPr>
              <w:t>517</w:t>
            </w:r>
          </w:hyperlink>
        </w:p>
        <w:p>
          <w:pPr>
            <w:pStyle w:val="Contents5"/>
            <w:tabs>
              <w:tab w:val="clear" w:pos="7892"/>
              <w:tab w:val="right" w:pos="9026" w:leader="dot"/>
            </w:tabs>
            <w:rPr/>
          </w:pPr>
          <w:hyperlink w:anchor="__RefHeading___Toc3973565_1067777946">
            <w:r>
              <w:rPr>
                <w:webHidden/>
                <w:rStyle w:val="IndexLink"/>
                <w:rtl w:val="true"/>
              </w:rPr>
              <w:t>ديۀ زن</w:t>
            </w:r>
            <w:r>
              <w:rPr>
                <w:rStyle w:val="IndexLink"/>
                <w:rtl w:val="true"/>
              </w:rPr>
              <w:tab/>
            </w:r>
            <w:r>
              <w:rPr>
                <w:rStyle w:val="IndexLink"/>
              </w:rPr>
              <w:t>517</w:t>
            </w:r>
          </w:hyperlink>
        </w:p>
        <w:p>
          <w:pPr>
            <w:pStyle w:val="Contents5"/>
            <w:tabs>
              <w:tab w:val="clear" w:pos="7892"/>
              <w:tab w:val="right" w:pos="9026" w:leader="dot"/>
            </w:tabs>
            <w:rPr/>
          </w:pPr>
          <w:hyperlink w:anchor="__RefHeading___Toc3973567_1067777946">
            <w:r>
              <w:rPr>
                <w:webHidden/>
                <w:rStyle w:val="IndexLink"/>
                <w:rtl w:val="true"/>
              </w:rPr>
              <w:t>خنثاى مشكل</w:t>
            </w:r>
            <w:r>
              <w:rPr>
                <w:rStyle w:val="IndexLink"/>
                <w:rtl w:val="true"/>
              </w:rPr>
              <w:tab/>
            </w:r>
            <w:r>
              <w:rPr>
                <w:rStyle w:val="IndexLink"/>
              </w:rPr>
              <w:t>518</w:t>
            </w:r>
          </w:hyperlink>
        </w:p>
        <w:p>
          <w:pPr>
            <w:pStyle w:val="Contents5"/>
            <w:tabs>
              <w:tab w:val="clear" w:pos="7892"/>
              <w:tab w:val="right" w:pos="9026" w:leader="dot"/>
            </w:tabs>
            <w:rPr/>
          </w:pPr>
          <w:hyperlink w:anchor="__RefHeading___Toc3973569_1067777946">
            <w:r>
              <w:rPr>
                <w:webHidden/>
                <w:rStyle w:val="IndexLink"/>
                <w:rtl w:val="true"/>
              </w:rPr>
              <w:t>فرق مختلفه</w:t>
            </w:r>
            <w:r>
              <w:rPr>
                <w:rStyle w:val="IndexLink"/>
                <w:rtl w:val="true"/>
              </w:rPr>
              <w:tab/>
            </w:r>
            <w:r>
              <w:rPr>
                <w:rStyle w:val="IndexLink"/>
              </w:rPr>
              <w:t>518</w:t>
            </w:r>
          </w:hyperlink>
        </w:p>
        <w:p>
          <w:pPr>
            <w:pStyle w:val="Contents5"/>
            <w:tabs>
              <w:tab w:val="clear" w:pos="7892"/>
              <w:tab w:val="right" w:pos="9026" w:leader="dot"/>
            </w:tabs>
            <w:rPr/>
          </w:pPr>
          <w:hyperlink w:anchor="__RefHeading___Toc3973571_1067777946">
            <w:r>
              <w:rPr>
                <w:webHidden/>
                <w:rStyle w:val="IndexLink"/>
                <w:rtl w:val="true"/>
              </w:rPr>
              <w:t>ديۀ ذمى</w:t>
            </w:r>
            <w:r>
              <w:rPr>
                <w:rStyle w:val="IndexLink"/>
                <w:rtl w:val="true"/>
              </w:rPr>
              <w:tab/>
            </w:r>
            <w:r>
              <w:rPr>
                <w:rStyle w:val="IndexLink"/>
              </w:rPr>
              <w:t>518</w:t>
            </w:r>
          </w:hyperlink>
        </w:p>
        <w:p>
          <w:pPr>
            <w:pStyle w:val="Contents5"/>
            <w:tabs>
              <w:tab w:val="clear" w:pos="7892"/>
              <w:tab w:val="right" w:pos="9026" w:leader="dot"/>
            </w:tabs>
            <w:rPr/>
          </w:pPr>
          <w:hyperlink w:anchor="__RefHeading___Toc3973573_1067777946">
            <w:r>
              <w:rPr>
                <w:webHidden/>
                <w:rStyle w:val="IndexLink"/>
                <w:rtl w:val="true"/>
              </w:rPr>
              <w:t>جريان تغليظ ديه در ذمّى</w:t>
            </w:r>
            <w:r>
              <w:rPr>
                <w:rStyle w:val="IndexLink"/>
                <w:rtl w:val="true"/>
              </w:rPr>
              <w:tab/>
            </w:r>
            <w:r>
              <w:rPr>
                <w:rStyle w:val="IndexLink"/>
              </w:rPr>
              <w:t>519</w:t>
            </w:r>
          </w:hyperlink>
        </w:p>
        <w:p>
          <w:pPr>
            <w:pStyle w:val="Contents5"/>
            <w:tabs>
              <w:tab w:val="clear" w:pos="7892"/>
              <w:tab w:val="right" w:pos="9026" w:leader="dot"/>
            </w:tabs>
            <w:rPr/>
          </w:pPr>
          <w:hyperlink w:anchor="__RefHeading___Toc3973575_1067777946">
            <w:r>
              <w:rPr>
                <w:webHidden/>
                <w:rStyle w:val="IndexLink"/>
                <w:rtl w:val="true"/>
              </w:rPr>
              <w:t>عدم ديه بر غير اهل ذمه و كتاب</w:t>
            </w:r>
            <w:r>
              <w:rPr>
                <w:rStyle w:val="IndexLink"/>
                <w:rtl w:val="true"/>
              </w:rPr>
              <w:tab/>
            </w:r>
            <w:r>
              <w:rPr>
                <w:rStyle w:val="IndexLink"/>
              </w:rPr>
              <w:t>519</w:t>
            </w:r>
          </w:hyperlink>
        </w:p>
        <w:p>
          <w:pPr>
            <w:pStyle w:val="Contents5"/>
            <w:tabs>
              <w:tab w:val="clear" w:pos="7892"/>
              <w:tab w:val="right" w:pos="9026" w:leader="dot"/>
            </w:tabs>
            <w:rPr/>
          </w:pPr>
          <w:hyperlink w:anchor="__RefHeading___Toc3973577_1067777946">
            <w:r>
              <w:rPr>
                <w:webHidden/>
                <w:rStyle w:val="IndexLink"/>
                <w:rtl w:val="true"/>
              </w:rPr>
              <w:t>ديۀ مملوك</w:t>
            </w:r>
            <w:r>
              <w:rPr>
                <w:rStyle w:val="IndexLink"/>
                <w:rtl w:val="true"/>
              </w:rPr>
              <w:tab/>
            </w:r>
            <w:r>
              <w:rPr>
                <w:rStyle w:val="IndexLink"/>
              </w:rPr>
              <w:t>519</w:t>
            </w:r>
          </w:hyperlink>
        </w:p>
        <w:p>
          <w:pPr>
            <w:pStyle w:val="Contents5"/>
            <w:tabs>
              <w:tab w:val="clear" w:pos="7892"/>
              <w:tab w:val="right" w:pos="9026" w:leader="dot"/>
            </w:tabs>
            <w:rPr/>
          </w:pPr>
          <w:hyperlink w:anchor="__RefHeading___Toc3973579_1067777946">
            <w:r>
              <w:rPr>
                <w:webHidden/>
                <w:rStyle w:val="IndexLink"/>
                <w:rtl w:val="true"/>
              </w:rPr>
              <w:t>عدم ضمان مولى بر جنايت عبد</w:t>
            </w:r>
            <w:r>
              <w:rPr>
                <w:rStyle w:val="IndexLink"/>
                <w:rtl w:val="true"/>
              </w:rPr>
              <w:tab/>
            </w:r>
            <w:r>
              <w:rPr>
                <w:rStyle w:val="IndexLink"/>
              </w:rPr>
              <w:t>520</w:t>
            </w:r>
          </w:hyperlink>
        </w:p>
        <w:p>
          <w:pPr>
            <w:pStyle w:val="Contents3"/>
            <w:tabs>
              <w:tab w:val="clear" w:pos="8459"/>
              <w:tab w:val="right" w:pos="9026" w:leader="dot"/>
            </w:tabs>
            <w:rPr/>
          </w:pPr>
          <w:hyperlink w:anchor="__RefHeading___Toc3973581_1067777946">
            <w:r>
              <w:rPr>
                <w:webHidden/>
                <w:rStyle w:val="IndexLink"/>
                <w:rtl w:val="true"/>
              </w:rPr>
              <w:t>فصل دوم موجبات ضمان</w:t>
            </w:r>
            <w:r>
              <w:rPr>
                <w:rStyle w:val="IndexLink"/>
                <w:rtl w:val="true"/>
              </w:rPr>
              <w:tab/>
            </w:r>
            <w:r>
              <w:rPr>
                <w:rStyle w:val="IndexLink"/>
              </w:rPr>
              <w:t>521</w:t>
            </w:r>
          </w:hyperlink>
        </w:p>
        <w:p>
          <w:pPr>
            <w:pStyle w:val="Contents4"/>
            <w:tabs>
              <w:tab w:val="clear" w:pos="8176"/>
              <w:tab w:val="right" w:pos="9026" w:leader="dot"/>
            </w:tabs>
            <w:rPr/>
          </w:pPr>
          <w:hyperlink w:anchor="__RefHeading___Toc3973583_1067777946">
            <w:r>
              <w:rPr>
                <w:webHidden/>
                <w:rStyle w:val="IndexLink"/>
              </w:rPr>
              <w:t>1</w:t>
            </w:r>
            <w:r>
              <w:rPr>
                <w:rStyle w:val="IndexLink"/>
                <w:rtl w:val="true"/>
              </w:rPr>
              <w:t xml:space="preserve">. </w:t>
            </w:r>
            <w:r>
              <w:rPr>
                <w:rStyle w:val="IndexLink"/>
                <w:rtl w:val="true"/>
              </w:rPr>
              <w:t>مسائل ضمان به مباشرت</w:t>
            </w:r>
            <w:r>
              <w:rPr>
                <w:rStyle w:val="IndexLink"/>
                <w:rtl w:val="true"/>
              </w:rPr>
              <w:tab/>
            </w:r>
            <w:r>
              <w:rPr>
                <w:rStyle w:val="IndexLink"/>
              </w:rPr>
              <w:t>521</w:t>
            </w:r>
          </w:hyperlink>
        </w:p>
        <w:p>
          <w:pPr>
            <w:pStyle w:val="Contents5"/>
            <w:tabs>
              <w:tab w:val="clear" w:pos="7892"/>
              <w:tab w:val="right" w:pos="9026" w:leader="dot"/>
            </w:tabs>
            <w:rPr/>
          </w:pPr>
          <w:hyperlink w:anchor="__RefHeading___Toc3973585_1067777946">
            <w:r>
              <w:rPr>
                <w:webHidden/>
                <w:rStyle w:val="IndexLink"/>
                <w:rtl w:val="true"/>
              </w:rPr>
              <w:t>ضمان زوج و اب و معلم</w:t>
            </w:r>
            <w:r>
              <w:rPr>
                <w:rStyle w:val="IndexLink"/>
                <w:rtl w:val="true"/>
              </w:rPr>
              <w:tab/>
            </w:r>
            <w:r>
              <w:rPr>
                <w:rStyle w:val="IndexLink"/>
              </w:rPr>
              <w:t>521</w:t>
            </w:r>
          </w:hyperlink>
        </w:p>
        <w:p>
          <w:pPr>
            <w:pStyle w:val="Contents5"/>
            <w:tabs>
              <w:tab w:val="clear" w:pos="7892"/>
              <w:tab w:val="right" w:pos="9026" w:leader="dot"/>
            </w:tabs>
            <w:rPr/>
          </w:pPr>
          <w:hyperlink w:anchor="__RefHeading___Toc3973587_1067777946">
            <w:r>
              <w:rPr>
                <w:webHidden/>
                <w:rStyle w:val="IndexLink"/>
                <w:rtl w:val="true"/>
              </w:rPr>
              <w:t>ضمان طبيب</w:t>
            </w:r>
            <w:r>
              <w:rPr>
                <w:rStyle w:val="IndexLink"/>
                <w:rtl w:val="true"/>
              </w:rPr>
              <w:tab/>
            </w:r>
            <w:r>
              <w:rPr>
                <w:rStyle w:val="IndexLink"/>
              </w:rPr>
              <w:t>521</w:t>
            </w:r>
          </w:hyperlink>
        </w:p>
        <w:p>
          <w:pPr>
            <w:pStyle w:val="Contents6"/>
            <w:tabs>
              <w:tab w:val="clear" w:pos="7609"/>
              <w:tab w:val="right" w:pos="9026" w:leader="dot"/>
            </w:tabs>
            <w:rPr/>
          </w:pPr>
          <w:hyperlink w:anchor="__RefHeading___Toc3973589_1067777946">
            <w:r>
              <w:rPr>
                <w:webHidden/>
                <w:rStyle w:val="IndexLink"/>
                <w:rtl w:val="true"/>
              </w:rPr>
              <w:t>اشاره</w:t>
            </w:r>
            <w:r>
              <w:rPr>
                <w:rStyle w:val="IndexLink"/>
                <w:rtl w:val="true"/>
              </w:rPr>
              <w:tab/>
            </w:r>
            <w:r>
              <w:rPr>
                <w:rStyle w:val="IndexLink"/>
              </w:rPr>
              <w:t>521</w:t>
            </w:r>
          </w:hyperlink>
        </w:p>
        <w:p>
          <w:pPr>
            <w:pStyle w:val="Contents6"/>
            <w:tabs>
              <w:tab w:val="clear" w:pos="7609"/>
              <w:tab w:val="right" w:pos="9026" w:leader="dot"/>
            </w:tabs>
            <w:rPr/>
          </w:pPr>
          <w:hyperlink w:anchor="__RefHeading___Toc3973591_1067777946">
            <w:r>
              <w:rPr>
                <w:webHidden/>
                <w:rStyle w:val="IndexLink"/>
                <w:rtl w:val="true"/>
              </w:rPr>
              <w:t>عدم ضمان با اخذ برائت و اذن طبيب حاذق</w:t>
            </w:r>
            <w:r>
              <w:rPr>
                <w:rStyle w:val="IndexLink"/>
                <w:rtl w:val="true"/>
              </w:rPr>
              <w:tab/>
            </w:r>
            <w:r>
              <w:rPr>
                <w:rStyle w:val="IndexLink"/>
              </w:rPr>
              <w:t>521</w:t>
            </w:r>
          </w:hyperlink>
        </w:p>
        <w:p>
          <w:pPr>
            <w:pStyle w:val="Contents6"/>
            <w:tabs>
              <w:tab w:val="clear" w:pos="7609"/>
              <w:tab w:val="right" w:pos="9026" w:leader="dot"/>
            </w:tabs>
            <w:rPr/>
          </w:pPr>
          <w:hyperlink w:anchor="__RefHeading___Toc3973593_1067777946">
            <w:r>
              <w:rPr>
                <w:webHidden/>
                <w:rStyle w:val="IndexLink"/>
                <w:rtl w:val="true"/>
              </w:rPr>
              <w:t>عدم ضمان در مجرد اخبار طبيب</w:t>
            </w:r>
            <w:r>
              <w:rPr>
                <w:rStyle w:val="IndexLink"/>
                <w:rtl w:val="true"/>
              </w:rPr>
              <w:tab/>
            </w:r>
            <w:r>
              <w:rPr>
                <w:rStyle w:val="IndexLink"/>
              </w:rPr>
              <w:t>522</w:t>
            </w:r>
          </w:hyperlink>
        </w:p>
        <w:p>
          <w:pPr>
            <w:pStyle w:val="Contents6"/>
            <w:tabs>
              <w:tab w:val="clear" w:pos="7609"/>
              <w:tab w:val="right" w:pos="9026" w:leader="dot"/>
            </w:tabs>
            <w:rPr/>
          </w:pPr>
          <w:hyperlink w:anchor="__RefHeading___Toc3973595_1067777946">
            <w:r>
              <w:rPr>
                <w:webHidden/>
                <w:rStyle w:val="IndexLink"/>
                <w:rtl w:val="true"/>
              </w:rPr>
              <w:t>جواز اقسام معالجات</w:t>
            </w:r>
            <w:r>
              <w:rPr>
                <w:rStyle w:val="IndexLink"/>
                <w:rtl w:val="true"/>
              </w:rPr>
              <w:tab/>
            </w:r>
            <w:r>
              <w:rPr>
                <w:rStyle w:val="IndexLink"/>
              </w:rPr>
              <w:t>522</w:t>
            </w:r>
          </w:hyperlink>
        </w:p>
        <w:p>
          <w:pPr>
            <w:pStyle w:val="Contents6"/>
            <w:tabs>
              <w:tab w:val="clear" w:pos="7609"/>
              <w:tab w:val="right" w:pos="9026" w:leader="dot"/>
            </w:tabs>
            <w:rPr/>
          </w:pPr>
          <w:hyperlink w:anchor="__RefHeading___Toc3973597_1067777946">
            <w:r>
              <w:rPr>
                <w:webHidden/>
                <w:rStyle w:val="IndexLink"/>
                <w:rtl w:val="true"/>
              </w:rPr>
              <w:t>معالجه به آن چه در غير معالجه جايز نيست</w:t>
            </w:r>
            <w:r>
              <w:rPr>
                <w:rStyle w:val="IndexLink"/>
                <w:rtl w:val="true"/>
              </w:rPr>
              <w:tab/>
            </w:r>
            <w:r>
              <w:rPr>
                <w:rStyle w:val="IndexLink"/>
              </w:rPr>
              <w:t>522</w:t>
            </w:r>
          </w:hyperlink>
        </w:p>
        <w:p>
          <w:pPr>
            <w:pStyle w:val="Contents5"/>
            <w:tabs>
              <w:tab w:val="clear" w:pos="7892"/>
              <w:tab w:val="right" w:pos="9026" w:leader="dot"/>
            </w:tabs>
            <w:rPr/>
          </w:pPr>
          <w:hyperlink w:anchor="__RefHeading___Toc3973599_1067777946">
            <w:r>
              <w:rPr>
                <w:webHidden/>
                <w:rStyle w:val="IndexLink"/>
                <w:rtl w:val="true"/>
              </w:rPr>
              <w:t>تلف مستند به انقلاب نائم غير ظئر</w:t>
            </w:r>
            <w:r>
              <w:rPr>
                <w:rStyle w:val="IndexLink"/>
                <w:rtl w:val="true"/>
              </w:rPr>
              <w:tab/>
            </w:r>
            <w:r>
              <w:rPr>
                <w:rStyle w:val="IndexLink"/>
              </w:rPr>
              <w:t>523</w:t>
            </w:r>
          </w:hyperlink>
        </w:p>
        <w:p>
          <w:pPr>
            <w:pStyle w:val="Contents5"/>
            <w:tabs>
              <w:tab w:val="clear" w:pos="7892"/>
              <w:tab w:val="right" w:pos="9026" w:leader="dot"/>
            </w:tabs>
            <w:rPr/>
          </w:pPr>
          <w:hyperlink w:anchor="__RefHeading___Toc3973601_1067777946">
            <w:r>
              <w:rPr>
                <w:webHidden/>
                <w:rStyle w:val="IndexLink"/>
                <w:rtl w:val="true"/>
              </w:rPr>
              <w:t>اتلاف يكى از زوجين توسط ديگرى</w:t>
            </w:r>
            <w:r>
              <w:rPr>
                <w:rStyle w:val="IndexLink"/>
                <w:rtl w:val="true"/>
              </w:rPr>
              <w:tab/>
            </w:r>
            <w:r>
              <w:rPr>
                <w:rStyle w:val="IndexLink"/>
              </w:rPr>
              <w:t>523</w:t>
            </w:r>
          </w:hyperlink>
        </w:p>
        <w:p>
          <w:pPr>
            <w:pStyle w:val="Contents5"/>
            <w:tabs>
              <w:tab w:val="clear" w:pos="7892"/>
              <w:tab w:val="right" w:pos="9026" w:leader="dot"/>
            </w:tabs>
            <w:rPr/>
          </w:pPr>
          <w:hyperlink w:anchor="__RefHeading___Toc3973603_1067777946">
            <w:r>
              <w:rPr>
                <w:webHidden/>
                <w:rStyle w:val="IndexLink"/>
                <w:rtl w:val="true"/>
              </w:rPr>
              <w:t>اصابت كالاى محموله به انسانى</w:t>
            </w:r>
            <w:r>
              <w:rPr>
                <w:rStyle w:val="IndexLink"/>
                <w:rtl w:val="true"/>
              </w:rPr>
              <w:tab/>
            </w:r>
            <w:r>
              <w:rPr>
                <w:rStyle w:val="IndexLink"/>
              </w:rPr>
              <w:t>523</w:t>
            </w:r>
          </w:hyperlink>
        </w:p>
        <w:p>
          <w:pPr>
            <w:pStyle w:val="Contents5"/>
            <w:tabs>
              <w:tab w:val="clear" w:pos="7892"/>
              <w:tab w:val="right" w:pos="9026" w:leader="dot"/>
            </w:tabs>
            <w:rPr/>
          </w:pPr>
          <w:hyperlink w:anchor="__RefHeading___Toc3973605_1067777946">
            <w:r>
              <w:rPr>
                <w:webHidden/>
                <w:rStyle w:val="IndexLink"/>
                <w:rtl w:val="true"/>
              </w:rPr>
              <w:t>وفات مستند به صيحه و فرياد</w:t>
            </w:r>
            <w:r>
              <w:rPr>
                <w:rStyle w:val="IndexLink"/>
                <w:rtl w:val="true"/>
              </w:rPr>
              <w:tab/>
            </w:r>
            <w:r>
              <w:rPr>
                <w:rStyle w:val="IndexLink"/>
              </w:rPr>
              <w:t>523</w:t>
            </w:r>
          </w:hyperlink>
        </w:p>
        <w:p>
          <w:pPr>
            <w:pStyle w:val="Contents5"/>
            <w:tabs>
              <w:tab w:val="clear" w:pos="7892"/>
              <w:tab w:val="right" w:pos="9026" w:leader="dot"/>
            </w:tabs>
            <w:rPr/>
          </w:pPr>
          <w:hyperlink w:anchor="__RefHeading___Toc3973607_1067777946">
            <w:r>
              <w:rPr>
                <w:webHidden/>
                <w:rStyle w:val="IndexLink"/>
                <w:rtl w:val="true"/>
              </w:rPr>
              <w:t>ترساندن حامل</w:t>
            </w:r>
            <w:r>
              <w:rPr>
                <w:rStyle w:val="IndexLink"/>
                <w:rtl w:val="true"/>
              </w:rPr>
              <w:tab/>
            </w:r>
            <w:r>
              <w:rPr>
                <w:rStyle w:val="IndexLink"/>
              </w:rPr>
              <w:t>524</w:t>
            </w:r>
          </w:hyperlink>
        </w:p>
        <w:p>
          <w:pPr>
            <w:pStyle w:val="Contents5"/>
            <w:tabs>
              <w:tab w:val="clear" w:pos="7892"/>
              <w:tab w:val="right" w:pos="9026" w:leader="dot"/>
            </w:tabs>
            <w:rPr/>
          </w:pPr>
          <w:hyperlink w:anchor="__RefHeading___Toc3973609_1067777946">
            <w:r>
              <w:rPr>
                <w:webHidden/>
                <w:rStyle w:val="IndexLink"/>
                <w:rtl w:val="true"/>
              </w:rPr>
              <w:t>ضربه به قصد كشتن شخصى و كشته شدن ديگرى</w:t>
            </w:r>
            <w:r>
              <w:rPr>
                <w:rStyle w:val="IndexLink"/>
                <w:rtl w:val="true"/>
              </w:rPr>
              <w:tab/>
            </w:r>
            <w:r>
              <w:rPr>
                <w:rStyle w:val="IndexLink"/>
              </w:rPr>
              <w:t>525</w:t>
            </w:r>
          </w:hyperlink>
        </w:p>
        <w:p>
          <w:pPr>
            <w:pStyle w:val="Contents5"/>
            <w:tabs>
              <w:tab w:val="clear" w:pos="7892"/>
              <w:tab w:val="right" w:pos="9026" w:leader="dot"/>
            </w:tabs>
            <w:rPr/>
          </w:pPr>
          <w:hyperlink w:anchor="__RefHeading___Toc3973611_1067777946">
            <w:r>
              <w:rPr>
                <w:webHidden/>
                <w:rStyle w:val="IndexLink"/>
                <w:rtl w:val="true"/>
              </w:rPr>
              <w:t>تصادم دو نفر به همديگر</w:t>
            </w:r>
            <w:r>
              <w:rPr>
                <w:rStyle w:val="IndexLink"/>
                <w:rtl w:val="true"/>
              </w:rPr>
              <w:tab/>
            </w:r>
            <w:r>
              <w:rPr>
                <w:rStyle w:val="IndexLink"/>
              </w:rPr>
              <w:t>525</w:t>
            </w:r>
          </w:hyperlink>
        </w:p>
        <w:p>
          <w:pPr>
            <w:pStyle w:val="Contents6"/>
            <w:tabs>
              <w:tab w:val="clear" w:pos="7609"/>
              <w:tab w:val="right" w:pos="9026" w:leader="dot"/>
            </w:tabs>
            <w:rPr/>
          </w:pPr>
          <w:hyperlink w:anchor="__RefHeading___Toc3973613_1067777946">
            <w:r>
              <w:rPr>
                <w:webHidden/>
                <w:rStyle w:val="IndexLink"/>
                <w:rtl w:val="true"/>
              </w:rPr>
              <w:t>اشاره</w:t>
            </w:r>
            <w:r>
              <w:rPr>
                <w:rStyle w:val="IndexLink"/>
                <w:rtl w:val="true"/>
              </w:rPr>
              <w:tab/>
            </w:r>
            <w:r>
              <w:rPr>
                <w:rStyle w:val="IndexLink"/>
              </w:rPr>
              <w:t>525</w:t>
            </w:r>
          </w:hyperlink>
        </w:p>
        <w:p>
          <w:pPr>
            <w:pStyle w:val="Contents6"/>
            <w:tabs>
              <w:tab w:val="clear" w:pos="7609"/>
              <w:tab w:val="right" w:pos="9026" w:leader="dot"/>
            </w:tabs>
            <w:rPr/>
          </w:pPr>
          <w:hyperlink w:anchor="__RefHeading___Toc3973615_1067777946">
            <w:r>
              <w:rPr>
                <w:webHidden/>
                <w:rStyle w:val="IndexLink"/>
                <w:rtl w:val="true"/>
              </w:rPr>
              <w:t>بودن تجاذب در حكم تصادم</w:t>
            </w:r>
            <w:r>
              <w:rPr>
                <w:rStyle w:val="IndexLink"/>
                <w:rtl w:val="true"/>
              </w:rPr>
              <w:tab/>
            </w:r>
            <w:r>
              <w:rPr>
                <w:rStyle w:val="IndexLink"/>
              </w:rPr>
              <w:t>526</w:t>
            </w:r>
          </w:hyperlink>
        </w:p>
        <w:p>
          <w:pPr>
            <w:pStyle w:val="Contents6"/>
            <w:tabs>
              <w:tab w:val="clear" w:pos="7609"/>
              <w:tab w:val="right" w:pos="9026" w:leader="dot"/>
            </w:tabs>
            <w:rPr/>
          </w:pPr>
          <w:hyperlink w:anchor="__RefHeading___Toc3973617_1067777946">
            <w:r>
              <w:rPr>
                <w:webHidden/>
                <w:rStyle w:val="IndexLink"/>
                <w:rtl w:val="true"/>
              </w:rPr>
              <w:t>تصادم دو دابّه بعد از مقلوبيّت</w:t>
            </w:r>
            <w:r>
              <w:rPr>
                <w:rStyle w:val="IndexLink"/>
                <w:rtl w:val="true"/>
              </w:rPr>
              <w:tab/>
            </w:r>
            <w:r>
              <w:rPr>
                <w:rStyle w:val="IndexLink"/>
              </w:rPr>
              <w:t>526</w:t>
            </w:r>
          </w:hyperlink>
        </w:p>
        <w:p>
          <w:pPr>
            <w:pStyle w:val="Contents6"/>
            <w:tabs>
              <w:tab w:val="clear" w:pos="7609"/>
              <w:tab w:val="right" w:pos="9026" w:leader="dot"/>
            </w:tabs>
            <w:rPr/>
          </w:pPr>
          <w:hyperlink w:anchor="__RefHeading___Toc3973619_1067777946">
            <w:r>
              <w:rPr>
                <w:webHidden/>
                <w:rStyle w:val="IndexLink"/>
                <w:rtl w:val="true"/>
              </w:rPr>
              <w:t>تصادم دو حامل</w:t>
            </w:r>
            <w:r>
              <w:rPr>
                <w:rStyle w:val="IndexLink"/>
                <w:rtl w:val="true"/>
              </w:rPr>
              <w:tab/>
            </w:r>
            <w:r>
              <w:rPr>
                <w:rStyle w:val="IndexLink"/>
              </w:rPr>
              <w:t>527</w:t>
            </w:r>
          </w:hyperlink>
        </w:p>
        <w:p>
          <w:pPr>
            <w:pStyle w:val="Contents5"/>
            <w:tabs>
              <w:tab w:val="clear" w:pos="7892"/>
              <w:tab w:val="right" w:pos="9026" w:leader="dot"/>
            </w:tabs>
            <w:rPr/>
          </w:pPr>
          <w:hyperlink w:anchor="__RefHeading___Toc3973621_1067777946">
            <w:r>
              <w:rPr>
                <w:webHidden/>
                <w:rStyle w:val="IndexLink"/>
                <w:rtl w:val="true"/>
              </w:rPr>
              <w:t>ديۀ كسى كه از بين تيراندازها عبور مى كند</w:t>
            </w:r>
            <w:r>
              <w:rPr>
                <w:rStyle w:val="IndexLink"/>
                <w:rtl w:val="true"/>
              </w:rPr>
              <w:tab/>
            </w:r>
            <w:r>
              <w:rPr>
                <w:rStyle w:val="IndexLink"/>
              </w:rPr>
              <w:t>528</w:t>
            </w:r>
          </w:hyperlink>
        </w:p>
        <w:p>
          <w:pPr>
            <w:pStyle w:val="Contents6"/>
            <w:tabs>
              <w:tab w:val="clear" w:pos="7609"/>
              <w:tab w:val="right" w:pos="9026" w:leader="dot"/>
            </w:tabs>
            <w:rPr/>
          </w:pPr>
          <w:hyperlink w:anchor="__RefHeading___Toc3973623_1067777946">
            <w:r>
              <w:rPr>
                <w:webHidden/>
                <w:rStyle w:val="IndexLink"/>
                <w:rtl w:val="true"/>
              </w:rPr>
              <w:t>اشاره</w:t>
            </w:r>
            <w:r>
              <w:rPr>
                <w:rStyle w:val="IndexLink"/>
                <w:rtl w:val="true"/>
              </w:rPr>
              <w:tab/>
            </w:r>
            <w:r>
              <w:rPr>
                <w:rStyle w:val="IndexLink"/>
              </w:rPr>
              <w:t>528</w:t>
            </w:r>
          </w:hyperlink>
        </w:p>
        <w:p>
          <w:pPr>
            <w:pStyle w:val="Contents6"/>
            <w:tabs>
              <w:tab w:val="clear" w:pos="7609"/>
              <w:tab w:val="right" w:pos="9026" w:leader="dot"/>
            </w:tabs>
            <w:rPr/>
          </w:pPr>
          <w:hyperlink w:anchor="__RefHeading___Toc3973625_1067777946">
            <w:r>
              <w:rPr>
                <w:webHidden/>
                <w:rStyle w:val="IndexLink"/>
                <w:rtl w:val="true"/>
              </w:rPr>
              <w:t>اگر كسى را به تيراندازها نزديك كند</w:t>
            </w:r>
            <w:r>
              <w:rPr>
                <w:rStyle w:val="IndexLink"/>
                <w:rtl w:val="true"/>
              </w:rPr>
              <w:tab/>
            </w:r>
            <w:r>
              <w:rPr>
                <w:rStyle w:val="IndexLink"/>
              </w:rPr>
              <w:t>528</w:t>
            </w:r>
          </w:hyperlink>
        </w:p>
        <w:p>
          <w:pPr>
            <w:pStyle w:val="Contents5"/>
            <w:tabs>
              <w:tab w:val="clear" w:pos="7892"/>
              <w:tab w:val="right" w:pos="9026" w:leader="dot"/>
            </w:tabs>
            <w:rPr/>
          </w:pPr>
          <w:hyperlink w:anchor="__RefHeading___Toc3973627_1067777946">
            <w:r>
              <w:rPr>
                <w:webHidden/>
                <w:rStyle w:val="IndexLink"/>
                <w:rtl w:val="true"/>
              </w:rPr>
              <w:t>ضمان ختّان</w:t>
            </w:r>
            <w:r>
              <w:rPr>
                <w:rStyle w:val="IndexLink"/>
                <w:rtl w:val="true"/>
              </w:rPr>
              <w:tab/>
            </w:r>
            <w:r>
              <w:rPr>
                <w:rStyle w:val="IndexLink"/>
              </w:rPr>
              <w:t>528</w:t>
            </w:r>
          </w:hyperlink>
        </w:p>
        <w:p>
          <w:pPr>
            <w:pStyle w:val="Contents5"/>
            <w:tabs>
              <w:tab w:val="clear" w:pos="7892"/>
              <w:tab w:val="right" w:pos="9026" w:leader="dot"/>
            </w:tabs>
            <w:rPr/>
          </w:pPr>
          <w:hyperlink w:anchor="__RefHeading___Toc3973629_1067777946">
            <w:r>
              <w:rPr>
                <w:webHidden/>
                <w:rStyle w:val="IndexLink"/>
                <w:rtl w:val="true"/>
              </w:rPr>
              <w:t>كسى كه از بلندى بر ديگرى سقوط كند</w:t>
            </w:r>
            <w:r>
              <w:rPr>
                <w:rStyle w:val="IndexLink"/>
                <w:rtl w:val="true"/>
              </w:rPr>
              <w:tab/>
            </w:r>
            <w:r>
              <w:rPr>
                <w:rStyle w:val="IndexLink"/>
              </w:rPr>
              <w:t>529</w:t>
            </w:r>
          </w:hyperlink>
        </w:p>
        <w:p>
          <w:pPr>
            <w:pStyle w:val="Contents5"/>
            <w:tabs>
              <w:tab w:val="clear" w:pos="7892"/>
              <w:tab w:val="right" w:pos="9026" w:leader="dot"/>
            </w:tabs>
            <w:rPr/>
          </w:pPr>
          <w:hyperlink w:anchor="__RefHeading___Toc3973631_1067777946">
            <w:r>
              <w:rPr>
                <w:webHidden/>
                <w:rStyle w:val="IndexLink"/>
                <w:rtl w:val="true"/>
              </w:rPr>
              <w:t>تحريك حمل كننده چيزى و افتادن آن چيز</w:t>
            </w:r>
            <w:r>
              <w:rPr>
                <w:rStyle w:val="IndexLink"/>
                <w:rtl w:val="true"/>
              </w:rPr>
              <w:tab/>
            </w:r>
            <w:r>
              <w:rPr>
                <w:rStyle w:val="IndexLink"/>
              </w:rPr>
              <w:t>529</w:t>
            </w:r>
          </w:hyperlink>
        </w:p>
        <w:p>
          <w:pPr>
            <w:pStyle w:val="Contents5"/>
            <w:tabs>
              <w:tab w:val="clear" w:pos="7892"/>
              <w:tab w:val="right" w:pos="9026" w:leader="dot"/>
            </w:tabs>
            <w:rPr/>
          </w:pPr>
          <w:hyperlink w:anchor="__RefHeading___Toc3973633_1067777946">
            <w:r>
              <w:rPr>
                <w:webHidden/>
                <w:rStyle w:val="IndexLink"/>
                <w:rtl w:val="true"/>
              </w:rPr>
              <w:t>ضمان دعوت كننده در شب</w:t>
            </w:r>
            <w:r>
              <w:rPr>
                <w:rStyle w:val="IndexLink"/>
                <w:rtl w:val="true"/>
              </w:rPr>
              <w:tab/>
            </w:r>
            <w:r>
              <w:rPr>
                <w:rStyle w:val="IndexLink"/>
              </w:rPr>
              <w:t>530</w:t>
            </w:r>
          </w:hyperlink>
        </w:p>
        <w:p>
          <w:pPr>
            <w:pStyle w:val="Contents5"/>
            <w:tabs>
              <w:tab w:val="clear" w:pos="7892"/>
              <w:tab w:val="right" w:pos="9026" w:leader="dot"/>
            </w:tabs>
            <w:rPr/>
          </w:pPr>
          <w:hyperlink w:anchor="__RefHeading___Toc3973635_1067777946">
            <w:r>
              <w:rPr>
                <w:webHidden/>
                <w:rStyle w:val="IndexLink"/>
                <w:rtl w:val="true"/>
              </w:rPr>
              <w:t>منكر شدن اهل طفل را بعد از آوردن توسط دايه</w:t>
            </w:r>
            <w:r>
              <w:rPr>
                <w:rStyle w:val="IndexLink"/>
                <w:rtl w:val="true"/>
              </w:rPr>
              <w:tab/>
            </w:r>
            <w:r>
              <w:rPr>
                <w:rStyle w:val="IndexLink"/>
              </w:rPr>
              <w:t>531</w:t>
            </w:r>
          </w:hyperlink>
        </w:p>
        <w:p>
          <w:pPr>
            <w:pStyle w:val="Contents5"/>
            <w:tabs>
              <w:tab w:val="clear" w:pos="7892"/>
              <w:tab w:val="right" w:pos="9026" w:leader="dot"/>
            </w:tabs>
            <w:rPr/>
          </w:pPr>
          <w:hyperlink w:anchor="__RefHeading___Toc3973637_1067777946">
            <w:r>
              <w:rPr>
                <w:webHidden/>
                <w:rStyle w:val="IndexLink"/>
                <w:rtl w:val="true"/>
              </w:rPr>
              <w:t>از بين رفتن طفل توسط افتادن دايه بر او</w:t>
            </w:r>
            <w:r>
              <w:rPr>
                <w:rStyle w:val="IndexLink"/>
                <w:rtl w:val="true"/>
              </w:rPr>
              <w:tab/>
            </w:r>
            <w:r>
              <w:rPr>
                <w:rStyle w:val="IndexLink"/>
              </w:rPr>
              <w:t>531</w:t>
            </w:r>
          </w:hyperlink>
        </w:p>
        <w:p>
          <w:pPr>
            <w:pStyle w:val="Contents5"/>
            <w:tabs>
              <w:tab w:val="clear" w:pos="7892"/>
              <w:tab w:val="right" w:pos="9026" w:leader="dot"/>
            </w:tabs>
            <w:rPr/>
          </w:pPr>
          <w:hyperlink w:anchor="__RefHeading___Toc3973639_1067777946">
            <w:r>
              <w:rPr>
                <w:webHidden/>
                <w:rStyle w:val="IndexLink"/>
                <w:rtl w:val="true"/>
              </w:rPr>
              <w:t xml:space="preserve">تطبيق محقق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روايتى را بر دخول سارق بر زن</w:t>
            </w:r>
            <w:r>
              <w:rPr>
                <w:rStyle w:val="IndexLink"/>
                <w:rtl w:val="true"/>
              </w:rPr>
              <w:tab/>
            </w:r>
            <w:r>
              <w:rPr>
                <w:rStyle w:val="IndexLink"/>
              </w:rPr>
              <w:t>531</w:t>
            </w:r>
          </w:hyperlink>
        </w:p>
        <w:p>
          <w:pPr>
            <w:pStyle w:val="Contents4"/>
            <w:tabs>
              <w:tab w:val="clear" w:pos="8176"/>
              <w:tab w:val="right" w:pos="9026" w:leader="dot"/>
            </w:tabs>
            <w:rPr/>
          </w:pPr>
          <w:hyperlink w:anchor="__RefHeading___Toc3973641_1067777946">
            <w:r>
              <w:rPr>
                <w:webHidden/>
                <w:rStyle w:val="IndexLink"/>
              </w:rPr>
              <w:t>2</w:t>
            </w:r>
            <w:r>
              <w:rPr>
                <w:rStyle w:val="IndexLink"/>
                <w:rtl w:val="true"/>
              </w:rPr>
              <w:t xml:space="preserve">. </w:t>
            </w:r>
            <w:r>
              <w:rPr>
                <w:rStyle w:val="IndexLink"/>
                <w:rtl w:val="true"/>
              </w:rPr>
              <w:t xml:space="preserve">اسباب موجبۀ ضمان </w:t>
            </w:r>
            <w:r>
              <w:rPr>
                <w:rStyle w:val="IndexLink"/>
                <w:rtl w:val="true"/>
              </w:rPr>
              <w:t>(</w:t>
            </w:r>
            <w:r>
              <w:rPr>
                <w:rStyle w:val="IndexLink"/>
                <w:rtl w:val="true"/>
              </w:rPr>
              <w:t>ضمان به تسبيب</w:t>
            </w:r>
            <w:r>
              <w:rPr>
                <w:rStyle w:val="IndexLink"/>
                <w:rtl w:val="true"/>
              </w:rPr>
              <w:t>)</w:t>
              <w:tab/>
            </w:r>
            <w:r>
              <w:rPr>
                <w:rStyle w:val="IndexLink"/>
              </w:rPr>
              <w:t>532</w:t>
            </w:r>
          </w:hyperlink>
        </w:p>
        <w:p>
          <w:pPr>
            <w:pStyle w:val="Contents5"/>
            <w:tabs>
              <w:tab w:val="clear" w:pos="7892"/>
              <w:tab w:val="right" w:pos="9026" w:leader="dot"/>
            </w:tabs>
            <w:rPr/>
          </w:pPr>
          <w:hyperlink w:anchor="__RefHeading___Toc3973643_1067777946">
            <w:r>
              <w:rPr>
                <w:webHidden/>
                <w:rStyle w:val="IndexLink"/>
                <w:rtl w:val="true"/>
              </w:rPr>
              <w:t>معناى سبب</w:t>
            </w:r>
            <w:r>
              <w:rPr>
                <w:rStyle w:val="IndexLink"/>
                <w:rtl w:val="true"/>
              </w:rPr>
              <w:tab/>
            </w:r>
            <w:r>
              <w:rPr>
                <w:rStyle w:val="IndexLink"/>
              </w:rPr>
              <w:t>532</w:t>
            </w:r>
          </w:hyperlink>
        </w:p>
        <w:p>
          <w:pPr>
            <w:pStyle w:val="Contents5"/>
            <w:tabs>
              <w:tab w:val="clear" w:pos="7892"/>
              <w:tab w:val="right" w:pos="9026" w:leader="dot"/>
            </w:tabs>
            <w:rPr/>
          </w:pPr>
          <w:hyperlink w:anchor="__RefHeading___Toc3973645_1067777946">
            <w:r>
              <w:rPr>
                <w:webHidden/>
                <w:rStyle w:val="IndexLink"/>
                <w:rtl w:val="true"/>
              </w:rPr>
              <w:t>تلف به وسيله گذاردن سنگى در ملك خود يا معبر عام</w:t>
            </w:r>
            <w:r>
              <w:rPr>
                <w:rStyle w:val="IndexLink"/>
                <w:rtl w:val="true"/>
              </w:rPr>
              <w:tab/>
            </w:r>
            <w:r>
              <w:rPr>
                <w:rStyle w:val="IndexLink"/>
              </w:rPr>
              <w:t>532</w:t>
            </w:r>
          </w:hyperlink>
        </w:p>
        <w:p>
          <w:pPr>
            <w:pStyle w:val="Contents6"/>
            <w:tabs>
              <w:tab w:val="clear" w:pos="7609"/>
              <w:tab w:val="right" w:pos="9026" w:leader="dot"/>
            </w:tabs>
            <w:rPr/>
          </w:pPr>
          <w:hyperlink w:anchor="__RefHeading___Toc3973647_1067777946">
            <w:r>
              <w:rPr>
                <w:webHidden/>
                <w:rStyle w:val="IndexLink"/>
                <w:rtl w:val="true"/>
              </w:rPr>
              <w:t>اشاره</w:t>
            </w:r>
            <w:r>
              <w:rPr>
                <w:rStyle w:val="IndexLink"/>
                <w:rtl w:val="true"/>
              </w:rPr>
              <w:tab/>
            </w:r>
            <w:r>
              <w:rPr>
                <w:rStyle w:val="IndexLink"/>
              </w:rPr>
              <w:t>532</w:t>
            </w:r>
          </w:hyperlink>
        </w:p>
        <w:p>
          <w:pPr>
            <w:pStyle w:val="Contents6"/>
            <w:tabs>
              <w:tab w:val="clear" w:pos="7609"/>
              <w:tab w:val="right" w:pos="9026" w:leader="dot"/>
            </w:tabs>
            <w:rPr/>
          </w:pPr>
          <w:hyperlink w:anchor="__RefHeading___Toc3973649_1067777946">
            <w:r>
              <w:rPr>
                <w:webHidden/>
                <w:rStyle w:val="IndexLink"/>
                <w:rtl w:val="true"/>
              </w:rPr>
              <w:t>سنگى كه سيل آن را آورده باشد</w:t>
            </w:r>
            <w:r>
              <w:rPr>
                <w:rStyle w:val="IndexLink"/>
                <w:rtl w:val="true"/>
              </w:rPr>
              <w:tab/>
            </w:r>
            <w:r>
              <w:rPr>
                <w:rStyle w:val="IndexLink"/>
              </w:rPr>
              <w:t>532</w:t>
            </w:r>
          </w:hyperlink>
        </w:p>
        <w:p>
          <w:pPr>
            <w:pStyle w:val="Contents6"/>
            <w:tabs>
              <w:tab w:val="clear" w:pos="7609"/>
              <w:tab w:val="right" w:pos="9026" w:leader="dot"/>
            </w:tabs>
            <w:rPr/>
          </w:pPr>
          <w:hyperlink w:anchor="__RefHeading___Toc3973651_1067777946">
            <w:r>
              <w:rPr>
                <w:webHidden/>
                <w:rStyle w:val="IndexLink"/>
                <w:rtl w:val="true"/>
              </w:rPr>
              <w:t>حفر چاه در كنار سنگ سيل</w:t>
            </w:r>
            <w:r>
              <w:rPr>
                <w:rStyle w:val="IndexLink"/>
                <w:rtl w:val="true"/>
              </w:rPr>
              <w:tab/>
            </w:r>
            <w:r>
              <w:rPr>
                <w:rStyle w:val="IndexLink"/>
              </w:rPr>
              <w:t>533</w:t>
            </w:r>
          </w:hyperlink>
        </w:p>
        <w:p>
          <w:pPr>
            <w:pStyle w:val="Contents6"/>
            <w:tabs>
              <w:tab w:val="clear" w:pos="7609"/>
              <w:tab w:val="right" w:pos="9026" w:leader="dot"/>
            </w:tabs>
            <w:rPr/>
          </w:pPr>
          <w:hyperlink w:anchor="__RefHeading___Toc3973653_1067777946">
            <w:r>
              <w:rPr>
                <w:webHidden/>
                <w:rStyle w:val="IndexLink"/>
                <w:rtl w:val="true"/>
              </w:rPr>
              <w:t>سقوط ضمان از حافر با لحوق به رضاى مالك قبل از سقوط</w:t>
            </w:r>
            <w:r>
              <w:rPr>
                <w:rStyle w:val="IndexLink"/>
                <w:rtl w:val="true"/>
              </w:rPr>
              <w:tab/>
            </w:r>
            <w:r>
              <w:rPr>
                <w:rStyle w:val="IndexLink"/>
              </w:rPr>
              <w:t>533</w:t>
            </w:r>
          </w:hyperlink>
        </w:p>
        <w:p>
          <w:pPr>
            <w:pStyle w:val="Contents6"/>
            <w:tabs>
              <w:tab w:val="clear" w:pos="7609"/>
              <w:tab w:val="right" w:pos="9026" w:leader="dot"/>
            </w:tabs>
            <w:rPr/>
          </w:pPr>
          <w:hyperlink w:anchor="__RefHeading___Toc3973655_1067777946">
            <w:r>
              <w:rPr>
                <w:webHidden/>
                <w:rStyle w:val="IndexLink"/>
                <w:rtl w:val="true"/>
              </w:rPr>
              <w:t>عدم ضمان براى مصلحت عابرين</w:t>
            </w:r>
            <w:r>
              <w:rPr>
                <w:rStyle w:val="IndexLink"/>
                <w:rtl w:val="true"/>
              </w:rPr>
              <w:tab/>
            </w:r>
            <w:r>
              <w:rPr>
                <w:rStyle w:val="IndexLink"/>
              </w:rPr>
              <w:t>533</w:t>
            </w:r>
          </w:hyperlink>
        </w:p>
        <w:p>
          <w:pPr>
            <w:pStyle w:val="Contents6"/>
            <w:tabs>
              <w:tab w:val="clear" w:pos="7609"/>
              <w:tab w:val="right" w:pos="9026" w:leader="dot"/>
            </w:tabs>
            <w:rPr/>
          </w:pPr>
          <w:hyperlink w:anchor="__RefHeading___Toc3973657_1067777946">
            <w:r>
              <w:rPr>
                <w:webHidden/>
                <w:rStyle w:val="IndexLink"/>
                <w:rtl w:val="true"/>
              </w:rPr>
              <w:t>عدم ضمان با اذن اهل اذن</w:t>
            </w:r>
            <w:r>
              <w:rPr>
                <w:rStyle w:val="IndexLink"/>
                <w:rtl w:val="true"/>
              </w:rPr>
              <w:tab/>
            </w:r>
            <w:r>
              <w:rPr>
                <w:rStyle w:val="IndexLink"/>
              </w:rPr>
              <w:t>533</w:t>
            </w:r>
          </w:hyperlink>
        </w:p>
        <w:p>
          <w:pPr>
            <w:pStyle w:val="Contents5"/>
            <w:tabs>
              <w:tab w:val="clear" w:pos="7892"/>
              <w:tab w:val="right" w:pos="9026" w:leader="dot"/>
            </w:tabs>
            <w:rPr/>
          </w:pPr>
          <w:hyperlink w:anchor="__RefHeading___Toc3973659_1067777946">
            <w:r>
              <w:rPr>
                <w:webHidden/>
                <w:rStyle w:val="IndexLink"/>
                <w:rtl w:val="true"/>
              </w:rPr>
              <w:t>بناى مسجد در طريق مسلمين</w:t>
            </w:r>
            <w:r>
              <w:rPr>
                <w:rStyle w:val="IndexLink"/>
                <w:rtl w:val="true"/>
              </w:rPr>
              <w:tab/>
            </w:r>
            <w:r>
              <w:rPr>
                <w:rStyle w:val="IndexLink"/>
              </w:rPr>
              <w:t>534</w:t>
            </w:r>
          </w:hyperlink>
        </w:p>
        <w:p>
          <w:pPr>
            <w:pStyle w:val="Contents5"/>
            <w:tabs>
              <w:tab w:val="clear" w:pos="7892"/>
              <w:tab w:val="right" w:pos="9026" w:leader="dot"/>
            </w:tabs>
            <w:rPr/>
          </w:pPr>
          <w:hyperlink w:anchor="__RefHeading___Toc3973661_1067777946">
            <w:r>
              <w:rPr>
                <w:webHidden/>
                <w:rStyle w:val="IndexLink"/>
                <w:rtl w:val="true"/>
              </w:rPr>
              <w:t>ضمان معلم شنا</w:t>
            </w:r>
            <w:r>
              <w:rPr>
                <w:rStyle w:val="IndexLink"/>
                <w:rtl w:val="true"/>
              </w:rPr>
              <w:tab/>
            </w:r>
            <w:r>
              <w:rPr>
                <w:rStyle w:val="IndexLink"/>
              </w:rPr>
              <w:t>534</w:t>
            </w:r>
          </w:hyperlink>
        </w:p>
        <w:p>
          <w:pPr>
            <w:pStyle w:val="Contents5"/>
            <w:tabs>
              <w:tab w:val="clear" w:pos="7892"/>
              <w:tab w:val="right" w:pos="9026" w:leader="dot"/>
            </w:tabs>
            <w:rPr/>
          </w:pPr>
          <w:hyperlink w:anchor="__RefHeading___Toc3973663_1067777946">
            <w:r>
              <w:rPr>
                <w:webHidden/>
                <w:rStyle w:val="IndexLink"/>
                <w:rtl w:val="true"/>
              </w:rPr>
              <w:t>كشته شدن يكى از ده نفر پرتاب كننده سنگ با همان سنگ</w:t>
            </w:r>
            <w:r>
              <w:rPr>
                <w:rStyle w:val="IndexLink"/>
                <w:rtl w:val="true"/>
              </w:rPr>
              <w:tab/>
            </w:r>
            <w:r>
              <w:rPr>
                <w:rStyle w:val="IndexLink"/>
              </w:rPr>
              <w:t>534</w:t>
            </w:r>
          </w:hyperlink>
        </w:p>
        <w:p>
          <w:pPr>
            <w:pStyle w:val="Contents5"/>
            <w:tabs>
              <w:tab w:val="clear" w:pos="7892"/>
              <w:tab w:val="right" w:pos="9026" w:leader="dot"/>
            </w:tabs>
            <w:rPr/>
          </w:pPr>
          <w:hyperlink w:anchor="__RefHeading___Toc3973665_1067777946">
            <w:r>
              <w:rPr>
                <w:webHidden/>
                <w:rStyle w:val="IndexLink"/>
                <w:rtl w:val="true"/>
              </w:rPr>
              <w:t>تصادف دو كشتى</w:t>
            </w:r>
            <w:r>
              <w:rPr>
                <w:rStyle w:val="IndexLink"/>
                <w:rtl w:val="true"/>
              </w:rPr>
              <w:tab/>
            </w:r>
            <w:r>
              <w:rPr>
                <w:rStyle w:val="IndexLink"/>
              </w:rPr>
              <w:t>535</w:t>
            </w:r>
          </w:hyperlink>
        </w:p>
        <w:p>
          <w:pPr>
            <w:pStyle w:val="Contents6"/>
            <w:tabs>
              <w:tab w:val="clear" w:pos="7609"/>
              <w:tab w:val="right" w:pos="9026" w:leader="dot"/>
            </w:tabs>
            <w:rPr/>
          </w:pPr>
          <w:hyperlink w:anchor="__RefHeading___Toc3973667_1067777946">
            <w:r>
              <w:rPr>
                <w:webHidden/>
                <w:rStyle w:val="IndexLink"/>
                <w:rtl w:val="true"/>
              </w:rPr>
              <w:t>اشاره</w:t>
            </w:r>
            <w:r>
              <w:rPr>
                <w:rStyle w:val="IndexLink"/>
                <w:rtl w:val="true"/>
              </w:rPr>
              <w:tab/>
            </w:r>
            <w:r>
              <w:rPr>
                <w:rStyle w:val="IndexLink"/>
              </w:rPr>
              <w:t>535</w:t>
            </w:r>
          </w:hyperlink>
        </w:p>
        <w:p>
          <w:pPr>
            <w:pStyle w:val="Contents6"/>
            <w:tabs>
              <w:tab w:val="clear" w:pos="7609"/>
              <w:tab w:val="right" w:pos="9026" w:leader="dot"/>
            </w:tabs>
            <w:rPr/>
          </w:pPr>
          <w:hyperlink w:anchor="__RefHeading___Toc3973669_1067777946">
            <w:r>
              <w:rPr>
                <w:webHidden/>
                <w:rStyle w:val="IndexLink"/>
                <w:rtl w:val="true"/>
              </w:rPr>
              <w:t>قصد تصادم بدون قتل</w:t>
            </w:r>
            <w:r>
              <w:rPr>
                <w:rStyle w:val="IndexLink"/>
                <w:rtl w:val="true"/>
              </w:rPr>
              <w:tab/>
            </w:r>
            <w:r>
              <w:rPr>
                <w:rStyle w:val="IndexLink"/>
              </w:rPr>
              <w:t>535</w:t>
            </w:r>
          </w:hyperlink>
        </w:p>
        <w:p>
          <w:pPr>
            <w:pStyle w:val="Contents6"/>
            <w:tabs>
              <w:tab w:val="clear" w:pos="7609"/>
              <w:tab w:val="right" w:pos="9026" w:leader="dot"/>
            </w:tabs>
            <w:rPr/>
          </w:pPr>
          <w:hyperlink w:anchor="__RefHeading___Toc3973671_1067777946">
            <w:r>
              <w:rPr>
                <w:webHidden/>
                <w:rStyle w:val="IndexLink"/>
                <w:rtl w:val="true"/>
              </w:rPr>
              <w:t>جريان حكم مذكور در دو حمّال</w:t>
            </w:r>
            <w:r>
              <w:rPr>
                <w:rStyle w:val="IndexLink"/>
                <w:rtl w:val="true"/>
              </w:rPr>
              <w:tab/>
            </w:r>
            <w:r>
              <w:rPr>
                <w:rStyle w:val="IndexLink"/>
              </w:rPr>
              <w:t>535</w:t>
            </w:r>
          </w:hyperlink>
        </w:p>
        <w:p>
          <w:pPr>
            <w:pStyle w:val="Contents6"/>
            <w:tabs>
              <w:tab w:val="clear" w:pos="7609"/>
              <w:tab w:val="right" w:pos="9026" w:leader="dot"/>
            </w:tabs>
            <w:rPr/>
          </w:pPr>
          <w:hyperlink w:anchor="__RefHeading___Toc3973673_1067777946">
            <w:r>
              <w:rPr>
                <w:webHidden/>
                <w:rStyle w:val="IndexLink"/>
                <w:rtl w:val="true"/>
              </w:rPr>
              <w:t>تلف تمامى اموال در فرض مذكور</w:t>
            </w:r>
            <w:r>
              <w:rPr>
                <w:rStyle w:val="IndexLink"/>
                <w:rtl w:val="true"/>
              </w:rPr>
              <w:tab/>
            </w:r>
            <w:r>
              <w:rPr>
                <w:rStyle w:val="IndexLink"/>
              </w:rPr>
              <w:t>536</w:t>
            </w:r>
          </w:hyperlink>
        </w:p>
        <w:p>
          <w:pPr>
            <w:pStyle w:val="Contents6"/>
            <w:tabs>
              <w:tab w:val="clear" w:pos="7609"/>
              <w:tab w:val="right" w:pos="9026" w:leader="dot"/>
            </w:tabs>
            <w:rPr/>
          </w:pPr>
          <w:hyperlink w:anchor="__RefHeading___Toc3973675_1067777946">
            <w:r>
              <w:rPr>
                <w:webHidden/>
                <w:rStyle w:val="IndexLink"/>
                <w:rtl w:val="true"/>
              </w:rPr>
              <w:t>اگر محرك كشتى غاصب باشند و همه اموال تلف شود</w:t>
            </w:r>
            <w:r>
              <w:rPr>
                <w:rStyle w:val="IndexLink"/>
                <w:rtl w:val="true"/>
              </w:rPr>
              <w:tab/>
            </w:r>
            <w:r>
              <w:rPr>
                <w:rStyle w:val="IndexLink"/>
              </w:rPr>
              <w:t>536</w:t>
            </w:r>
          </w:hyperlink>
        </w:p>
        <w:p>
          <w:pPr>
            <w:pStyle w:val="Contents6"/>
            <w:tabs>
              <w:tab w:val="clear" w:pos="7609"/>
              <w:tab w:val="right" w:pos="9026" w:leader="dot"/>
            </w:tabs>
            <w:rPr/>
          </w:pPr>
          <w:hyperlink w:anchor="__RefHeading___Toc3973677_1067777946">
            <w:r>
              <w:rPr>
                <w:webHidden/>
                <w:rStyle w:val="IndexLink"/>
                <w:rtl w:val="true"/>
              </w:rPr>
              <w:t>عدم ضمان در فرض امين بودن</w:t>
            </w:r>
            <w:r>
              <w:rPr>
                <w:rStyle w:val="IndexLink"/>
                <w:rtl w:val="true"/>
              </w:rPr>
              <w:tab/>
            </w:r>
            <w:r>
              <w:rPr>
                <w:rStyle w:val="IndexLink"/>
              </w:rPr>
              <w:t>536</w:t>
            </w:r>
          </w:hyperlink>
        </w:p>
        <w:p>
          <w:pPr>
            <w:pStyle w:val="Contents6"/>
            <w:tabs>
              <w:tab w:val="clear" w:pos="7609"/>
              <w:tab w:val="right" w:pos="9026" w:leader="dot"/>
            </w:tabs>
            <w:rPr/>
          </w:pPr>
          <w:hyperlink w:anchor="__RefHeading___Toc3973679_1067777946">
            <w:r>
              <w:rPr>
                <w:webHidden/>
                <w:rStyle w:val="IndexLink"/>
                <w:rtl w:val="true"/>
              </w:rPr>
              <w:t>اگر محرك كشتى طفل يا مجنون باشد</w:t>
            </w:r>
            <w:r>
              <w:rPr>
                <w:rStyle w:val="IndexLink"/>
                <w:rtl w:val="true"/>
              </w:rPr>
              <w:tab/>
            </w:r>
            <w:r>
              <w:rPr>
                <w:rStyle w:val="IndexLink"/>
              </w:rPr>
              <w:t>536</w:t>
            </w:r>
          </w:hyperlink>
        </w:p>
        <w:p>
          <w:pPr>
            <w:pStyle w:val="Contents6"/>
            <w:tabs>
              <w:tab w:val="clear" w:pos="7609"/>
              <w:tab w:val="right" w:pos="9026" w:leader="dot"/>
            </w:tabs>
            <w:rPr/>
          </w:pPr>
          <w:hyperlink w:anchor="__RefHeading___Toc3973681_1067777946">
            <w:r>
              <w:rPr>
                <w:webHidden/>
                <w:rStyle w:val="IndexLink"/>
                <w:rtl w:val="true"/>
              </w:rPr>
              <w:t>فرض عدم تفريط در محرك كشتى ها</w:t>
            </w:r>
            <w:r>
              <w:rPr>
                <w:rStyle w:val="IndexLink"/>
                <w:rtl w:val="true"/>
              </w:rPr>
              <w:tab/>
            </w:r>
            <w:r>
              <w:rPr>
                <w:rStyle w:val="IndexLink"/>
              </w:rPr>
              <w:t>537</w:t>
            </w:r>
          </w:hyperlink>
        </w:p>
        <w:p>
          <w:pPr>
            <w:pStyle w:val="Contents5"/>
            <w:tabs>
              <w:tab w:val="clear" w:pos="7892"/>
              <w:tab w:val="right" w:pos="9026" w:leader="dot"/>
            </w:tabs>
            <w:rPr/>
          </w:pPr>
          <w:hyperlink w:anchor="__RefHeading___Toc3973683_1067777946">
            <w:r>
              <w:rPr>
                <w:webHidden/>
                <w:rStyle w:val="IndexLink"/>
                <w:rtl w:val="true"/>
              </w:rPr>
              <w:t>اگر كشتى در اثر اقدام بر اصلاح آن غرق شود</w:t>
            </w:r>
            <w:r>
              <w:rPr>
                <w:rStyle w:val="IndexLink"/>
                <w:rtl w:val="true"/>
              </w:rPr>
              <w:tab/>
            </w:r>
            <w:r>
              <w:rPr>
                <w:rStyle w:val="IndexLink"/>
              </w:rPr>
              <w:t>537</w:t>
            </w:r>
          </w:hyperlink>
        </w:p>
        <w:p>
          <w:pPr>
            <w:pStyle w:val="Contents5"/>
            <w:tabs>
              <w:tab w:val="clear" w:pos="7892"/>
              <w:tab w:val="right" w:pos="9026" w:leader="dot"/>
            </w:tabs>
            <w:rPr/>
          </w:pPr>
          <w:hyperlink w:anchor="__RefHeading___Toc3973685_1067777946">
            <w:r>
              <w:rPr>
                <w:webHidden/>
                <w:rStyle w:val="IndexLink"/>
                <w:rtl w:val="true"/>
              </w:rPr>
              <w:t>فرض عدم ضمان در خراب شدن ديوار</w:t>
            </w:r>
            <w:r>
              <w:rPr>
                <w:rStyle w:val="IndexLink"/>
                <w:rtl w:val="true"/>
              </w:rPr>
              <w:tab/>
            </w:r>
            <w:r>
              <w:rPr>
                <w:rStyle w:val="IndexLink"/>
              </w:rPr>
              <w:t>538</w:t>
            </w:r>
          </w:hyperlink>
        </w:p>
        <w:p>
          <w:pPr>
            <w:pStyle w:val="Contents6"/>
            <w:tabs>
              <w:tab w:val="clear" w:pos="7609"/>
              <w:tab w:val="right" w:pos="9026" w:leader="dot"/>
            </w:tabs>
            <w:rPr/>
          </w:pPr>
          <w:hyperlink w:anchor="__RefHeading___Toc3973687_1067777946">
            <w:r>
              <w:rPr>
                <w:webHidden/>
                <w:rStyle w:val="IndexLink"/>
                <w:rtl w:val="true"/>
              </w:rPr>
              <w:t>اشاره</w:t>
            </w:r>
            <w:r>
              <w:rPr>
                <w:rStyle w:val="IndexLink"/>
                <w:rtl w:val="true"/>
              </w:rPr>
              <w:tab/>
            </w:r>
            <w:r>
              <w:rPr>
                <w:rStyle w:val="IndexLink"/>
              </w:rPr>
              <w:t>538</w:t>
            </w:r>
          </w:hyperlink>
        </w:p>
        <w:p>
          <w:pPr>
            <w:pStyle w:val="Contents6"/>
            <w:tabs>
              <w:tab w:val="clear" w:pos="7609"/>
              <w:tab w:val="right" w:pos="9026" w:leader="dot"/>
            </w:tabs>
            <w:rPr/>
          </w:pPr>
          <w:hyperlink w:anchor="__RefHeading___Toc3973689_1067777946">
            <w:r>
              <w:rPr>
                <w:webHidden/>
                <w:rStyle w:val="IndexLink"/>
                <w:rtl w:val="true"/>
              </w:rPr>
              <w:t>فرض ضمان در خراب شدن ديوار</w:t>
            </w:r>
            <w:r>
              <w:rPr>
                <w:rStyle w:val="IndexLink"/>
                <w:rtl w:val="true"/>
              </w:rPr>
              <w:tab/>
            </w:r>
            <w:r>
              <w:rPr>
                <w:rStyle w:val="IndexLink"/>
              </w:rPr>
              <w:t>538</w:t>
            </w:r>
          </w:hyperlink>
        </w:p>
        <w:p>
          <w:pPr>
            <w:pStyle w:val="Contents6"/>
            <w:tabs>
              <w:tab w:val="clear" w:pos="7609"/>
              <w:tab w:val="right" w:pos="9026" w:leader="dot"/>
            </w:tabs>
            <w:rPr/>
          </w:pPr>
          <w:hyperlink w:anchor="__RefHeading___Toc3973691_1067777946">
            <w:r>
              <w:rPr>
                <w:webHidden/>
                <w:rStyle w:val="IndexLink"/>
                <w:rtl w:val="true"/>
              </w:rPr>
              <w:t>اگر ديوار خراب شده مال طفل يا مجنون باشد</w:t>
            </w:r>
            <w:r>
              <w:rPr>
                <w:rStyle w:val="IndexLink"/>
                <w:rtl w:val="true"/>
              </w:rPr>
              <w:tab/>
            </w:r>
            <w:r>
              <w:rPr>
                <w:rStyle w:val="IndexLink"/>
              </w:rPr>
              <w:t>539</w:t>
            </w:r>
          </w:hyperlink>
        </w:p>
        <w:p>
          <w:pPr>
            <w:pStyle w:val="Contents6"/>
            <w:tabs>
              <w:tab w:val="clear" w:pos="7609"/>
              <w:tab w:val="right" w:pos="9026" w:leader="dot"/>
            </w:tabs>
            <w:rPr/>
          </w:pPr>
          <w:hyperlink w:anchor="__RefHeading___Toc3973693_1067777946">
            <w:r>
              <w:rPr>
                <w:webHidden/>
                <w:rStyle w:val="IndexLink"/>
                <w:rtl w:val="true"/>
              </w:rPr>
              <w:t>چند فرع ديگر در خراب شدن ديوار</w:t>
            </w:r>
            <w:r>
              <w:rPr>
                <w:rStyle w:val="IndexLink"/>
                <w:rtl w:val="true"/>
              </w:rPr>
              <w:tab/>
            </w:r>
            <w:r>
              <w:rPr>
                <w:rStyle w:val="IndexLink"/>
              </w:rPr>
              <w:t>539</w:t>
            </w:r>
          </w:hyperlink>
        </w:p>
        <w:p>
          <w:pPr>
            <w:pStyle w:val="Contents5"/>
            <w:tabs>
              <w:tab w:val="clear" w:pos="7892"/>
              <w:tab w:val="right" w:pos="9026" w:leader="dot"/>
            </w:tabs>
            <w:rPr/>
          </w:pPr>
          <w:hyperlink w:anchor="__RefHeading___Toc3973695_1067777946">
            <w:r>
              <w:rPr>
                <w:webHidden/>
                <w:rStyle w:val="IndexLink"/>
                <w:rtl w:val="true"/>
              </w:rPr>
              <w:t>قرار دادن ناودان در راه</w:t>
            </w:r>
            <w:r>
              <w:rPr>
                <w:rStyle w:val="IndexLink"/>
                <w:rtl w:val="true"/>
              </w:rPr>
              <w:tab/>
            </w:r>
            <w:r>
              <w:rPr>
                <w:rStyle w:val="IndexLink"/>
              </w:rPr>
              <w:t>539</w:t>
            </w:r>
          </w:hyperlink>
        </w:p>
        <w:p>
          <w:pPr>
            <w:pStyle w:val="Contents6"/>
            <w:tabs>
              <w:tab w:val="clear" w:pos="7609"/>
              <w:tab w:val="right" w:pos="9026" w:leader="dot"/>
            </w:tabs>
            <w:rPr/>
          </w:pPr>
          <w:hyperlink w:anchor="__RefHeading___Toc3973697_1067777946">
            <w:r>
              <w:rPr>
                <w:webHidden/>
                <w:rStyle w:val="IndexLink"/>
                <w:rtl w:val="true"/>
              </w:rPr>
              <w:t>اشاره</w:t>
            </w:r>
            <w:r>
              <w:rPr>
                <w:rStyle w:val="IndexLink"/>
                <w:rtl w:val="true"/>
              </w:rPr>
              <w:tab/>
            </w:r>
            <w:r>
              <w:rPr>
                <w:rStyle w:val="IndexLink"/>
              </w:rPr>
              <w:t>539</w:t>
            </w:r>
          </w:hyperlink>
        </w:p>
        <w:p>
          <w:pPr>
            <w:pStyle w:val="Contents6"/>
            <w:tabs>
              <w:tab w:val="clear" w:pos="7609"/>
              <w:tab w:val="right" w:pos="9026" w:leader="dot"/>
            </w:tabs>
            <w:rPr/>
          </w:pPr>
          <w:hyperlink w:anchor="__RefHeading___Toc3973699_1067777946">
            <w:r>
              <w:rPr>
                <w:webHidden/>
                <w:rStyle w:val="IndexLink"/>
                <w:rtl w:val="true"/>
              </w:rPr>
              <w:t>اگر در ملك خود آتشى بيفروزد و چيزى تلف شود از غير</w:t>
            </w:r>
            <w:r>
              <w:rPr>
                <w:rStyle w:val="IndexLink"/>
                <w:rtl w:val="true"/>
              </w:rPr>
              <w:tab/>
            </w:r>
            <w:r>
              <w:rPr>
                <w:rStyle w:val="IndexLink"/>
              </w:rPr>
              <w:t>540</w:t>
            </w:r>
          </w:hyperlink>
        </w:p>
        <w:p>
          <w:pPr>
            <w:pStyle w:val="Contents6"/>
            <w:tabs>
              <w:tab w:val="clear" w:pos="7609"/>
              <w:tab w:val="right" w:pos="9026" w:leader="dot"/>
            </w:tabs>
            <w:rPr/>
          </w:pPr>
          <w:hyperlink w:anchor="__RefHeading___Toc3973701_1067777946">
            <w:r>
              <w:rPr>
                <w:webHidden/>
                <w:rStyle w:val="IndexLink"/>
                <w:rtl w:val="true"/>
              </w:rPr>
              <w:t>اگر در ملك غير يا در راه عمومى آتش افروخت</w:t>
            </w:r>
            <w:r>
              <w:rPr>
                <w:rStyle w:val="IndexLink"/>
                <w:rtl w:val="true"/>
              </w:rPr>
              <w:tab/>
            </w:r>
            <w:r>
              <w:rPr>
                <w:rStyle w:val="IndexLink"/>
              </w:rPr>
              <w:t>540</w:t>
            </w:r>
          </w:hyperlink>
        </w:p>
        <w:p>
          <w:pPr>
            <w:pStyle w:val="Contents6"/>
            <w:tabs>
              <w:tab w:val="clear" w:pos="7609"/>
              <w:tab w:val="right" w:pos="9026" w:leader="dot"/>
            </w:tabs>
            <w:rPr/>
          </w:pPr>
          <w:hyperlink w:anchor="__RefHeading___Toc3973703_1067777946">
            <w:r>
              <w:rPr>
                <w:webHidden/>
                <w:rStyle w:val="IndexLink"/>
                <w:rtl w:val="true"/>
              </w:rPr>
              <w:t>اگر فضلات مركوب شخصى موجب اتلاف شود</w:t>
            </w:r>
            <w:r>
              <w:rPr>
                <w:rStyle w:val="IndexLink"/>
                <w:rtl w:val="true"/>
              </w:rPr>
              <w:tab/>
            </w:r>
            <w:r>
              <w:rPr>
                <w:rStyle w:val="IndexLink"/>
              </w:rPr>
              <w:t>541</w:t>
            </w:r>
          </w:hyperlink>
        </w:p>
        <w:p>
          <w:pPr>
            <w:pStyle w:val="Contents6"/>
            <w:tabs>
              <w:tab w:val="clear" w:pos="7609"/>
              <w:tab w:val="right" w:pos="9026" w:leader="dot"/>
            </w:tabs>
            <w:rPr/>
          </w:pPr>
          <w:hyperlink w:anchor="__RefHeading___Toc3973705_1067777946">
            <w:r>
              <w:rPr>
                <w:webHidden/>
                <w:rStyle w:val="IndexLink"/>
                <w:rtl w:val="true"/>
              </w:rPr>
              <w:t>نسيان و غفلت در فرض ضمان به عدوان شأنى</w:t>
            </w:r>
            <w:r>
              <w:rPr>
                <w:rStyle w:val="IndexLink"/>
                <w:rtl w:val="true"/>
              </w:rPr>
              <w:tab/>
            </w:r>
            <w:r>
              <w:rPr>
                <w:rStyle w:val="IndexLink"/>
              </w:rPr>
              <w:t>541</w:t>
            </w:r>
          </w:hyperlink>
        </w:p>
        <w:p>
          <w:pPr>
            <w:pStyle w:val="Contents6"/>
            <w:tabs>
              <w:tab w:val="clear" w:pos="7609"/>
              <w:tab w:val="right" w:pos="9026" w:leader="dot"/>
            </w:tabs>
            <w:rPr/>
          </w:pPr>
          <w:hyperlink w:anchor="__RefHeading___Toc3973707_1067777946">
            <w:r>
              <w:rPr>
                <w:webHidden/>
                <w:rStyle w:val="IndexLink"/>
                <w:rtl w:val="true"/>
              </w:rPr>
              <w:t>رعايت مماثلت و</w:t>
            </w:r>
            <w:r>
              <w:rPr>
                <w:rStyle w:val="IndexLink"/>
                <w:rtl w:val="true"/>
              </w:rPr>
              <w:t xml:space="preserve">... </w:t>
            </w:r>
            <w:r>
              <w:rPr>
                <w:rStyle w:val="IndexLink"/>
                <w:rtl w:val="true"/>
              </w:rPr>
              <w:t>حكم به عدم ضمان با عدم عدوان</w:t>
            </w:r>
            <w:r>
              <w:rPr>
                <w:rStyle w:val="IndexLink"/>
                <w:rtl w:val="true"/>
              </w:rPr>
              <w:tab/>
            </w:r>
            <w:r>
              <w:rPr>
                <w:rStyle w:val="IndexLink"/>
              </w:rPr>
              <w:t>541</w:t>
            </w:r>
          </w:hyperlink>
        </w:p>
        <w:p>
          <w:pPr>
            <w:pStyle w:val="Contents6"/>
            <w:tabs>
              <w:tab w:val="clear" w:pos="7609"/>
              <w:tab w:val="right" w:pos="9026" w:leader="dot"/>
            </w:tabs>
            <w:rPr/>
          </w:pPr>
          <w:hyperlink w:anchor="__RefHeading___Toc3973709_1067777946">
            <w:r>
              <w:rPr>
                <w:webHidden/>
                <w:rStyle w:val="IndexLink"/>
                <w:rtl w:val="true"/>
              </w:rPr>
              <w:t>بناى دكان در معبر عام</w:t>
            </w:r>
            <w:r>
              <w:rPr>
                <w:rStyle w:val="IndexLink"/>
                <w:rtl w:val="true"/>
              </w:rPr>
              <w:tab/>
            </w:r>
            <w:r>
              <w:rPr>
                <w:rStyle w:val="IndexLink"/>
              </w:rPr>
              <w:t>542</w:t>
            </w:r>
          </w:hyperlink>
        </w:p>
        <w:p>
          <w:pPr>
            <w:pStyle w:val="Contents5"/>
            <w:tabs>
              <w:tab w:val="clear" w:pos="7892"/>
              <w:tab w:val="right" w:pos="9026" w:leader="dot"/>
            </w:tabs>
            <w:rPr/>
          </w:pPr>
          <w:hyperlink w:anchor="__RefHeading___Toc3973711_1067777946">
            <w:r>
              <w:rPr>
                <w:webHidden/>
                <w:rStyle w:val="IndexLink"/>
                <w:rtl w:val="true"/>
              </w:rPr>
              <w:t>حكم تلف به وسيله ظرف روى ديوار</w:t>
            </w:r>
            <w:r>
              <w:rPr>
                <w:rStyle w:val="IndexLink"/>
                <w:rtl w:val="true"/>
              </w:rPr>
              <w:tab/>
            </w:r>
            <w:r>
              <w:rPr>
                <w:rStyle w:val="IndexLink"/>
              </w:rPr>
              <w:t>542</w:t>
            </w:r>
          </w:hyperlink>
        </w:p>
        <w:p>
          <w:pPr>
            <w:pStyle w:val="Contents5"/>
            <w:tabs>
              <w:tab w:val="clear" w:pos="7892"/>
              <w:tab w:val="right" w:pos="9026" w:leader="dot"/>
            </w:tabs>
            <w:rPr/>
          </w:pPr>
          <w:hyperlink w:anchor="__RefHeading___Toc3973713_1067777946">
            <w:r>
              <w:rPr>
                <w:webHidden/>
                <w:rStyle w:val="IndexLink"/>
                <w:rtl w:val="true"/>
              </w:rPr>
              <w:t>وجوب نگهدارى حيوان در بعضى وقت ها</w:t>
            </w:r>
            <w:r>
              <w:rPr>
                <w:rStyle w:val="IndexLink"/>
                <w:rtl w:val="true"/>
              </w:rPr>
              <w:tab/>
            </w:r>
            <w:r>
              <w:rPr>
                <w:rStyle w:val="IndexLink"/>
              </w:rPr>
              <w:t>542</w:t>
            </w:r>
          </w:hyperlink>
        </w:p>
        <w:p>
          <w:pPr>
            <w:pStyle w:val="Contents6"/>
            <w:tabs>
              <w:tab w:val="clear" w:pos="7609"/>
              <w:tab w:val="right" w:pos="9026" w:leader="dot"/>
            </w:tabs>
            <w:rPr/>
          </w:pPr>
          <w:hyperlink w:anchor="__RefHeading___Toc3973715_1067777946">
            <w:r>
              <w:rPr>
                <w:webHidden/>
                <w:rStyle w:val="IndexLink"/>
                <w:rtl w:val="true"/>
              </w:rPr>
              <w:t>اشاره</w:t>
            </w:r>
            <w:r>
              <w:rPr>
                <w:rStyle w:val="IndexLink"/>
                <w:rtl w:val="true"/>
              </w:rPr>
              <w:tab/>
            </w:r>
            <w:r>
              <w:rPr>
                <w:rStyle w:val="IndexLink"/>
              </w:rPr>
              <w:t>542</w:t>
            </w:r>
          </w:hyperlink>
        </w:p>
        <w:p>
          <w:pPr>
            <w:pStyle w:val="Contents6"/>
            <w:tabs>
              <w:tab w:val="clear" w:pos="7609"/>
              <w:tab w:val="right" w:pos="9026" w:leader="dot"/>
            </w:tabs>
            <w:rPr/>
          </w:pPr>
          <w:hyperlink w:anchor="__RefHeading___Toc3973717_1067777946">
            <w:r>
              <w:rPr>
                <w:webHidden/>
                <w:rStyle w:val="IndexLink"/>
                <w:rtl w:val="true"/>
              </w:rPr>
              <w:t>عدم ضمان در مقام دفع حيوان درنده</w:t>
            </w:r>
            <w:r>
              <w:rPr>
                <w:rStyle w:val="IndexLink"/>
                <w:rtl w:val="true"/>
              </w:rPr>
              <w:tab/>
            </w:r>
            <w:r>
              <w:rPr>
                <w:rStyle w:val="IndexLink"/>
              </w:rPr>
              <w:t>542</w:t>
            </w:r>
          </w:hyperlink>
        </w:p>
        <w:p>
          <w:pPr>
            <w:pStyle w:val="Contents6"/>
            <w:tabs>
              <w:tab w:val="clear" w:pos="7609"/>
              <w:tab w:val="right" w:pos="9026" w:leader="dot"/>
            </w:tabs>
            <w:rPr/>
          </w:pPr>
          <w:hyperlink w:anchor="__RefHeading___Toc3973719_1067777946">
            <w:r>
              <w:rPr>
                <w:webHidden/>
                <w:rStyle w:val="IndexLink"/>
                <w:rtl w:val="true"/>
              </w:rPr>
              <w:t>لزوم حفظ گربه اگر درنده شود</w:t>
            </w:r>
            <w:r>
              <w:rPr>
                <w:rStyle w:val="IndexLink"/>
                <w:rtl w:val="true"/>
              </w:rPr>
              <w:tab/>
            </w:r>
            <w:r>
              <w:rPr>
                <w:rStyle w:val="IndexLink"/>
              </w:rPr>
              <w:t>542</w:t>
            </w:r>
          </w:hyperlink>
        </w:p>
        <w:p>
          <w:pPr>
            <w:pStyle w:val="Contents5"/>
            <w:tabs>
              <w:tab w:val="clear" w:pos="7892"/>
              <w:tab w:val="right" w:pos="9026" w:leader="dot"/>
            </w:tabs>
            <w:rPr/>
          </w:pPr>
          <w:hyperlink w:anchor="__RefHeading___Toc3973721_1067777946">
            <w:r>
              <w:rPr>
                <w:webHidden/>
                <w:rStyle w:val="IndexLink"/>
                <w:rtl w:val="true"/>
              </w:rPr>
              <w:t>اگر حيوان كسى بر حيوان ديگرى آسيب بزند</w:t>
            </w:r>
            <w:r>
              <w:rPr>
                <w:rStyle w:val="IndexLink"/>
                <w:rtl w:val="true"/>
              </w:rPr>
              <w:tab/>
            </w:r>
            <w:r>
              <w:rPr>
                <w:rStyle w:val="IndexLink"/>
              </w:rPr>
              <w:t>543</w:t>
            </w:r>
          </w:hyperlink>
        </w:p>
        <w:p>
          <w:pPr>
            <w:pStyle w:val="Contents5"/>
            <w:tabs>
              <w:tab w:val="clear" w:pos="7892"/>
              <w:tab w:val="right" w:pos="9026" w:leader="dot"/>
            </w:tabs>
            <w:rPr/>
          </w:pPr>
          <w:hyperlink w:anchor="__RefHeading___Toc3973723_1067777946">
            <w:r>
              <w:rPr>
                <w:webHidden/>
                <w:rStyle w:val="IndexLink"/>
                <w:rtl w:val="true"/>
              </w:rPr>
              <w:t>اگر سگ خانه اى، واردِ بر آن خانه را بِدَرَد</w:t>
            </w:r>
            <w:r>
              <w:rPr>
                <w:rStyle w:val="IndexLink"/>
                <w:rtl w:val="true"/>
              </w:rPr>
              <w:tab/>
            </w:r>
            <w:r>
              <w:rPr>
                <w:rStyle w:val="IndexLink"/>
              </w:rPr>
              <w:t>543</w:t>
            </w:r>
          </w:hyperlink>
        </w:p>
        <w:p>
          <w:pPr>
            <w:pStyle w:val="Contents5"/>
            <w:tabs>
              <w:tab w:val="clear" w:pos="7892"/>
              <w:tab w:val="right" w:pos="9026" w:leader="dot"/>
            </w:tabs>
            <w:rPr/>
          </w:pPr>
          <w:hyperlink w:anchor="__RefHeading___Toc3973725_1067777946">
            <w:r>
              <w:rPr>
                <w:webHidden/>
                <w:rStyle w:val="IndexLink"/>
                <w:rtl w:val="true"/>
              </w:rPr>
              <w:t>تفصيل بين راكب و سايق دابه در ضمان بر دست و پاى دابّه</w:t>
            </w:r>
            <w:r>
              <w:rPr>
                <w:rStyle w:val="IndexLink"/>
                <w:rtl w:val="true"/>
              </w:rPr>
              <w:tab/>
            </w:r>
            <w:r>
              <w:rPr>
                <w:rStyle w:val="IndexLink"/>
              </w:rPr>
              <w:t>543</w:t>
            </w:r>
          </w:hyperlink>
        </w:p>
        <w:p>
          <w:pPr>
            <w:pStyle w:val="Contents6"/>
            <w:tabs>
              <w:tab w:val="clear" w:pos="7609"/>
              <w:tab w:val="right" w:pos="9026" w:leader="dot"/>
            </w:tabs>
            <w:rPr/>
          </w:pPr>
          <w:hyperlink w:anchor="__RefHeading___Toc3973727_1067777946">
            <w:r>
              <w:rPr>
                <w:webHidden/>
                <w:rStyle w:val="IndexLink"/>
                <w:rtl w:val="true"/>
              </w:rPr>
              <w:t>اشاره</w:t>
            </w:r>
            <w:r>
              <w:rPr>
                <w:rStyle w:val="IndexLink"/>
                <w:rtl w:val="true"/>
              </w:rPr>
              <w:tab/>
            </w:r>
            <w:r>
              <w:rPr>
                <w:rStyle w:val="IndexLink"/>
              </w:rPr>
              <w:t>543</w:t>
            </w:r>
          </w:hyperlink>
        </w:p>
        <w:p>
          <w:pPr>
            <w:pStyle w:val="Contents6"/>
            <w:tabs>
              <w:tab w:val="clear" w:pos="7609"/>
              <w:tab w:val="right" w:pos="9026" w:leader="dot"/>
            </w:tabs>
            <w:rPr/>
          </w:pPr>
          <w:hyperlink w:anchor="__RefHeading___Toc3973729_1067777946">
            <w:r>
              <w:rPr>
                <w:webHidden/>
                <w:rStyle w:val="IndexLink"/>
                <w:rtl w:val="true"/>
              </w:rPr>
              <w:t>عدم مانعيّت نسيان و غفلت از ضمان به تفريط</w:t>
            </w:r>
            <w:r>
              <w:rPr>
                <w:rStyle w:val="IndexLink"/>
                <w:rtl w:val="true"/>
              </w:rPr>
              <w:tab/>
            </w:r>
            <w:r>
              <w:rPr>
                <w:rStyle w:val="IndexLink"/>
              </w:rPr>
              <w:t>544</w:t>
            </w:r>
          </w:hyperlink>
        </w:p>
        <w:p>
          <w:pPr>
            <w:pStyle w:val="Contents6"/>
            <w:tabs>
              <w:tab w:val="clear" w:pos="7609"/>
              <w:tab w:val="right" w:pos="9026" w:leader="dot"/>
            </w:tabs>
            <w:rPr/>
          </w:pPr>
          <w:hyperlink w:anchor="__RefHeading___Toc3973731_1067777946">
            <w:r>
              <w:rPr>
                <w:webHidden/>
                <w:rStyle w:val="IndexLink"/>
                <w:rtl w:val="true"/>
              </w:rPr>
              <w:t>تلف شدن شخصى در اثر زدن به دابّه</w:t>
            </w:r>
            <w:r>
              <w:rPr>
                <w:rStyle w:val="IndexLink"/>
                <w:rtl w:val="true"/>
              </w:rPr>
              <w:tab/>
            </w:r>
            <w:r>
              <w:rPr>
                <w:rStyle w:val="IndexLink"/>
              </w:rPr>
              <w:t>544</w:t>
            </w:r>
          </w:hyperlink>
        </w:p>
        <w:p>
          <w:pPr>
            <w:pStyle w:val="Contents6"/>
            <w:tabs>
              <w:tab w:val="clear" w:pos="7609"/>
              <w:tab w:val="right" w:pos="9026" w:leader="dot"/>
            </w:tabs>
            <w:rPr/>
          </w:pPr>
          <w:hyperlink w:anchor="__RefHeading___Toc3973733_1067777946">
            <w:r>
              <w:rPr>
                <w:webHidden/>
                <w:rStyle w:val="IndexLink"/>
                <w:rtl w:val="true"/>
              </w:rPr>
              <w:t>فرض وحدت و تعدد سائق ها</w:t>
            </w:r>
            <w:r>
              <w:rPr>
                <w:rStyle w:val="IndexLink"/>
                <w:rtl w:val="true"/>
              </w:rPr>
              <w:tab/>
            </w:r>
            <w:r>
              <w:rPr>
                <w:rStyle w:val="IndexLink"/>
              </w:rPr>
              <w:t>545</w:t>
            </w:r>
          </w:hyperlink>
        </w:p>
        <w:p>
          <w:pPr>
            <w:pStyle w:val="Contents6"/>
            <w:tabs>
              <w:tab w:val="clear" w:pos="7609"/>
              <w:tab w:val="right" w:pos="9026" w:leader="dot"/>
            </w:tabs>
            <w:rPr/>
          </w:pPr>
          <w:hyperlink w:anchor="__RefHeading___Toc3973735_1067777946">
            <w:r>
              <w:rPr>
                <w:webHidden/>
                <w:rStyle w:val="IndexLink"/>
                <w:rtl w:val="true"/>
              </w:rPr>
              <w:t>فرض ضمان صاحب دابّه و عدم ضمان راكب</w:t>
            </w:r>
            <w:r>
              <w:rPr>
                <w:rStyle w:val="IndexLink"/>
                <w:rtl w:val="true"/>
              </w:rPr>
              <w:tab/>
            </w:r>
            <w:r>
              <w:rPr>
                <w:rStyle w:val="IndexLink"/>
              </w:rPr>
              <w:t>545</w:t>
            </w:r>
          </w:hyperlink>
        </w:p>
        <w:p>
          <w:pPr>
            <w:pStyle w:val="Contents6"/>
            <w:tabs>
              <w:tab w:val="clear" w:pos="7609"/>
              <w:tab w:val="right" w:pos="9026" w:leader="dot"/>
            </w:tabs>
            <w:rPr/>
          </w:pPr>
          <w:hyperlink w:anchor="__RefHeading___Toc3973737_1067777946">
            <w:r>
              <w:rPr>
                <w:webHidden/>
                <w:rStyle w:val="IndexLink"/>
                <w:rtl w:val="true"/>
              </w:rPr>
              <w:t>ضمان مملوك سواره</w:t>
            </w:r>
            <w:r>
              <w:rPr>
                <w:rStyle w:val="IndexLink"/>
                <w:rtl w:val="true"/>
              </w:rPr>
              <w:tab/>
            </w:r>
            <w:r>
              <w:rPr>
                <w:rStyle w:val="IndexLink"/>
              </w:rPr>
              <w:t>545</w:t>
            </w:r>
          </w:hyperlink>
        </w:p>
        <w:p>
          <w:pPr>
            <w:pStyle w:val="Contents5"/>
            <w:tabs>
              <w:tab w:val="clear" w:pos="7892"/>
              <w:tab w:val="right" w:pos="9026" w:leader="dot"/>
            </w:tabs>
            <w:rPr/>
          </w:pPr>
          <w:hyperlink w:anchor="__RefHeading___Toc3973739_1067777946">
            <w:r>
              <w:rPr>
                <w:webHidden/>
                <w:rStyle w:val="IndexLink"/>
                <w:rtl w:val="true"/>
              </w:rPr>
              <w:t>داخل شدن حيوان در زراعت كسى</w:t>
            </w:r>
            <w:r>
              <w:rPr>
                <w:rStyle w:val="IndexLink"/>
                <w:rtl w:val="true"/>
              </w:rPr>
              <w:tab/>
            </w:r>
            <w:r>
              <w:rPr>
                <w:rStyle w:val="IndexLink"/>
              </w:rPr>
              <w:t>546</w:t>
            </w:r>
          </w:hyperlink>
        </w:p>
        <w:p>
          <w:pPr>
            <w:pStyle w:val="Contents3"/>
            <w:tabs>
              <w:tab w:val="clear" w:pos="8459"/>
              <w:tab w:val="right" w:pos="9026" w:leader="dot"/>
            </w:tabs>
            <w:rPr/>
          </w:pPr>
          <w:hyperlink w:anchor="__RefHeading___Toc3973741_1067777946">
            <w:r>
              <w:rPr>
                <w:webHidden/>
                <w:rStyle w:val="IndexLink"/>
                <w:rtl w:val="true"/>
              </w:rPr>
              <w:t>فصل سوم تزاحم موجبات ضمان</w:t>
            </w:r>
            <w:r>
              <w:rPr>
                <w:rStyle w:val="IndexLink"/>
                <w:rtl w:val="true"/>
              </w:rPr>
              <w:tab/>
            </w:r>
            <w:r>
              <w:rPr>
                <w:rStyle w:val="IndexLink"/>
              </w:rPr>
              <w:t>547</w:t>
            </w:r>
          </w:hyperlink>
        </w:p>
        <w:p>
          <w:pPr>
            <w:pStyle w:val="Contents4"/>
            <w:tabs>
              <w:tab w:val="clear" w:pos="8176"/>
              <w:tab w:val="right" w:pos="9026" w:leader="dot"/>
            </w:tabs>
            <w:rPr/>
          </w:pPr>
          <w:hyperlink w:anchor="__RefHeading___Toc3973743_1067777946">
            <w:r>
              <w:rPr>
                <w:webHidden/>
                <w:rStyle w:val="IndexLink"/>
                <w:rtl w:val="true"/>
              </w:rPr>
              <w:t>ثبوت ضمان بر مباشر در صورت اقوى بودن آن از سبب</w:t>
            </w:r>
            <w:r>
              <w:rPr>
                <w:rStyle w:val="IndexLink"/>
                <w:rtl w:val="true"/>
              </w:rPr>
              <w:tab/>
            </w:r>
            <w:r>
              <w:rPr>
                <w:rStyle w:val="IndexLink"/>
              </w:rPr>
              <w:t>547</w:t>
            </w:r>
          </w:hyperlink>
        </w:p>
        <w:p>
          <w:pPr>
            <w:pStyle w:val="Contents4"/>
            <w:tabs>
              <w:tab w:val="clear" w:pos="8176"/>
              <w:tab w:val="right" w:pos="9026" w:leader="dot"/>
            </w:tabs>
            <w:rPr/>
          </w:pPr>
          <w:hyperlink w:anchor="__RefHeading___Toc3973745_1067777946">
            <w:r>
              <w:rPr>
                <w:webHidden/>
                <w:rStyle w:val="IndexLink"/>
                <w:rtl w:val="true"/>
              </w:rPr>
              <w:t>فرض غرور مباشر</w:t>
            </w:r>
            <w:r>
              <w:rPr>
                <w:rStyle w:val="IndexLink"/>
                <w:rtl w:val="true"/>
              </w:rPr>
              <w:tab/>
            </w:r>
            <w:r>
              <w:rPr>
                <w:rStyle w:val="IndexLink"/>
              </w:rPr>
              <w:t>547</w:t>
            </w:r>
          </w:hyperlink>
        </w:p>
        <w:p>
          <w:pPr>
            <w:pStyle w:val="Contents4"/>
            <w:tabs>
              <w:tab w:val="clear" w:pos="8176"/>
              <w:tab w:val="right" w:pos="9026" w:leader="dot"/>
            </w:tabs>
            <w:rPr/>
          </w:pPr>
          <w:hyperlink w:anchor="__RefHeading___Toc3973747_1067777946">
            <w:r>
              <w:rPr>
                <w:webHidden/>
                <w:rStyle w:val="IndexLink"/>
                <w:rtl w:val="true"/>
              </w:rPr>
              <w:t>حفر چاه در ملك خود و دعوت غير و افتادن وى</w:t>
            </w:r>
            <w:r>
              <w:rPr>
                <w:rStyle w:val="IndexLink"/>
                <w:rtl w:val="true"/>
              </w:rPr>
              <w:tab/>
            </w:r>
            <w:r>
              <w:rPr>
                <w:rStyle w:val="IndexLink"/>
              </w:rPr>
              <w:t>547</w:t>
            </w:r>
          </w:hyperlink>
        </w:p>
        <w:p>
          <w:pPr>
            <w:pStyle w:val="Contents4"/>
            <w:tabs>
              <w:tab w:val="clear" w:pos="8176"/>
              <w:tab w:val="right" w:pos="9026" w:leader="dot"/>
            </w:tabs>
            <w:rPr/>
          </w:pPr>
          <w:hyperlink w:anchor="__RefHeading___Toc3973749_1067777946">
            <w:r>
              <w:rPr>
                <w:webHidden/>
                <w:rStyle w:val="IndexLink"/>
                <w:rtl w:val="true"/>
              </w:rPr>
              <w:t>اجتماع دو سبب</w:t>
            </w:r>
            <w:r>
              <w:rPr>
                <w:rStyle w:val="IndexLink"/>
                <w:rtl w:val="true"/>
              </w:rPr>
              <w:tab/>
            </w:r>
            <w:r>
              <w:rPr>
                <w:rStyle w:val="IndexLink"/>
              </w:rPr>
              <w:t>547</w:t>
            </w:r>
          </w:hyperlink>
        </w:p>
        <w:p>
          <w:pPr>
            <w:pStyle w:val="Contents4"/>
            <w:tabs>
              <w:tab w:val="clear" w:pos="8176"/>
              <w:tab w:val="right" w:pos="9026" w:leader="dot"/>
            </w:tabs>
            <w:rPr/>
          </w:pPr>
          <w:hyperlink w:anchor="__RefHeading___Toc3973751_1067777946">
            <w:r>
              <w:rPr>
                <w:webHidden/>
                <w:rStyle w:val="IndexLink"/>
                <w:rtl w:val="true"/>
              </w:rPr>
              <w:t>اجتماع غرض نافع و حفر مهلك</w:t>
            </w:r>
            <w:r>
              <w:rPr>
                <w:rStyle w:val="IndexLink"/>
                <w:rtl w:val="true"/>
              </w:rPr>
              <w:tab/>
            </w:r>
            <w:r>
              <w:rPr>
                <w:rStyle w:val="IndexLink"/>
              </w:rPr>
              <w:t>548</w:t>
            </w:r>
          </w:hyperlink>
        </w:p>
        <w:p>
          <w:pPr>
            <w:pStyle w:val="Contents4"/>
            <w:tabs>
              <w:tab w:val="clear" w:pos="8176"/>
              <w:tab w:val="right" w:pos="9026" w:leader="dot"/>
            </w:tabs>
            <w:rPr/>
          </w:pPr>
          <w:hyperlink w:anchor="__RefHeading___Toc3973753_1067777946">
            <w:r>
              <w:rPr>
                <w:webHidden/>
                <w:rStyle w:val="IndexLink"/>
                <w:rtl w:val="true"/>
              </w:rPr>
              <w:t>گذارنده سنگ در معبر و حركت دهندۀ آن</w:t>
            </w:r>
            <w:r>
              <w:rPr>
                <w:rStyle w:val="IndexLink"/>
                <w:rtl w:val="true"/>
              </w:rPr>
              <w:tab/>
            </w:r>
            <w:r>
              <w:rPr>
                <w:rStyle w:val="IndexLink"/>
              </w:rPr>
              <w:t>548</w:t>
            </w:r>
          </w:hyperlink>
        </w:p>
        <w:p>
          <w:pPr>
            <w:pStyle w:val="Contents4"/>
            <w:tabs>
              <w:tab w:val="clear" w:pos="8176"/>
              <w:tab w:val="right" w:pos="9026" w:leader="dot"/>
            </w:tabs>
            <w:rPr/>
          </w:pPr>
          <w:hyperlink w:anchor="__RefHeading___Toc3973755_1067777946">
            <w:r>
              <w:rPr>
                <w:webHidden/>
                <w:rStyle w:val="IndexLink"/>
                <w:rtl w:val="true"/>
              </w:rPr>
              <w:t>سقوط دو نفر در حفره اى و تأثير اجتماع در هلاك</w:t>
            </w:r>
            <w:r>
              <w:rPr>
                <w:rStyle w:val="IndexLink"/>
                <w:rtl w:val="true"/>
              </w:rPr>
              <w:tab/>
            </w:r>
            <w:r>
              <w:rPr>
                <w:rStyle w:val="IndexLink"/>
              </w:rPr>
              <w:t>548</w:t>
            </w:r>
          </w:hyperlink>
        </w:p>
        <w:p>
          <w:pPr>
            <w:pStyle w:val="Contents4"/>
            <w:tabs>
              <w:tab w:val="clear" w:pos="8176"/>
              <w:tab w:val="right" w:pos="9026" w:leader="dot"/>
            </w:tabs>
            <w:rPr/>
          </w:pPr>
          <w:hyperlink w:anchor="__RefHeading___Toc3973757_1067777946">
            <w:r>
              <w:rPr>
                <w:webHidden/>
                <w:rStyle w:val="IndexLink"/>
                <w:rtl w:val="true"/>
              </w:rPr>
              <w:t>اگر بگويد</w:t>
            </w:r>
            <w:r>
              <w:rPr>
                <w:rStyle w:val="IndexLink"/>
                <w:rtl w:val="true"/>
              </w:rPr>
              <w:t>: «</w:t>
            </w:r>
            <w:r>
              <w:rPr>
                <w:rStyle w:val="IndexLink"/>
                <w:rtl w:val="true"/>
              </w:rPr>
              <w:t>براى حفظ كشتى مال را در دريا بيندازد</w:t>
            </w:r>
            <w:r>
              <w:rPr>
                <w:rStyle w:val="IndexLink"/>
                <w:rtl w:val="true"/>
              </w:rPr>
              <w:t>»</w:t>
              <w:tab/>
            </w:r>
            <w:r>
              <w:rPr>
                <w:rStyle w:val="IndexLink"/>
              </w:rPr>
              <w:t>549</w:t>
            </w:r>
          </w:hyperlink>
        </w:p>
        <w:p>
          <w:pPr>
            <w:pStyle w:val="Contents4"/>
            <w:tabs>
              <w:tab w:val="clear" w:pos="8176"/>
              <w:tab w:val="right" w:pos="9026" w:leader="dot"/>
            </w:tabs>
            <w:rPr/>
          </w:pPr>
          <w:hyperlink w:anchor="__RefHeading___Toc3973759_1067777946">
            <w:r>
              <w:rPr>
                <w:webHidden/>
                <w:rStyle w:val="IndexLink"/>
                <w:rtl w:val="true"/>
              </w:rPr>
              <w:t>انداختن كالاى ديگرى در دريا براى خوف از هلاك</w:t>
            </w:r>
            <w:r>
              <w:rPr>
                <w:rStyle w:val="IndexLink"/>
                <w:rtl w:val="true"/>
              </w:rPr>
              <w:tab/>
            </w:r>
            <w:r>
              <w:rPr>
                <w:rStyle w:val="IndexLink"/>
              </w:rPr>
              <w:t>549</w:t>
            </w:r>
          </w:hyperlink>
        </w:p>
        <w:p>
          <w:pPr>
            <w:pStyle w:val="Contents4"/>
            <w:tabs>
              <w:tab w:val="clear" w:pos="8176"/>
              <w:tab w:val="right" w:pos="9026" w:leader="dot"/>
            </w:tabs>
            <w:rPr/>
          </w:pPr>
          <w:hyperlink w:anchor="__RefHeading___Toc3973761_1067777946">
            <w:r>
              <w:rPr>
                <w:webHidden/>
                <w:rStyle w:val="IndexLink"/>
                <w:rtl w:val="true"/>
              </w:rPr>
              <w:t>عدم ضمان در فرض از بين بردن كالاى كسى براى حفظ آن شخص</w:t>
            </w:r>
            <w:r>
              <w:rPr>
                <w:rStyle w:val="IndexLink"/>
                <w:rtl w:val="true"/>
              </w:rPr>
              <w:tab/>
            </w:r>
            <w:r>
              <w:rPr>
                <w:rStyle w:val="IndexLink"/>
              </w:rPr>
              <w:t>549</w:t>
            </w:r>
          </w:hyperlink>
        </w:p>
        <w:p>
          <w:pPr>
            <w:pStyle w:val="Contents4"/>
            <w:tabs>
              <w:tab w:val="clear" w:pos="8176"/>
              <w:tab w:val="right" w:pos="9026" w:leader="dot"/>
            </w:tabs>
            <w:rPr/>
          </w:pPr>
          <w:hyperlink w:anchor="__RefHeading___Toc3973763_1067777946">
            <w:r>
              <w:rPr>
                <w:webHidden/>
                <w:rStyle w:val="IndexLink"/>
                <w:rtl w:val="true"/>
              </w:rPr>
              <w:t xml:space="preserve">اگر بگويد </w:t>
            </w:r>
            <w:r>
              <w:rPr>
                <w:rStyle w:val="IndexLink"/>
                <w:rtl w:val="true"/>
              </w:rPr>
              <w:t>«</w:t>
            </w:r>
            <w:r>
              <w:rPr>
                <w:rStyle w:val="IndexLink"/>
                <w:rtl w:val="true"/>
              </w:rPr>
              <w:t>كالاى خود را به دريا بينداز من و همه ضامن هستيم</w:t>
            </w:r>
            <w:r>
              <w:rPr>
                <w:rStyle w:val="IndexLink"/>
                <w:rtl w:val="true"/>
              </w:rPr>
              <w:tab/>
            </w:r>
            <w:r>
              <w:rPr>
                <w:rStyle w:val="IndexLink"/>
              </w:rPr>
              <w:t>549</w:t>
            </w:r>
          </w:hyperlink>
        </w:p>
        <w:p>
          <w:pPr>
            <w:pStyle w:val="Contents4"/>
            <w:tabs>
              <w:tab w:val="clear" w:pos="8176"/>
              <w:tab w:val="right" w:pos="9026" w:leader="dot"/>
            </w:tabs>
            <w:rPr/>
          </w:pPr>
          <w:hyperlink w:anchor="__RefHeading___Toc3973765_1067777946">
            <w:r>
              <w:rPr>
                <w:webHidden/>
                <w:rStyle w:val="IndexLink"/>
                <w:rtl w:val="true"/>
              </w:rPr>
              <w:t>عدم خروج عين مضمونه از ملك</w:t>
            </w:r>
            <w:r>
              <w:rPr>
                <w:rStyle w:val="IndexLink"/>
                <w:rtl w:val="true"/>
              </w:rPr>
              <w:tab/>
            </w:r>
            <w:r>
              <w:rPr>
                <w:rStyle w:val="IndexLink"/>
              </w:rPr>
              <w:t>550</w:t>
            </w:r>
          </w:hyperlink>
        </w:p>
        <w:p>
          <w:pPr>
            <w:pStyle w:val="Contents4"/>
            <w:tabs>
              <w:tab w:val="clear" w:pos="8176"/>
              <w:tab w:val="right" w:pos="9026" w:leader="dot"/>
            </w:tabs>
            <w:rPr/>
          </w:pPr>
          <w:hyperlink w:anchor="__RefHeading___Toc3973767_1067777946">
            <w:r>
              <w:rPr>
                <w:webHidden/>
                <w:rStyle w:val="IndexLink"/>
                <w:rtl w:val="true"/>
              </w:rPr>
              <w:t>افتادن چهار نفر در حفرۀ شير</w:t>
            </w:r>
            <w:r>
              <w:rPr>
                <w:rStyle w:val="IndexLink"/>
                <w:rtl w:val="true"/>
              </w:rPr>
              <w:tab/>
            </w:r>
            <w:r>
              <w:rPr>
                <w:rStyle w:val="IndexLink"/>
              </w:rPr>
              <w:t>550</w:t>
            </w:r>
          </w:hyperlink>
        </w:p>
        <w:p>
          <w:pPr>
            <w:pStyle w:val="Contents4"/>
            <w:tabs>
              <w:tab w:val="clear" w:pos="8176"/>
              <w:tab w:val="right" w:pos="9026" w:leader="dot"/>
            </w:tabs>
            <w:rPr/>
          </w:pPr>
          <w:hyperlink w:anchor="__RefHeading___Toc3973769_1067777946">
            <w:r>
              <w:rPr>
                <w:webHidden/>
                <w:rStyle w:val="IndexLink"/>
                <w:rtl w:val="true"/>
              </w:rPr>
              <w:t>كشيدن كسى به طرف چاه و افتادن او و خود</w:t>
            </w:r>
            <w:r>
              <w:rPr>
                <w:rStyle w:val="IndexLink"/>
                <w:rtl w:val="true"/>
              </w:rPr>
              <w:tab/>
            </w:r>
            <w:r>
              <w:rPr>
                <w:rStyle w:val="IndexLink"/>
              </w:rPr>
              <w:t>551</w:t>
            </w:r>
          </w:hyperlink>
        </w:p>
        <w:p>
          <w:pPr>
            <w:pStyle w:val="Contents4"/>
            <w:tabs>
              <w:tab w:val="clear" w:pos="8176"/>
              <w:tab w:val="right" w:pos="9026" w:leader="dot"/>
            </w:tabs>
            <w:rPr/>
          </w:pPr>
          <w:hyperlink w:anchor="__RefHeading___Toc3973771_1067777946">
            <w:r>
              <w:rPr>
                <w:webHidden/>
                <w:rStyle w:val="IndexLink"/>
                <w:rtl w:val="true"/>
              </w:rPr>
              <w:t>تعدّد افراد در فرض مذكور</w:t>
            </w:r>
            <w:r>
              <w:rPr>
                <w:rStyle w:val="IndexLink"/>
                <w:rtl w:val="true"/>
              </w:rPr>
              <w:tab/>
            </w:r>
            <w:r>
              <w:rPr>
                <w:rStyle w:val="IndexLink"/>
              </w:rPr>
              <w:t>551</w:t>
            </w:r>
          </w:hyperlink>
        </w:p>
        <w:p>
          <w:pPr>
            <w:pStyle w:val="Contents4"/>
            <w:tabs>
              <w:tab w:val="clear" w:pos="8176"/>
              <w:tab w:val="right" w:pos="9026" w:leader="dot"/>
            </w:tabs>
            <w:rPr/>
          </w:pPr>
          <w:hyperlink w:anchor="__RefHeading___Toc3973773_1067777946">
            <w:r>
              <w:rPr>
                <w:webHidden/>
                <w:rStyle w:val="IndexLink"/>
                <w:rtl w:val="true"/>
              </w:rPr>
              <w:t>گرفتن كسى براى نجات خود و هلاك همه در چاه حفرشدۀ عدواناً</w:t>
            </w:r>
            <w:r>
              <w:rPr>
                <w:rStyle w:val="IndexLink"/>
                <w:rtl w:val="true"/>
              </w:rPr>
              <w:tab/>
            </w:r>
            <w:r>
              <w:rPr>
                <w:rStyle w:val="IndexLink"/>
              </w:rPr>
              <w:t>552</w:t>
            </w:r>
          </w:hyperlink>
        </w:p>
        <w:p>
          <w:pPr>
            <w:pStyle w:val="Contents4"/>
            <w:tabs>
              <w:tab w:val="clear" w:pos="8176"/>
              <w:tab w:val="right" w:pos="9026" w:leader="dot"/>
            </w:tabs>
            <w:rPr/>
          </w:pPr>
          <w:hyperlink w:anchor="__RefHeading___Toc3973775_1067777946">
            <w:r>
              <w:rPr>
                <w:webHidden/>
                <w:rStyle w:val="IndexLink"/>
                <w:rtl w:val="true"/>
              </w:rPr>
              <w:t>سقوط كسى در چاه بر ديگرى و هلاك اوّلى</w:t>
            </w:r>
            <w:r>
              <w:rPr>
                <w:rStyle w:val="IndexLink"/>
                <w:rtl w:val="true"/>
              </w:rPr>
              <w:tab/>
            </w:r>
            <w:r>
              <w:rPr>
                <w:rStyle w:val="IndexLink"/>
              </w:rPr>
              <w:t>553</w:t>
            </w:r>
          </w:hyperlink>
        </w:p>
        <w:p>
          <w:pPr>
            <w:pStyle w:val="Contents4"/>
            <w:tabs>
              <w:tab w:val="clear" w:pos="8176"/>
              <w:tab w:val="right" w:pos="9026" w:leader="dot"/>
            </w:tabs>
            <w:rPr/>
          </w:pPr>
          <w:hyperlink w:anchor="__RefHeading___Toc3973777_1067777946">
            <w:r>
              <w:rPr>
                <w:webHidden/>
                <w:rStyle w:val="IndexLink"/>
                <w:rtl w:val="true"/>
              </w:rPr>
              <w:t>فرض استناد تمام تأثير به وقوع دوّمى</w:t>
            </w:r>
            <w:r>
              <w:rPr>
                <w:rStyle w:val="IndexLink"/>
                <w:rtl w:val="true"/>
              </w:rPr>
              <w:tab/>
            </w:r>
            <w:r>
              <w:rPr>
                <w:rStyle w:val="IndexLink"/>
              </w:rPr>
              <w:t>553</w:t>
            </w:r>
          </w:hyperlink>
        </w:p>
        <w:p>
          <w:pPr>
            <w:pStyle w:val="Contents4"/>
            <w:tabs>
              <w:tab w:val="clear" w:pos="8176"/>
              <w:tab w:val="right" w:pos="9026" w:leader="dot"/>
            </w:tabs>
            <w:rPr/>
          </w:pPr>
          <w:hyperlink w:anchor="__RefHeading___Toc3973779_1067777946">
            <w:r>
              <w:rPr>
                <w:webHidden/>
                <w:rStyle w:val="IndexLink"/>
                <w:rtl w:val="true"/>
              </w:rPr>
              <w:t>ضمان بر دافع</w:t>
            </w:r>
            <w:r>
              <w:rPr>
                <w:rStyle w:val="IndexLink"/>
                <w:rtl w:val="true"/>
              </w:rPr>
              <w:tab/>
            </w:r>
            <w:r>
              <w:rPr>
                <w:rStyle w:val="IndexLink"/>
              </w:rPr>
              <w:t>554</w:t>
            </w:r>
          </w:hyperlink>
        </w:p>
        <w:p>
          <w:pPr>
            <w:pStyle w:val="Contents4"/>
            <w:tabs>
              <w:tab w:val="clear" w:pos="8176"/>
              <w:tab w:val="right" w:pos="9026" w:leader="dot"/>
            </w:tabs>
            <w:rPr/>
          </w:pPr>
          <w:hyperlink w:anchor="__RefHeading___Toc3973781_1067777946">
            <w:r>
              <w:rPr>
                <w:webHidden/>
                <w:rStyle w:val="IndexLink"/>
                <w:rtl w:val="true"/>
              </w:rPr>
              <w:t>چند فرض ديگر مسأله</w:t>
            </w:r>
            <w:r>
              <w:rPr>
                <w:rStyle w:val="IndexLink"/>
                <w:rtl w:val="true"/>
              </w:rPr>
              <w:tab/>
            </w:r>
            <w:r>
              <w:rPr>
                <w:rStyle w:val="IndexLink"/>
              </w:rPr>
              <w:t>554</w:t>
            </w:r>
          </w:hyperlink>
        </w:p>
        <w:p>
          <w:pPr>
            <w:pStyle w:val="Contents3"/>
            <w:tabs>
              <w:tab w:val="clear" w:pos="8459"/>
              <w:tab w:val="right" w:pos="9026" w:leader="dot"/>
            </w:tabs>
            <w:rPr/>
          </w:pPr>
          <w:hyperlink w:anchor="__RefHeading___Toc3973783_1067777946">
            <w:r>
              <w:rPr>
                <w:webHidden/>
                <w:rStyle w:val="IndexLink"/>
                <w:rtl w:val="true"/>
              </w:rPr>
              <w:t>فصل چهارم ديه جنايت بر اطراف</w:t>
            </w:r>
            <w:r>
              <w:rPr>
                <w:rStyle w:val="IndexLink"/>
                <w:rtl w:val="true"/>
              </w:rPr>
              <w:tab/>
            </w:r>
            <w:r>
              <w:rPr>
                <w:rStyle w:val="IndexLink"/>
              </w:rPr>
              <w:t>556</w:t>
            </w:r>
          </w:hyperlink>
        </w:p>
        <w:p>
          <w:pPr>
            <w:pStyle w:val="Contents4"/>
            <w:tabs>
              <w:tab w:val="clear" w:pos="8176"/>
              <w:tab w:val="right" w:pos="9026" w:leader="dot"/>
            </w:tabs>
            <w:rPr/>
          </w:pPr>
          <w:hyperlink w:anchor="__RefHeading___Toc3973785_1067777946">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3973787_1067777946">
            <w:r>
              <w:rPr>
                <w:webHidden/>
                <w:rStyle w:val="IndexLink"/>
              </w:rPr>
              <w:t>1</w:t>
            </w:r>
            <w:r>
              <w:rPr>
                <w:rStyle w:val="IndexLink"/>
                <w:rtl w:val="true"/>
              </w:rPr>
              <w:t xml:space="preserve">. </w:t>
            </w:r>
            <w:r>
              <w:rPr>
                <w:rStyle w:val="IndexLink"/>
                <w:rtl w:val="true"/>
              </w:rPr>
              <w:t>ديۀ اعضا</w:t>
            </w:r>
            <w:r>
              <w:rPr>
                <w:rStyle w:val="IndexLink"/>
                <w:rtl w:val="true"/>
              </w:rPr>
              <w:tab/>
            </w:r>
            <w:r>
              <w:rPr>
                <w:rStyle w:val="IndexLink"/>
              </w:rPr>
              <w:t>556</w:t>
            </w:r>
          </w:hyperlink>
        </w:p>
        <w:p>
          <w:pPr>
            <w:pStyle w:val="Contents5"/>
            <w:tabs>
              <w:tab w:val="clear" w:pos="7892"/>
              <w:tab w:val="right" w:pos="9026" w:leader="dot"/>
            </w:tabs>
            <w:rPr/>
          </w:pPr>
          <w:hyperlink w:anchor="__RefHeading___Toc3973789_1067777946">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3973791_1067777946">
            <w:r>
              <w:rPr>
                <w:webHidden/>
                <w:rStyle w:val="IndexLink"/>
                <w:rtl w:val="true"/>
              </w:rPr>
              <w:t>آن چه در آن ديه مقدّر شده است</w:t>
            </w:r>
            <w:r>
              <w:rPr>
                <w:rStyle w:val="IndexLink"/>
                <w:rtl w:val="true"/>
              </w:rPr>
              <w:tab/>
            </w:r>
            <w:r>
              <w:rPr>
                <w:rStyle w:val="IndexLink"/>
              </w:rPr>
              <w:t>556</w:t>
            </w:r>
          </w:hyperlink>
        </w:p>
        <w:p>
          <w:pPr>
            <w:pStyle w:val="Contents6"/>
            <w:tabs>
              <w:tab w:val="clear" w:pos="7609"/>
              <w:tab w:val="right" w:pos="9026" w:leader="dot"/>
            </w:tabs>
            <w:rPr/>
          </w:pPr>
          <w:hyperlink w:anchor="__RefHeading___Toc3973793_1067777946">
            <w:r>
              <w:rPr>
                <w:webHidden/>
                <w:rStyle w:val="IndexLink"/>
                <w:rtl w:val="true"/>
              </w:rPr>
              <w:t>اشاره</w:t>
            </w:r>
            <w:r>
              <w:rPr>
                <w:rStyle w:val="IndexLink"/>
                <w:rtl w:val="true"/>
              </w:rPr>
              <w:tab/>
            </w:r>
            <w:r>
              <w:rPr>
                <w:rStyle w:val="IndexLink"/>
              </w:rPr>
              <w:t>556</w:t>
            </w:r>
          </w:hyperlink>
        </w:p>
        <w:p>
          <w:pPr>
            <w:pStyle w:val="Contents6"/>
            <w:tabs>
              <w:tab w:val="clear" w:pos="7609"/>
              <w:tab w:val="right" w:pos="9026" w:leader="dot"/>
            </w:tabs>
            <w:rPr/>
          </w:pPr>
          <w:hyperlink w:anchor="__RefHeading___Toc3973795_1067777946">
            <w:r>
              <w:rPr>
                <w:webHidden/>
                <w:rStyle w:val="IndexLink"/>
              </w:rPr>
              <w:t>1</w:t>
            </w:r>
            <w:r>
              <w:rPr>
                <w:rStyle w:val="IndexLink"/>
                <w:rtl w:val="true"/>
              </w:rPr>
              <w:t xml:space="preserve">. </w:t>
            </w:r>
            <w:r>
              <w:rPr>
                <w:rStyle w:val="IndexLink"/>
                <w:rtl w:val="true"/>
              </w:rPr>
              <w:t>مو</w:t>
            </w:r>
            <w:r>
              <w:rPr>
                <w:rStyle w:val="IndexLink"/>
                <w:rtl w:val="true"/>
              </w:rPr>
              <w:tab/>
            </w:r>
            <w:r>
              <w:rPr>
                <w:rStyle w:val="IndexLink"/>
              </w:rPr>
              <w:t>556</w:t>
            </w:r>
          </w:hyperlink>
        </w:p>
        <w:p>
          <w:pPr>
            <w:pStyle w:val="Contents6"/>
            <w:tabs>
              <w:tab w:val="clear" w:pos="7609"/>
              <w:tab w:val="right" w:pos="9026" w:leader="dot"/>
            </w:tabs>
            <w:rPr/>
          </w:pPr>
          <w:hyperlink w:anchor="__RefHeading___Toc3973797_1067777946">
            <w:r>
              <w:rPr>
                <w:webHidden/>
                <w:rStyle w:val="IndexLink"/>
                <w:rtl w:val="true"/>
              </w:rPr>
              <w:t>اشاره</w:t>
            </w:r>
            <w:r>
              <w:rPr>
                <w:rStyle w:val="IndexLink"/>
                <w:rtl w:val="true"/>
              </w:rPr>
              <w:tab/>
            </w:r>
            <w:r>
              <w:rPr>
                <w:rStyle w:val="IndexLink"/>
              </w:rPr>
              <w:t>556</w:t>
            </w:r>
          </w:hyperlink>
        </w:p>
        <w:p>
          <w:pPr>
            <w:pStyle w:val="Contents6"/>
            <w:tabs>
              <w:tab w:val="clear" w:pos="7609"/>
              <w:tab w:val="right" w:pos="9026" w:leader="dot"/>
            </w:tabs>
            <w:rPr/>
          </w:pPr>
          <w:hyperlink w:anchor="__RefHeading___Toc3973799_1067777946">
            <w:r>
              <w:rPr>
                <w:webHidden/>
                <w:rStyle w:val="IndexLink"/>
                <w:rtl w:val="true"/>
              </w:rPr>
              <w:t>روييدن تمام يا بعض مو</w:t>
            </w:r>
            <w:r>
              <w:rPr>
                <w:rStyle w:val="IndexLink"/>
                <w:rtl w:val="true"/>
              </w:rPr>
              <w:tab/>
            </w:r>
            <w:r>
              <w:rPr>
                <w:rStyle w:val="IndexLink"/>
              </w:rPr>
              <w:t>556</w:t>
            </w:r>
          </w:hyperlink>
        </w:p>
        <w:p>
          <w:pPr>
            <w:pStyle w:val="Contents6"/>
            <w:tabs>
              <w:tab w:val="clear" w:pos="7609"/>
              <w:tab w:val="right" w:pos="9026" w:leader="dot"/>
            </w:tabs>
            <w:rPr/>
          </w:pPr>
          <w:hyperlink w:anchor="__RefHeading___Toc3973801_1067777946">
            <w:r>
              <w:rPr>
                <w:webHidden/>
                <w:rStyle w:val="IndexLink"/>
                <w:rtl w:val="true"/>
              </w:rPr>
              <w:t>اعتبار به قول خبره در رويش مو</w:t>
            </w:r>
            <w:r>
              <w:rPr>
                <w:rStyle w:val="IndexLink"/>
                <w:rtl w:val="true"/>
              </w:rPr>
              <w:tab/>
            </w:r>
            <w:r>
              <w:rPr>
                <w:rStyle w:val="IndexLink"/>
              </w:rPr>
              <w:t>557</w:t>
            </w:r>
          </w:hyperlink>
        </w:p>
        <w:p>
          <w:pPr>
            <w:pStyle w:val="Contents6"/>
            <w:tabs>
              <w:tab w:val="clear" w:pos="7609"/>
              <w:tab w:val="right" w:pos="9026" w:leader="dot"/>
            </w:tabs>
            <w:rPr/>
          </w:pPr>
          <w:hyperlink w:anchor="__RefHeading___Toc3973803_1067777946">
            <w:r>
              <w:rPr>
                <w:webHidden/>
                <w:rStyle w:val="IndexLink"/>
                <w:rtl w:val="true"/>
              </w:rPr>
              <w:t>ديۀ موى سر زن</w:t>
            </w:r>
            <w:r>
              <w:rPr>
                <w:rStyle w:val="IndexLink"/>
                <w:rtl w:val="true"/>
              </w:rPr>
              <w:tab/>
            </w:r>
            <w:r>
              <w:rPr>
                <w:rStyle w:val="IndexLink"/>
              </w:rPr>
              <w:t>557</w:t>
            </w:r>
          </w:hyperlink>
        </w:p>
        <w:p>
          <w:pPr>
            <w:pStyle w:val="Contents6"/>
            <w:tabs>
              <w:tab w:val="clear" w:pos="7609"/>
              <w:tab w:val="right" w:pos="9026" w:leader="dot"/>
            </w:tabs>
            <w:rPr/>
          </w:pPr>
          <w:hyperlink w:anchor="__RefHeading___Toc3973805_1067777946">
            <w:r>
              <w:rPr>
                <w:webHidden/>
                <w:rStyle w:val="IndexLink"/>
                <w:rtl w:val="true"/>
              </w:rPr>
              <w:t>ازالۀ موى ابرو</w:t>
            </w:r>
            <w:r>
              <w:rPr>
                <w:rStyle w:val="IndexLink"/>
                <w:rtl w:val="true"/>
              </w:rPr>
              <w:tab/>
            </w:r>
            <w:r>
              <w:rPr>
                <w:rStyle w:val="IndexLink"/>
              </w:rPr>
              <w:t>557</w:t>
            </w:r>
          </w:hyperlink>
        </w:p>
        <w:p>
          <w:pPr>
            <w:pStyle w:val="Contents6"/>
            <w:tabs>
              <w:tab w:val="clear" w:pos="7609"/>
              <w:tab w:val="right" w:pos="9026" w:leader="dot"/>
            </w:tabs>
            <w:rPr/>
          </w:pPr>
          <w:hyperlink w:anchor="__RefHeading___Toc3973807_1067777946">
            <w:r>
              <w:rPr>
                <w:webHidden/>
                <w:rStyle w:val="IndexLink"/>
                <w:rtl w:val="true"/>
              </w:rPr>
              <w:t>ديۀ ازالۀ پلك چشم</w:t>
            </w:r>
            <w:r>
              <w:rPr>
                <w:rStyle w:val="IndexLink"/>
                <w:rtl w:val="true"/>
              </w:rPr>
              <w:tab/>
            </w:r>
            <w:r>
              <w:rPr>
                <w:rStyle w:val="IndexLink"/>
              </w:rPr>
              <w:t>557</w:t>
            </w:r>
          </w:hyperlink>
        </w:p>
        <w:p>
          <w:pPr>
            <w:pStyle w:val="Contents6"/>
            <w:tabs>
              <w:tab w:val="clear" w:pos="7609"/>
              <w:tab w:val="right" w:pos="9026" w:leader="dot"/>
            </w:tabs>
            <w:rPr/>
          </w:pPr>
          <w:hyperlink w:anchor="__RefHeading___Toc3973809_1067777946">
            <w:r>
              <w:rPr>
                <w:webHidden/>
                <w:rStyle w:val="IndexLink"/>
                <w:rtl w:val="true"/>
              </w:rPr>
              <w:t>موى دست و بازو و ساق</w:t>
            </w:r>
            <w:r>
              <w:rPr>
                <w:rStyle w:val="IndexLink"/>
                <w:rtl w:val="true"/>
              </w:rPr>
              <w:tab/>
            </w:r>
            <w:r>
              <w:rPr>
                <w:rStyle w:val="IndexLink"/>
              </w:rPr>
              <w:t>558</w:t>
            </w:r>
          </w:hyperlink>
        </w:p>
        <w:p>
          <w:pPr>
            <w:pStyle w:val="Contents6"/>
            <w:tabs>
              <w:tab w:val="clear" w:pos="7609"/>
              <w:tab w:val="right" w:pos="9026" w:leader="dot"/>
            </w:tabs>
            <w:rPr/>
          </w:pPr>
          <w:hyperlink w:anchor="__RefHeading___Toc3973811_1067777946">
            <w:r>
              <w:rPr>
                <w:webHidden/>
                <w:rStyle w:val="IndexLink"/>
                <w:rtl w:val="true"/>
              </w:rPr>
              <w:t>لحيۀ خنثى و زن</w:t>
            </w:r>
            <w:r>
              <w:rPr>
                <w:rStyle w:val="IndexLink"/>
                <w:rtl w:val="true"/>
              </w:rPr>
              <w:tab/>
            </w:r>
            <w:r>
              <w:rPr>
                <w:rStyle w:val="IndexLink"/>
              </w:rPr>
              <w:t>558</w:t>
            </w:r>
          </w:hyperlink>
        </w:p>
        <w:p>
          <w:pPr>
            <w:pStyle w:val="Contents6"/>
            <w:tabs>
              <w:tab w:val="clear" w:pos="7609"/>
              <w:tab w:val="right" w:pos="9026" w:leader="dot"/>
            </w:tabs>
            <w:rPr/>
          </w:pPr>
          <w:hyperlink w:anchor="__RefHeading___Toc3973813_1067777946">
            <w:r>
              <w:rPr>
                <w:webHidden/>
                <w:rStyle w:val="IndexLink"/>
                <w:rtl w:val="true"/>
              </w:rPr>
              <w:t>حلق عانه</w:t>
            </w:r>
            <w:r>
              <w:rPr>
                <w:rStyle w:val="IndexLink"/>
                <w:rtl w:val="true"/>
              </w:rPr>
              <w:tab/>
            </w:r>
            <w:r>
              <w:rPr>
                <w:rStyle w:val="IndexLink"/>
              </w:rPr>
              <w:t>558</w:t>
            </w:r>
          </w:hyperlink>
        </w:p>
        <w:p>
          <w:pPr>
            <w:pStyle w:val="Contents6"/>
            <w:tabs>
              <w:tab w:val="clear" w:pos="7609"/>
              <w:tab w:val="right" w:pos="9026" w:leader="dot"/>
            </w:tabs>
            <w:rPr/>
          </w:pPr>
          <w:hyperlink w:anchor="__RefHeading___Toc3973815_1067777946">
            <w:r>
              <w:rPr>
                <w:webHidden/>
                <w:rStyle w:val="IndexLink"/>
              </w:rPr>
              <w:t>2</w:t>
            </w:r>
            <w:r>
              <w:rPr>
                <w:rStyle w:val="IndexLink"/>
                <w:rtl w:val="true"/>
              </w:rPr>
              <w:t xml:space="preserve">. </w:t>
            </w:r>
            <w:r>
              <w:rPr>
                <w:rStyle w:val="IndexLink"/>
                <w:rtl w:val="true"/>
              </w:rPr>
              <w:t>چشم</w:t>
            </w:r>
            <w:r>
              <w:rPr>
                <w:rStyle w:val="IndexLink"/>
                <w:rtl w:val="true"/>
              </w:rPr>
              <w:tab/>
            </w:r>
            <w:r>
              <w:rPr>
                <w:rStyle w:val="IndexLink"/>
              </w:rPr>
              <w:t>558</w:t>
            </w:r>
          </w:hyperlink>
        </w:p>
        <w:p>
          <w:pPr>
            <w:pStyle w:val="Contents6"/>
            <w:tabs>
              <w:tab w:val="clear" w:pos="7609"/>
              <w:tab w:val="right" w:pos="9026" w:leader="dot"/>
            </w:tabs>
            <w:rPr/>
          </w:pPr>
          <w:hyperlink w:anchor="__RefHeading___Toc3973817_1067777946">
            <w:r>
              <w:rPr>
                <w:webHidden/>
                <w:rStyle w:val="IndexLink"/>
                <w:rtl w:val="true"/>
              </w:rPr>
              <w:t>اشاره</w:t>
            </w:r>
            <w:r>
              <w:rPr>
                <w:rStyle w:val="IndexLink"/>
                <w:rtl w:val="true"/>
              </w:rPr>
              <w:tab/>
            </w:r>
            <w:r>
              <w:rPr>
                <w:rStyle w:val="IndexLink"/>
              </w:rPr>
              <w:t>558</w:t>
            </w:r>
          </w:hyperlink>
        </w:p>
        <w:p>
          <w:pPr>
            <w:pStyle w:val="Contents6"/>
            <w:tabs>
              <w:tab w:val="clear" w:pos="7609"/>
              <w:tab w:val="right" w:pos="9026" w:leader="dot"/>
            </w:tabs>
            <w:rPr/>
          </w:pPr>
          <w:hyperlink w:anchor="__RefHeading___Toc3973819_1067777946">
            <w:r>
              <w:rPr>
                <w:webHidden/>
                <w:rStyle w:val="IndexLink"/>
                <w:rtl w:val="true"/>
              </w:rPr>
              <w:t>ديۀ پلكها</w:t>
            </w:r>
            <w:r>
              <w:rPr>
                <w:rStyle w:val="IndexLink"/>
                <w:rtl w:val="true"/>
              </w:rPr>
              <w:tab/>
            </w:r>
            <w:r>
              <w:rPr>
                <w:rStyle w:val="IndexLink"/>
              </w:rPr>
              <w:t>559</w:t>
            </w:r>
          </w:hyperlink>
        </w:p>
        <w:p>
          <w:pPr>
            <w:pStyle w:val="Contents6"/>
            <w:tabs>
              <w:tab w:val="clear" w:pos="7609"/>
              <w:tab w:val="right" w:pos="9026" w:leader="dot"/>
            </w:tabs>
            <w:rPr/>
          </w:pPr>
          <w:hyperlink w:anchor="__RefHeading___Toc3973821_1067777946">
            <w:r>
              <w:rPr>
                <w:webHidden/>
                <w:rStyle w:val="IndexLink"/>
                <w:rtl w:val="true"/>
              </w:rPr>
              <w:t>عدم تداخل در كندن اجفان و چشم ها</w:t>
            </w:r>
            <w:r>
              <w:rPr>
                <w:rStyle w:val="IndexLink"/>
                <w:rtl w:val="true"/>
              </w:rPr>
              <w:tab/>
            </w:r>
            <w:r>
              <w:rPr>
                <w:rStyle w:val="IndexLink"/>
              </w:rPr>
              <w:t>559</w:t>
            </w:r>
          </w:hyperlink>
        </w:p>
        <w:p>
          <w:pPr>
            <w:pStyle w:val="Contents6"/>
            <w:tabs>
              <w:tab w:val="clear" w:pos="7609"/>
              <w:tab w:val="right" w:pos="9026" w:leader="dot"/>
            </w:tabs>
            <w:rPr/>
          </w:pPr>
          <w:hyperlink w:anchor="__RefHeading___Toc3973823_1067777946">
            <w:r>
              <w:rPr>
                <w:webHidden/>
                <w:rStyle w:val="IndexLink"/>
                <w:rtl w:val="true"/>
              </w:rPr>
              <w:t>اجفان بى اثر</w:t>
            </w:r>
            <w:r>
              <w:rPr>
                <w:rStyle w:val="IndexLink"/>
                <w:rtl w:val="true"/>
              </w:rPr>
              <w:tab/>
            </w:r>
            <w:r>
              <w:rPr>
                <w:rStyle w:val="IndexLink"/>
              </w:rPr>
              <w:t>559</w:t>
            </w:r>
          </w:hyperlink>
        </w:p>
        <w:p>
          <w:pPr>
            <w:pStyle w:val="Contents6"/>
            <w:tabs>
              <w:tab w:val="clear" w:pos="7609"/>
              <w:tab w:val="right" w:pos="9026" w:leader="dot"/>
            </w:tabs>
            <w:rPr/>
          </w:pPr>
          <w:hyperlink w:anchor="__RefHeading___Toc3973825_1067777946">
            <w:r>
              <w:rPr>
                <w:webHidden/>
                <w:rStyle w:val="IndexLink"/>
                <w:rtl w:val="true"/>
              </w:rPr>
              <w:t>ديۀ چشم صحيح اعور</w:t>
            </w:r>
            <w:r>
              <w:rPr>
                <w:rStyle w:val="IndexLink"/>
                <w:rtl w:val="true"/>
              </w:rPr>
              <w:tab/>
            </w:r>
            <w:r>
              <w:rPr>
                <w:rStyle w:val="IndexLink"/>
              </w:rPr>
              <w:t>559</w:t>
            </w:r>
          </w:hyperlink>
        </w:p>
        <w:p>
          <w:pPr>
            <w:pStyle w:val="Contents6"/>
            <w:tabs>
              <w:tab w:val="clear" w:pos="7609"/>
              <w:tab w:val="right" w:pos="9026" w:leader="dot"/>
            </w:tabs>
            <w:rPr/>
          </w:pPr>
          <w:hyperlink w:anchor="__RefHeading___Toc3973827_1067777946">
            <w:r>
              <w:rPr>
                <w:webHidden/>
                <w:rStyle w:val="IndexLink"/>
                <w:rtl w:val="true"/>
              </w:rPr>
              <w:t>ديۀ چشم فاسد اعور</w:t>
            </w:r>
            <w:r>
              <w:rPr>
                <w:rStyle w:val="IndexLink"/>
                <w:rtl w:val="true"/>
              </w:rPr>
              <w:tab/>
            </w:r>
            <w:r>
              <w:rPr>
                <w:rStyle w:val="IndexLink"/>
              </w:rPr>
              <w:t>560</w:t>
            </w:r>
          </w:hyperlink>
        </w:p>
        <w:p>
          <w:pPr>
            <w:pStyle w:val="Contents6"/>
            <w:tabs>
              <w:tab w:val="clear" w:pos="7609"/>
              <w:tab w:val="right" w:pos="9026" w:leader="dot"/>
            </w:tabs>
            <w:rPr/>
          </w:pPr>
          <w:hyperlink w:anchor="__RefHeading___Toc3973829_1067777946">
            <w:r>
              <w:rPr>
                <w:webHidden/>
                <w:rStyle w:val="IndexLink"/>
              </w:rPr>
              <w:t>3</w:t>
            </w:r>
            <w:r>
              <w:rPr>
                <w:rStyle w:val="IndexLink"/>
                <w:rtl w:val="true"/>
              </w:rPr>
              <w:t xml:space="preserve">. </w:t>
            </w:r>
            <w:r>
              <w:rPr>
                <w:rStyle w:val="IndexLink"/>
                <w:rtl w:val="true"/>
              </w:rPr>
              <w:t>بينى</w:t>
            </w:r>
            <w:r>
              <w:rPr>
                <w:rStyle w:val="IndexLink"/>
                <w:rtl w:val="true"/>
              </w:rPr>
              <w:tab/>
            </w:r>
            <w:r>
              <w:rPr>
                <w:rStyle w:val="IndexLink"/>
              </w:rPr>
              <w:t>560</w:t>
            </w:r>
          </w:hyperlink>
        </w:p>
        <w:p>
          <w:pPr>
            <w:pStyle w:val="Contents6"/>
            <w:tabs>
              <w:tab w:val="clear" w:pos="7609"/>
              <w:tab w:val="right" w:pos="9026" w:leader="dot"/>
            </w:tabs>
            <w:rPr/>
          </w:pPr>
          <w:hyperlink w:anchor="__RefHeading___Toc3973831_1067777946">
            <w:r>
              <w:rPr>
                <w:webHidden/>
                <w:rStyle w:val="IndexLink"/>
                <w:rtl w:val="true"/>
              </w:rPr>
              <w:t>اشاره</w:t>
            </w:r>
            <w:r>
              <w:rPr>
                <w:rStyle w:val="IndexLink"/>
                <w:rtl w:val="true"/>
              </w:rPr>
              <w:tab/>
            </w:r>
            <w:r>
              <w:rPr>
                <w:rStyle w:val="IndexLink"/>
              </w:rPr>
              <w:t>560</w:t>
            </w:r>
          </w:hyperlink>
        </w:p>
        <w:p>
          <w:pPr>
            <w:pStyle w:val="Contents6"/>
            <w:tabs>
              <w:tab w:val="clear" w:pos="7609"/>
              <w:tab w:val="right" w:pos="9026" w:leader="dot"/>
            </w:tabs>
            <w:rPr/>
          </w:pPr>
          <w:hyperlink w:anchor="__RefHeading___Toc3973833_1067777946">
            <w:r>
              <w:rPr>
                <w:webHidden/>
                <w:rStyle w:val="IndexLink"/>
                <w:rtl w:val="true"/>
              </w:rPr>
              <w:t>شكسته شدن بينى</w:t>
            </w:r>
            <w:r>
              <w:rPr>
                <w:rStyle w:val="IndexLink"/>
                <w:rtl w:val="true"/>
              </w:rPr>
              <w:tab/>
            </w:r>
            <w:r>
              <w:rPr>
                <w:rStyle w:val="IndexLink"/>
              </w:rPr>
              <w:t>560</w:t>
            </w:r>
          </w:hyperlink>
        </w:p>
        <w:p>
          <w:pPr>
            <w:pStyle w:val="Contents6"/>
            <w:tabs>
              <w:tab w:val="clear" w:pos="7609"/>
              <w:tab w:val="right" w:pos="9026" w:leader="dot"/>
            </w:tabs>
            <w:rPr/>
          </w:pPr>
          <w:hyperlink w:anchor="__RefHeading___Toc3973835_1067777946">
            <w:r>
              <w:rPr>
                <w:webHidden/>
                <w:rStyle w:val="IndexLink"/>
                <w:rtl w:val="true"/>
              </w:rPr>
              <w:t>سوراخ كردن بينى</w:t>
            </w:r>
            <w:r>
              <w:rPr>
                <w:rStyle w:val="IndexLink"/>
                <w:rtl w:val="true"/>
              </w:rPr>
              <w:tab/>
            </w:r>
            <w:r>
              <w:rPr>
                <w:rStyle w:val="IndexLink"/>
              </w:rPr>
              <w:t>560</w:t>
            </w:r>
          </w:hyperlink>
        </w:p>
        <w:p>
          <w:pPr>
            <w:pStyle w:val="Contents6"/>
            <w:tabs>
              <w:tab w:val="clear" w:pos="7609"/>
              <w:tab w:val="right" w:pos="9026" w:leader="dot"/>
            </w:tabs>
            <w:rPr/>
          </w:pPr>
          <w:hyperlink w:anchor="__RefHeading___Toc3973837_1067777946">
            <w:r>
              <w:rPr>
                <w:webHidden/>
                <w:rStyle w:val="IndexLink"/>
                <w:rtl w:val="true"/>
              </w:rPr>
              <w:t>وارد شدن چاقو و امثال آن به نرمى بينى</w:t>
            </w:r>
            <w:r>
              <w:rPr>
                <w:rStyle w:val="IndexLink"/>
                <w:rtl w:val="true"/>
              </w:rPr>
              <w:tab/>
            </w:r>
            <w:r>
              <w:rPr>
                <w:rStyle w:val="IndexLink"/>
              </w:rPr>
              <w:t>560</w:t>
            </w:r>
          </w:hyperlink>
        </w:p>
        <w:p>
          <w:pPr>
            <w:pStyle w:val="Contents6"/>
            <w:tabs>
              <w:tab w:val="clear" w:pos="7609"/>
              <w:tab w:val="right" w:pos="9026" w:leader="dot"/>
            </w:tabs>
            <w:rPr/>
          </w:pPr>
          <w:hyperlink w:anchor="__RefHeading___Toc3973839_1067777946">
            <w:r>
              <w:rPr>
                <w:webHidden/>
                <w:rStyle w:val="IndexLink"/>
                <w:rtl w:val="true"/>
              </w:rPr>
              <w:t>مشلول كردن بينى</w:t>
            </w:r>
            <w:r>
              <w:rPr>
                <w:rStyle w:val="IndexLink"/>
                <w:rtl w:val="true"/>
              </w:rPr>
              <w:tab/>
            </w:r>
            <w:r>
              <w:rPr>
                <w:rStyle w:val="IndexLink"/>
              </w:rPr>
              <w:t>561</w:t>
            </w:r>
          </w:hyperlink>
        </w:p>
        <w:p>
          <w:pPr>
            <w:pStyle w:val="Contents6"/>
            <w:tabs>
              <w:tab w:val="clear" w:pos="7609"/>
              <w:tab w:val="right" w:pos="9026" w:leader="dot"/>
            </w:tabs>
            <w:rPr/>
          </w:pPr>
          <w:hyperlink w:anchor="__RefHeading___Toc3973841_1067777946">
            <w:r>
              <w:rPr>
                <w:webHidden/>
                <w:rStyle w:val="IndexLink"/>
                <w:rtl w:val="true"/>
              </w:rPr>
              <w:t>استيصال روثه</w:t>
            </w:r>
            <w:r>
              <w:rPr>
                <w:rStyle w:val="IndexLink"/>
                <w:rtl w:val="true"/>
              </w:rPr>
              <w:tab/>
            </w:r>
            <w:r>
              <w:rPr>
                <w:rStyle w:val="IndexLink"/>
              </w:rPr>
              <w:t>561</w:t>
            </w:r>
          </w:hyperlink>
        </w:p>
        <w:p>
          <w:pPr>
            <w:pStyle w:val="Contents6"/>
            <w:tabs>
              <w:tab w:val="clear" w:pos="7609"/>
              <w:tab w:val="right" w:pos="9026" w:leader="dot"/>
            </w:tabs>
            <w:rPr/>
          </w:pPr>
          <w:hyperlink w:anchor="__RefHeading___Toc3973843_1067777946">
            <w:r>
              <w:rPr>
                <w:webHidden/>
                <w:rStyle w:val="IndexLink"/>
                <w:rtl w:val="true"/>
              </w:rPr>
              <w:t>قطع منخر و حاجز</w:t>
            </w:r>
            <w:r>
              <w:rPr>
                <w:rStyle w:val="IndexLink"/>
                <w:rtl w:val="true"/>
              </w:rPr>
              <w:tab/>
            </w:r>
            <w:r>
              <w:rPr>
                <w:rStyle w:val="IndexLink"/>
              </w:rPr>
              <w:t>561</w:t>
            </w:r>
          </w:hyperlink>
        </w:p>
        <w:p>
          <w:pPr>
            <w:pStyle w:val="Contents6"/>
            <w:tabs>
              <w:tab w:val="clear" w:pos="7609"/>
              <w:tab w:val="right" w:pos="9026" w:leader="dot"/>
            </w:tabs>
            <w:rPr/>
          </w:pPr>
          <w:hyperlink w:anchor="__RefHeading___Toc3973845_1067777946">
            <w:r>
              <w:rPr>
                <w:webHidden/>
                <w:rStyle w:val="IndexLink"/>
                <w:rtl w:val="true"/>
              </w:rPr>
              <w:t>وارد شدن ضربه به بينى</w:t>
            </w:r>
            <w:r>
              <w:rPr>
                <w:rStyle w:val="IndexLink"/>
                <w:rtl w:val="true"/>
              </w:rPr>
              <w:tab/>
            </w:r>
            <w:r>
              <w:rPr>
                <w:rStyle w:val="IndexLink"/>
              </w:rPr>
              <w:t>561</w:t>
            </w:r>
          </w:hyperlink>
        </w:p>
        <w:p>
          <w:pPr>
            <w:pStyle w:val="Contents6"/>
            <w:tabs>
              <w:tab w:val="clear" w:pos="7609"/>
              <w:tab w:val="right" w:pos="9026" w:leader="dot"/>
            </w:tabs>
            <w:rPr/>
          </w:pPr>
          <w:hyperlink w:anchor="__RefHeading___Toc3973847_1067777946">
            <w:r>
              <w:rPr>
                <w:webHidden/>
                <w:rStyle w:val="IndexLink"/>
                <w:rtl w:val="true"/>
              </w:rPr>
              <w:t>سوراخ نمودن بينى</w:t>
            </w:r>
            <w:r>
              <w:rPr>
                <w:rStyle w:val="IndexLink"/>
                <w:rtl w:val="true"/>
              </w:rPr>
              <w:tab/>
            </w:r>
            <w:r>
              <w:rPr>
                <w:rStyle w:val="IndexLink"/>
              </w:rPr>
              <w:t>562</w:t>
            </w:r>
          </w:hyperlink>
        </w:p>
        <w:p>
          <w:pPr>
            <w:pStyle w:val="Contents6"/>
            <w:tabs>
              <w:tab w:val="clear" w:pos="7609"/>
              <w:tab w:val="right" w:pos="9026" w:leader="dot"/>
            </w:tabs>
            <w:rPr/>
          </w:pPr>
          <w:hyperlink w:anchor="__RefHeading___Toc3973849_1067777946">
            <w:r>
              <w:rPr>
                <w:webHidden/>
                <w:rStyle w:val="IndexLink"/>
                <w:rtl w:val="true"/>
              </w:rPr>
              <w:t>قطع بينى و باقى مانده پوست</w:t>
            </w:r>
            <w:r>
              <w:rPr>
                <w:rStyle w:val="IndexLink"/>
                <w:rtl w:val="true"/>
              </w:rPr>
              <w:tab/>
            </w:r>
            <w:r>
              <w:rPr>
                <w:rStyle w:val="IndexLink"/>
              </w:rPr>
              <w:t>562</w:t>
            </w:r>
          </w:hyperlink>
        </w:p>
        <w:p>
          <w:pPr>
            <w:pStyle w:val="Contents6"/>
            <w:tabs>
              <w:tab w:val="clear" w:pos="7609"/>
              <w:tab w:val="right" w:pos="9026" w:leader="dot"/>
            </w:tabs>
            <w:rPr/>
          </w:pPr>
          <w:hyperlink w:anchor="__RefHeading___Toc3973851_1067777946">
            <w:r>
              <w:rPr>
                <w:webHidden/>
                <w:rStyle w:val="IndexLink"/>
              </w:rPr>
              <w:t>4</w:t>
            </w:r>
            <w:r>
              <w:rPr>
                <w:rStyle w:val="IndexLink"/>
                <w:rtl w:val="true"/>
              </w:rPr>
              <w:t xml:space="preserve">. </w:t>
            </w:r>
            <w:r>
              <w:rPr>
                <w:rStyle w:val="IndexLink"/>
                <w:rtl w:val="true"/>
              </w:rPr>
              <w:t>گوش</w:t>
            </w:r>
            <w:r>
              <w:rPr>
                <w:rStyle w:val="IndexLink"/>
                <w:rtl w:val="true"/>
              </w:rPr>
              <w:tab/>
            </w:r>
            <w:r>
              <w:rPr>
                <w:rStyle w:val="IndexLink"/>
              </w:rPr>
              <w:t>562</w:t>
            </w:r>
          </w:hyperlink>
        </w:p>
        <w:p>
          <w:pPr>
            <w:pStyle w:val="Contents6"/>
            <w:tabs>
              <w:tab w:val="clear" w:pos="7609"/>
              <w:tab w:val="right" w:pos="9026" w:leader="dot"/>
            </w:tabs>
            <w:rPr/>
          </w:pPr>
          <w:hyperlink w:anchor="__RefHeading___Toc3973853_1067777946">
            <w:r>
              <w:rPr>
                <w:webHidden/>
                <w:rStyle w:val="IndexLink"/>
                <w:rtl w:val="true"/>
              </w:rPr>
              <w:t>اشاره</w:t>
            </w:r>
            <w:r>
              <w:rPr>
                <w:rStyle w:val="IndexLink"/>
                <w:rtl w:val="true"/>
              </w:rPr>
              <w:tab/>
            </w:r>
            <w:r>
              <w:rPr>
                <w:rStyle w:val="IndexLink"/>
              </w:rPr>
              <w:t>562</w:t>
            </w:r>
          </w:hyperlink>
        </w:p>
        <w:p>
          <w:pPr>
            <w:pStyle w:val="Contents6"/>
            <w:tabs>
              <w:tab w:val="clear" w:pos="7609"/>
              <w:tab w:val="right" w:pos="9026" w:leader="dot"/>
            </w:tabs>
            <w:rPr/>
          </w:pPr>
          <w:hyperlink w:anchor="__RefHeading___Toc3973855_1067777946">
            <w:r>
              <w:rPr>
                <w:webHidden/>
                <w:rStyle w:val="IndexLink"/>
                <w:rtl w:val="true"/>
              </w:rPr>
              <w:t>پاره نمودن گوش</w:t>
            </w:r>
            <w:r>
              <w:rPr>
                <w:rStyle w:val="IndexLink"/>
                <w:rtl w:val="true"/>
              </w:rPr>
              <w:tab/>
            </w:r>
            <w:r>
              <w:rPr>
                <w:rStyle w:val="IndexLink"/>
              </w:rPr>
              <w:t>562</w:t>
            </w:r>
          </w:hyperlink>
        </w:p>
        <w:p>
          <w:pPr>
            <w:pStyle w:val="Contents6"/>
            <w:tabs>
              <w:tab w:val="clear" w:pos="7609"/>
              <w:tab w:val="right" w:pos="9026" w:leader="dot"/>
            </w:tabs>
            <w:rPr/>
          </w:pPr>
          <w:hyperlink w:anchor="__RefHeading___Toc3973857_1067777946">
            <w:r>
              <w:rPr>
                <w:webHidden/>
                <w:rStyle w:val="IndexLink"/>
                <w:rtl w:val="true"/>
              </w:rPr>
              <w:t>پيدايش موضحه يا افساد پرده گوش</w:t>
            </w:r>
            <w:r>
              <w:rPr>
                <w:rStyle w:val="IndexLink"/>
                <w:rtl w:val="true"/>
              </w:rPr>
              <w:tab/>
            </w:r>
            <w:r>
              <w:rPr>
                <w:rStyle w:val="IndexLink"/>
              </w:rPr>
              <w:t>562</w:t>
            </w:r>
          </w:hyperlink>
        </w:p>
        <w:p>
          <w:pPr>
            <w:pStyle w:val="Contents6"/>
            <w:tabs>
              <w:tab w:val="clear" w:pos="7609"/>
              <w:tab w:val="right" w:pos="9026" w:leader="dot"/>
            </w:tabs>
            <w:rPr/>
          </w:pPr>
          <w:hyperlink w:anchor="__RefHeading___Toc3973859_1067777946">
            <w:r>
              <w:rPr>
                <w:webHidden/>
                <w:rStyle w:val="IndexLink"/>
                <w:rtl w:val="true"/>
              </w:rPr>
              <w:t>خشك شدن گوش</w:t>
            </w:r>
            <w:r>
              <w:rPr>
                <w:rStyle w:val="IndexLink"/>
                <w:rtl w:val="true"/>
              </w:rPr>
              <w:tab/>
            </w:r>
            <w:r>
              <w:rPr>
                <w:rStyle w:val="IndexLink"/>
              </w:rPr>
              <w:t>563</w:t>
            </w:r>
          </w:hyperlink>
        </w:p>
        <w:p>
          <w:pPr>
            <w:pStyle w:val="Contents6"/>
            <w:tabs>
              <w:tab w:val="clear" w:pos="7609"/>
              <w:tab w:val="right" w:pos="9026" w:leader="dot"/>
            </w:tabs>
            <w:rPr/>
          </w:pPr>
          <w:hyperlink w:anchor="__RefHeading___Toc3973861_1067777946">
            <w:r>
              <w:rPr>
                <w:webHidden/>
                <w:rStyle w:val="IndexLink"/>
              </w:rPr>
              <w:t>5</w:t>
            </w:r>
            <w:r>
              <w:rPr>
                <w:rStyle w:val="IndexLink"/>
                <w:rtl w:val="true"/>
              </w:rPr>
              <w:t xml:space="preserve">. </w:t>
            </w:r>
            <w:r>
              <w:rPr>
                <w:rStyle w:val="IndexLink"/>
                <w:rtl w:val="true"/>
              </w:rPr>
              <w:t>دو لب</w:t>
            </w:r>
            <w:r>
              <w:rPr>
                <w:rStyle w:val="IndexLink"/>
                <w:rtl w:val="true"/>
              </w:rPr>
              <w:tab/>
            </w:r>
            <w:r>
              <w:rPr>
                <w:rStyle w:val="IndexLink"/>
              </w:rPr>
              <w:t>563</w:t>
            </w:r>
          </w:hyperlink>
        </w:p>
        <w:p>
          <w:pPr>
            <w:pStyle w:val="Contents6"/>
            <w:tabs>
              <w:tab w:val="clear" w:pos="7609"/>
              <w:tab w:val="right" w:pos="9026" w:leader="dot"/>
            </w:tabs>
            <w:rPr/>
          </w:pPr>
          <w:hyperlink w:anchor="__RefHeading___Toc3973863_1067777946">
            <w:r>
              <w:rPr>
                <w:webHidden/>
                <w:rStyle w:val="IndexLink"/>
                <w:rtl w:val="true"/>
              </w:rPr>
              <w:t>اشاره</w:t>
            </w:r>
            <w:r>
              <w:rPr>
                <w:rStyle w:val="IndexLink"/>
                <w:rtl w:val="true"/>
              </w:rPr>
              <w:tab/>
            </w:r>
            <w:r>
              <w:rPr>
                <w:rStyle w:val="IndexLink"/>
              </w:rPr>
              <w:t>563</w:t>
            </w:r>
          </w:hyperlink>
        </w:p>
        <w:p>
          <w:pPr>
            <w:pStyle w:val="Contents6"/>
            <w:tabs>
              <w:tab w:val="clear" w:pos="7609"/>
              <w:tab w:val="right" w:pos="9026" w:leader="dot"/>
            </w:tabs>
            <w:rPr/>
          </w:pPr>
          <w:hyperlink w:anchor="__RefHeading___Toc3973865_1067777946">
            <w:r>
              <w:rPr>
                <w:webHidden/>
                <w:rStyle w:val="IndexLink"/>
                <w:rtl w:val="true"/>
              </w:rPr>
              <w:t>ديۀ بعض لب</w:t>
            </w:r>
            <w:r>
              <w:rPr>
                <w:rStyle w:val="IndexLink"/>
                <w:rtl w:val="true"/>
              </w:rPr>
              <w:tab/>
            </w:r>
            <w:r>
              <w:rPr>
                <w:rStyle w:val="IndexLink"/>
              </w:rPr>
              <w:t>563</w:t>
            </w:r>
          </w:hyperlink>
        </w:p>
        <w:p>
          <w:pPr>
            <w:pStyle w:val="Contents6"/>
            <w:tabs>
              <w:tab w:val="clear" w:pos="7609"/>
              <w:tab w:val="right" w:pos="9026" w:leader="dot"/>
            </w:tabs>
            <w:rPr/>
          </w:pPr>
          <w:hyperlink w:anchor="__RefHeading___Toc3973867_1067777946">
            <w:r>
              <w:rPr>
                <w:webHidden/>
                <w:rStyle w:val="IndexLink"/>
                <w:rtl w:val="true"/>
              </w:rPr>
              <w:t>تعيين حدّ لب</w:t>
            </w:r>
            <w:r>
              <w:rPr>
                <w:rStyle w:val="IndexLink"/>
                <w:rtl w:val="true"/>
              </w:rPr>
              <w:tab/>
            </w:r>
            <w:r>
              <w:rPr>
                <w:rStyle w:val="IndexLink"/>
              </w:rPr>
              <w:t>563</w:t>
            </w:r>
          </w:hyperlink>
        </w:p>
        <w:p>
          <w:pPr>
            <w:pStyle w:val="Contents6"/>
            <w:tabs>
              <w:tab w:val="clear" w:pos="7609"/>
              <w:tab w:val="right" w:pos="9026" w:leader="dot"/>
            </w:tabs>
            <w:rPr/>
          </w:pPr>
          <w:hyperlink w:anchor="__RefHeading___Toc3973869_1067777946">
            <w:r>
              <w:rPr>
                <w:webHidden/>
                <w:rStyle w:val="IndexLink"/>
                <w:rtl w:val="true"/>
              </w:rPr>
              <w:t>از فايده افتادن لب يا شلل آن</w:t>
            </w:r>
            <w:r>
              <w:rPr>
                <w:rStyle w:val="IndexLink"/>
                <w:rtl w:val="true"/>
              </w:rPr>
              <w:tab/>
            </w:r>
            <w:r>
              <w:rPr>
                <w:rStyle w:val="IndexLink"/>
              </w:rPr>
              <w:t>564</w:t>
            </w:r>
          </w:hyperlink>
        </w:p>
        <w:p>
          <w:pPr>
            <w:pStyle w:val="Contents6"/>
            <w:tabs>
              <w:tab w:val="clear" w:pos="7609"/>
              <w:tab w:val="right" w:pos="9026" w:leader="dot"/>
            </w:tabs>
            <w:rPr/>
          </w:pPr>
          <w:hyperlink w:anchor="__RefHeading___Toc3973871_1067777946">
            <w:r>
              <w:rPr>
                <w:webHidden/>
                <w:rStyle w:val="IndexLink"/>
                <w:rtl w:val="true"/>
              </w:rPr>
              <w:t>شكافته شدن لب</w:t>
            </w:r>
            <w:r>
              <w:rPr>
                <w:rStyle w:val="IndexLink"/>
                <w:rtl w:val="true"/>
              </w:rPr>
              <w:tab/>
            </w:r>
            <w:r>
              <w:rPr>
                <w:rStyle w:val="IndexLink"/>
              </w:rPr>
              <w:t>564</w:t>
            </w:r>
          </w:hyperlink>
        </w:p>
        <w:p>
          <w:pPr>
            <w:pStyle w:val="Contents6"/>
            <w:tabs>
              <w:tab w:val="clear" w:pos="7609"/>
              <w:tab w:val="right" w:pos="9026" w:leader="dot"/>
            </w:tabs>
            <w:rPr/>
          </w:pPr>
          <w:hyperlink w:anchor="__RefHeading___Toc3973873_1067777946">
            <w:r>
              <w:rPr>
                <w:webHidden/>
                <w:rStyle w:val="IndexLink"/>
              </w:rPr>
              <w:t>6</w:t>
            </w:r>
            <w:r>
              <w:rPr>
                <w:rStyle w:val="IndexLink"/>
                <w:rtl w:val="true"/>
              </w:rPr>
              <w:t xml:space="preserve">. </w:t>
            </w:r>
            <w:r>
              <w:rPr>
                <w:rStyle w:val="IndexLink"/>
                <w:rtl w:val="true"/>
              </w:rPr>
              <w:t>زبان</w:t>
            </w:r>
            <w:r>
              <w:rPr>
                <w:rStyle w:val="IndexLink"/>
                <w:rtl w:val="true"/>
              </w:rPr>
              <w:tab/>
            </w:r>
            <w:r>
              <w:rPr>
                <w:rStyle w:val="IndexLink"/>
              </w:rPr>
              <w:t>564</w:t>
            </w:r>
          </w:hyperlink>
        </w:p>
        <w:p>
          <w:pPr>
            <w:pStyle w:val="Contents6"/>
            <w:tabs>
              <w:tab w:val="clear" w:pos="7609"/>
              <w:tab w:val="right" w:pos="9026" w:leader="dot"/>
            </w:tabs>
            <w:rPr/>
          </w:pPr>
          <w:hyperlink w:anchor="__RefHeading___Toc3973875_1067777946">
            <w:r>
              <w:rPr>
                <w:webHidden/>
                <w:rStyle w:val="IndexLink"/>
                <w:rtl w:val="true"/>
              </w:rPr>
              <w:t>اشاره</w:t>
            </w:r>
            <w:r>
              <w:rPr>
                <w:rStyle w:val="IndexLink"/>
                <w:rtl w:val="true"/>
              </w:rPr>
              <w:tab/>
            </w:r>
            <w:r>
              <w:rPr>
                <w:rStyle w:val="IndexLink"/>
              </w:rPr>
              <w:t>564</w:t>
            </w:r>
          </w:hyperlink>
        </w:p>
        <w:p>
          <w:pPr>
            <w:pStyle w:val="Contents6"/>
            <w:tabs>
              <w:tab w:val="clear" w:pos="7609"/>
              <w:tab w:val="right" w:pos="9026" w:leader="dot"/>
            </w:tabs>
            <w:rPr/>
          </w:pPr>
          <w:hyperlink w:anchor="__RefHeading___Toc3973877_1067777946">
            <w:r>
              <w:rPr>
                <w:webHidden/>
                <w:rStyle w:val="IndexLink"/>
                <w:rtl w:val="true"/>
              </w:rPr>
              <w:t>قطع بعض زبان لال</w:t>
            </w:r>
            <w:r>
              <w:rPr>
                <w:rStyle w:val="IndexLink"/>
                <w:rtl w:val="true"/>
              </w:rPr>
              <w:tab/>
            </w:r>
            <w:r>
              <w:rPr>
                <w:rStyle w:val="IndexLink"/>
              </w:rPr>
              <w:t>564</w:t>
            </w:r>
          </w:hyperlink>
        </w:p>
        <w:p>
          <w:pPr>
            <w:pStyle w:val="Contents6"/>
            <w:tabs>
              <w:tab w:val="clear" w:pos="7609"/>
              <w:tab w:val="right" w:pos="9026" w:leader="dot"/>
            </w:tabs>
            <w:rPr/>
          </w:pPr>
          <w:hyperlink w:anchor="__RefHeading___Toc3973879_1067777946">
            <w:r>
              <w:rPr>
                <w:webHidden/>
                <w:rStyle w:val="IndexLink"/>
                <w:rtl w:val="true"/>
              </w:rPr>
              <w:t>ادّعاى ابكم بودن توسط جانى</w:t>
            </w:r>
            <w:r>
              <w:rPr>
                <w:rStyle w:val="IndexLink"/>
                <w:rtl w:val="true"/>
              </w:rPr>
              <w:tab/>
            </w:r>
            <w:r>
              <w:rPr>
                <w:rStyle w:val="IndexLink"/>
              </w:rPr>
              <w:t>564</w:t>
            </w:r>
          </w:hyperlink>
        </w:p>
        <w:p>
          <w:pPr>
            <w:pStyle w:val="Contents6"/>
            <w:tabs>
              <w:tab w:val="clear" w:pos="7609"/>
              <w:tab w:val="right" w:pos="9026" w:leader="dot"/>
            </w:tabs>
            <w:rPr/>
          </w:pPr>
          <w:hyperlink w:anchor="__RefHeading___Toc3973881_1067777946">
            <w:r>
              <w:rPr>
                <w:webHidden/>
                <w:rStyle w:val="IndexLink"/>
                <w:rtl w:val="true"/>
              </w:rPr>
              <w:t>قطع بعض زبان سالم</w:t>
            </w:r>
            <w:r>
              <w:rPr>
                <w:rStyle w:val="IndexLink"/>
                <w:rtl w:val="true"/>
              </w:rPr>
              <w:tab/>
            </w:r>
            <w:r>
              <w:rPr>
                <w:rStyle w:val="IndexLink"/>
              </w:rPr>
              <w:t>565</w:t>
            </w:r>
          </w:hyperlink>
        </w:p>
        <w:p>
          <w:pPr>
            <w:pStyle w:val="Contents6"/>
            <w:tabs>
              <w:tab w:val="clear" w:pos="7609"/>
              <w:tab w:val="right" w:pos="9026" w:leader="dot"/>
            </w:tabs>
            <w:rPr/>
          </w:pPr>
          <w:hyperlink w:anchor="__RefHeading___Toc3973883_1067777946">
            <w:r>
              <w:rPr>
                <w:webHidden/>
                <w:rStyle w:val="IndexLink"/>
                <w:rtl w:val="true"/>
              </w:rPr>
              <w:t>تعداد حروف معجم و تقسيم ديه بر آن</w:t>
            </w:r>
            <w:r>
              <w:rPr>
                <w:rStyle w:val="IndexLink"/>
                <w:rtl w:val="true"/>
              </w:rPr>
              <w:tab/>
            </w:r>
            <w:r>
              <w:rPr>
                <w:rStyle w:val="IndexLink"/>
              </w:rPr>
              <w:t>565</w:t>
            </w:r>
          </w:hyperlink>
        </w:p>
        <w:p>
          <w:pPr>
            <w:pStyle w:val="Contents6"/>
            <w:tabs>
              <w:tab w:val="clear" w:pos="7609"/>
              <w:tab w:val="right" w:pos="9026" w:leader="dot"/>
            </w:tabs>
            <w:rPr/>
          </w:pPr>
          <w:hyperlink w:anchor="__RefHeading___Toc3973885_1067777946">
            <w:r>
              <w:rPr>
                <w:webHidden/>
                <w:rStyle w:val="IndexLink"/>
                <w:rtl w:val="true"/>
              </w:rPr>
              <w:t>سرعت نطق</w:t>
            </w:r>
            <w:r>
              <w:rPr>
                <w:rStyle w:val="IndexLink"/>
                <w:rtl w:val="true"/>
              </w:rPr>
              <w:tab/>
            </w:r>
            <w:r>
              <w:rPr>
                <w:rStyle w:val="IndexLink"/>
              </w:rPr>
              <w:t>566</w:t>
            </w:r>
          </w:hyperlink>
        </w:p>
        <w:p>
          <w:pPr>
            <w:pStyle w:val="Contents6"/>
            <w:tabs>
              <w:tab w:val="clear" w:pos="7609"/>
              <w:tab w:val="right" w:pos="9026" w:leader="dot"/>
            </w:tabs>
            <w:rPr/>
          </w:pPr>
          <w:hyperlink w:anchor="__RefHeading___Toc3973887_1067777946">
            <w:r>
              <w:rPr>
                <w:webHidden/>
                <w:rStyle w:val="IndexLink"/>
                <w:rtl w:val="true"/>
              </w:rPr>
              <w:t>نقص يا سختى تكلّم</w:t>
            </w:r>
            <w:r>
              <w:rPr>
                <w:rStyle w:val="IndexLink"/>
                <w:rtl w:val="true"/>
              </w:rPr>
              <w:tab/>
            </w:r>
            <w:r>
              <w:rPr>
                <w:rStyle w:val="IndexLink"/>
              </w:rPr>
              <w:t>566</w:t>
            </w:r>
          </w:hyperlink>
        </w:p>
        <w:p>
          <w:pPr>
            <w:pStyle w:val="Contents6"/>
            <w:tabs>
              <w:tab w:val="clear" w:pos="7609"/>
              <w:tab w:val="right" w:pos="9026" w:leader="dot"/>
            </w:tabs>
            <w:rPr/>
          </w:pPr>
          <w:hyperlink w:anchor="__RefHeading___Toc3973889_1067777946">
            <w:r>
              <w:rPr>
                <w:webHidden/>
                <w:rStyle w:val="IndexLink"/>
                <w:rtl w:val="true"/>
              </w:rPr>
              <w:t>عدم اعتبار به مساحت با تعيّن ديۀ حرف</w:t>
            </w:r>
            <w:r>
              <w:rPr>
                <w:rStyle w:val="IndexLink"/>
                <w:rtl w:val="true"/>
              </w:rPr>
              <w:tab/>
            </w:r>
            <w:r>
              <w:rPr>
                <w:rStyle w:val="IndexLink"/>
              </w:rPr>
              <w:t>566</w:t>
            </w:r>
          </w:hyperlink>
        </w:p>
        <w:p>
          <w:pPr>
            <w:pStyle w:val="Contents6"/>
            <w:tabs>
              <w:tab w:val="clear" w:pos="7609"/>
              <w:tab w:val="right" w:pos="9026" w:leader="dot"/>
            </w:tabs>
            <w:rPr/>
          </w:pPr>
          <w:hyperlink w:anchor="__RefHeading___Toc3973891_1067777946">
            <w:r>
              <w:rPr>
                <w:webHidden/>
                <w:rStyle w:val="IndexLink"/>
                <w:rtl w:val="true"/>
              </w:rPr>
              <w:t>اعتبار در اختلاف قطع و ذهاب حروف</w:t>
            </w:r>
            <w:r>
              <w:rPr>
                <w:rStyle w:val="IndexLink"/>
                <w:rtl w:val="true"/>
              </w:rPr>
              <w:tab/>
            </w:r>
            <w:r>
              <w:rPr>
                <w:rStyle w:val="IndexLink"/>
              </w:rPr>
              <w:t>566</w:t>
            </w:r>
          </w:hyperlink>
        </w:p>
        <w:p>
          <w:pPr>
            <w:pStyle w:val="Contents6"/>
            <w:tabs>
              <w:tab w:val="clear" w:pos="7609"/>
              <w:tab w:val="right" w:pos="9026" w:leader="dot"/>
            </w:tabs>
            <w:rPr/>
          </w:pPr>
          <w:hyperlink w:anchor="__RefHeading___Toc3973893_1067777946">
            <w:r>
              <w:rPr>
                <w:webHidden/>
                <w:rStyle w:val="IndexLink"/>
                <w:rtl w:val="true"/>
              </w:rPr>
              <w:t>حكم جنايت لاحقه بر اُولى</w:t>
            </w:r>
            <w:r>
              <w:rPr>
                <w:rStyle w:val="IndexLink"/>
                <w:rtl w:val="true"/>
              </w:rPr>
              <w:tab/>
            </w:r>
            <w:r>
              <w:rPr>
                <w:rStyle w:val="IndexLink"/>
              </w:rPr>
              <w:t>566</w:t>
            </w:r>
          </w:hyperlink>
        </w:p>
        <w:p>
          <w:pPr>
            <w:pStyle w:val="Contents6"/>
            <w:tabs>
              <w:tab w:val="clear" w:pos="7609"/>
              <w:tab w:val="right" w:pos="9026" w:leader="dot"/>
            </w:tabs>
            <w:rPr/>
          </w:pPr>
          <w:hyperlink w:anchor="__RefHeading___Toc3973895_1067777946">
            <w:r>
              <w:rPr>
                <w:webHidden/>
                <w:rStyle w:val="IndexLink"/>
                <w:rtl w:val="true"/>
              </w:rPr>
              <w:t>اعتبار به نطق در اثبات تمام ديه</w:t>
            </w:r>
            <w:r>
              <w:rPr>
                <w:rStyle w:val="IndexLink"/>
                <w:rtl w:val="true"/>
              </w:rPr>
              <w:tab/>
            </w:r>
            <w:r>
              <w:rPr>
                <w:rStyle w:val="IndexLink"/>
              </w:rPr>
              <w:t>566</w:t>
            </w:r>
          </w:hyperlink>
        </w:p>
        <w:p>
          <w:pPr>
            <w:pStyle w:val="Contents6"/>
            <w:tabs>
              <w:tab w:val="clear" w:pos="7609"/>
              <w:tab w:val="right" w:pos="9026" w:leader="dot"/>
            </w:tabs>
            <w:rPr/>
          </w:pPr>
          <w:hyperlink w:anchor="__RefHeading___Toc3973897_1067777946">
            <w:r>
              <w:rPr>
                <w:webHidden/>
                <w:rStyle w:val="IndexLink"/>
                <w:rtl w:val="true"/>
              </w:rPr>
              <w:t>حروف شفويه و حلقيّه</w:t>
            </w:r>
            <w:r>
              <w:rPr>
                <w:rStyle w:val="IndexLink"/>
                <w:rtl w:val="true"/>
              </w:rPr>
              <w:tab/>
            </w:r>
            <w:r>
              <w:rPr>
                <w:rStyle w:val="IndexLink"/>
              </w:rPr>
              <w:t>567</w:t>
            </w:r>
          </w:hyperlink>
        </w:p>
        <w:p>
          <w:pPr>
            <w:pStyle w:val="Contents6"/>
            <w:tabs>
              <w:tab w:val="clear" w:pos="7609"/>
              <w:tab w:val="right" w:pos="9026" w:leader="dot"/>
            </w:tabs>
            <w:rPr/>
          </w:pPr>
          <w:hyperlink w:anchor="__RefHeading___Toc3973899_1067777946">
            <w:r>
              <w:rPr>
                <w:webHidden/>
                <w:rStyle w:val="IndexLink"/>
                <w:rtl w:val="true"/>
              </w:rPr>
              <w:t>كسى كه از اول نقص تكلم داشته باشد</w:t>
            </w:r>
            <w:r>
              <w:rPr>
                <w:rStyle w:val="IndexLink"/>
                <w:rtl w:val="true"/>
              </w:rPr>
              <w:tab/>
            </w:r>
            <w:r>
              <w:rPr>
                <w:rStyle w:val="IndexLink"/>
              </w:rPr>
              <w:t>567</w:t>
            </w:r>
          </w:hyperlink>
        </w:p>
        <w:p>
          <w:pPr>
            <w:pStyle w:val="Contents6"/>
            <w:tabs>
              <w:tab w:val="clear" w:pos="7609"/>
              <w:tab w:val="right" w:pos="9026" w:leader="dot"/>
            </w:tabs>
            <w:rPr/>
          </w:pPr>
          <w:hyperlink w:anchor="__RefHeading___Toc3973901_1067777946">
            <w:r>
              <w:rPr>
                <w:webHidden/>
                <w:rStyle w:val="IndexLink"/>
                <w:rtl w:val="true"/>
              </w:rPr>
              <w:t>زبان طفل</w:t>
            </w:r>
            <w:r>
              <w:rPr>
                <w:rStyle w:val="IndexLink"/>
                <w:rtl w:val="true"/>
              </w:rPr>
              <w:tab/>
            </w:r>
            <w:r>
              <w:rPr>
                <w:rStyle w:val="IndexLink"/>
              </w:rPr>
              <w:t>567</w:t>
            </w:r>
          </w:hyperlink>
        </w:p>
        <w:p>
          <w:pPr>
            <w:pStyle w:val="Contents6"/>
            <w:tabs>
              <w:tab w:val="clear" w:pos="7609"/>
              <w:tab w:val="right" w:pos="9026" w:leader="dot"/>
            </w:tabs>
            <w:rPr/>
          </w:pPr>
          <w:hyperlink w:anchor="__RefHeading___Toc3973903_1067777946">
            <w:r>
              <w:rPr>
                <w:webHidden/>
                <w:rStyle w:val="IndexLink"/>
                <w:rtl w:val="true"/>
              </w:rPr>
              <w:t>اختلاف مجنىّ عليه و جانى</w:t>
            </w:r>
            <w:r>
              <w:rPr>
                <w:rStyle w:val="IndexLink"/>
                <w:rtl w:val="true"/>
              </w:rPr>
              <w:tab/>
            </w:r>
            <w:r>
              <w:rPr>
                <w:rStyle w:val="IndexLink"/>
              </w:rPr>
              <w:t>567</w:t>
            </w:r>
          </w:hyperlink>
        </w:p>
        <w:p>
          <w:pPr>
            <w:pStyle w:val="Contents6"/>
            <w:tabs>
              <w:tab w:val="clear" w:pos="7609"/>
              <w:tab w:val="right" w:pos="9026" w:leader="dot"/>
            </w:tabs>
            <w:rPr/>
          </w:pPr>
          <w:hyperlink w:anchor="__RefHeading___Toc3973905_1067777946">
            <w:r>
              <w:rPr>
                <w:webHidden/>
                <w:rStyle w:val="IndexLink"/>
                <w:rtl w:val="true"/>
              </w:rPr>
              <w:t>زايل شدن كلام يا بعض آن به جنايت به غير قطع زبان و عود آن</w:t>
            </w:r>
            <w:r>
              <w:rPr>
                <w:rStyle w:val="IndexLink"/>
                <w:rtl w:val="true"/>
              </w:rPr>
              <w:tab/>
            </w:r>
            <w:r>
              <w:rPr>
                <w:rStyle w:val="IndexLink"/>
              </w:rPr>
              <w:t>568</w:t>
            </w:r>
          </w:hyperlink>
        </w:p>
        <w:p>
          <w:pPr>
            <w:pStyle w:val="Contents6"/>
            <w:tabs>
              <w:tab w:val="clear" w:pos="7609"/>
              <w:tab w:val="right" w:pos="9026" w:leader="dot"/>
            </w:tabs>
            <w:rPr/>
          </w:pPr>
          <w:hyperlink w:anchor="__RefHeading___Toc3973907_1067777946">
            <w:r>
              <w:rPr>
                <w:webHidden/>
                <w:rStyle w:val="IndexLink"/>
                <w:rtl w:val="true"/>
              </w:rPr>
              <w:t>عود نطق در قطع زبان</w:t>
            </w:r>
            <w:r>
              <w:rPr>
                <w:rStyle w:val="IndexLink"/>
                <w:rtl w:val="true"/>
              </w:rPr>
              <w:tab/>
            </w:r>
            <w:r>
              <w:rPr>
                <w:rStyle w:val="IndexLink"/>
              </w:rPr>
              <w:t>568</w:t>
            </w:r>
          </w:hyperlink>
        </w:p>
        <w:p>
          <w:pPr>
            <w:pStyle w:val="Contents6"/>
            <w:tabs>
              <w:tab w:val="clear" w:pos="7609"/>
              <w:tab w:val="right" w:pos="9026" w:leader="dot"/>
            </w:tabs>
            <w:rPr/>
          </w:pPr>
          <w:hyperlink w:anchor="__RefHeading___Toc3973909_1067777946">
            <w:r>
              <w:rPr>
                <w:webHidden/>
                <w:rStyle w:val="IndexLink"/>
                <w:rtl w:val="true"/>
              </w:rPr>
              <w:t>عدم استعاده ديه در روييدن دندان</w:t>
            </w:r>
            <w:r>
              <w:rPr>
                <w:rStyle w:val="IndexLink"/>
                <w:rtl w:val="true"/>
              </w:rPr>
              <w:tab/>
            </w:r>
            <w:r>
              <w:rPr>
                <w:rStyle w:val="IndexLink"/>
              </w:rPr>
              <w:t>568</w:t>
            </w:r>
          </w:hyperlink>
        </w:p>
        <w:p>
          <w:pPr>
            <w:pStyle w:val="Contents6"/>
            <w:tabs>
              <w:tab w:val="clear" w:pos="7609"/>
              <w:tab w:val="right" w:pos="9026" w:leader="dot"/>
            </w:tabs>
            <w:rPr/>
          </w:pPr>
          <w:hyperlink w:anchor="__RefHeading___Toc3973911_1067777946">
            <w:r>
              <w:rPr>
                <w:webHidden/>
                <w:rStyle w:val="IndexLink"/>
                <w:rtl w:val="true"/>
              </w:rPr>
              <w:t>قطع يك طرف زبان با قدرت كامل طرف ديگر</w:t>
            </w:r>
            <w:r>
              <w:rPr>
                <w:rStyle w:val="IndexLink"/>
                <w:rtl w:val="true"/>
              </w:rPr>
              <w:tab/>
            </w:r>
            <w:r>
              <w:rPr>
                <w:rStyle w:val="IndexLink"/>
              </w:rPr>
              <w:t>569</w:t>
            </w:r>
          </w:hyperlink>
        </w:p>
        <w:p>
          <w:pPr>
            <w:pStyle w:val="Contents6"/>
            <w:tabs>
              <w:tab w:val="clear" w:pos="7609"/>
              <w:tab w:val="right" w:pos="9026" w:leader="dot"/>
            </w:tabs>
            <w:rPr/>
          </w:pPr>
          <w:hyperlink w:anchor="__RefHeading___Toc3973913_1067777946">
            <w:r>
              <w:rPr>
                <w:webHidden/>
                <w:rStyle w:val="IndexLink"/>
                <w:rtl w:val="true"/>
              </w:rPr>
              <w:t>اگر كمى از حروف، منطوق باشد</w:t>
            </w:r>
            <w:r>
              <w:rPr>
                <w:rStyle w:val="IndexLink"/>
                <w:rtl w:val="true"/>
              </w:rPr>
              <w:tab/>
            </w:r>
            <w:r>
              <w:rPr>
                <w:rStyle w:val="IndexLink"/>
              </w:rPr>
              <w:t>569</w:t>
            </w:r>
          </w:hyperlink>
        </w:p>
        <w:p>
          <w:pPr>
            <w:pStyle w:val="Contents6"/>
            <w:tabs>
              <w:tab w:val="clear" w:pos="7609"/>
              <w:tab w:val="right" w:pos="9026" w:leader="dot"/>
            </w:tabs>
            <w:rPr/>
          </w:pPr>
          <w:hyperlink w:anchor="__RefHeading___Toc3973915_1067777946">
            <w:r>
              <w:rPr>
                <w:webHidden/>
                <w:rStyle w:val="IndexLink"/>
                <w:rtl w:val="true"/>
              </w:rPr>
              <w:t>تبديل حرفى به حرف ديگر</w:t>
            </w:r>
            <w:r>
              <w:rPr>
                <w:rStyle w:val="IndexLink"/>
                <w:rtl w:val="true"/>
              </w:rPr>
              <w:tab/>
            </w:r>
            <w:r>
              <w:rPr>
                <w:rStyle w:val="IndexLink"/>
              </w:rPr>
              <w:t>569</w:t>
            </w:r>
          </w:hyperlink>
        </w:p>
        <w:p>
          <w:pPr>
            <w:pStyle w:val="Contents6"/>
            <w:tabs>
              <w:tab w:val="clear" w:pos="7609"/>
              <w:tab w:val="right" w:pos="9026" w:leader="dot"/>
            </w:tabs>
            <w:rPr/>
          </w:pPr>
          <w:hyperlink w:anchor="__RefHeading___Toc3973917_1067777946">
            <w:r>
              <w:rPr>
                <w:webHidden/>
                <w:rStyle w:val="IndexLink"/>
                <w:rtl w:val="true"/>
              </w:rPr>
              <w:t>ازاله فصاحت در بعض حروف</w:t>
            </w:r>
            <w:r>
              <w:rPr>
                <w:rStyle w:val="IndexLink"/>
                <w:rtl w:val="true"/>
              </w:rPr>
              <w:tab/>
            </w:r>
            <w:r>
              <w:rPr>
                <w:rStyle w:val="IndexLink"/>
              </w:rPr>
              <w:t>569</w:t>
            </w:r>
          </w:hyperlink>
        </w:p>
        <w:p>
          <w:pPr>
            <w:pStyle w:val="Contents6"/>
            <w:tabs>
              <w:tab w:val="clear" w:pos="7609"/>
              <w:tab w:val="right" w:pos="9026" w:leader="dot"/>
            </w:tabs>
            <w:rPr/>
          </w:pPr>
          <w:hyperlink w:anchor="__RefHeading___Toc3973919_1067777946">
            <w:r>
              <w:rPr>
                <w:webHidden/>
                <w:rStyle w:val="IndexLink"/>
                <w:rtl w:val="true"/>
              </w:rPr>
              <w:t>ازاله فصاحت در بعض حروف</w:t>
            </w:r>
            <w:r>
              <w:rPr>
                <w:rStyle w:val="IndexLink"/>
                <w:rtl w:val="true"/>
              </w:rPr>
              <w:tab/>
            </w:r>
            <w:r>
              <w:rPr>
                <w:rStyle w:val="IndexLink"/>
              </w:rPr>
              <w:t>570</w:t>
            </w:r>
          </w:hyperlink>
        </w:p>
        <w:p>
          <w:pPr>
            <w:pStyle w:val="Contents6"/>
            <w:tabs>
              <w:tab w:val="clear" w:pos="7609"/>
              <w:tab w:val="right" w:pos="9026" w:leader="dot"/>
            </w:tabs>
            <w:rPr/>
          </w:pPr>
          <w:hyperlink w:anchor="__RefHeading___Toc3973921_1067777946">
            <w:r>
              <w:rPr>
                <w:webHidden/>
                <w:rStyle w:val="IndexLink"/>
                <w:rtl w:val="true"/>
              </w:rPr>
              <w:t>نقص بعض حروف به وسيله جنايت بر غير زبان</w:t>
            </w:r>
            <w:r>
              <w:rPr>
                <w:rStyle w:val="IndexLink"/>
                <w:rtl w:val="true"/>
              </w:rPr>
              <w:tab/>
            </w:r>
            <w:r>
              <w:rPr>
                <w:rStyle w:val="IndexLink"/>
              </w:rPr>
              <w:t>570</w:t>
            </w:r>
          </w:hyperlink>
        </w:p>
        <w:p>
          <w:pPr>
            <w:pStyle w:val="Contents6"/>
            <w:tabs>
              <w:tab w:val="clear" w:pos="7609"/>
              <w:tab w:val="right" w:pos="9026" w:leader="dot"/>
            </w:tabs>
            <w:rPr/>
          </w:pPr>
          <w:hyperlink w:anchor="__RefHeading___Toc3973923_1067777946">
            <w:r>
              <w:rPr>
                <w:webHidden/>
                <w:rStyle w:val="IndexLink"/>
              </w:rPr>
              <w:t>7</w:t>
            </w:r>
            <w:r>
              <w:rPr>
                <w:rStyle w:val="IndexLink"/>
                <w:rtl w:val="true"/>
              </w:rPr>
              <w:t xml:space="preserve">. </w:t>
            </w:r>
            <w:r>
              <w:rPr>
                <w:rStyle w:val="IndexLink"/>
                <w:rtl w:val="true"/>
              </w:rPr>
              <w:t>دندان ها</w:t>
            </w:r>
            <w:r>
              <w:rPr>
                <w:rStyle w:val="IndexLink"/>
                <w:rtl w:val="true"/>
              </w:rPr>
              <w:tab/>
            </w:r>
            <w:r>
              <w:rPr>
                <w:rStyle w:val="IndexLink"/>
              </w:rPr>
              <w:t>570</w:t>
            </w:r>
          </w:hyperlink>
        </w:p>
        <w:p>
          <w:pPr>
            <w:pStyle w:val="Contents6"/>
            <w:tabs>
              <w:tab w:val="clear" w:pos="7609"/>
              <w:tab w:val="right" w:pos="9026" w:leader="dot"/>
            </w:tabs>
            <w:rPr/>
          </w:pPr>
          <w:hyperlink w:anchor="__RefHeading___Toc3973925_1067777946">
            <w:r>
              <w:rPr>
                <w:webHidden/>
                <w:rStyle w:val="IndexLink"/>
                <w:rtl w:val="true"/>
              </w:rPr>
              <w:t>اشاره</w:t>
            </w:r>
            <w:r>
              <w:rPr>
                <w:rStyle w:val="IndexLink"/>
                <w:rtl w:val="true"/>
              </w:rPr>
              <w:tab/>
            </w:r>
            <w:r>
              <w:rPr>
                <w:rStyle w:val="IndexLink"/>
              </w:rPr>
              <w:t>570</w:t>
            </w:r>
          </w:hyperlink>
        </w:p>
        <w:p>
          <w:pPr>
            <w:pStyle w:val="Contents6"/>
            <w:tabs>
              <w:tab w:val="clear" w:pos="7609"/>
              <w:tab w:val="right" w:pos="9026" w:leader="dot"/>
            </w:tabs>
            <w:rPr/>
          </w:pPr>
          <w:hyperlink w:anchor="__RefHeading___Toc3973927_1067777946">
            <w:r>
              <w:rPr>
                <w:webHidden/>
                <w:rStyle w:val="IndexLink"/>
                <w:rtl w:val="true"/>
              </w:rPr>
              <w:t>مورد ثبوت ارش در دندان</w:t>
            </w:r>
            <w:r>
              <w:rPr>
                <w:rStyle w:val="IndexLink"/>
                <w:rtl w:val="true"/>
              </w:rPr>
              <w:tab/>
            </w:r>
            <w:r>
              <w:rPr>
                <w:rStyle w:val="IndexLink"/>
              </w:rPr>
              <w:t>571</w:t>
            </w:r>
          </w:hyperlink>
        </w:p>
        <w:p>
          <w:pPr>
            <w:pStyle w:val="Contents6"/>
            <w:tabs>
              <w:tab w:val="clear" w:pos="7609"/>
              <w:tab w:val="right" w:pos="9026" w:leader="dot"/>
            </w:tabs>
            <w:rPr/>
          </w:pPr>
          <w:hyperlink w:anchor="__RefHeading___Toc3973929_1067777946">
            <w:r>
              <w:rPr>
                <w:webHidden/>
                <w:rStyle w:val="IndexLink"/>
                <w:rtl w:val="true"/>
              </w:rPr>
              <w:t>ساقط شدن دندان و معلوم نشدن اصالت آن</w:t>
            </w:r>
            <w:r>
              <w:rPr>
                <w:rStyle w:val="IndexLink"/>
                <w:rtl w:val="true"/>
              </w:rPr>
              <w:tab/>
            </w:r>
            <w:r>
              <w:rPr>
                <w:rStyle w:val="IndexLink"/>
              </w:rPr>
              <w:t>571</w:t>
            </w:r>
          </w:hyperlink>
        </w:p>
        <w:p>
          <w:pPr>
            <w:pStyle w:val="Contents6"/>
            <w:tabs>
              <w:tab w:val="clear" w:pos="7609"/>
              <w:tab w:val="right" w:pos="9026" w:leader="dot"/>
            </w:tabs>
            <w:rPr/>
          </w:pPr>
          <w:hyperlink w:anchor="__RefHeading___Toc3973931_1067777946">
            <w:r>
              <w:rPr>
                <w:webHidden/>
                <w:rStyle w:val="IndexLink"/>
                <w:rtl w:val="true"/>
              </w:rPr>
              <w:t xml:space="preserve">اگر دندانها از </w:t>
            </w:r>
            <w:r>
              <w:rPr>
                <w:rStyle w:val="IndexLink"/>
              </w:rPr>
              <w:t>28</w:t>
            </w:r>
            <w:r>
              <w:rPr>
                <w:rStyle w:val="IndexLink"/>
                <w:rtl w:val="true"/>
              </w:rPr>
              <w:t xml:space="preserve"> </w:t>
            </w:r>
            <w:r>
              <w:rPr>
                <w:rStyle w:val="IndexLink"/>
                <w:rtl w:val="true"/>
              </w:rPr>
              <w:t>كمتر يا بيشتر باشد</w:t>
            </w:r>
            <w:r>
              <w:rPr>
                <w:rStyle w:val="IndexLink"/>
                <w:rtl w:val="true"/>
              </w:rPr>
              <w:tab/>
            </w:r>
            <w:r>
              <w:rPr>
                <w:rStyle w:val="IndexLink"/>
              </w:rPr>
              <w:t>571</w:t>
            </w:r>
          </w:hyperlink>
        </w:p>
        <w:p>
          <w:pPr>
            <w:pStyle w:val="Contents6"/>
            <w:tabs>
              <w:tab w:val="clear" w:pos="7609"/>
              <w:tab w:val="right" w:pos="9026" w:leader="dot"/>
            </w:tabs>
            <w:rPr/>
          </w:pPr>
          <w:hyperlink w:anchor="__RefHeading___Toc3973933_1067777946">
            <w:r>
              <w:rPr>
                <w:webHidden/>
                <w:rStyle w:val="IndexLink"/>
                <w:rtl w:val="true"/>
              </w:rPr>
              <w:t>اختلاف رنگ دندان، و تغيير رنگ</w:t>
            </w:r>
            <w:r>
              <w:rPr>
                <w:rStyle w:val="IndexLink"/>
                <w:rtl w:val="true"/>
              </w:rPr>
              <w:tab/>
            </w:r>
            <w:r>
              <w:rPr>
                <w:rStyle w:val="IndexLink"/>
              </w:rPr>
              <w:t>571</w:t>
            </w:r>
          </w:hyperlink>
        </w:p>
        <w:p>
          <w:pPr>
            <w:pStyle w:val="Contents6"/>
            <w:tabs>
              <w:tab w:val="clear" w:pos="7609"/>
              <w:tab w:val="right" w:pos="9026" w:leader="dot"/>
            </w:tabs>
            <w:rPr/>
          </w:pPr>
          <w:hyperlink w:anchor="__RefHeading___Toc3973935_1067777946">
            <w:r>
              <w:rPr>
                <w:webHidden/>
                <w:rStyle w:val="IndexLink"/>
                <w:rtl w:val="true"/>
              </w:rPr>
              <w:t>شكاف دار شدن دندان يا شكسته شدن جاى ديگر</w:t>
            </w:r>
            <w:r>
              <w:rPr>
                <w:rStyle w:val="IndexLink"/>
                <w:rtl w:val="true"/>
              </w:rPr>
              <w:tab/>
            </w:r>
            <w:r>
              <w:rPr>
                <w:rStyle w:val="IndexLink"/>
              </w:rPr>
              <w:t>572</w:t>
            </w:r>
          </w:hyperlink>
        </w:p>
        <w:p>
          <w:pPr>
            <w:pStyle w:val="Contents6"/>
            <w:tabs>
              <w:tab w:val="clear" w:pos="7609"/>
              <w:tab w:val="right" w:pos="9026" w:leader="dot"/>
            </w:tabs>
            <w:rPr/>
          </w:pPr>
          <w:hyperlink w:anchor="__RefHeading___Toc3973937_1067777946">
            <w:r>
              <w:rPr>
                <w:webHidden/>
                <w:rStyle w:val="IndexLink"/>
                <w:rtl w:val="true"/>
              </w:rPr>
              <w:t>صبر تا يك سال براى روييدن دندان</w:t>
            </w:r>
            <w:r>
              <w:rPr>
                <w:rStyle w:val="IndexLink"/>
                <w:rtl w:val="true"/>
              </w:rPr>
              <w:tab/>
            </w:r>
            <w:r>
              <w:rPr>
                <w:rStyle w:val="IndexLink"/>
              </w:rPr>
              <w:t>572</w:t>
            </w:r>
          </w:hyperlink>
        </w:p>
        <w:p>
          <w:pPr>
            <w:pStyle w:val="Contents6"/>
            <w:tabs>
              <w:tab w:val="clear" w:pos="7609"/>
              <w:tab w:val="right" w:pos="9026" w:leader="dot"/>
            </w:tabs>
            <w:rPr/>
          </w:pPr>
          <w:hyperlink w:anchor="__RefHeading___Toc3973939_1067777946">
            <w:r>
              <w:rPr>
                <w:webHidden/>
                <w:rStyle w:val="IndexLink"/>
                <w:rtl w:val="true"/>
              </w:rPr>
              <w:t>اگر دندان دوباره نصب شد يا روييد يا ترميم شد</w:t>
            </w:r>
            <w:r>
              <w:rPr>
                <w:rStyle w:val="IndexLink"/>
                <w:rtl w:val="true"/>
              </w:rPr>
              <w:tab/>
            </w:r>
            <w:r>
              <w:rPr>
                <w:rStyle w:val="IndexLink"/>
              </w:rPr>
              <w:t>572</w:t>
            </w:r>
          </w:hyperlink>
        </w:p>
        <w:p>
          <w:pPr>
            <w:pStyle w:val="Contents6"/>
            <w:tabs>
              <w:tab w:val="clear" w:pos="7609"/>
              <w:tab w:val="right" w:pos="9026" w:leader="dot"/>
            </w:tabs>
            <w:rPr/>
          </w:pPr>
          <w:hyperlink w:anchor="__RefHeading___Toc3973941_1067777946">
            <w:r>
              <w:rPr>
                <w:webHidden/>
                <w:rStyle w:val="IndexLink"/>
                <w:rtl w:val="true"/>
              </w:rPr>
              <w:t>عدم تأثير كوتاهى و بلندى دندان در ديه</w:t>
            </w:r>
            <w:r>
              <w:rPr>
                <w:rStyle w:val="IndexLink"/>
                <w:rtl w:val="true"/>
              </w:rPr>
              <w:tab/>
            </w:r>
            <w:r>
              <w:rPr>
                <w:rStyle w:val="IndexLink"/>
              </w:rPr>
              <w:t>573</w:t>
            </w:r>
          </w:hyperlink>
        </w:p>
        <w:p>
          <w:pPr>
            <w:pStyle w:val="Contents6"/>
            <w:tabs>
              <w:tab w:val="clear" w:pos="7609"/>
              <w:tab w:val="right" w:pos="9026" w:leader="dot"/>
            </w:tabs>
            <w:rPr/>
          </w:pPr>
          <w:hyperlink w:anchor="__RefHeading___Toc3973943_1067777946">
            <w:r>
              <w:rPr>
                <w:webHidden/>
                <w:rStyle w:val="IndexLink"/>
                <w:rtl w:val="true"/>
              </w:rPr>
              <w:t>كنده شدن دندان معيوب</w:t>
            </w:r>
            <w:r>
              <w:rPr>
                <w:rStyle w:val="IndexLink"/>
                <w:rtl w:val="true"/>
              </w:rPr>
              <w:tab/>
            </w:r>
            <w:r>
              <w:rPr>
                <w:rStyle w:val="IndexLink"/>
              </w:rPr>
              <w:t>573</w:t>
            </w:r>
          </w:hyperlink>
        </w:p>
        <w:p>
          <w:pPr>
            <w:pStyle w:val="Contents6"/>
            <w:tabs>
              <w:tab w:val="clear" w:pos="7609"/>
              <w:tab w:val="right" w:pos="9026" w:leader="dot"/>
            </w:tabs>
            <w:rPr/>
          </w:pPr>
          <w:hyperlink w:anchor="__RefHeading___Toc3973945_1067777946">
            <w:r>
              <w:rPr>
                <w:webHidden/>
                <w:rStyle w:val="IndexLink"/>
                <w:rtl w:val="true"/>
              </w:rPr>
              <w:t>از بين رفتن بعض دندان ناقص</w:t>
            </w:r>
            <w:r>
              <w:rPr>
                <w:rStyle w:val="IndexLink"/>
                <w:rtl w:val="true"/>
              </w:rPr>
              <w:tab/>
            </w:r>
            <w:r>
              <w:rPr>
                <w:rStyle w:val="IndexLink"/>
              </w:rPr>
              <w:t>573</w:t>
            </w:r>
          </w:hyperlink>
        </w:p>
        <w:p>
          <w:pPr>
            <w:pStyle w:val="Contents6"/>
            <w:tabs>
              <w:tab w:val="clear" w:pos="7609"/>
              <w:tab w:val="right" w:pos="9026" w:leader="dot"/>
            </w:tabs>
            <w:rPr/>
          </w:pPr>
          <w:hyperlink w:anchor="__RefHeading___Toc3973947_1067777946">
            <w:r>
              <w:rPr>
                <w:webHidden/>
                <w:rStyle w:val="IndexLink"/>
                <w:rtl w:val="true"/>
              </w:rPr>
              <w:t>اختلاف در قدر شكسته شده</w:t>
            </w:r>
            <w:r>
              <w:rPr>
                <w:rStyle w:val="IndexLink"/>
                <w:rtl w:val="true"/>
              </w:rPr>
              <w:tab/>
            </w:r>
            <w:r>
              <w:rPr>
                <w:rStyle w:val="IndexLink"/>
              </w:rPr>
              <w:t>573</w:t>
            </w:r>
          </w:hyperlink>
        </w:p>
        <w:p>
          <w:pPr>
            <w:pStyle w:val="Contents6"/>
            <w:tabs>
              <w:tab w:val="clear" w:pos="7609"/>
              <w:tab w:val="right" w:pos="9026" w:leader="dot"/>
            </w:tabs>
            <w:rPr/>
          </w:pPr>
          <w:hyperlink w:anchor="__RefHeading___Toc3973949_1067777946">
            <w:r>
              <w:rPr>
                <w:webHidden/>
                <w:rStyle w:val="IndexLink"/>
                <w:rtl w:val="true"/>
              </w:rPr>
              <w:t>كندن دندان شكسته شدۀ توسط كسى</w:t>
            </w:r>
            <w:r>
              <w:rPr>
                <w:rStyle w:val="IndexLink"/>
                <w:rtl w:val="true"/>
              </w:rPr>
              <w:tab/>
            </w:r>
            <w:r>
              <w:rPr>
                <w:rStyle w:val="IndexLink"/>
              </w:rPr>
              <w:t>573</w:t>
            </w:r>
          </w:hyperlink>
        </w:p>
        <w:p>
          <w:pPr>
            <w:pStyle w:val="Contents6"/>
            <w:tabs>
              <w:tab w:val="clear" w:pos="7609"/>
              <w:tab w:val="right" w:pos="9026" w:leader="dot"/>
            </w:tabs>
            <w:rPr/>
          </w:pPr>
          <w:hyperlink w:anchor="__RefHeading___Toc3973951_1067777946">
            <w:r>
              <w:rPr>
                <w:webHidden/>
                <w:rStyle w:val="IndexLink"/>
              </w:rPr>
              <w:t>8</w:t>
            </w:r>
            <w:r>
              <w:rPr>
                <w:rStyle w:val="IndexLink"/>
                <w:rtl w:val="true"/>
              </w:rPr>
              <w:t xml:space="preserve">. </w:t>
            </w:r>
            <w:r>
              <w:rPr>
                <w:rStyle w:val="IndexLink"/>
                <w:rtl w:val="true"/>
              </w:rPr>
              <w:t>گردن</w:t>
            </w:r>
            <w:r>
              <w:rPr>
                <w:rStyle w:val="IndexLink"/>
                <w:rtl w:val="true"/>
              </w:rPr>
              <w:tab/>
            </w:r>
            <w:r>
              <w:rPr>
                <w:rStyle w:val="IndexLink"/>
              </w:rPr>
              <w:t>574</w:t>
            </w:r>
          </w:hyperlink>
        </w:p>
        <w:p>
          <w:pPr>
            <w:pStyle w:val="Contents6"/>
            <w:tabs>
              <w:tab w:val="clear" w:pos="7609"/>
              <w:tab w:val="right" w:pos="9026" w:leader="dot"/>
            </w:tabs>
            <w:rPr/>
          </w:pPr>
          <w:hyperlink w:anchor="__RefHeading___Toc3973953_1067777946">
            <w:r>
              <w:rPr>
                <w:webHidden/>
                <w:rStyle w:val="IndexLink"/>
              </w:rPr>
              <w:t>9</w:t>
            </w:r>
            <w:r>
              <w:rPr>
                <w:rStyle w:val="IndexLink"/>
                <w:rtl w:val="true"/>
              </w:rPr>
              <w:t xml:space="preserve">. </w:t>
            </w:r>
            <w:r>
              <w:rPr>
                <w:rStyle w:val="IndexLink"/>
                <w:rtl w:val="true"/>
              </w:rPr>
              <w:t>چانه</w:t>
            </w:r>
            <w:r>
              <w:rPr>
                <w:rStyle w:val="IndexLink"/>
                <w:rtl w:val="true"/>
              </w:rPr>
              <w:tab/>
            </w:r>
            <w:r>
              <w:rPr>
                <w:rStyle w:val="IndexLink"/>
              </w:rPr>
              <w:t>574</w:t>
            </w:r>
          </w:hyperlink>
        </w:p>
        <w:p>
          <w:pPr>
            <w:pStyle w:val="Contents6"/>
            <w:tabs>
              <w:tab w:val="clear" w:pos="7609"/>
              <w:tab w:val="right" w:pos="9026" w:leader="dot"/>
            </w:tabs>
            <w:rPr/>
          </w:pPr>
          <w:hyperlink w:anchor="__RefHeading___Toc3973955_1067777946">
            <w:r>
              <w:rPr>
                <w:webHidden/>
                <w:rStyle w:val="IndexLink"/>
              </w:rPr>
              <w:t>10</w:t>
            </w:r>
            <w:r>
              <w:rPr>
                <w:rStyle w:val="IndexLink"/>
                <w:rtl w:val="true"/>
              </w:rPr>
              <w:t xml:space="preserve">. </w:t>
            </w:r>
            <w:r>
              <w:rPr>
                <w:rStyle w:val="IndexLink"/>
                <w:rtl w:val="true"/>
              </w:rPr>
              <w:t>دست</w:t>
            </w:r>
            <w:r>
              <w:rPr>
                <w:rStyle w:val="IndexLink"/>
                <w:rtl w:val="true"/>
              </w:rPr>
              <w:tab/>
            </w:r>
            <w:r>
              <w:rPr>
                <w:rStyle w:val="IndexLink"/>
              </w:rPr>
              <w:t>574</w:t>
            </w:r>
          </w:hyperlink>
        </w:p>
        <w:p>
          <w:pPr>
            <w:pStyle w:val="Contents6"/>
            <w:tabs>
              <w:tab w:val="clear" w:pos="7609"/>
              <w:tab w:val="right" w:pos="9026" w:leader="dot"/>
            </w:tabs>
            <w:rPr/>
          </w:pPr>
          <w:hyperlink w:anchor="__RefHeading___Toc3973957_1067777946">
            <w:r>
              <w:rPr>
                <w:webHidden/>
                <w:rStyle w:val="IndexLink"/>
                <w:rtl w:val="true"/>
              </w:rPr>
              <w:t>اشاره</w:t>
            </w:r>
            <w:r>
              <w:rPr>
                <w:rStyle w:val="IndexLink"/>
                <w:rtl w:val="true"/>
              </w:rPr>
              <w:tab/>
            </w:r>
            <w:r>
              <w:rPr>
                <w:rStyle w:val="IndexLink"/>
              </w:rPr>
              <w:t>574</w:t>
            </w:r>
          </w:hyperlink>
        </w:p>
        <w:p>
          <w:pPr>
            <w:pStyle w:val="Contents6"/>
            <w:tabs>
              <w:tab w:val="clear" w:pos="7609"/>
              <w:tab w:val="right" w:pos="9026" w:leader="dot"/>
            </w:tabs>
            <w:rPr/>
          </w:pPr>
          <w:hyperlink w:anchor="__RefHeading___Toc3973959_1067777946">
            <w:r>
              <w:rPr>
                <w:webHidden/>
                <w:rStyle w:val="IndexLink"/>
                <w:rtl w:val="true"/>
              </w:rPr>
              <w:t>قطع دست با انگشت يا فقط انگشت</w:t>
            </w:r>
            <w:r>
              <w:rPr>
                <w:rStyle w:val="IndexLink"/>
                <w:rtl w:val="true"/>
              </w:rPr>
              <w:tab/>
            </w:r>
            <w:r>
              <w:rPr>
                <w:rStyle w:val="IndexLink"/>
              </w:rPr>
              <w:t>574</w:t>
            </w:r>
          </w:hyperlink>
        </w:p>
        <w:p>
          <w:pPr>
            <w:pStyle w:val="Contents6"/>
            <w:tabs>
              <w:tab w:val="clear" w:pos="7609"/>
              <w:tab w:val="right" w:pos="9026" w:leader="dot"/>
            </w:tabs>
            <w:rPr/>
          </w:pPr>
          <w:hyperlink w:anchor="__RefHeading___Toc3973961_1067777946">
            <w:r>
              <w:rPr>
                <w:webHidden/>
                <w:rStyle w:val="IndexLink"/>
                <w:rtl w:val="true"/>
              </w:rPr>
              <w:t>قطع كف بدون انگشت</w:t>
            </w:r>
            <w:r>
              <w:rPr>
                <w:rStyle w:val="IndexLink"/>
                <w:rtl w:val="true"/>
              </w:rPr>
              <w:tab/>
            </w:r>
            <w:r>
              <w:rPr>
                <w:rStyle w:val="IndexLink"/>
              </w:rPr>
              <w:t>575</w:t>
            </w:r>
          </w:hyperlink>
        </w:p>
        <w:p>
          <w:pPr>
            <w:pStyle w:val="Contents6"/>
            <w:tabs>
              <w:tab w:val="clear" w:pos="7609"/>
              <w:tab w:val="right" w:pos="9026" w:leader="dot"/>
            </w:tabs>
            <w:rPr/>
          </w:pPr>
          <w:hyperlink w:anchor="__RefHeading___Toc3973963_1067777946">
            <w:r>
              <w:rPr>
                <w:webHidden/>
                <w:rStyle w:val="IndexLink"/>
                <w:rtl w:val="true"/>
              </w:rPr>
              <w:t>قطع شدن چيزى از زند يا مرفق با دست</w:t>
            </w:r>
            <w:r>
              <w:rPr>
                <w:rStyle w:val="IndexLink"/>
                <w:rtl w:val="true"/>
              </w:rPr>
              <w:tab/>
            </w:r>
            <w:r>
              <w:rPr>
                <w:rStyle w:val="IndexLink"/>
              </w:rPr>
              <w:t>575</w:t>
            </w:r>
          </w:hyperlink>
        </w:p>
        <w:p>
          <w:pPr>
            <w:pStyle w:val="Contents6"/>
            <w:tabs>
              <w:tab w:val="clear" w:pos="7609"/>
              <w:tab w:val="right" w:pos="9026" w:leader="dot"/>
            </w:tabs>
            <w:rPr/>
          </w:pPr>
          <w:hyperlink w:anchor="__RefHeading___Toc3973965_1067777946">
            <w:r>
              <w:rPr>
                <w:webHidden/>
                <w:rStyle w:val="IndexLink"/>
                <w:rtl w:val="true"/>
              </w:rPr>
              <w:t>حكم قطع دست اضافى</w:t>
            </w:r>
            <w:r>
              <w:rPr>
                <w:rStyle w:val="IndexLink"/>
                <w:rtl w:val="true"/>
              </w:rPr>
              <w:tab/>
            </w:r>
            <w:r>
              <w:rPr>
                <w:rStyle w:val="IndexLink"/>
              </w:rPr>
              <w:t>575</w:t>
            </w:r>
          </w:hyperlink>
        </w:p>
        <w:p>
          <w:pPr>
            <w:pStyle w:val="Contents6"/>
            <w:tabs>
              <w:tab w:val="clear" w:pos="7609"/>
              <w:tab w:val="right" w:pos="9026" w:leader="dot"/>
            </w:tabs>
            <w:rPr/>
          </w:pPr>
          <w:hyperlink w:anchor="__RefHeading___Toc3973967_1067777946">
            <w:r>
              <w:rPr>
                <w:webHidden/>
                <w:rStyle w:val="IndexLink"/>
                <w:rtl w:val="true"/>
              </w:rPr>
              <w:t>ذراع بى كف، عضد بى ذراع، كف بدون انگشت</w:t>
            </w:r>
            <w:r>
              <w:rPr>
                <w:rStyle w:val="IndexLink"/>
                <w:rtl w:val="true"/>
              </w:rPr>
              <w:tab/>
            </w:r>
            <w:r>
              <w:rPr>
                <w:rStyle w:val="IndexLink"/>
              </w:rPr>
              <w:t>576</w:t>
            </w:r>
          </w:hyperlink>
        </w:p>
        <w:p>
          <w:pPr>
            <w:pStyle w:val="Contents6"/>
            <w:tabs>
              <w:tab w:val="clear" w:pos="7609"/>
              <w:tab w:val="right" w:pos="9026" w:leader="dot"/>
            </w:tabs>
            <w:rPr/>
          </w:pPr>
          <w:hyperlink w:anchor="__RefHeading___Toc3973969_1067777946">
            <w:r>
              <w:rPr>
                <w:webHidden/>
                <w:rStyle w:val="IndexLink"/>
              </w:rPr>
              <w:t>11</w:t>
            </w:r>
            <w:r>
              <w:rPr>
                <w:rStyle w:val="IndexLink"/>
                <w:rtl w:val="true"/>
              </w:rPr>
              <w:t xml:space="preserve">. </w:t>
            </w:r>
            <w:r>
              <w:rPr>
                <w:rStyle w:val="IndexLink"/>
                <w:rtl w:val="true"/>
              </w:rPr>
              <w:t>انگشتهاى دست و پا</w:t>
            </w:r>
            <w:r>
              <w:rPr>
                <w:rStyle w:val="IndexLink"/>
                <w:rtl w:val="true"/>
              </w:rPr>
              <w:tab/>
            </w:r>
            <w:r>
              <w:rPr>
                <w:rStyle w:val="IndexLink"/>
              </w:rPr>
              <w:t>576</w:t>
            </w:r>
          </w:hyperlink>
        </w:p>
        <w:p>
          <w:pPr>
            <w:pStyle w:val="Contents6"/>
            <w:tabs>
              <w:tab w:val="clear" w:pos="7609"/>
              <w:tab w:val="right" w:pos="9026" w:leader="dot"/>
            </w:tabs>
            <w:rPr/>
          </w:pPr>
          <w:hyperlink w:anchor="__RefHeading___Toc3973971_1067777946">
            <w:r>
              <w:rPr>
                <w:webHidden/>
                <w:rStyle w:val="IndexLink"/>
                <w:rtl w:val="true"/>
              </w:rPr>
              <w:t>اشاره</w:t>
            </w:r>
            <w:r>
              <w:rPr>
                <w:rStyle w:val="IndexLink"/>
                <w:rtl w:val="true"/>
              </w:rPr>
              <w:tab/>
            </w:r>
            <w:r>
              <w:rPr>
                <w:rStyle w:val="IndexLink"/>
              </w:rPr>
              <w:t>576</w:t>
            </w:r>
          </w:hyperlink>
        </w:p>
        <w:p>
          <w:pPr>
            <w:pStyle w:val="Contents6"/>
            <w:tabs>
              <w:tab w:val="clear" w:pos="7609"/>
              <w:tab w:val="right" w:pos="9026" w:leader="dot"/>
            </w:tabs>
            <w:rPr/>
          </w:pPr>
          <w:hyperlink w:anchor="__RefHeading___Toc3973973_1067777946">
            <w:r>
              <w:rPr>
                <w:webHidden/>
                <w:rStyle w:val="IndexLink"/>
                <w:rtl w:val="true"/>
              </w:rPr>
              <w:t>انگشت كم يا اضافه</w:t>
            </w:r>
            <w:r>
              <w:rPr>
                <w:rStyle w:val="IndexLink"/>
                <w:rtl w:val="true"/>
              </w:rPr>
              <w:tab/>
            </w:r>
            <w:r>
              <w:rPr>
                <w:rStyle w:val="IndexLink"/>
              </w:rPr>
              <w:t>576</w:t>
            </w:r>
          </w:hyperlink>
        </w:p>
        <w:p>
          <w:pPr>
            <w:pStyle w:val="Contents6"/>
            <w:tabs>
              <w:tab w:val="clear" w:pos="7609"/>
              <w:tab w:val="right" w:pos="9026" w:leader="dot"/>
            </w:tabs>
            <w:rPr/>
          </w:pPr>
          <w:hyperlink w:anchor="__RefHeading___Toc3973975_1067777946">
            <w:r>
              <w:rPr>
                <w:webHidden/>
                <w:rStyle w:val="IndexLink"/>
                <w:rtl w:val="true"/>
              </w:rPr>
              <w:t>انگشت شلل دار</w:t>
            </w:r>
            <w:r>
              <w:rPr>
                <w:rStyle w:val="IndexLink"/>
                <w:rtl w:val="true"/>
              </w:rPr>
              <w:tab/>
            </w:r>
            <w:r>
              <w:rPr>
                <w:rStyle w:val="IndexLink"/>
              </w:rPr>
              <w:t>576</w:t>
            </w:r>
          </w:hyperlink>
        </w:p>
        <w:p>
          <w:pPr>
            <w:pStyle w:val="Contents6"/>
            <w:tabs>
              <w:tab w:val="clear" w:pos="7609"/>
              <w:tab w:val="right" w:pos="9026" w:leader="dot"/>
            </w:tabs>
            <w:rPr/>
          </w:pPr>
          <w:hyperlink w:anchor="__RefHeading___Toc3973977_1067777946">
            <w:r>
              <w:rPr>
                <w:webHidden/>
                <w:rStyle w:val="IndexLink"/>
                <w:rtl w:val="true"/>
              </w:rPr>
              <w:t>ناخن</w:t>
            </w:r>
            <w:r>
              <w:rPr>
                <w:rStyle w:val="IndexLink"/>
                <w:rtl w:val="true"/>
              </w:rPr>
              <w:tab/>
            </w:r>
            <w:r>
              <w:rPr>
                <w:rStyle w:val="IndexLink"/>
              </w:rPr>
              <w:t>577</w:t>
            </w:r>
          </w:hyperlink>
        </w:p>
        <w:p>
          <w:pPr>
            <w:pStyle w:val="Contents6"/>
            <w:tabs>
              <w:tab w:val="clear" w:pos="7609"/>
              <w:tab w:val="right" w:pos="9026" w:leader="dot"/>
            </w:tabs>
            <w:rPr/>
          </w:pPr>
          <w:hyperlink w:anchor="__RefHeading___Toc3973979_1067777946">
            <w:r>
              <w:rPr>
                <w:webHidden/>
                <w:rStyle w:val="IndexLink"/>
              </w:rPr>
              <w:t>12</w:t>
            </w:r>
            <w:r>
              <w:rPr>
                <w:rStyle w:val="IndexLink"/>
                <w:rtl w:val="true"/>
              </w:rPr>
              <w:t xml:space="preserve">. </w:t>
            </w:r>
            <w:r>
              <w:rPr>
                <w:rStyle w:val="IndexLink"/>
                <w:rtl w:val="true"/>
              </w:rPr>
              <w:t>استخوانهاى پشت</w:t>
            </w:r>
            <w:r>
              <w:rPr>
                <w:rStyle w:val="IndexLink"/>
                <w:rtl w:val="true"/>
              </w:rPr>
              <w:tab/>
            </w:r>
            <w:r>
              <w:rPr>
                <w:rStyle w:val="IndexLink"/>
              </w:rPr>
              <w:t>577</w:t>
            </w:r>
          </w:hyperlink>
        </w:p>
        <w:p>
          <w:pPr>
            <w:pStyle w:val="Contents6"/>
            <w:tabs>
              <w:tab w:val="clear" w:pos="7609"/>
              <w:tab w:val="right" w:pos="9026" w:leader="dot"/>
            </w:tabs>
            <w:rPr/>
          </w:pPr>
          <w:hyperlink w:anchor="__RefHeading___Toc3973981_1067777946">
            <w:r>
              <w:rPr>
                <w:webHidden/>
                <w:rStyle w:val="IndexLink"/>
              </w:rPr>
              <w:t>13</w:t>
            </w:r>
            <w:r>
              <w:rPr>
                <w:rStyle w:val="IndexLink"/>
                <w:rtl w:val="true"/>
              </w:rPr>
              <w:t xml:space="preserve">. </w:t>
            </w:r>
            <w:r>
              <w:rPr>
                <w:rStyle w:val="IndexLink"/>
                <w:rtl w:val="true"/>
              </w:rPr>
              <w:t>نخاع</w:t>
            </w:r>
            <w:r>
              <w:rPr>
                <w:rStyle w:val="IndexLink"/>
                <w:rtl w:val="true"/>
              </w:rPr>
              <w:tab/>
            </w:r>
            <w:r>
              <w:rPr>
                <w:rStyle w:val="IndexLink"/>
              </w:rPr>
              <w:t>577</w:t>
            </w:r>
          </w:hyperlink>
        </w:p>
        <w:p>
          <w:pPr>
            <w:pStyle w:val="Contents6"/>
            <w:tabs>
              <w:tab w:val="clear" w:pos="7609"/>
              <w:tab w:val="right" w:pos="9026" w:leader="dot"/>
            </w:tabs>
            <w:rPr/>
          </w:pPr>
          <w:hyperlink w:anchor="__RefHeading___Toc3973983_1067777946">
            <w:r>
              <w:rPr>
                <w:webHidden/>
                <w:rStyle w:val="IndexLink"/>
              </w:rPr>
              <w:t>14</w:t>
            </w:r>
            <w:r>
              <w:rPr>
                <w:rStyle w:val="IndexLink"/>
                <w:rtl w:val="true"/>
              </w:rPr>
              <w:t xml:space="preserve">. </w:t>
            </w:r>
            <w:r>
              <w:rPr>
                <w:rStyle w:val="IndexLink"/>
                <w:rtl w:val="true"/>
              </w:rPr>
              <w:t>پستان</w:t>
            </w:r>
            <w:r>
              <w:rPr>
                <w:rStyle w:val="IndexLink"/>
                <w:rtl w:val="true"/>
              </w:rPr>
              <w:tab/>
            </w:r>
            <w:r>
              <w:rPr>
                <w:rStyle w:val="IndexLink"/>
              </w:rPr>
              <w:t>577</w:t>
            </w:r>
          </w:hyperlink>
        </w:p>
        <w:p>
          <w:pPr>
            <w:pStyle w:val="Contents6"/>
            <w:tabs>
              <w:tab w:val="clear" w:pos="7609"/>
              <w:tab w:val="right" w:pos="9026" w:leader="dot"/>
            </w:tabs>
            <w:rPr/>
          </w:pPr>
          <w:hyperlink w:anchor="__RefHeading___Toc3973985_1067777946">
            <w:r>
              <w:rPr>
                <w:webHidden/>
                <w:rStyle w:val="IndexLink"/>
              </w:rPr>
              <w:t>15</w:t>
            </w:r>
            <w:r>
              <w:rPr>
                <w:rStyle w:val="IndexLink"/>
                <w:rtl w:val="true"/>
              </w:rPr>
              <w:t xml:space="preserve">. </w:t>
            </w:r>
            <w:r>
              <w:rPr>
                <w:rStyle w:val="IndexLink"/>
                <w:rtl w:val="true"/>
              </w:rPr>
              <w:t>حشفه و زايد بر آن</w:t>
            </w:r>
            <w:r>
              <w:rPr>
                <w:rStyle w:val="IndexLink"/>
                <w:rtl w:val="true"/>
              </w:rPr>
              <w:tab/>
            </w:r>
            <w:r>
              <w:rPr>
                <w:rStyle w:val="IndexLink"/>
              </w:rPr>
              <w:t>578</w:t>
            </w:r>
          </w:hyperlink>
        </w:p>
        <w:p>
          <w:pPr>
            <w:pStyle w:val="Contents6"/>
            <w:tabs>
              <w:tab w:val="clear" w:pos="7609"/>
              <w:tab w:val="right" w:pos="9026" w:leader="dot"/>
            </w:tabs>
            <w:rPr/>
          </w:pPr>
          <w:hyperlink w:anchor="__RefHeading___Toc3973987_1067777946">
            <w:r>
              <w:rPr>
                <w:webHidden/>
                <w:rStyle w:val="IndexLink"/>
                <w:rtl w:val="true"/>
              </w:rPr>
              <w:t>اشاره</w:t>
            </w:r>
            <w:r>
              <w:rPr>
                <w:rStyle w:val="IndexLink"/>
                <w:rtl w:val="true"/>
              </w:rPr>
              <w:tab/>
            </w:r>
            <w:r>
              <w:rPr>
                <w:rStyle w:val="IndexLink"/>
              </w:rPr>
              <w:t>578</w:t>
            </w:r>
          </w:hyperlink>
        </w:p>
        <w:p>
          <w:pPr>
            <w:pStyle w:val="Contents6"/>
            <w:tabs>
              <w:tab w:val="clear" w:pos="7609"/>
              <w:tab w:val="right" w:pos="9026" w:leader="dot"/>
            </w:tabs>
            <w:rPr/>
          </w:pPr>
          <w:hyperlink w:anchor="__RefHeading___Toc3973989_1067777946">
            <w:r>
              <w:rPr>
                <w:webHidden/>
                <w:rStyle w:val="IndexLink"/>
                <w:rtl w:val="true"/>
              </w:rPr>
              <w:t>بعض حشفه</w:t>
            </w:r>
            <w:r>
              <w:rPr>
                <w:rStyle w:val="IndexLink"/>
                <w:rtl w:val="true"/>
              </w:rPr>
              <w:tab/>
            </w:r>
            <w:r>
              <w:rPr>
                <w:rStyle w:val="IndexLink"/>
              </w:rPr>
              <w:t>578</w:t>
            </w:r>
          </w:hyperlink>
        </w:p>
        <w:p>
          <w:pPr>
            <w:pStyle w:val="Contents6"/>
            <w:tabs>
              <w:tab w:val="clear" w:pos="7609"/>
              <w:tab w:val="right" w:pos="9026" w:leader="dot"/>
            </w:tabs>
            <w:rPr/>
          </w:pPr>
          <w:hyperlink w:anchor="__RefHeading___Toc3973991_1067777946">
            <w:r>
              <w:rPr>
                <w:webHidden/>
                <w:rStyle w:val="IndexLink"/>
                <w:rtl w:val="true"/>
              </w:rPr>
              <w:t>خرابى در مجراى بول</w:t>
            </w:r>
            <w:r>
              <w:rPr>
                <w:rStyle w:val="IndexLink"/>
                <w:rtl w:val="true"/>
              </w:rPr>
              <w:tab/>
            </w:r>
            <w:r>
              <w:rPr>
                <w:rStyle w:val="IndexLink"/>
              </w:rPr>
              <w:t>578</w:t>
            </w:r>
          </w:hyperlink>
        </w:p>
        <w:p>
          <w:pPr>
            <w:pStyle w:val="Contents6"/>
            <w:tabs>
              <w:tab w:val="clear" w:pos="7609"/>
              <w:tab w:val="right" w:pos="9026" w:leader="dot"/>
            </w:tabs>
            <w:rPr/>
          </w:pPr>
          <w:hyperlink w:anchor="__RefHeading___Toc3973993_1067777946">
            <w:r>
              <w:rPr>
                <w:webHidden/>
                <w:rStyle w:val="IndexLink"/>
                <w:rtl w:val="true"/>
              </w:rPr>
              <w:t>آلت عنّين</w:t>
            </w:r>
            <w:r>
              <w:rPr>
                <w:rStyle w:val="IndexLink"/>
                <w:rtl w:val="true"/>
              </w:rPr>
              <w:tab/>
            </w:r>
            <w:r>
              <w:rPr>
                <w:rStyle w:val="IndexLink"/>
              </w:rPr>
              <w:t>579</w:t>
            </w:r>
          </w:hyperlink>
        </w:p>
        <w:p>
          <w:pPr>
            <w:pStyle w:val="Contents6"/>
            <w:tabs>
              <w:tab w:val="clear" w:pos="7609"/>
              <w:tab w:val="right" w:pos="9026" w:leader="dot"/>
            </w:tabs>
            <w:rPr/>
          </w:pPr>
          <w:hyperlink w:anchor="__RefHeading___Toc3973995_1067777946">
            <w:r>
              <w:rPr>
                <w:webHidden/>
                <w:rStyle w:val="IndexLink"/>
                <w:rtl w:val="true"/>
              </w:rPr>
              <w:t>مبتلا به شلل</w:t>
            </w:r>
            <w:r>
              <w:rPr>
                <w:rStyle w:val="IndexLink"/>
                <w:rtl w:val="true"/>
              </w:rPr>
              <w:tab/>
            </w:r>
            <w:r>
              <w:rPr>
                <w:rStyle w:val="IndexLink"/>
              </w:rPr>
              <w:t>579</w:t>
            </w:r>
          </w:hyperlink>
        </w:p>
        <w:p>
          <w:pPr>
            <w:pStyle w:val="Contents6"/>
            <w:tabs>
              <w:tab w:val="clear" w:pos="7609"/>
              <w:tab w:val="right" w:pos="9026" w:leader="dot"/>
            </w:tabs>
            <w:rPr/>
          </w:pPr>
          <w:hyperlink w:anchor="__RefHeading___Toc3973997_1067777946">
            <w:r>
              <w:rPr>
                <w:webHidden/>
                <w:rStyle w:val="IndexLink"/>
                <w:rtl w:val="true"/>
              </w:rPr>
              <w:t>قطع نصف در طول</w:t>
            </w:r>
            <w:r>
              <w:rPr>
                <w:rStyle w:val="IndexLink"/>
                <w:rtl w:val="true"/>
              </w:rPr>
              <w:tab/>
            </w:r>
            <w:r>
              <w:rPr>
                <w:rStyle w:val="IndexLink"/>
              </w:rPr>
              <w:t>579</w:t>
            </w:r>
          </w:hyperlink>
        </w:p>
        <w:p>
          <w:pPr>
            <w:pStyle w:val="Contents6"/>
            <w:tabs>
              <w:tab w:val="clear" w:pos="7609"/>
              <w:tab w:val="right" w:pos="9026" w:leader="dot"/>
            </w:tabs>
            <w:rPr/>
          </w:pPr>
          <w:hyperlink w:anchor="__RefHeading___Toc3973999_1067777946">
            <w:r>
              <w:rPr>
                <w:webHidden/>
                <w:rStyle w:val="IndexLink"/>
                <w:rtl w:val="true"/>
              </w:rPr>
              <w:t>قطع آلت خنثىٰ‌</w:t>
            </w:r>
            <w:r>
              <w:rPr>
                <w:rStyle w:val="IndexLink"/>
                <w:rtl w:val="true"/>
              </w:rPr>
              <w:tab/>
            </w:r>
            <w:r>
              <w:rPr>
                <w:rStyle w:val="IndexLink"/>
              </w:rPr>
              <w:t>579</w:t>
            </w:r>
          </w:hyperlink>
        </w:p>
        <w:p>
          <w:pPr>
            <w:pStyle w:val="Contents6"/>
            <w:tabs>
              <w:tab w:val="clear" w:pos="7609"/>
              <w:tab w:val="right" w:pos="9026" w:leader="dot"/>
            </w:tabs>
            <w:rPr/>
          </w:pPr>
          <w:hyperlink w:anchor="__RefHeading___Toc3974001_1067777946">
            <w:r>
              <w:rPr>
                <w:webHidden/>
                <w:rStyle w:val="IndexLink"/>
                <w:rtl w:val="true"/>
              </w:rPr>
              <w:t>خصيتين</w:t>
            </w:r>
            <w:r>
              <w:rPr>
                <w:rStyle w:val="IndexLink"/>
                <w:rtl w:val="true"/>
              </w:rPr>
              <w:tab/>
            </w:r>
            <w:r>
              <w:rPr>
                <w:rStyle w:val="IndexLink"/>
              </w:rPr>
              <w:t>579</w:t>
            </w:r>
          </w:hyperlink>
        </w:p>
        <w:p>
          <w:pPr>
            <w:pStyle w:val="Contents6"/>
            <w:tabs>
              <w:tab w:val="clear" w:pos="7609"/>
              <w:tab w:val="right" w:pos="9026" w:leader="dot"/>
            </w:tabs>
            <w:rPr/>
          </w:pPr>
          <w:hyperlink w:anchor="__RefHeading___Toc3974003_1067777946">
            <w:r>
              <w:rPr>
                <w:webHidden/>
                <w:rStyle w:val="IndexLink"/>
              </w:rPr>
              <w:t>16</w:t>
            </w:r>
            <w:r>
              <w:rPr>
                <w:rStyle w:val="IndexLink"/>
                <w:rtl w:val="true"/>
              </w:rPr>
              <w:t xml:space="preserve">. </w:t>
            </w:r>
            <w:r>
              <w:rPr>
                <w:rStyle w:val="IndexLink"/>
                <w:rtl w:val="true"/>
              </w:rPr>
              <w:t>شفران</w:t>
            </w:r>
            <w:r>
              <w:rPr>
                <w:rStyle w:val="IndexLink"/>
                <w:rtl w:val="true"/>
              </w:rPr>
              <w:tab/>
            </w:r>
            <w:r>
              <w:rPr>
                <w:rStyle w:val="IndexLink"/>
              </w:rPr>
              <w:t>580</w:t>
            </w:r>
          </w:hyperlink>
        </w:p>
        <w:p>
          <w:pPr>
            <w:pStyle w:val="Contents6"/>
            <w:tabs>
              <w:tab w:val="clear" w:pos="7609"/>
              <w:tab w:val="right" w:pos="9026" w:leader="dot"/>
            </w:tabs>
            <w:rPr/>
          </w:pPr>
          <w:hyperlink w:anchor="__RefHeading___Toc3974005_1067777946">
            <w:r>
              <w:rPr>
                <w:webHidden/>
                <w:rStyle w:val="IndexLink"/>
                <w:rtl w:val="true"/>
              </w:rPr>
              <w:t>اشاره</w:t>
            </w:r>
            <w:r>
              <w:rPr>
                <w:rStyle w:val="IndexLink"/>
                <w:rtl w:val="true"/>
              </w:rPr>
              <w:tab/>
            </w:r>
            <w:r>
              <w:rPr>
                <w:rStyle w:val="IndexLink"/>
              </w:rPr>
              <w:t>580</w:t>
            </w:r>
          </w:hyperlink>
        </w:p>
        <w:p>
          <w:pPr>
            <w:pStyle w:val="Contents6"/>
            <w:tabs>
              <w:tab w:val="clear" w:pos="7609"/>
              <w:tab w:val="right" w:pos="9026" w:leader="dot"/>
            </w:tabs>
            <w:rPr/>
          </w:pPr>
          <w:hyperlink w:anchor="__RefHeading___Toc3974007_1067777946">
            <w:r>
              <w:rPr>
                <w:webHidden/>
                <w:rStyle w:val="IndexLink"/>
                <w:rtl w:val="true"/>
              </w:rPr>
              <w:t>ديۀ افضا</w:t>
            </w:r>
            <w:r>
              <w:rPr>
                <w:rStyle w:val="IndexLink"/>
                <w:rtl w:val="true"/>
              </w:rPr>
              <w:tab/>
            </w:r>
            <w:r>
              <w:rPr>
                <w:rStyle w:val="IndexLink"/>
              </w:rPr>
              <w:t>580</w:t>
            </w:r>
          </w:hyperlink>
        </w:p>
        <w:p>
          <w:pPr>
            <w:pStyle w:val="Contents6"/>
            <w:tabs>
              <w:tab w:val="clear" w:pos="7609"/>
              <w:tab w:val="right" w:pos="9026" w:leader="dot"/>
            </w:tabs>
            <w:rPr/>
          </w:pPr>
          <w:hyperlink w:anchor="__RefHeading___Toc3974009_1067777946">
            <w:r>
              <w:rPr>
                <w:webHidden/>
                <w:rStyle w:val="IndexLink"/>
              </w:rPr>
              <w:t>17</w:t>
            </w:r>
            <w:r>
              <w:rPr>
                <w:rStyle w:val="IndexLink"/>
                <w:rtl w:val="true"/>
              </w:rPr>
              <w:t xml:space="preserve">. </w:t>
            </w:r>
            <w:r>
              <w:rPr>
                <w:rStyle w:val="IndexLink"/>
                <w:rtl w:val="true"/>
              </w:rPr>
              <w:t>اليتين</w:t>
            </w:r>
            <w:r>
              <w:rPr>
                <w:rStyle w:val="IndexLink"/>
                <w:rtl w:val="true"/>
              </w:rPr>
              <w:tab/>
            </w:r>
            <w:r>
              <w:rPr>
                <w:rStyle w:val="IndexLink"/>
              </w:rPr>
              <w:t>581</w:t>
            </w:r>
          </w:hyperlink>
        </w:p>
        <w:p>
          <w:pPr>
            <w:pStyle w:val="Contents6"/>
            <w:tabs>
              <w:tab w:val="clear" w:pos="7609"/>
              <w:tab w:val="right" w:pos="9026" w:leader="dot"/>
            </w:tabs>
            <w:rPr/>
          </w:pPr>
          <w:hyperlink w:anchor="__RefHeading___Toc3974011_1067777946">
            <w:r>
              <w:rPr>
                <w:webHidden/>
                <w:rStyle w:val="IndexLink"/>
              </w:rPr>
              <w:t>18</w:t>
            </w:r>
            <w:r>
              <w:rPr>
                <w:rStyle w:val="IndexLink"/>
                <w:rtl w:val="true"/>
              </w:rPr>
              <w:t xml:space="preserve">. </w:t>
            </w:r>
            <w:r>
              <w:rPr>
                <w:rStyle w:val="IndexLink"/>
                <w:rtl w:val="true"/>
              </w:rPr>
              <w:t>پا</w:t>
            </w:r>
            <w:r>
              <w:rPr>
                <w:rStyle w:val="IndexLink"/>
                <w:rtl w:val="true"/>
              </w:rPr>
              <w:tab/>
            </w:r>
            <w:r>
              <w:rPr>
                <w:rStyle w:val="IndexLink"/>
              </w:rPr>
              <w:t>581</w:t>
            </w:r>
          </w:hyperlink>
        </w:p>
        <w:p>
          <w:pPr>
            <w:pStyle w:val="Contents6"/>
            <w:tabs>
              <w:tab w:val="clear" w:pos="7609"/>
              <w:tab w:val="right" w:pos="9026" w:leader="dot"/>
            </w:tabs>
            <w:rPr/>
          </w:pPr>
          <w:hyperlink w:anchor="__RefHeading___Toc3974013_1067777946">
            <w:r>
              <w:rPr>
                <w:webHidden/>
                <w:rStyle w:val="IndexLink"/>
                <w:rtl w:val="true"/>
              </w:rPr>
              <w:t>اشاره</w:t>
            </w:r>
            <w:r>
              <w:rPr>
                <w:rStyle w:val="IndexLink"/>
                <w:rtl w:val="true"/>
              </w:rPr>
              <w:tab/>
            </w:r>
            <w:r>
              <w:rPr>
                <w:rStyle w:val="IndexLink"/>
              </w:rPr>
              <w:t>581</w:t>
            </w:r>
          </w:hyperlink>
        </w:p>
        <w:p>
          <w:pPr>
            <w:pStyle w:val="Contents6"/>
            <w:tabs>
              <w:tab w:val="clear" w:pos="7609"/>
              <w:tab w:val="right" w:pos="9026" w:leader="dot"/>
            </w:tabs>
            <w:rPr/>
          </w:pPr>
          <w:hyperlink w:anchor="__RefHeading___Toc3974015_1067777946">
            <w:r>
              <w:rPr>
                <w:webHidden/>
                <w:rStyle w:val="IndexLink"/>
                <w:rtl w:val="true"/>
              </w:rPr>
              <w:t>قطع انگشتان پا</w:t>
            </w:r>
            <w:r>
              <w:rPr>
                <w:rStyle w:val="IndexLink"/>
                <w:rtl w:val="true"/>
              </w:rPr>
              <w:tab/>
            </w:r>
            <w:r>
              <w:rPr>
                <w:rStyle w:val="IndexLink"/>
              </w:rPr>
              <w:t>581</w:t>
            </w:r>
          </w:hyperlink>
        </w:p>
        <w:p>
          <w:pPr>
            <w:pStyle w:val="Contents6"/>
            <w:tabs>
              <w:tab w:val="clear" w:pos="7609"/>
              <w:tab w:val="right" w:pos="9026" w:leader="dot"/>
            </w:tabs>
            <w:rPr/>
          </w:pPr>
          <w:hyperlink w:anchor="__RefHeading___Toc3974017_1067777946">
            <w:r>
              <w:rPr>
                <w:webHidden/>
                <w:rStyle w:val="IndexLink"/>
                <w:rtl w:val="true"/>
              </w:rPr>
              <w:t>پاى زايد</w:t>
            </w:r>
            <w:r>
              <w:rPr>
                <w:rStyle w:val="IndexLink"/>
                <w:rtl w:val="true"/>
              </w:rPr>
              <w:tab/>
            </w:r>
            <w:r>
              <w:rPr>
                <w:rStyle w:val="IndexLink"/>
              </w:rPr>
              <w:t>581</w:t>
            </w:r>
          </w:hyperlink>
        </w:p>
        <w:p>
          <w:pPr>
            <w:pStyle w:val="Contents5"/>
            <w:tabs>
              <w:tab w:val="clear" w:pos="7892"/>
              <w:tab w:val="right" w:pos="9026" w:leader="dot"/>
            </w:tabs>
            <w:rPr/>
          </w:pPr>
          <w:hyperlink w:anchor="__RefHeading___Toc3974019_1067777946">
            <w:r>
              <w:rPr>
                <w:webHidden/>
                <w:rStyle w:val="IndexLink"/>
                <w:rtl w:val="true"/>
              </w:rPr>
              <w:t>چند مسأله</w:t>
            </w:r>
            <w:r>
              <w:rPr>
                <w:rStyle w:val="IndexLink"/>
                <w:rtl w:val="true"/>
              </w:rPr>
              <w:tab/>
            </w:r>
            <w:r>
              <w:rPr>
                <w:rStyle w:val="IndexLink"/>
              </w:rPr>
              <w:t>582</w:t>
            </w:r>
          </w:hyperlink>
        </w:p>
        <w:p>
          <w:pPr>
            <w:pStyle w:val="Contents6"/>
            <w:tabs>
              <w:tab w:val="clear" w:pos="7609"/>
              <w:tab w:val="right" w:pos="9026" w:leader="dot"/>
            </w:tabs>
            <w:rPr/>
          </w:pPr>
          <w:hyperlink w:anchor="__RefHeading___Toc3974021_1067777946">
            <w:r>
              <w:rPr>
                <w:webHidden/>
                <w:rStyle w:val="IndexLink"/>
                <w:rtl w:val="true"/>
              </w:rPr>
              <w:t>استخوانهاى نزديك قلب</w:t>
            </w:r>
            <w:r>
              <w:rPr>
                <w:rStyle w:val="IndexLink"/>
                <w:rtl w:val="true"/>
              </w:rPr>
              <w:tab/>
            </w:r>
            <w:r>
              <w:rPr>
                <w:rStyle w:val="IndexLink"/>
              </w:rPr>
              <w:t>582</w:t>
            </w:r>
          </w:hyperlink>
        </w:p>
        <w:p>
          <w:pPr>
            <w:pStyle w:val="Contents6"/>
            <w:tabs>
              <w:tab w:val="clear" w:pos="7609"/>
              <w:tab w:val="right" w:pos="9026" w:leader="dot"/>
            </w:tabs>
            <w:rPr/>
          </w:pPr>
          <w:hyperlink w:anchor="__RefHeading___Toc3974023_1067777946">
            <w:r>
              <w:rPr>
                <w:webHidden/>
                <w:rStyle w:val="IndexLink"/>
                <w:rtl w:val="true"/>
              </w:rPr>
              <w:t>شكسته شدن استخوان نشيمن گاه</w:t>
            </w:r>
            <w:r>
              <w:rPr>
                <w:rStyle w:val="IndexLink"/>
                <w:rtl w:val="true"/>
              </w:rPr>
              <w:tab/>
            </w:r>
            <w:r>
              <w:rPr>
                <w:rStyle w:val="IndexLink"/>
              </w:rPr>
              <w:t>582</w:t>
            </w:r>
          </w:hyperlink>
        </w:p>
        <w:p>
          <w:pPr>
            <w:pStyle w:val="Contents6"/>
            <w:tabs>
              <w:tab w:val="clear" w:pos="7609"/>
              <w:tab w:val="right" w:pos="9026" w:leader="dot"/>
            </w:tabs>
            <w:rPr/>
          </w:pPr>
          <w:hyperlink w:anchor="__RefHeading___Toc3974025_1067777946">
            <w:r>
              <w:rPr>
                <w:webHidden/>
                <w:rStyle w:val="IndexLink"/>
                <w:rtl w:val="true"/>
              </w:rPr>
              <w:t>ديه شكستن استخوان هر عضوى</w:t>
            </w:r>
            <w:r>
              <w:rPr>
                <w:rStyle w:val="IndexLink"/>
                <w:rtl w:val="true"/>
              </w:rPr>
              <w:tab/>
            </w:r>
            <w:r>
              <w:rPr>
                <w:rStyle w:val="IndexLink"/>
              </w:rPr>
              <w:t>582</w:t>
            </w:r>
          </w:hyperlink>
        </w:p>
        <w:p>
          <w:pPr>
            <w:pStyle w:val="Contents6"/>
            <w:tabs>
              <w:tab w:val="clear" w:pos="7609"/>
              <w:tab w:val="right" w:pos="9026" w:leader="dot"/>
            </w:tabs>
            <w:rPr/>
          </w:pPr>
          <w:hyperlink w:anchor="__RefHeading___Toc3974027_1067777946">
            <w:r>
              <w:rPr>
                <w:webHidden/>
                <w:rStyle w:val="IndexLink"/>
                <w:rtl w:val="true"/>
              </w:rPr>
              <w:t>اشاره</w:t>
            </w:r>
            <w:r>
              <w:rPr>
                <w:rStyle w:val="IndexLink"/>
                <w:rtl w:val="true"/>
              </w:rPr>
              <w:tab/>
            </w:r>
            <w:r>
              <w:rPr>
                <w:rStyle w:val="IndexLink"/>
              </w:rPr>
              <w:t>582</w:t>
            </w:r>
          </w:hyperlink>
        </w:p>
        <w:p>
          <w:pPr>
            <w:pStyle w:val="Contents6"/>
            <w:tabs>
              <w:tab w:val="clear" w:pos="7609"/>
              <w:tab w:val="right" w:pos="9026" w:leader="dot"/>
            </w:tabs>
            <w:rPr/>
          </w:pPr>
          <w:hyperlink w:anchor="__RefHeading___Toc3974029_1067777946">
            <w:r>
              <w:rPr>
                <w:webHidden/>
                <w:rStyle w:val="IndexLink"/>
                <w:rtl w:val="true"/>
              </w:rPr>
              <w:t>كوبيده شدن هر عضوى</w:t>
            </w:r>
            <w:r>
              <w:rPr>
                <w:rStyle w:val="IndexLink"/>
                <w:rtl w:val="true"/>
              </w:rPr>
              <w:tab/>
            </w:r>
            <w:r>
              <w:rPr>
                <w:rStyle w:val="IndexLink"/>
              </w:rPr>
              <w:t>582</w:t>
            </w:r>
          </w:hyperlink>
        </w:p>
        <w:p>
          <w:pPr>
            <w:pStyle w:val="Contents6"/>
            <w:tabs>
              <w:tab w:val="clear" w:pos="7609"/>
              <w:tab w:val="right" w:pos="9026" w:leader="dot"/>
            </w:tabs>
            <w:rPr/>
          </w:pPr>
          <w:hyperlink w:anchor="__RefHeading___Toc3974031_1067777946">
            <w:r>
              <w:rPr>
                <w:webHidden/>
                <w:rStyle w:val="IndexLink"/>
                <w:rtl w:val="true"/>
              </w:rPr>
              <w:t>كندن و جدا شدن استخوان</w:t>
            </w:r>
            <w:r>
              <w:rPr>
                <w:rStyle w:val="IndexLink"/>
                <w:rtl w:val="true"/>
              </w:rPr>
              <w:tab/>
            </w:r>
            <w:r>
              <w:rPr>
                <w:rStyle w:val="IndexLink"/>
              </w:rPr>
              <w:t>583</w:t>
            </w:r>
          </w:hyperlink>
        </w:p>
        <w:p>
          <w:pPr>
            <w:pStyle w:val="Contents6"/>
            <w:tabs>
              <w:tab w:val="clear" w:pos="7609"/>
              <w:tab w:val="right" w:pos="9026" w:leader="dot"/>
            </w:tabs>
            <w:rPr/>
          </w:pPr>
          <w:hyperlink w:anchor="__RefHeading___Toc3974033_1067777946">
            <w:r>
              <w:rPr>
                <w:webHidden/>
                <w:rStyle w:val="IndexLink"/>
                <w:rtl w:val="true"/>
              </w:rPr>
              <w:t>استخوانهاى ترقوه</w:t>
            </w:r>
            <w:r>
              <w:rPr>
                <w:rStyle w:val="IndexLink"/>
                <w:rtl w:val="true"/>
              </w:rPr>
              <w:tab/>
            </w:r>
            <w:r>
              <w:rPr>
                <w:rStyle w:val="IndexLink"/>
              </w:rPr>
              <w:t>583</w:t>
            </w:r>
          </w:hyperlink>
        </w:p>
        <w:p>
          <w:pPr>
            <w:pStyle w:val="Contents6"/>
            <w:tabs>
              <w:tab w:val="clear" w:pos="7609"/>
              <w:tab w:val="right" w:pos="9026" w:leader="dot"/>
            </w:tabs>
            <w:rPr/>
          </w:pPr>
          <w:hyperlink w:anchor="__RefHeading___Toc3974035_1067777946">
            <w:r>
              <w:rPr>
                <w:webHidden/>
                <w:rStyle w:val="IndexLink"/>
                <w:rtl w:val="true"/>
              </w:rPr>
              <w:t>اشاره</w:t>
            </w:r>
            <w:r>
              <w:rPr>
                <w:rStyle w:val="IndexLink"/>
                <w:rtl w:val="true"/>
              </w:rPr>
              <w:tab/>
            </w:r>
            <w:r>
              <w:rPr>
                <w:rStyle w:val="IndexLink"/>
              </w:rPr>
              <w:t>583</w:t>
            </w:r>
          </w:hyperlink>
        </w:p>
        <w:p>
          <w:pPr>
            <w:pStyle w:val="Contents6"/>
            <w:tabs>
              <w:tab w:val="clear" w:pos="7609"/>
              <w:tab w:val="right" w:pos="9026" w:leader="dot"/>
            </w:tabs>
            <w:rPr/>
          </w:pPr>
          <w:hyperlink w:anchor="__RefHeading___Toc3974037_1067777946">
            <w:r>
              <w:rPr>
                <w:webHidden/>
                <w:rStyle w:val="IndexLink"/>
                <w:rtl w:val="true"/>
              </w:rPr>
              <w:t>شكافتن، ادخال موضحه، نقل استخوان و سوراخ نمودن آن</w:t>
            </w:r>
            <w:r>
              <w:rPr>
                <w:rStyle w:val="IndexLink"/>
                <w:rtl w:val="true"/>
              </w:rPr>
              <w:tab/>
            </w:r>
            <w:r>
              <w:rPr>
                <w:rStyle w:val="IndexLink"/>
              </w:rPr>
              <w:t>583</w:t>
            </w:r>
          </w:hyperlink>
        </w:p>
        <w:p>
          <w:pPr>
            <w:pStyle w:val="Contents6"/>
            <w:tabs>
              <w:tab w:val="clear" w:pos="7609"/>
              <w:tab w:val="right" w:pos="9026" w:leader="dot"/>
            </w:tabs>
            <w:rPr/>
          </w:pPr>
          <w:hyperlink w:anchor="__RefHeading___Toc3974039_1067777946">
            <w:r>
              <w:rPr>
                <w:webHidden/>
                <w:rStyle w:val="IndexLink"/>
                <w:rtl w:val="true"/>
              </w:rPr>
              <w:t>كوبيدن به شكم و خارج شدن غير اختيارى بول يا غايط از آن</w:t>
            </w:r>
            <w:r>
              <w:rPr>
                <w:rStyle w:val="IndexLink"/>
                <w:rtl w:val="true"/>
              </w:rPr>
              <w:tab/>
            </w:r>
            <w:r>
              <w:rPr>
                <w:rStyle w:val="IndexLink"/>
              </w:rPr>
              <w:t>583</w:t>
            </w:r>
          </w:hyperlink>
        </w:p>
        <w:p>
          <w:pPr>
            <w:pStyle w:val="Contents6"/>
            <w:tabs>
              <w:tab w:val="clear" w:pos="7609"/>
              <w:tab w:val="right" w:pos="9026" w:leader="dot"/>
            </w:tabs>
            <w:rPr/>
          </w:pPr>
          <w:hyperlink w:anchor="__RefHeading___Toc3974041_1067777946">
            <w:r>
              <w:rPr>
                <w:webHidden/>
                <w:rStyle w:val="IndexLink"/>
                <w:rtl w:val="true"/>
              </w:rPr>
              <w:t>ازالۀ بكارت با انگشت</w:t>
            </w:r>
            <w:r>
              <w:rPr>
                <w:rStyle w:val="IndexLink"/>
                <w:rtl w:val="true"/>
              </w:rPr>
              <w:tab/>
            </w:r>
            <w:r>
              <w:rPr>
                <w:rStyle w:val="IndexLink"/>
              </w:rPr>
              <w:t>584</w:t>
            </w:r>
          </w:hyperlink>
        </w:p>
        <w:p>
          <w:pPr>
            <w:pStyle w:val="Contents4"/>
            <w:tabs>
              <w:tab w:val="clear" w:pos="8176"/>
              <w:tab w:val="right" w:pos="9026" w:leader="dot"/>
            </w:tabs>
            <w:rPr/>
          </w:pPr>
          <w:hyperlink w:anchor="__RefHeading___Toc3974043_1067777946">
            <w:r>
              <w:rPr>
                <w:webHidden/>
                <w:rStyle w:val="IndexLink"/>
              </w:rPr>
              <w:t>2</w:t>
            </w:r>
            <w:r>
              <w:rPr>
                <w:rStyle w:val="IndexLink"/>
                <w:rtl w:val="true"/>
              </w:rPr>
              <w:t xml:space="preserve">. </w:t>
            </w:r>
            <w:r>
              <w:rPr>
                <w:rStyle w:val="IndexLink"/>
                <w:rtl w:val="true"/>
              </w:rPr>
              <w:t>جنايت بر منافع</w:t>
            </w:r>
            <w:r>
              <w:rPr>
                <w:rStyle w:val="IndexLink"/>
                <w:rtl w:val="true"/>
              </w:rPr>
              <w:tab/>
            </w:r>
            <w:r>
              <w:rPr>
                <w:rStyle w:val="IndexLink"/>
              </w:rPr>
              <w:t>584</w:t>
            </w:r>
          </w:hyperlink>
        </w:p>
        <w:p>
          <w:pPr>
            <w:pStyle w:val="Contents5"/>
            <w:tabs>
              <w:tab w:val="clear" w:pos="7892"/>
              <w:tab w:val="right" w:pos="9026" w:leader="dot"/>
            </w:tabs>
            <w:rPr/>
          </w:pPr>
          <w:hyperlink w:anchor="__RefHeading___Toc3974045_1067777946">
            <w:r>
              <w:rPr>
                <w:webHidden/>
                <w:rStyle w:val="IndexLink"/>
                <w:rtl w:val="true"/>
              </w:rPr>
              <w:t>اشاره</w:t>
            </w:r>
            <w:r>
              <w:rPr>
                <w:rStyle w:val="IndexLink"/>
                <w:rtl w:val="true"/>
              </w:rPr>
              <w:tab/>
            </w:r>
            <w:r>
              <w:rPr>
                <w:rStyle w:val="IndexLink"/>
              </w:rPr>
              <w:t>584</w:t>
            </w:r>
          </w:hyperlink>
        </w:p>
        <w:p>
          <w:pPr>
            <w:pStyle w:val="Contents5"/>
            <w:tabs>
              <w:tab w:val="clear" w:pos="7892"/>
              <w:tab w:val="right" w:pos="9026" w:leader="dot"/>
            </w:tabs>
            <w:rPr/>
          </w:pPr>
          <w:hyperlink w:anchor="__RefHeading___Toc3974047_1067777946">
            <w:r>
              <w:rPr>
                <w:webHidden/>
                <w:rStyle w:val="IndexLink"/>
              </w:rPr>
              <w:t>1</w:t>
            </w:r>
            <w:r>
              <w:rPr>
                <w:rStyle w:val="IndexLink"/>
                <w:rtl w:val="true"/>
              </w:rPr>
              <w:t xml:space="preserve">. </w:t>
            </w:r>
            <w:r>
              <w:rPr>
                <w:rStyle w:val="IndexLink"/>
                <w:rtl w:val="true"/>
              </w:rPr>
              <w:t>ديۀ ازالۀ عقل</w:t>
            </w:r>
            <w:r>
              <w:rPr>
                <w:rStyle w:val="IndexLink"/>
                <w:rtl w:val="true"/>
              </w:rPr>
              <w:tab/>
            </w:r>
            <w:r>
              <w:rPr>
                <w:rStyle w:val="IndexLink"/>
              </w:rPr>
              <w:t>584</w:t>
            </w:r>
          </w:hyperlink>
        </w:p>
        <w:p>
          <w:pPr>
            <w:pStyle w:val="Contents6"/>
            <w:tabs>
              <w:tab w:val="clear" w:pos="7609"/>
              <w:tab w:val="right" w:pos="9026" w:leader="dot"/>
            </w:tabs>
            <w:rPr/>
          </w:pPr>
          <w:hyperlink w:anchor="__RefHeading___Toc3974049_1067777946">
            <w:r>
              <w:rPr>
                <w:webHidden/>
                <w:rStyle w:val="IndexLink"/>
                <w:rtl w:val="true"/>
              </w:rPr>
              <w:t>اشاره</w:t>
            </w:r>
            <w:r>
              <w:rPr>
                <w:rStyle w:val="IndexLink"/>
                <w:rtl w:val="true"/>
              </w:rPr>
              <w:tab/>
            </w:r>
            <w:r>
              <w:rPr>
                <w:rStyle w:val="IndexLink"/>
              </w:rPr>
              <w:t>584</w:t>
            </w:r>
          </w:hyperlink>
        </w:p>
        <w:p>
          <w:pPr>
            <w:pStyle w:val="Contents6"/>
            <w:tabs>
              <w:tab w:val="clear" w:pos="7609"/>
              <w:tab w:val="right" w:pos="9026" w:leader="dot"/>
            </w:tabs>
            <w:rPr/>
          </w:pPr>
          <w:hyperlink w:anchor="__RefHeading___Toc3974051_1067777946">
            <w:r>
              <w:rPr>
                <w:webHidden/>
                <w:rStyle w:val="IndexLink"/>
                <w:rtl w:val="true"/>
              </w:rPr>
              <w:t>اجتماع قطع بعض بدن و ازالۀ عقل</w:t>
            </w:r>
            <w:r>
              <w:rPr>
                <w:rStyle w:val="IndexLink"/>
                <w:rtl w:val="true"/>
              </w:rPr>
              <w:tab/>
            </w:r>
            <w:r>
              <w:rPr>
                <w:rStyle w:val="IndexLink"/>
              </w:rPr>
              <w:t>584</w:t>
            </w:r>
          </w:hyperlink>
        </w:p>
        <w:p>
          <w:pPr>
            <w:pStyle w:val="Contents6"/>
            <w:tabs>
              <w:tab w:val="clear" w:pos="7609"/>
              <w:tab w:val="right" w:pos="9026" w:leader="dot"/>
            </w:tabs>
            <w:rPr/>
          </w:pPr>
          <w:hyperlink w:anchor="__RefHeading___Toc3974053_1067777946">
            <w:r>
              <w:rPr>
                <w:webHidden/>
                <w:rStyle w:val="IndexLink"/>
                <w:rtl w:val="true"/>
              </w:rPr>
              <w:t>لزوم صبر تا يك سال براى كسى كه عقلش زايل شده</w:t>
            </w:r>
            <w:r>
              <w:rPr>
                <w:rStyle w:val="IndexLink"/>
                <w:rtl w:val="true"/>
              </w:rPr>
              <w:tab/>
            </w:r>
            <w:r>
              <w:rPr>
                <w:rStyle w:val="IndexLink"/>
              </w:rPr>
              <w:t>584</w:t>
            </w:r>
          </w:hyperlink>
        </w:p>
        <w:p>
          <w:pPr>
            <w:pStyle w:val="Contents6"/>
            <w:tabs>
              <w:tab w:val="clear" w:pos="7609"/>
              <w:tab w:val="right" w:pos="9026" w:leader="dot"/>
            </w:tabs>
            <w:rPr/>
          </w:pPr>
          <w:hyperlink w:anchor="__RefHeading___Toc3974055_1067777946">
            <w:r>
              <w:rPr>
                <w:webHidden/>
                <w:rStyle w:val="IndexLink"/>
                <w:rtl w:val="true"/>
              </w:rPr>
              <w:t>عود و زوال عقل</w:t>
            </w:r>
            <w:r>
              <w:rPr>
                <w:rStyle w:val="IndexLink"/>
                <w:rtl w:val="true"/>
              </w:rPr>
              <w:tab/>
            </w:r>
            <w:r>
              <w:rPr>
                <w:rStyle w:val="IndexLink"/>
              </w:rPr>
              <w:t>585</w:t>
            </w:r>
          </w:hyperlink>
        </w:p>
        <w:p>
          <w:pPr>
            <w:pStyle w:val="Contents6"/>
            <w:tabs>
              <w:tab w:val="clear" w:pos="7609"/>
              <w:tab w:val="right" w:pos="9026" w:leader="dot"/>
            </w:tabs>
            <w:rPr/>
          </w:pPr>
          <w:hyperlink w:anchor="__RefHeading___Toc3974057_1067777946">
            <w:r>
              <w:rPr>
                <w:webHidden/>
                <w:rStyle w:val="IndexLink"/>
                <w:rtl w:val="true"/>
              </w:rPr>
              <w:t>اختلاف بين جانى و مجنىّ عليه در زوال عقل</w:t>
            </w:r>
            <w:r>
              <w:rPr>
                <w:rStyle w:val="IndexLink"/>
                <w:rtl w:val="true"/>
              </w:rPr>
              <w:tab/>
            </w:r>
            <w:r>
              <w:rPr>
                <w:rStyle w:val="IndexLink"/>
              </w:rPr>
              <w:t>585</w:t>
            </w:r>
          </w:hyperlink>
        </w:p>
        <w:p>
          <w:pPr>
            <w:pStyle w:val="Contents5"/>
            <w:tabs>
              <w:tab w:val="clear" w:pos="7892"/>
              <w:tab w:val="right" w:pos="9026" w:leader="dot"/>
            </w:tabs>
            <w:rPr/>
          </w:pPr>
          <w:hyperlink w:anchor="__RefHeading___Toc3974059_1067777946">
            <w:r>
              <w:rPr>
                <w:webHidden/>
                <w:rStyle w:val="IndexLink"/>
              </w:rPr>
              <w:t>2</w:t>
            </w:r>
            <w:r>
              <w:rPr>
                <w:rStyle w:val="IndexLink"/>
                <w:rtl w:val="true"/>
              </w:rPr>
              <w:t xml:space="preserve">. </w:t>
            </w:r>
            <w:r>
              <w:rPr>
                <w:rStyle w:val="IndexLink"/>
                <w:rtl w:val="true"/>
              </w:rPr>
              <w:t>از بين رفتن شنوايى</w:t>
            </w:r>
            <w:r>
              <w:rPr>
                <w:rStyle w:val="IndexLink"/>
                <w:rtl w:val="true"/>
              </w:rPr>
              <w:tab/>
            </w:r>
            <w:r>
              <w:rPr>
                <w:rStyle w:val="IndexLink"/>
              </w:rPr>
              <w:t>585</w:t>
            </w:r>
          </w:hyperlink>
        </w:p>
        <w:p>
          <w:pPr>
            <w:pStyle w:val="Contents6"/>
            <w:tabs>
              <w:tab w:val="clear" w:pos="7609"/>
              <w:tab w:val="right" w:pos="9026" w:leader="dot"/>
            </w:tabs>
            <w:rPr/>
          </w:pPr>
          <w:hyperlink w:anchor="__RefHeading___Toc3974061_1067777946">
            <w:r>
              <w:rPr>
                <w:webHidden/>
                <w:rStyle w:val="IndexLink"/>
                <w:rtl w:val="true"/>
              </w:rPr>
              <w:t>اشاره</w:t>
            </w:r>
            <w:r>
              <w:rPr>
                <w:rStyle w:val="IndexLink"/>
                <w:rtl w:val="true"/>
              </w:rPr>
              <w:tab/>
            </w:r>
            <w:r>
              <w:rPr>
                <w:rStyle w:val="IndexLink"/>
              </w:rPr>
              <w:t>585</w:t>
            </w:r>
          </w:hyperlink>
        </w:p>
        <w:p>
          <w:pPr>
            <w:pStyle w:val="Contents6"/>
            <w:tabs>
              <w:tab w:val="clear" w:pos="7609"/>
              <w:tab w:val="right" w:pos="9026" w:leader="dot"/>
            </w:tabs>
            <w:rPr/>
          </w:pPr>
          <w:hyperlink w:anchor="__RefHeading___Toc3974063_1067777946">
            <w:r>
              <w:rPr>
                <w:webHidden/>
                <w:rStyle w:val="IndexLink"/>
                <w:rtl w:val="true"/>
              </w:rPr>
              <w:t>از بين رفتن شنوايى يك گوش</w:t>
            </w:r>
            <w:r>
              <w:rPr>
                <w:rStyle w:val="IndexLink"/>
                <w:rtl w:val="true"/>
              </w:rPr>
              <w:tab/>
            </w:r>
            <w:r>
              <w:rPr>
                <w:rStyle w:val="IndexLink"/>
              </w:rPr>
              <w:t>586</w:t>
            </w:r>
          </w:hyperlink>
        </w:p>
        <w:p>
          <w:pPr>
            <w:pStyle w:val="Contents6"/>
            <w:tabs>
              <w:tab w:val="clear" w:pos="7609"/>
              <w:tab w:val="right" w:pos="9026" w:leader="dot"/>
            </w:tabs>
            <w:rPr/>
          </w:pPr>
          <w:hyperlink w:anchor="__RefHeading___Toc3974065_1067777946">
            <w:r>
              <w:rPr>
                <w:webHidden/>
                <w:rStyle w:val="IndexLink"/>
                <w:rtl w:val="true"/>
              </w:rPr>
              <w:t>نحوۀ امتحان شنوايى</w:t>
            </w:r>
            <w:r>
              <w:rPr>
                <w:rStyle w:val="IndexLink"/>
                <w:rtl w:val="true"/>
              </w:rPr>
              <w:tab/>
            </w:r>
            <w:r>
              <w:rPr>
                <w:rStyle w:val="IndexLink"/>
              </w:rPr>
              <w:t>586</w:t>
            </w:r>
          </w:hyperlink>
        </w:p>
        <w:p>
          <w:pPr>
            <w:pStyle w:val="Contents6"/>
            <w:tabs>
              <w:tab w:val="clear" w:pos="7609"/>
              <w:tab w:val="right" w:pos="9026" w:leader="dot"/>
            </w:tabs>
            <w:rPr/>
          </w:pPr>
          <w:hyperlink w:anchor="__RefHeading___Toc3974067_1067777946">
            <w:r>
              <w:rPr>
                <w:webHidden/>
                <w:rStyle w:val="IndexLink"/>
                <w:rtl w:val="true"/>
              </w:rPr>
              <w:t>از بين رفتن شنوايى و در نتيجه تكلّم طفل</w:t>
            </w:r>
            <w:r>
              <w:rPr>
                <w:rStyle w:val="IndexLink"/>
                <w:rtl w:val="true"/>
              </w:rPr>
              <w:tab/>
            </w:r>
            <w:r>
              <w:rPr>
                <w:rStyle w:val="IndexLink"/>
              </w:rPr>
              <w:t>586</w:t>
            </w:r>
          </w:hyperlink>
        </w:p>
        <w:p>
          <w:pPr>
            <w:pStyle w:val="Contents6"/>
            <w:tabs>
              <w:tab w:val="clear" w:pos="7609"/>
              <w:tab w:val="right" w:pos="9026" w:leader="dot"/>
            </w:tabs>
            <w:rPr/>
          </w:pPr>
          <w:hyperlink w:anchor="__RefHeading___Toc3974069_1067777946">
            <w:r>
              <w:rPr>
                <w:webHidden/>
                <w:rStyle w:val="IndexLink"/>
                <w:rtl w:val="true"/>
              </w:rPr>
              <w:t>از بين رفتن روشنايى چشم</w:t>
            </w:r>
            <w:r>
              <w:rPr>
                <w:rStyle w:val="IndexLink"/>
                <w:rtl w:val="true"/>
              </w:rPr>
              <w:tab/>
            </w:r>
            <w:r>
              <w:rPr>
                <w:rStyle w:val="IndexLink"/>
              </w:rPr>
              <w:t>587</w:t>
            </w:r>
          </w:hyperlink>
        </w:p>
        <w:p>
          <w:pPr>
            <w:pStyle w:val="Contents6"/>
            <w:tabs>
              <w:tab w:val="clear" w:pos="7609"/>
              <w:tab w:val="right" w:pos="9026" w:leader="dot"/>
            </w:tabs>
            <w:rPr/>
          </w:pPr>
          <w:hyperlink w:anchor="__RefHeading___Toc3974071_1067777946">
            <w:r>
              <w:rPr>
                <w:webHidden/>
                <w:rStyle w:val="IndexLink"/>
                <w:rtl w:val="true"/>
              </w:rPr>
              <w:t>حدقۀ چشم</w:t>
            </w:r>
            <w:r>
              <w:rPr>
                <w:rStyle w:val="IndexLink"/>
                <w:rtl w:val="true"/>
              </w:rPr>
              <w:tab/>
            </w:r>
            <w:r>
              <w:rPr>
                <w:rStyle w:val="IndexLink"/>
              </w:rPr>
              <w:t>587</w:t>
            </w:r>
          </w:hyperlink>
        </w:p>
        <w:p>
          <w:pPr>
            <w:pStyle w:val="Contents6"/>
            <w:tabs>
              <w:tab w:val="clear" w:pos="7609"/>
              <w:tab w:val="right" w:pos="9026" w:leader="dot"/>
            </w:tabs>
            <w:rPr/>
          </w:pPr>
          <w:hyperlink w:anchor="__RefHeading___Toc3974073_1067777946">
            <w:r>
              <w:rPr>
                <w:webHidden/>
                <w:rStyle w:val="IndexLink"/>
                <w:rtl w:val="true"/>
              </w:rPr>
              <w:t>جنايت بر روشنايى چشم</w:t>
            </w:r>
            <w:r>
              <w:rPr>
                <w:rStyle w:val="IndexLink"/>
                <w:rtl w:val="true"/>
              </w:rPr>
              <w:tab/>
            </w:r>
            <w:r>
              <w:rPr>
                <w:rStyle w:val="IndexLink"/>
              </w:rPr>
              <w:t>587</w:t>
            </w:r>
          </w:hyperlink>
        </w:p>
        <w:p>
          <w:pPr>
            <w:pStyle w:val="Contents6"/>
            <w:tabs>
              <w:tab w:val="clear" w:pos="7609"/>
              <w:tab w:val="right" w:pos="9026" w:leader="dot"/>
            </w:tabs>
            <w:rPr/>
          </w:pPr>
          <w:hyperlink w:anchor="__RefHeading___Toc3974075_1067777946">
            <w:r>
              <w:rPr>
                <w:webHidden/>
                <w:rStyle w:val="IndexLink"/>
                <w:rtl w:val="true"/>
              </w:rPr>
              <w:t>عود روشنايى و اختلاف در آن</w:t>
            </w:r>
            <w:r>
              <w:rPr>
                <w:rStyle w:val="IndexLink"/>
                <w:rtl w:val="true"/>
              </w:rPr>
              <w:tab/>
            </w:r>
            <w:r>
              <w:rPr>
                <w:rStyle w:val="IndexLink"/>
              </w:rPr>
              <w:t>587</w:t>
            </w:r>
          </w:hyperlink>
        </w:p>
        <w:p>
          <w:pPr>
            <w:pStyle w:val="Contents6"/>
            <w:tabs>
              <w:tab w:val="clear" w:pos="7609"/>
              <w:tab w:val="right" w:pos="9026" w:leader="dot"/>
            </w:tabs>
            <w:rPr/>
          </w:pPr>
          <w:hyperlink w:anchor="__RefHeading___Toc3974077_1067777946">
            <w:r>
              <w:rPr>
                <w:webHidden/>
                <w:rStyle w:val="IndexLink"/>
                <w:rtl w:val="true"/>
              </w:rPr>
              <w:t>ادّعاى از بين رفتن روشنايى با سلامت ظاهرى چشم</w:t>
            </w:r>
            <w:r>
              <w:rPr>
                <w:rStyle w:val="IndexLink"/>
                <w:rtl w:val="true"/>
              </w:rPr>
              <w:tab/>
            </w:r>
            <w:r>
              <w:rPr>
                <w:rStyle w:val="IndexLink"/>
              </w:rPr>
              <w:t>588</w:t>
            </w:r>
          </w:hyperlink>
        </w:p>
        <w:p>
          <w:pPr>
            <w:pStyle w:val="Contents6"/>
            <w:tabs>
              <w:tab w:val="clear" w:pos="7609"/>
              <w:tab w:val="right" w:pos="9026" w:leader="dot"/>
            </w:tabs>
            <w:rPr/>
          </w:pPr>
          <w:hyperlink w:anchor="__RefHeading___Toc3974079_1067777946">
            <w:r>
              <w:rPr>
                <w:webHidden/>
                <w:rStyle w:val="IndexLink"/>
                <w:rtl w:val="true"/>
              </w:rPr>
              <w:t>از بين بردن روشنايى چشم توسط شخصى و كندن آن توسط ديگرى</w:t>
            </w:r>
            <w:r>
              <w:rPr>
                <w:rStyle w:val="IndexLink"/>
                <w:rtl w:val="true"/>
              </w:rPr>
              <w:tab/>
            </w:r>
            <w:r>
              <w:rPr>
                <w:rStyle w:val="IndexLink"/>
              </w:rPr>
              <w:t>588</w:t>
            </w:r>
          </w:hyperlink>
        </w:p>
        <w:p>
          <w:pPr>
            <w:pStyle w:val="Contents6"/>
            <w:tabs>
              <w:tab w:val="clear" w:pos="7609"/>
              <w:tab w:val="right" w:pos="9026" w:leader="dot"/>
            </w:tabs>
            <w:rPr/>
          </w:pPr>
          <w:hyperlink w:anchor="__RefHeading___Toc3974081_1067777946">
            <w:r>
              <w:rPr>
                <w:webHidden/>
                <w:rStyle w:val="IndexLink"/>
                <w:rtl w:val="true"/>
              </w:rPr>
              <w:t>اختلاف در مفروض مسأله</w:t>
            </w:r>
            <w:r>
              <w:rPr>
                <w:rStyle w:val="IndexLink"/>
                <w:rtl w:val="true"/>
              </w:rPr>
              <w:tab/>
            </w:r>
            <w:r>
              <w:rPr>
                <w:rStyle w:val="IndexLink"/>
              </w:rPr>
              <w:t>588</w:t>
            </w:r>
          </w:hyperlink>
        </w:p>
        <w:p>
          <w:pPr>
            <w:pStyle w:val="Contents6"/>
            <w:tabs>
              <w:tab w:val="clear" w:pos="7609"/>
              <w:tab w:val="right" w:pos="9026" w:leader="dot"/>
            </w:tabs>
            <w:rPr/>
          </w:pPr>
          <w:hyperlink w:anchor="__RefHeading___Toc3974083_1067777946">
            <w:r>
              <w:rPr>
                <w:webHidden/>
                <w:rStyle w:val="IndexLink"/>
                <w:rtl w:val="true"/>
              </w:rPr>
              <w:t>امتحان در فرض ادّعاى نقصان</w:t>
            </w:r>
            <w:r>
              <w:rPr>
                <w:rStyle w:val="IndexLink"/>
                <w:rtl w:val="true"/>
              </w:rPr>
              <w:tab/>
            </w:r>
            <w:r>
              <w:rPr>
                <w:rStyle w:val="IndexLink"/>
              </w:rPr>
              <w:t>589</w:t>
            </w:r>
          </w:hyperlink>
        </w:p>
        <w:p>
          <w:pPr>
            <w:pStyle w:val="Contents6"/>
            <w:tabs>
              <w:tab w:val="clear" w:pos="7609"/>
              <w:tab w:val="right" w:pos="9026" w:leader="dot"/>
            </w:tabs>
            <w:rPr/>
          </w:pPr>
          <w:hyperlink w:anchor="__RefHeading___Toc3974085_1067777946">
            <w:r>
              <w:rPr>
                <w:webHidden/>
                <w:rStyle w:val="IndexLink"/>
                <w:rtl w:val="true"/>
              </w:rPr>
              <w:t>بعض شرايط امتحان چشم</w:t>
            </w:r>
            <w:r>
              <w:rPr>
                <w:rStyle w:val="IndexLink"/>
                <w:rtl w:val="true"/>
              </w:rPr>
              <w:tab/>
            </w:r>
            <w:r>
              <w:rPr>
                <w:rStyle w:val="IndexLink"/>
              </w:rPr>
              <w:t>589</w:t>
            </w:r>
          </w:hyperlink>
        </w:p>
        <w:p>
          <w:pPr>
            <w:pStyle w:val="Contents6"/>
            <w:tabs>
              <w:tab w:val="clear" w:pos="7609"/>
              <w:tab w:val="right" w:pos="9026" w:leader="dot"/>
            </w:tabs>
            <w:rPr/>
          </w:pPr>
          <w:hyperlink w:anchor="__RefHeading___Toc3974087_1067777946">
            <w:r>
              <w:rPr>
                <w:webHidden/>
                <w:rStyle w:val="IndexLink"/>
                <w:rtl w:val="true"/>
              </w:rPr>
              <w:t>نديدن چشم در شب يا روز</w:t>
            </w:r>
            <w:r>
              <w:rPr>
                <w:rStyle w:val="IndexLink"/>
                <w:rtl w:val="true"/>
              </w:rPr>
              <w:tab/>
            </w:r>
            <w:r>
              <w:rPr>
                <w:rStyle w:val="IndexLink"/>
              </w:rPr>
              <w:t>589</w:t>
            </w:r>
          </w:hyperlink>
        </w:p>
        <w:p>
          <w:pPr>
            <w:pStyle w:val="Contents5"/>
            <w:tabs>
              <w:tab w:val="clear" w:pos="7892"/>
              <w:tab w:val="right" w:pos="9026" w:leader="dot"/>
            </w:tabs>
            <w:rPr/>
          </w:pPr>
          <w:hyperlink w:anchor="__RefHeading___Toc3974089_1067777946">
            <w:r>
              <w:rPr>
                <w:webHidden/>
                <w:rStyle w:val="IndexLink"/>
              </w:rPr>
              <w:t>4</w:t>
            </w:r>
            <w:r>
              <w:rPr>
                <w:rStyle w:val="IndexLink"/>
                <w:rtl w:val="true"/>
              </w:rPr>
              <w:t xml:space="preserve">. </w:t>
            </w:r>
            <w:r>
              <w:rPr>
                <w:rStyle w:val="IndexLink"/>
                <w:rtl w:val="true"/>
              </w:rPr>
              <w:t>از بين رفتن حس بويايى</w:t>
            </w:r>
            <w:r>
              <w:rPr>
                <w:rStyle w:val="IndexLink"/>
                <w:rtl w:val="true"/>
              </w:rPr>
              <w:tab/>
            </w:r>
            <w:r>
              <w:rPr>
                <w:rStyle w:val="IndexLink"/>
              </w:rPr>
              <w:t>590</w:t>
            </w:r>
          </w:hyperlink>
        </w:p>
        <w:p>
          <w:pPr>
            <w:pStyle w:val="Contents6"/>
            <w:tabs>
              <w:tab w:val="clear" w:pos="7609"/>
              <w:tab w:val="right" w:pos="9026" w:leader="dot"/>
            </w:tabs>
            <w:rPr/>
          </w:pPr>
          <w:hyperlink w:anchor="__RefHeading___Toc3974091_1067777946">
            <w:r>
              <w:rPr>
                <w:webHidden/>
                <w:rStyle w:val="IndexLink"/>
                <w:rtl w:val="true"/>
              </w:rPr>
              <w:t>اشاره</w:t>
            </w:r>
            <w:r>
              <w:rPr>
                <w:rStyle w:val="IndexLink"/>
                <w:rtl w:val="true"/>
              </w:rPr>
              <w:tab/>
            </w:r>
            <w:r>
              <w:rPr>
                <w:rStyle w:val="IndexLink"/>
              </w:rPr>
              <w:t>590</w:t>
            </w:r>
          </w:hyperlink>
        </w:p>
        <w:p>
          <w:pPr>
            <w:pStyle w:val="Contents6"/>
            <w:tabs>
              <w:tab w:val="clear" w:pos="7609"/>
              <w:tab w:val="right" w:pos="9026" w:leader="dot"/>
            </w:tabs>
            <w:rPr/>
          </w:pPr>
          <w:hyperlink w:anchor="__RefHeading___Toc3974093_1067777946">
            <w:r>
              <w:rPr>
                <w:webHidden/>
                <w:rStyle w:val="IndexLink"/>
                <w:rtl w:val="true"/>
              </w:rPr>
              <w:t>امتحان بويايى</w:t>
            </w:r>
            <w:r>
              <w:rPr>
                <w:rStyle w:val="IndexLink"/>
                <w:rtl w:val="true"/>
              </w:rPr>
              <w:tab/>
            </w:r>
            <w:r>
              <w:rPr>
                <w:rStyle w:val="IndexLink"/>
              </w:rPr>
              <w:t>590</w:t>
            </w:r>
          </w:hyperlink>
        </w:p>
        <w:p>
          <w:pPr>
            <w:pStyle w:val="Contents6"/>
            <w:tabs>
              <w:tab w:val="clear" w:pos="7609"/>
              <w:tab w:val="right" w:pos="9026" w:leader="dot"/>
            </w:tabs>
            <w:rPr/>
          </w:pPr>
          <w:hyperlink w:anchor="__RefHeading___Toc3974095_1067777946">
            <w:r>
              <w:rPr>
                <w:webHidden/>
                <w:rStyle w:val="IndexLink"/>
                <w:rtl w:val="true"/>
              </w:rPr>
              <w:t>عود بويايى بعد از گرفتن ديه يا زمان موقّت</w:t>
            </w:r>
            <w:r>
              <w:rPr>
                <w:rStyle w:val="IndexLink"/>
                <w:rtl w:val="true"/>
              </w:rPr>
              <w:tab/>
            </w:r>
            <w:r>
              <w:rPr>
                <w:rStyle w:val="IndexLink"/>
              </w:rPr>
              <w:t>590</w:t>
            </w:r>
          </w:hyperlink>
        </w:p>
        <w:p>
          <w:pPr>
            <w:pStyle w:val="Contents5"/>
            <w:tabs>
              <w:tab w:val="clear" w:pos="7892"/>
              <w:tab w:val="right" w:pos="9026" w:leader="dot"/>
            </w:tabs>
            <w:rPr/>
          </w:pPr>
          <w:hyperlink w:anchor="__RefHeading___Toc3974097_1067777946">
            <w:r>
              <w:rPr>
                <w:webHidden/>
                <w:rStyle w:val="IndexLink"/>
              </w:rPr>
              <w:t>5</w:t>
            </w:r>
            <w:r>
              <w:rPr>
                <w:rStyle w:val="IndexLink"/>
                <w:rtl w:val="true"/>
              </w:rPr>
              <w:t xml:space="preserve">. </w:t>
            </w:r>
            <w:r>
              <w:rPr>
                <w:rStyle w:val="IndexLink"/>
                <w:rtl w:val="true"/>
              </w:rPr>
              <w:t>از بين رفتن حس چشايى</w:t>
            </w:r>
            <w:r>
              <w:rPr>
                <w:rStyle w:val="IndexLink"/>
                <w:rtl w:val="true"/>
              </w:rPr>
              <w:tab/>
            </w:r>
            <w:r>
              <w:rPr>
                <w:rStyle w:val="IndexLink"/>
              </w:rPr>
              <w:t>590</w:t>
            </w:r>
          </w:hyperlink>
        </w:p>
        <w:p>
          <w:pPr>
            <w:pStyle w:val="Contents5"/>
            <w:tabs>
              <w:tab w:val="clear" w:pos="7892"/>
              <w:tab w:val="right" w:pos="9026" w:leader="dot"/>
            </w:tabs>
            <w:rPr/>
          </w:pPr>
          <w:hyperlink w:anchor="__RefHeading___Toc3974099_1067777946">
            <w:r>
              <w:rPr>
                <w:webHidden/>
                <w:rStyle w:val="IndexLink"/>
              </w:rPr>
              <w:t>6</w:t>
            </w:r>
            <w:r>
              <w:rPr>
                <w:rStyle w:val="IndexLink"/>
                <w:rtl w:val="true"/>
              </w:rPr>
              <w:t xml:space="preserve">. </w:t>
            </w:r>
            <w:r>
              <w:rPr>
                <w:rStyle w:val="IndexLink"/>
                <w:rtl w:val="true"/>
              </w:rPr>
              <w:t>تعذّر انزال يا قطع نسل يا عدم بلعيدن به وسيلۀ جنايت</w:t>
            </w:r>
            <w:r>
              <w:rPr>
                <w:rStyle w:val="IndexLink"/>
                <w:rtl w:val="true"/>
              </w:rPr>
              <w:tab/>
            </w:r>
            <w:r>
              <w:rPr>
                <w:rStyle w:val="IndexLink"/>
              </w:rPr>
              <w:t>591</w:t>
            </w:r>
          </w:hyperlink>
        </w:p>
        <w:p>
          <w:pPr>
            <w:pStyle w:val="Contents5"/>
            <w:tabs>
              <w:tab w:val="clear" w:pos="7892"/>
              <w:tab w:val="right" w:pos="9026" w:leader="dot"/>
            </w:tabs>
            <w:rPr/>
          </w:pPr>
          <w:hyperlink w:anchor="__RefHeading___Toc3974101_1067777946">
            <w:r>
              <w:rPr>
                <w:webHidden/>
                <w:rStyle w:val="IndexLink"/>
              </w:rPr>
              <w:t>7</w:t>
            </w:r>
            <w:r>
              <w:rPr>
                <w:rStyle w:val="IndexLink"/>
                <w:rtl w:val="true"/>
              </w:rPr>
              <w:t xml:space="preserve">. </w:t>
            </w:r>
            <w:r>
              <w:rPr>
                <w:rStyle w:val="IndexLink"/>
                <w:rtl w:val="true"/>
              </w:rPr>
              <w:t>ابتلا به سلس بول</w:t>
            </w:r>
            <w:r>
              <w:rPr>
                <w:rStyle w:val="IndexLink"/>
                <w:rtl w:val="true"/>
              </w:rPr>
              <w:tab/>
            </w:r>
            <w:r>
              <w:rPr>
                <w:rStyle w:val="IndexLink"/>
              </w:rPr>
              <w:t>591</w:t>
            </w:r>
          </w:hyperlink>
        </w:p>
        <w:p>
          <w:pPr>
            <w:pStyle w:val="Contents5"/>
            <w:tabs>
              <w:tab w:val="clear" w:pos="7892"/>
              <w:tab w:val="right" w:pos="9026" w:leader="dot"/>
            </w:tabs>
            <w:rPr/>
          </w:pPr>
          <w:hyperlink w:anchor="__RefHeading___Toc3974103_1067777946">
            <w:r>
              <w:rPr>
                <w:webHidden/>
                <w:rStyle w:val="IndexLink"/>
                <w:rtl w:val="true"/>
              </w:rPr>
              <w:t>تتمه ديه ازالۀ صوت</w:t>
            </w:r>
            <w:r>
              <w:rPr>
                <w:rStyle w:val="IndexLink"/>
                <w:rtl w:val="true"/>
              </w:rPr>
              <w:tab/>
            </w:r>
            <w:r>
              <w:rPr>
                <w:rStyle w:val="IndexLink"/>
              </w:rPr>
              <w:t>592</w:t>
            </w:r>
          </w:hyperlink>
        </w:p>
        <w:p>
          <w:pPr>
            <w:pStyle w:val="Contents4"/>
            <w:tabs>
              <w:tab w:val="clear" w:pos="8176"/>
              <w:tab w:val="right" w:pos="9026" w:leader="dot"/>
            </w:tabs>
            <w:rPr/>
          </w:pPr>
          <w:hyperlink w:anchor="__RefHeading___Toc3974105_1067777946">
            <w:r>
              <w:rPr>
                <w:webHidden/>
                <w:rStyle w:val="IndexLink"/>
              </w:rPr>
              <w:t>3</w:t>
            </w:r>
            <w:r>
              <w:rPr>
                <w:rStyle w:val="IndexLink"/>
                <w:rtl w:val="true"/>
              </w:rPr>
              <w:t xml:space="preserve">. </w:t>
            </w:r>
            <w:r>
              <w:rPr>
                <w:rStyle w:val="IndexLink"/>
                <w:rtl w:val="true"/>
              </w:rPr>
              <w:t>ديات شجاج و جراح</w:t>
            </w:r>
            <w:r>
              <w:rPr>
                <w:rStyle w:val="IndexLink"/>
                <w:rtl w:val="true"/>
              </w:rPr>
              <w:tab/>
            </w:r>
            <w:r>
              <w:rPr>
                <w:rStyle w:val="IndexLink"/>
              </w:rPr>
              <w:t>592</w:t>
            </w:r>
          </w:hyperlink>
        </w:p>
        <w:p>
          <w:pPr>
            <w:pStyle w:val="Contents5"/>
            <w:tabs>
              <w:tab w:val="clear" w:pos="7892"/>
              <w:tab w:val="right" w:pos="9026" w:leader="dot"/>
            </w:tabs>
            <w:rPr/>
          </w:pPr>
          <w:hyperlink w:anchor="__RefHeading___Toc3974107_1067777946">
            <w:r>
              <w:rPr>
                <w:webHidden/>
                <w:rStyle w:val="IndexLink"/>
                <w:rtl w:val="true"/>
              </w:rPr>
              <w:t>اشاره</w:t>
            </w:r>
            <w:r>
              <w:rPr>
                <w:rStyle w:val="IndexLink"/>
                <w:rtl w:val="true"/>
              </w:rPr>
              <w:tab/>
            </w:r>
            <w:r>
              <w:rPr>
                <w:rStyle w:val="IndexLink"/>
              </w:rPr>
              <w:t>592</w:t>
            </w:r>
          </w:hyperlink>
        </w:p>
        <w:p>
          <w:pPr>
            <w:pStyle w:val="Contents5"/>
            <w:tabs>
              <w:tab w:val="clear" w:pos="7892"/>
              <w:tab w:val="right" w:pos="9026" w:leader="dot"/>
            </w:tabs>
            <w:rPr/>
          </w:pPr>
          <w:hyperlink w:anchor="__RefHeading___Toc3974109_1067777946">
            <w:r>
              <w:rPr>
                <w:webHidden/>
                <w:rStyle w:val="IndexLink"/>
                <w:rtl w:val="true"/>
              </w:rPr>
              <w:t>پاره شدن پوست بدون خارج شدن خون</w:t>
            </w:r>
            <w:r>
              <w:rPr>
                <w:rStyle w:val="IndexLink"/>
                <w:rtl w:val="true"/>
              </w:rPr>
              <w:tab/>
            </w:r>
            <w:r>
              <w:rPr>
                <w:rStyle w:val="IndexLink"/>
              </w:rPr>
              <w:t>592</w:t>
            </w:r>
          </w:hyperlink>
        </w:p>
        <w:p>
          <w:pPr>
            <w:pStyle w:val="Contents5"/>
            <w:tabs>
              <w:tab w:val="clear" w:pos="7892"/>
              <w:tab w:val="right" w:pos="9026" w:leader="dot"/>
            </w:tabs>
            <w:rPr/>
          </w:pPr>
          <w:hyperlink w:anchor="__RefHeading___Toc3974111_1067777946">
            <w:r>
              <w:rPr>
                <w:webHidden/>
                <w:rStyle w:val="IndexLink"/>
                <w:rtl w:val="true"/>
              </w:rPr>
              <w:t>ديۀ زخم داخل گوشت</w:t>
            </w:r>
            <w:r>
              <w:rPr>
                <w:rStyle w:val="IndexLink"/>
                <w:rtl w:val="true"/>
              </w:rPr>
              <w:tab/>
            </w:r>
            <w:r>
              <w:rPr>
                <w:rStyle w:val="IndexLink"/>
              </w:rPr>
              <w:t>592</w:t>
            </w:r>
          </w:hyperlink>
        </w:p>
        <w:p>
          <w:pPr>
            <w:pStyle w:val="Contents5"/>
            <w:tabs>
              <w:tab w:val="clear" w:pos="7892"/>
              <w:tab w:val="right" w:pos="9026" w:leader="dot"/>
            </w:tabs>
            <w:rPr/>
          </w:pPr>
          <w:hyperlink w:anchor="__RefHeading___Toc3974113_1067777946">
            <w:r>
              <w:rPr>
                <w:webHidden/>
                <w:rStyle w:val="IndexLink"/>
                <w:rtl w:val="true"/>
              </w:rPr>
              <w:t>زخمى كه عمق آن زياد باشد</w:t>
            </w:r>
            <w:r>
              <w:rPr>
                <w:rStyle w:val="IndexLink"/>
                <w:rtl w:val="true"/>
              </w:rPr>
              <w:tab/>
            </w:r>
            <w:r>
              <w:rPr>
                <w:rStyle w:val="IndexLink"/>
              </w:rPr>
              <w:t>592</w:t>
            </w:r>
          </w:hyperlink>
        </w:p>
        <w:p>
          <w:pPr>
            <w:pStyle w:val="Contents5"/>
            <w:tabs>
              <w:tab w:val="clear" w:pos="7892"/>
              <w:tab w:val="right" w:pos="9026" w:leader="dot"/>
            </w:tabs>
            <w:rPr/>
          </w:pPr>
          <w:hyperlink w:anchor="__RefHeading___Toc3974115_1067777946">
            <w:r>
              <w:rPr>
                <w:webHidden/>
                <w:rStyle w:val="IndexLink"/>
                <w:rtl w:val="true"/>
              </w:rPr>
              <w:t>زخمى كه پوست نازك روى استخوان ظاهر شود</w:t>
            </w:r>
            <w:r>
              <w:rPr>
                <w:rStyle w:val="IndexLink"/>
                <w:rtl w:val="true"/>
              </w:rPr>
              <w:tab/>
            </w:r>
            <w:r>
              <w:rPr>
                <w:rStyle w:val="IndexLink"/>
              </w:rPr>
              <w:t>593</w:t>
            </w:r>
          </w:hyperlink>
        </w:p>
        <w:p>
          <w:pPr>
            <w:pStyle w:val="Contents5"/>
            <w:tabs>
              <w:tab w:val="clear" w:pos="7892"/>
              <w:tab w:val="right" w:pos="9026" w:leader="dot"/>
            </w:tabs>
            <w:rPr/>
          </w:pPr>
          <w:hyperlink w:anchor="__RefHeading___Toc3974117_1067777946">
            <w:r>
              <w:rPr>
                <w:webHidden/>
                <w:rStyle w:val="IndexLink"/>
                <w:rtl w:val="true"/>
              </w:rPr>
              <w:t>زخمى كه استخوان سر يا روى معلوم شود</w:t>
            </w:r>
            <w:r>
              <w:rPr>
                <w:rStyle w:val="IndexLink"/>
                <w:rtl w:val="true"/>
              </w:rPr>
              <w:tab/>
            </w:r>
            <w:r>
              <w:rPr>
                <w:rStyle w:val="IndexLink"/>
              </w:rPr>
              <w:t>593</w:t>
            </w:r>
          </w:hyperlink>
        </w:p>
        <w:p>
          <w:pPr>
            <w:pStyle w:val="Contents5"/>
            <w:tabs>
              <w:tab w:val="clear" w:pos="7892"/>
              <w:tab w:val="right" w:pos="9026" w:leader="dot"/>
            </w:tabs>
            <w:rPr/>
          </w:pPr>
          <w:hyperlink w:anchor="__RefHeading___Toc3974119_1067777946">
            <w:r>
              <w:rPr>
                <w:webHidden/>
                <w:rStyle w:val="IndexLink"/>
                <w:rtl w:val="true"/>
              </w:rPr>
              <w:t>اعتبار در تعدّد ديه به عمق جراحت است نه عرض و طول</w:t>
            </w:r>
            <w:r>
              <w:rPr>
                <w:rStyle w:val="IndexLink"/>
                <w:rtl w:val="true"/>
              </w:rPr>
              <w:tab/>
            </w:r>
            <w:r>
              <w:rPr>
                <w:rStyle w:val="IndexLink"/>
              </w:rPr>
              <w:t>593</w:t>
            </w:r>
          </w:hyperlink>
        </w:p>
        <w:p>
          <w:pPr>
            <w:pStyle w:val="Contents5"/>
            <w:tabs>
              <w:tab w:val="clear" w:pos="7892"/>
              <w:tab w:val="right" w:pos="9026" w:leader="dot"/>
            </w:tabs>
            <w:rPr/>
          </w:pPr>
          <w:hyperlink w:anchor="__RefHeading___Toc3974121_1067777946">
            <w:r>
              <w:rPr>
                <w:webHidden/>
                <w:rStyle w:val="IndexLink"/>
                <w:rtl w:val="true"/>
              </w:rPr>
              <w:t>تعدّد موضحه</w:t>
            </w:r>
            <w:r>
              <w:rPr>
                <w:rStyle w:val="IndexLink"/>
                <w:rtl w:val="true"/>
              </w:rPr>
              <w:tab/>
            </w:r>
            <w:r>
              <w:rPr>
                <w:rStyle w:val="IndexLink"/>
              </w:rPr>
              <w:t>593</w:t>
            </w:r>
          </w:hyperlink>
        </w:p>
        <w:p>
          <w:pPr>
            <w:pStyle w:val="Contents5"/>
            <w:tabs>
              <w:tab w:val="clear" w:pos="7892"/>
              <w:tab w:val="right" w:pos="9026" w:leader="dot"/>
            </w:tabs>
            <w:rPr/>
          </w:pPr>
          <w:hyperlink w:anchor="__RefHeading___Toc3974123_1067777946">
            <w:r>
              <w:rPr>
                <w:webHidden/>
                <w:rStyle w:val="IndexLink"/>
                <w:rtl w:val="true"/>
              </w:rPr>
              <w:t>اختلاف مقادير عميقۀ يك زخم</w:t>
            </w:r>
            <w:r>
              <w:rPr>
                <w:rStyle w:val="IndexLink"/>
                <w:rtl w:val="true"/>
              </w:rPr>
              <w:tab/>
            </w:r>
            <w:r>
              <w:rPr>
                <w:rStyle w:val="IndexLink"/>
              </w:rPr>
              <w:t>594</w:t>
            </w:r>
          </w:hyperlink>
        </w:p>
        <w:p>
          <w:pPr>
            <w:pStyle w:val="Contents5"/>
            <w:tabs>
              <w:tab w:val="clear" w:pos="7892"/>
              <w:tab w:val="right" w:pos="9026" w:leader="dot"/>
            </w:tabs>
            <w:rPr/>
          </w:pPr>
          <w:hyperlink w:anchor="__RefHeading___Toc3974125_1067777946">
            <w:r>
              <w:rPr>
                <w:webHidden/>
                <w:rStyle w:val="IndexLink"/>
                <w:rtl w:val="true"/>
              </w:rPr>
              <w:t xml:space="preserve">جراحت با شكسته شدن استخوان </w:t>
            </w:r>
            <w:r>
              <w:rPr>
                <w:rStyle w:val="IndexLink"/>
                <w:rtl w:val="true"/>
              </w:rPr>
              <w:t>(</w:t>
            </w:r>
            <w:r>
              <w:rPr>
                <w:rStyle w:val="IndexLink"/>
                <w:rtl w:val="true"/>
              </w:rPr>
              <w:t>هاشمه</w:t>
            </w:r>
            <w:r>
              <w:rPr>
                <w:rStyle w:val="IndexLink"/>
                <w:rtl w:val="true"/>
              </w:rPr>
              <w:t>)</w:t>
              <w:tab/>
            </w:r>
            <w:r>
              <w:rPr>
                <w:rStyle w:val="IndexLink"/>
              </w:rPr>
              <w:t>594</w:t>
            </w:r>
          </w:hyperlink>
        </w:p>
        <w:p>
          <w:pPr>
            <w:pStyle w:val="Contents5"/>
            <w:tabs>
              <w:tab w:val="clear" w:pos="7892"/>
              <w:tab w:val="right" w:pos="9026" w:leader="dot"/>
            </w:tabs>
            <w:rPr/>
          </w:pPr>
          <w:hyperlink w:anchor="__RefHeading___Toc3974127_1067777946">
            <w:r>
              <w:rPr>
                <w:webHidden/>
                <w:rStyle w:val="IndexLink"/>
                <w:rtl w:val="true"/>
              </w:rPr>
              <w:t xml:space="preserve">جراحت موجب نقل استخوانهاى زير </w:t>
            </w:r>
            <w:r>
              <w:rPr>
                <w:rStyle w:val="IndexLink"/>
                <w:rtl w:val="true"/>
              </w:rPr>
              <w:t>(</w:t>
            </w:r>
            <w:r>
              <w:rPr>
                <w:rStyle w:val="IndexLink"/>
                <w:rtl w:val="true"/>
              </w:rPr>
              <w:t>منقّله</w:t>
            </w:r>
            <w:r>
              <w:rPr>
                <w:rStyle w:val="IndexLink"/>
                <w:rtl w:val="true"/>
              </w:rPr>
              <w:t>)</w:t>
              <w:tab/>
            </w:r>
            <w:r>
              <w:rPr>
                <w:rStyle w:val="IndexLink"/>
              </w:rPr>
              <w:t>594</w:t>
            </w:r>
          </w:hyperlink>
        </w:p>
        <w:p>
          <w:pPr>
            <w:pStyle w:val="Contents5"/>
            <w:tabs>
              <w:tab w:val="clear" w:pos="7892"/>
              <w:tab w:val="right" w:pos="9026" w:leader="dot"/>
            </w:tabs>
            <w:rPr/>
          </w:pPr>
          <w:hyperlink w:anchor="__RefHeading___Toc3974129_1067777946">
            <w:r>
              <w:rPr>
                <w:webHidden/>
                <w:rStyle w:val="IndexLink"/>
                <w:rtl w:val="true"/>
              </w:rPr>
              <w:t>جراحتى كه به كيسۀ دماغ برسد</w:t>
            </w:r>
            <w:r>
              <w:rPr>
                <w:rStyle w:val="IndexLink"/>
                <w:rtl w:val="true"/>
              </w:rPr>
              <w:tab/>
            </w:r>
            <w:r>
              <w:rPr>
                <w:rStyle w:val="IndexLink"/>
              </w:rPr>
              <w:t>595</w:t>
            </w:r>
          </w:hyperlink>
        </w:p>
        <w:p>
          <w:pPr>
            <w:pStyle w:val="Contents5"/>
            <w:tabs>
              <w:tab w:val="clear" w:pos="7892"/>
              <w:tab w:val="right" w:pos="9026" w:leader="dot"/>
            </w:tabs>
            <w:rPr/>
          </w:pPr>
          <w:hyperlink w:anchor="__RefHeading___Toc3974131_1067777946">
            <w:r>
              <w:rPr>
                <w:webHidden/>
                <w:rStyle w:val="IndexLink"/>
                <w:rtl w:val="true"/>
              </w:rPr>
              <w:t>شكافته شدن كيسه دماغ</w:t>
            </w:r>
            <w:r>
              <w:rPr>
                <w:rStyle w:val="IndexLink"/>
                <w:rtl w:val="true"/>
              </w:rPr>
              <w:tab/>
            </w:r>
            <w:r>
              <w:rPr>
                <w:rStyle w:val="IndexLink"/>
              </w:rPr>
              <w:t>595</w:t>
            </w:r>
          </w:hyperlink>
        </w:p>
        <w:p>
          <w:pPr>
            <w:pStyle w:val="Contents5"/>
            <w:tabs>
              <w:tab w:val="clear" w:pos="7892"/>
              <w:tab w:val="right" w:pos="9026" w:leader="dot"/>
            </w:tabs>
            <w:rPr/>
          </w:pPr>
          <w:hyperlink w:anchor="__RefHeading___Toc3974133_1067777946">
            <w:r>
              <w:rPr>
                <w:webHidden/>
                <w:rStyle w:val="IndexLink"/>
                <w:rtl w:val="true"/>
              </w:rPr>
              <w:t>چند مسأله</w:t>
            </w:r>
            <w:r>
              <w:rPr>
                <w:rStyle w:val="IndexLink"/>
                <w:rtl w:val="true"/>
              </w:rPr>
              <w:tab/>
            </w:r>
            <w:r>
              <w:rPr>
                <w:rStyle w:val="IndexLink"/>
              </w:rPr>
              <w:t>595</w:t>
            </w:r>
          </w:hyperlink>
        </w:p>
        <w:p>
          <w:pPr>
            <w:pStyle w:val="Contents6"/>
            <w:tabs>
              <w:tab w:val="clear" w:pos="7609"/>
              <w:tab w:val="right" w:pos="9026" w:leader="dot"/>
            </w:tabs>
            <w:rPr/>
          </w:pPr>
          <w:hyperlink w:anchor="__RefHeading___Toc3974135_1067777946">
            <w:r>
              <w:rPr>
                <w:webHidden/>
                <w:rStyle w:val="IndexLink"/>
                <w:rtl w:val="true"/>
              </w:rPr>
              <w:t>اشاره به دو مسأله اى كه گذشت</w:t>
            </w:r>
            <w:r>
              <w:rPr>
                <w:rStyle w:val="IndexLink"/>
                <w:rtl w:val="true"/>
              </w:rPr>
              <w:tab/>
            </w:r>
            <w:r>
              <w:rPr>
                <w:rStyle w:val="IndexLink"/>
              </w:rPr>
              <w:t>595</w:t>
            </w:r>
          </w:hyperlink>
        </w:p>
        <w:p>
          <w:pPr>
            <w:pStyle w:val="Contents6"/>
            <w:tabs>
              <w:tab w:val="clear" w:pos="7609"/>
              <w:tab w:val="right" w:pos="9026" w:leader="dot"/>
            </w:tabs>
            <w:rPr/>
          </w:pPr>
          <w:hyperlink w:anchor="__RefHeading___Toc3974137_1067777946">
            <w:r>
              <w:rPr>
                <w:webHidden/>
                <w:rStyle w:val="IndexLink"/>
                <w:rtl w:val="true"/>
              </w:rPr>
              <w:t xml:space="preserve">جراحت جائفه </w:t>
            </w:r>
            <w:r>
              <w:rPr>
                <w:rStyle w:val="IndexLink"/>
                <w:rtl w:val="true"/>
              </w:rPr>
              <w:t>(</w:t>
            </w:r>
            <w:r>
              <w:rPr>
                <w:rStyle w:val="IndexLink"/>
                <w:rtl w:val="true"/>
              </w:rPr>
              <w:t>به درون رسيده</w:t>
            </w:r>
            <w:r>
              <w:rPr>
                <w:rStyle w:val="IndexLink"/>
                <w:rtl w:val="true"/>
              </w:rPr>
              <w:t>)</w:t>
              <w:tab/>
            </w:r>
            <w:r>
              <w:rPr>
                <w:rStyle w:val="IndexLink"/>
              </w:rPr>
              <w:t>596</w:t>
            </w:r>
          </w:hyperlink>
        </w:p>
        <w:p>
          <w:pPr>
            <w:pStyle w:val="Contents6"/>
            <w:tabs>
              <w:tab w:val="clear" w:pos="7609"/>
              <w:tab w:val="right" w:pos="9026" w:leader="dot"/>
            </w:tabs>
            <w:rPr/>
          </w:pPr>
          <w:hyperlink w:anchor="__RefHeading___Toc3974139_1067777946">
            <w:r>
              <w:rPr>
                <w:webHidden/>
                <w:rStyle w:val="IndexLink"/>
                <w:rtl w:val="true"/>
              </w:rPr>
              <w:t>اشاره</w:t>
            </w:r>
            <w:r>
              <w:rPr>
                <w:rStyle w:val="IndexLink"/>
                <w:rtl w:val="true"/>
              </w:rPr>
              <w:tab/>
            </w:r>
            <w:r>
              <w:rPr>
                <w:rStyle w:val="IndexLink"/>
              </w:rPr>
              <w:t>596</w:t>
            </w:r>
          </w:hyperlink>
        </w:p>
        <w:p>
          <w:pPr>
            <w:pStyle w:val="Contents6"/>
            <w:tabs>
              <w:tab w:val="clear" w:pos="7609"/>
              <w:tab w:val="right" w:pos="9026" w:leader="dot"/>
            </w:tabs>
            <w:rPr/>
          </w:pPr>
          <w:hyperlink w:anchor="__RefHeading___Toc3974141_1067777946">
            <w:r>
              <w:rPr>
                <w:webHidden/>
                <w:rStyle w:val="IndexLink"/>
                <w:rtl w:val="true"/>
              </w:rPr>
              <w:t>جرح در موضعى كه خودش مستقلاً ديه داشت</w:t>
            </w:r>
            <w:r>
              <w:rPr>
                <w:rStyle w:val="IndexLink"/>
                <w:rtl w:val="true"/>
              </w:rPr>
              <w:tab/>
            </w:r>
            <w:r>
              <w:rPr>
                <w:rStyle w:val="IndexLink"/>
              </w:rPr>
              <w:t>596</w:t>
            </w:r>
          </w:hyperlink>
        </w:p>
        <w:p>
          <w:pPr>
            <w:pStyle w:val="Contents6"/>
            <w:tabs>
              <w:tab w:val="clear" w:pos="7609"/>
              <w:tab w:val="right" w:pos="9026" w:leader="dot"/>
            </w:tabs>
            <w:rPr/>
          </w:pPr>
          <w:hyperlink w:anchor="__RefHeading___Toc3974143_1067777946">
            <w:r>
              <w:rPr>
                <w:webHidden/>
                <w:rStyle w:val="IndexLink"/>
                <w:rtl w:val="true"/>
              </w:rPr>
              <w:t>داخل كرن كارد در محل اجافه توسط ديگرى</w:t>
            </w:r>
            <w:r>
              <w:rPr>
                <w:rStyle w:val="IndexLink"/>
                <w:rtl w:val="true"/>
              </w:rPr>
              <w:tab/>
            </w:r>
            <w:r>
              <w:rPr>
                <w:rStyle w:val="IndexLink"/>
              </w:rPr>
              <w:t>596</w:t>
            </w:r>
          </w:hyperlink>
        </w:p>
        <w:p>
          <w:pPr>
            <w:pStyle w:val="Contents6"/>
            <w:tabs>
              <w:tab w:val="clear" w:pos="7609"/>
              <w:tab w:val="right" w:pos="9026" w:leader="dot"/>
            </w:tabs>
            <w:rPr/>
          </w:pPr>
          <w:hyperlink w:anchor="__RefHeading___Toc3974145_1067777946">
            <w:r>
              <w:rPr>
                <w:webHidden/>
                <w:rStyle w:val="IndexLink"/>
                <w:rtl w:val="true"/>
              </w:rPr>
              <w:t>ايضاح توسط يكى و اجافه توسط ديگرى</w:t>
            </w:r>
            <w:r>
              <w:rPr>
                <w:rStyle w:val="IndexLink"/>
                <w:rtl w:val="true"/>
              </w:rPr>
              <w:tab/>
            </w:r>
            <w:r>
              <w:rPr>
                <w:rStyle w:val="IndexLink"/>
              </w:rPr>
              <w:t>596</w:t>
            </w:r>
          </w:hyperlink>
        </w:p>
        <w:p>
          <w:pPr>
            <w:pStyle w:val="Contents6"/>
            <w:tabs>
              <w:tab w:val="clear" w:pos="7609"/>
              <w:tab w:val="right" w:pos="9026" w:leader="dot"/>
            </w:tabs>
            <w:rPr/>
          </w:pPr>
          <w:hyperlink w:anchor="__RefHeading___Toc3974147_1067777946">
            <w:r>
              <w:rPr>
                <w:webHidden/>
                <w:rStyle w:val="IndexLink"/>
                <w:rtl w:val="true"/>
              </w:rPr>
              <w:t>فرو كردن كارد در اعضاى باطنۀ ظاهر شده</w:t>
            </w:r>
            <w:r>
              <w:rPr>
                <w:rStyle w:val="IndexLink"/>
                <w:rtl w:val="true"/>
              </w:rPr>
              <w:tab/>
            </w:r>
            <w:r>
              <w:rPr>
                <w:rStyle w:val="IndexLink"/>
              </w:rPr>
              <w:t>597</w:t>
            </w:r>
          </w:hyperlink>
        </w:p>
        <w:p>
          <w:pPr>
            <w:pStyle w:val="Contents6"/>
            <w:tabs>
              <w:tab w:val="clear" w:pos="7609"/>
              <w:tab w:val="right" w:pos="9026" w:leader="dot"/>
            </w:tabs>
            <w:rPr/>
          </w:pPr>
          <w:hyperlink w:anchor="__RefHeading___Toc3974149_1067777946">
            <w:r>
              <w:rPr>
                <w:webHidden/>
                <w:rStyle w:val="IndexLink"/>
                <w:rtl w:val="true"/>
              </w:rPr>
              <w:t>بيرون ريختن اعضاى باطنى بعد از اجافۀ ديگرى</w:t>
            </w:r>
            <w:r>
              <w:rPr>
                <w:rStyle w:val="IndexLink"/>
                <w:rtl w:val="true"/>
              </w:rPr>
              <w:tab/>
            </w:r>
            <w:r>
              <w:rPr>
                <w:rStyle w:val="IndexLink"/>
              </w:rPr>
              <w:t>597</w:t>
            </w:r>
          </w:hyperlink>
        </w:p>
        <w:p>
          <w:pPr>
            <w:pStyle w:val="Contents6"/>
            <w:tabs>
              <w:tab w:val="clear" w:pos="7609"/>
              <w:tab w:val="right" w:pos="9026" w:leader="dot"/>
            </w:tabs>
            <w:rPr/>
          </w:pPr>
          <w:hyperlink w:anchor="__RefHeading___Toc3974151_1067777946">
            <w:r>
              <w:rPr>
                <w:webHidden/>
                <w:rStyle w:val="IndexLink"/>
                <w:rtl w:val="true"/>
              </w:rPr>
              <w:t>پاره نمودن محل جراحتِ دوخته شده</w:t>
            </w:r>
            <w:r>
              <w:rPr>
                <w:rStyle w:val="IndexLink"/>
                <w:rtl w:val="true"/>
              </w:rPr>
              <w:tab/>
            </w:r>
            <w:r>
              <w:rPr>
                <w:rStyle w:val="IndexLink"/>
              </w:rPr>
              <w:t>597</w:t>
            </w:r>
          </w:hyperlink>
        </w:p>
        <w:p>
          <w:pPr>
            <w:pStyle w:val="Contents6"/>
            <w:tabs>
              <w:tab w:val="clear" w:pos="7609"/>
              <w:tab w:val="right" w:pos="9026" w:leader="dot"/>
            </w:tabs>
            <w:rPr/>
          </w:pPr>
          <w:hyperlink w:anchor="__RefHeading___Toc3974153_1067777946">
            <w:r>
              <w:rPr>
                <w:webHidden/>
                <w:rStyle w:val="IndexLink"/>
                <w:rtl w:val="true"/>
              </w:rPr>
              <w:t>دو فرض تعدد جائفه</w:t>
            </w:r>
            <w:r>
              <w:rPr>
                <w:rStyle w:val="IndexLink"/>
                <w:rtl w:val="true"/>
              </w:rPr>
              <w:tab/>
            </w:r>
            <w:r>
              <w:rPr>
                <w:rStyle w:val="IndexLink"/>
              </w:rPr>
              <w:t>597</w:t>
            </w:r>
          </w:hyperlink>
        </w:p>
        <w:p>
          <w:pPr>
            <w:pStyle w:val="Contents6"/>
            <w:tabs>
              <w:tab w:val="clear" w:pos="7609"/>
              <w:tab w:val="right" w:pos="9026" w:leader="dot"/>
            </w:tabs>
            <w:rPr/>
          </w:pPr>
          <w:hyperlink w:anchor="__RefHeading___Toc3974155_1067777946">
            <w:r>
              <w:rPr>
                <w:webHidden/>
                <w:rStyle w:val="IndexLink"/>
                <w:rtl w:val="true"/>
              </w:rPr>
              <w:t>جراحت نافذه</w:t>
            </w:r>
            <w:r>
              <w:rPr>
                <w:rStyle w:val="IndexLink"/>
                <w:rtl w:val="true"/>
              </w:rPr>
              <w:tab/>
            </w:r>
            <w:r>
              <w:rPr>
                <w:rStyle w:val="IndexLink"/>
              </w:rPr>
              <w:t>598</w:t>
            </w:r>
          </w:hyperlink>
        </w:p>
        <w:p>
          <w:pPr>
            <w:pStyle w:val="Contents6"/>
            <w:tabs>
              <w:tab w:val="clear" w:pos="7609"/>
              <w:tab w:val="right" w:pos="9026" w:leader="dot"/>
            </w:tabs>
            <w:rPr/>
          </w:pPr>
          <w:hyperlink w:anchor="__RefHeading___Toc3974157_1067777946">
            <w:r>
              <w:rPr>
                <w:webHidden/>
                <w:rStyle w:val="IndexLink"/>
                <w:rtl w:val="true"/>
              </w:rPr>
              <w:t>جنايتى كه در آن زخم و شكستن نباشد مانند باد كردن</w:t>
            </w:r>
            <w:r>
              <w:rPr>
                <w:rStyle w:val="IndexLink"/>
                <w:rtl w:val="true"/>
              </w:rPr>
              <w:tab/>
            </w:r>
            <w:r>
              <w:rPr>
                <w:rStyle w:val="IndexLink"/>
              </w:rPr>
              <w:t>598</w:t>
            </w:r>
          </w:hyperlink>
        </w:p>
        <w:p>
          <w:pPr>
            <w:pStyle w:val="Contents6"/>
            <w:tabs>
              <w:tab w:val="clear" w:pos="7609"/>
              <w:tab w:val="right" w:pos="9026" w:leader="dot"/>
            </w:tabs>
            <w:rPr/>
          </w:pPr>
          <w:hyperlink w:anchor="__RefHeading___Toc3974159_1067777946">
            <w:r>
              <w:rPr>
                <w:webHidden/>
                <w:rStyle w:val="IndexLink"/>
                <w:rtl w:val="true"/>
              </w:rPr>
              <w:t>اشاره</w:t>
            </w:r>
            <w:r>
              <w:rPr>
                <w:rStyle w:val="IndexLink"/>
                <w:rtl w:val="true"/>
              </w:rPr>
              <w:tab/>
            </w:r>
            <w:r>
              <w:rPr>
                <w:rStyle w:val="IndexLink"/>
              </w:rPr>
              <w:t>598</w:t>
            </w:r>
          </w:hyperlink>
        </w:p>
        <w:p>
          <w:pPr>
            <w:pStyle w:val="Contents6"/>
            <w:tabs>
              <w:tab w:val="clear" w:pos="7609"/>
              <w:tab w:val="right" w:pos="9026" w:leader="dot"/>
            </w:tabs>
            <w:rPr/>
          </w:pPr>
          <w:hyperlink w:anchor="__RefHeading___Toc3974161_1067777946">
            <w:r>
              <w:rPr>
                <w:webHidden/>
                <w:rStyle w:val="IndexLink"/>
                <w:rtl w:val="true"/>
              </w:rPr>
              <w:t>ديۀ سرخ شدن و تغيير رنگ صورت</w:t>
            </w:r>
            <w:r>
              <w:rPr>
                <w:rStyle w:val="IndexLink"/>
                <w:rtl w:val="true"/>
              </w:rPr>
              <w:tab/>
            </w:r>
            <w:r>
              <w:rPr>
                <w:rStyle w:val="IndexLink"/>
              </w:rPr>
              <w:t>598</w:t>
            </w:r>
          </w:hyperlink>
        </w:p>
        <w:p>
          <w:pPr>
            <w:pStyle w:val="Contents6"/>
            <w:tabs>
              <w:tab w:val="clear" w:pos="7609"/>
              <w:tab w:val="right" w:pos="9026" w:leader="dot"/>
            </w:tabs>
            <w:rPr/>
          </w:pPr>
          <w:hyperlink w:anchor="__RefHeading___Toc3974163_1067777946">
            <w:r>
              <w:rPr>
                <w:webHidden/>
                <w:rStyle w:val="IndexLink"/>
                <w:rtl w:val="true"/>
              </w:rPr>
              <w:t>تغيير رنگ اعضاى ديگر</w:t>
            </w:r>
            <w:r>
              <w:rPr>
                <w:rStyle w:val="IndexLink"/>
                <w:rtl w:val="true"/>
              </w:rPr>
              <w:tab/>
            </w:r>
            <w:r>
              <w:rPr>
                <w:rStyle w:val="IndexLink"/>
              </w:rPr>
              <w:t>598</w:t>
            </w:r>
          </w:hyperlink>
        </w:p>
        <w:p>
          <w:pPr>
            <w:pStyle w:val="Contents6"/>
            <w:tabs>
              <w:tab w:val="clear" w:pos="7609"/>
              <w:tab w:val="right" w:pos="9026" w:leader="dot"/>
            </w:tabs>
            <w:rPr/>
          </w:pPr>
          <w:hyperlink w:anchor="__RefHeading___Toc3974165_1067777946">
            <w:r>
              <w:rPr>
                <w:webHidden/>
                <w:rStyle w:val="IndexLink"/>
                <w:rtl w:val="true"/>
              </w:rPr>
              <w:t>مشلول كردن عضوى كه ديۀ مقدره دارد و قطع مشلول</w:t>
            </w:r>
            <w:r>
              <w:rPr>
                <w:rStyle w:val="IndexLink"/>
                <w:rtl w:val="true"/>
              </w:rPr>
              <w:tab/>
            </w:r>
            <w:r>
              <w:rPr>
                <w:rStyle w:val="IndexLink"/>
              </w:rPr>
              <w:t>598</w:t>
            </w:r>
          </w:hyperlink>
        </w:p>
        <w:p>
          <w:pPr>
            <w:pStyle w:val="Contents6"/>
            <w:tabs>
              <w:tab w:val="clear" w:pos="7609"/>
              <w:tab w:val="right" w:pos="9026" w:leader="dot"/>
            </w:tabs>
            <w:rPr/>
          </w:pPr>
          <w:hyperlink w:anchor="__RefHeading___Toc3974167_1067777946">
            <w:r>
              <w:rPr>
                <w:webHidden/>
                <w:rStyle w:val="IndexLink"/>
                <w:rtl w:val="true"/>
              </w:rPr>
              <w:t>تساوى ديۀ اقسام شجاج</w:t>
            </w:r>
            <w:r>
              <w:rPr>
                <w:rStyle w:val="IndexLink"/>
                <w:rtl w:val="true"/>
              </w:rPr>
              <w:tab/>
            </w:r>
            <w:r>
              <w:rPr>
                <w:rStyle w:val="IndexLink"/>
              </w:rPr>
              <w:t>599</w:t>
            </w:r>
          </w:hyperlink>
        </w:p>
        <w:p>
          <w:pPr>
            <w:pStyle w:val="Contents6"/>
            <w:tabs>
              <w:tab w:val="clear" w:pos="7609"/>
              <w:tab w:val="right" w:pos="9026" w:leader="dot"/>
            </w:tabs>
            <w:rPr/>
          </w:pPr>
          <w:hyperlink w:anchor="__RefHeading___Toc3974169_1067777946">
            <w:r>
              <w:rPr>
                <w:webHidden/>
                <w:rStyle w:val="IndexLink"/>
                <w:rtl w:val="true"/>
              </w:rPr>
              <w:t>تساوى زن با مرد در ديۀ اعضاى و جراحات تا ثلث</w:t>
            </w:r>
            <w:r>
              <w:rPr>
                <w:rStyle w:val="IndexLink"/>
                <w:rtl w:val="true"/>
              </w:rPr>
              <w:tab/>
            </w:r>
            <w:r>
              <w:rPr>
                <w:rStyle w:val="IndexLink"/>
              </w:rPr>
              <w:t>599</w:t>
            </w:r>
          </w:hyperlink>
        </w:p>
        <w:p>
          <w:pPr>
            <w:pStyle w:val="Contents6"/>
            <w:tabs>
              <w:tab w:val="clear" w:pos="7609"/>
              <w:tab w:val="right" w:pos="9026" w:leader="dot"/>
            </w:tabs>
            <w:rPr/>
          </w:pPr>
          <w:hyperlink w:anchor="__RefHeading___Toc3974171_1067777946">
            <w:r>
              <w:rPr>
                <w:webHidden/>
                <w:rStyle w:val="IndexLink"/>
                <w:rtl w:val="true"/>
              </w:rPr>
              <w:t>رابطه ديۀ مرد مسلمان با زن و ذمّى و ذميّه و عبد</w:t>
            </w:r>
            <w:r>
              <w:rPr>
                <w:rStyle w:val="IndexLink"/>
                <w:rtl w:val="true"/>
              </w:rPr>
              <w:tab/>
            </w:r>
            <w:r>
              <w:rPr>
                <w:rStyle w:val="IndexLink"/>
              </w:rPr>
              <w:t>599</w:t>
            </w:r>
          </w:hyperlink>
        </w:p>
        <w:p>
          <w:pPr>
            <w:pStyle w:val="Contents6"/>
            <w:tabs>
              <w:tab w:val="clear" w:pos="7609"/>
              <w:tab w:val="right" w:pos="9026" w:leader="dot"/>
            </w:tabs>
            <w:rPr/>
          </w:pPr>
          <w:hyperlink w:anchor="__RefHeading___Toc3974173_1067777946">
            <w:r>
              <w:rPr>
                <w:webHidden/>
                <w:rStyle w:val="IndexLink"/>
                <w:rtl w:val="true"/>
              </w:rPr>
              <w:t>مراد از اتحاد موضعى كه ارش در آن ثابت است با حكومت</w:t>
            </w:r>
            <w:r>
              <w:rPr>
                <w:rStyle w:val="IndexLink"/>
                <w:rtl w:val="true"/>
              </w:rPr>
              <w:tab/>
            </w:r>
            <w:r>
              <w:rPr>
                <w:rStyle w:val="IndexLink"/>
              </w:rPr>
              <w:t>600</w:t>
            </w:r>
          </w:hyperlink>
        </w:p>
        <w:p>
          <w:pPr>
            <w:pStyle w:val="Contents6"/>
            <w:tabs>
              <w:tab w:val="clear" w:pos="7609"/>
              <w:tab w:val="right" w:pos="9026" w:leader="dot"/>
            </w:tabs>
            <w:rPr/>
          </w:pPr>
          <w:hyperlink w:anchor="__RefHeading___Toc3974175_1067777946">
            <w:r>
              <w:rPr>
                <w:webHidden/>
                <w:rStyle w:val="IndexLink"/>
                <w:rtl w:val="true"/>
              </w:rPr>
              <w:t>مقتولى كه ولىّ خاص ندارد</w:t>
            </w:r>
            <w:r>
              <w:rPr>
                <w:rStyle w:val="IndexLink"/>
                <w:rtl w:val="true"/>
              </w:rPr>
              <w:tab/>
            </w:r>
            <w:r>
              <w:rPr>
                <w:rStyle w:val="IndexLink"/>
              </w:rPr>
              <w:t>600</w:t>
            </w:r>
          </w:hyperlink>
        </w:p>
        <w:p>
          <w:pPr>
            <w:pStyle w:val="Contents3"/>
            <w:tabs>
              <w:tab w:val="clear" w:pos="8459"/>
              <w:tab w:val="right" w:pos="9026" w:leader="dot"/>
            </w:tabs>
            <w:rPr/>
          </w:pPr>
          <w:hyperlink w:anchor="__RefHeading___Toc3974177_1067777946">
            <w:r>
              <w:rPr>
                <w:webHidden/>
                <w:rStyle w:val="IndexLink"/>
                <w:rtl w:val="true"/>
              </w:rPr>
              <w:t>فصل پنجم ديۀ جنين</w:t>
            </w:r>
            <w:r>
              <w:rPr>
                <w:rStyle w:val="IndexLink"/>
                <w:rtl w:val="true"/>
              </w:rPr>
              <w:tab/>
            </w:r>
            <w:r>
              <w:rPr>
                <w:rStyle w:val="IndexLink"/>
              </w:rPr>
              <w:t>601</w:t>
            </w:r>
          </w:hyperlink>
        </w:p>
        <w:p>
          <w:pPr>
            <w:pStyle w:val="Contents4"/>
            <w:tabs>
              <w:tab w:val="clear" w:pos="8176"/>
              <w:tab w:val="right" w:pos="9026" w:leader="dot"/>
            </w:tabs>
            <w:rPr/>
          </w:pPr>
          <w:hyperlink w:anchor="__RefHeading___Toc3974179_1067777946">
            <w:r>
              <w:rPr>
                <w:webHidden/>
                <w:rStyle w:val="IndexLink"/>
                <w:rtl w:val="true"/>
              </w:rPr>
              <w:t>ديۀ جنين محكوم به اسلام</w:t>
            </w:r>
            <w:r>
              <w:rPr>
                <w:rStyle w:val="IndexLink"/>
                <w:rtl w:val="true"/>
              </w:rPr>
              <w:tab/>
            </w:r>
            <w:r>
              <w:rPr>
                <w:rStyle w:val="IndexLink"/>
              </w:rPr>
              <w:t>601</w:t>
            </w:r>
          </w:hyperlink>
        </w:p>
        <w:p>
          <w:pPr>
            <w:pStyle w:val="Contents4"/>
            <w:tabs>
              <w:tab w:val="clear" w:pos="8176"/>
              <w:tab w:val="right" w:pos="9026" w:leader="dot"/>
            </w:tabs>
            <w:rPr/>
          </w:pPr>
          <w:hyperlink w:anchor="__RefHeading___Toc3974181_1067777946">
            <w:r>
              <w:rPr>
                <w:webHidden/>
                <w:rStyle w:val="IndexLink"/>
                <w:rtl w:val="true"/>
              </w:rPr>
              <w:t>جنين ذمّى</w:t>
            </w:r>
            <w:r>
              <w:rPr>
                <w:rStyle w:val="IndexLink"/>
                <w:rtl w:val="true"/>
              </w:rPr>
              <w:tab/>
            </w:r>
            <w:r>
              <w:rPr>
                <w:rStyle w:val="IndexLink"/>
              </w:rPr>
              <w:t>601</w:t>
            </w:r>
          </w:hyperlink>
        </w:p>
        <w:p>
          <w:pPr>
            <w:pStyle w:val="Contents4"/>
            <w:tabs>
              <w:tab w:val="clear" w:pos="8176"/>
              <w:tab w:val="right" w:pos="9026" w:leader="dot"/>
            </w:tabs>
            <w:rPr/>
          </w:pPr>
          <w:hyperlink w:anchor="__RefHeading___Toc3974183_1067777946">
            <w:r>
              <w:rPr>
                <w:webHidden/>
                <w:rStyle w:val="IndexLink"/>
                <w:rtl w:val="true"/>
              </w:rPr>
              <w:t>جنين مملوكه</w:t>
            </w:r>
            <w:r>
              <w:rPr>
                <w:rStyle w:val="IndexLink"/>
                <w:rtl w:val="true"/>
              </w:rPr>
              <w:tab/>
            </w:r>
            <w:r>
              <w:rPr>
                <w:rStyle w:val="IndexLink"/>
              </w:rPr>
              <w:t>601</w:t>
            </w:r>
          </w:hyperlink>
        </w:p>
        <w:p>
          <w:pPr>
            <w:pStyle w:val="Contents4"/>
            <w:tabs>
              <w:tab w:val="clear" w:pos="8176"/>
              <w:tab w:val="right" w:pos="9026" w:leader="dot"/>
            </w:tabs>
            <w:rPr/>
          </w:pPr>
          <w:hyperlink w:anchor="__RefHeading___Toc3974185_1067777946">
            <w:r>
              <w:rPr>
                <w:webHidden/>
                <w:rStyle w:val="IndexLink"/>
                <w:rtl w:val="true"/>
              </w:rPr>
              <w:t>تعدّد حمل</w:t>
            </w:r>
            <w:r>
              <w:rPr>
                <w:rStyle w:val="IndexLink"/>
                <w:rtl w:val="true"/>
              </w:rPr>
              <w:tab/>
            </w:r>
            <w:r>
              <w:rPr>
                <w:rStyle w:val="IndexLink"/>
              </w:rPr>
              <w:t>602</w:t>
            </w:r>
          </w:hyperlink>
        </w:p>
        <w:p>
          <w:pPr>
            <w:pStyle w:val="Contents4"/>
            <w:tabs>
              <w:tab w:val="clear" w:pos="8176"/>
              <w:tab w:val="right" w:pos="9026" w:leader="dot"/>
            </w:tabs>
            <w:rPr/>
          </w:pPr>
          <w:hyperlink w:anchor="__RefHeading___Toc3974187_1067777946">
            <w:r>
              <w:rPr>
                <w:webHidden/>
                <w:rStyle w:val="IndexLink"/>
                <w:rtl w:val="true"/>
              </w:rPr>
              <w:t>اسقاط بعد از ولوج روح</w:t>
            </w:r>
            <w:r>
              <w:rPr>
                <w:rStyle w:val="IndexLink"/>
                <w:rtl w:val="true"/>
              </w:rPr>
              <w:tab/>
            </w:r>
            <w:r>
              <w:rPr>
                <w:rStyle w:val="IndexLink"/>
              </w:rPr>
              <w:t>602</w:t>
            </w:r>
          </w:hyperlink>
        </w:p>
        <w:p>
          <w:pPr>
            <w:pStyle w:val="Contents4"/>
            <w:tabs>
              <w:tab w:val="clear" w:pos="8176"/>
              <w:tab w:val="right" w:pos="9026" w:leader="dot"/>
            </w:tabs>
            <w:rPr/>
          </w:pPr>
          <w:hyperlink w:anchor="__RefHeading___Toc3974189_1067777946">
            <w:r>
              <w:rPr>
                <w:webHidden/>
                <w:rStyle w:val="IndexLink"/>
                <w:rtl w:val="true"/>
              </w:rPr>
              <w:t>حكم مراتبى كه ديۀ مقدّره ندارد</w:t>
            </w:r>
            <w:r>
              <w:rPr>
                <w:rStyle w:val="IndexLink"/>
                <w:rtl w:val="true"/>
              </w:rPr>
              <w:tab/>
            </w:r>
            <w:r>
              <w:rPr>
                <w:rStyle w:val="IndexLink"/>
              </w:rPr>
              <w:t>603</w:t>
            </w:r>
          </w:hyperlink>
        </w:p>
        <w:p>
          <w:pPr>
            <w:pStyle w:val="Contents4"/>
            <w:tabs>
              <w:tab w:val="clear" w:pos="8176"/>
              <w:tab w:val="right" w:pos="9026" w:leader="dot"/>
            </w:tabs>
            <w:rPr/>
          </w:pPr>
          <w:hyperlink w:anchor="__RefHeading___Toc3974191_1067777946">
            <w:r>
              <w:rPr>
                <w:webHidden/>
                <w:rStyle w:val="IndexLink"/>
                <w:rtl w:val="true"/>
              </w:rPr>
              <w:t>ديۀ زن و حمل او</w:t>
            </w:r>
            <w:r>
              <w:rPr>
                <w:rStyle w:val="IndexLink"/>
                <w:rtl w:val="true"/>
              </w:rPr>
              <w:tab/>
            </w:r>
            <w:r>
              <w:rPr>
                <w:rStyle w:val="IndexLink"/>
              </w:rPr>
              <w:t>603</w:t>
            </w:r>
          </w:hyperlink>
        </w:p>
        <w:p>
          <w:pPr>
            <w:pStyle w:val="Contents4"/>
            <w:tabs>
              <w:tab w:val="clear" w:pos="8176"/>
              <w:tab w:val="right" w:pos="9026" w:leader="dot"/>
            </w:tabs>
            <w:rPr/>
          </w:pPr>
          <w:hyperlink w:anchor="__RefHeading___Toc3974193_1067777946">
            <w:r>
              <w:rPr>
                <w:webHidden/>
                <w:rStyle w:val="IndexLink"/>
                <w:rtl w:val="true"/>
              </w:rPr>
              <w:t>زنى كه حمل خود را اسقاط نمايد</w:t>
            </w:r>
            <w:r>
              <w:rPr>
                <w:rStyle w:val="IndexLink"/>
                <w:rtl w:val="true"/>
              </w:rPr>
              <w:tab/>
            </w:r>
            <w:r>
              <w:rPr>
                <w:rStyle w:val="IndexLink"/>
              </w:rPr>
              <w:t>603</w:t>
            </w:r>
          </w:hyperlink>
        </w:p>
        <w:p>
          <w:pPr>
            <w:pStyle w:val="Contents4"/>
            <w:tabs>
              <w:tab w:val="clear" w:pos="8176"/>
              <w:tab w:val="right" w:pos="9026" w:leader="dot"/>
            </w:tabs>
            <w:rPr/>
          </w:pPr>
          <w:hyperlink w:anchor="__RefHeading___Toc3974195_1067777946">
            <w:r>
              <w:rPr>
                <w:webHidden/>
                <w:rStyle w:val="IndexLink"/>
                <w:rtl w:val="true"/>
              </w:rPr>
              <w:t>كسى كه حامل را بترساند</w:t>
            </w:r>
            <w:r>
              <w:rPr>
                <w:rStyle w:val="IndexLink"/>
                <w:rtl w:val="true"/>
              </w:rPr>
              <w:tab/>
            </w:r>
            <w:r>
              <w:rPr>
                <w:rStyle w:val="IndexLink"/>
              </w:rPr>
              <w:t>603</w:t>
            </w:r>
          </w:hyperlink>
        </w:p>
        <w:p>
          <w:pPr>
            <w:pStyle w:val="Contents4"/>
            <w:tabs>
              <w:tab w:val="clear" w:pos="8176"/>
              <w:tab w:val="right" w:pos="9026" w:leader="dot"/>
            </w:tabs>
            <w:rPr/>
          </w:pPr>
          <w:hyperlink w:anchor="__RefHeading___Toc3974197_1067777946">
            <w:r>
              <w:rPr>
                <w:webHidden/>
                <w:rStyle w:val="IndexLink"/>
                <w:rtl w:val="true"/>
              </w:rPr>
              <w:t>وارث ديۀ جنين</w:t>
            </w:r>
            <w:r>
              <w:rPr>
                <w:rStyle w:val="IndexLink"/>
                <w:rtl w:val="true"/>
              </w:rPr>
              <w:tab/>
            </w:r>
            <w:r>
              <w:rPr>
                <w:rStyle w:val="IndexLink"/>
              </w:rPr>
              <w:t>603</w:t>
            </w:r>
          </w:hyperlink>
        </w:p>
        <w:p>
          <w:pPr>
            <w:pStyle w:val="Contents4"/>
            <w:tabs>
              <w:tab w:val="clear" w:pos="8176"/>
              <w:tab w:val="right" w:pos="9026" w:leader="dot"/>
            </w:tabs>
            <w:rPr/>
          </w:pPr>
          <w:hyperlink w:anchor="__RefHeading___Toc3974199_1067777946">
            <w:r>
              <w:rPr>
                <w:webHidden/>
                <w:rStyle w:val="IndexLink"/>
                <w:rtl w:val="true"/>
              </w:rPr>
              <w:t>ديۀ اعضاى جنين و جراحات او</w:t>
            </w:r>
            <w:r>
              <w:rPr>
                <w:rStyle w:val="IndexLink"/>
                <w:rtl w:val="true"/>
              </w:rPr>
              <w:tab/>
            </w:r>
            <w:r>
              <w:rPr>
                <w:rStyle w:val="IndexLink"/>
              </w:rPr>
              <w:t>603</w:t>
            </w:r>
          </w:hyperlink>
        </w:p>
        <w:p>
          <w:pPr>
            <w:pStyle w:val="Contents4"/>
            <w:tabs>
              <w:tab w:val="clear" w:pos="8176"/>
              <w:tab w:val="right" w:pos="9026" w:leader="dot"/>
            </w:tabs>
            <w:rPr/>
          </w:pPr>
          <w:hyperlink w:anchor="__RefHeading___Toc3974201_1067777946">
            <w:r>
              <w:rPr>
                <w:webHidden/>
                <w:rStyle w:val="IndexLink"/>
                <w:rtl w:val="true"/>
              </w:rPr>
              <w:t>ديۀ افزاع حين الجماع</w:t>
            </w:r>
            <w:r>
              <w:rPr>
                <w:rStyle w:val="IndexLink"/>
                <w:rtl w:val="true"/>
              </w:rPr>
              <w:tab/>
            </w:r>
            <w:r>
              <w:rPr>
                <w:rStyle w:val="IndexLink"/>
              </w:rPr>
              <w:t>604</w:t>
            </w:r>
          </w:hyperlink>
        </w:p>
        <w:p>
          <w:pPr>
            <w:pStyle w:val="Contents4"/>
            <w:tabs>
              <w:tab w:val="clear" w:pos="8176"/>
              <w:tab w:val="right" w:pos="9026" w:leader="dot"/>
            </w:tabs>
            <w:rPr/>
          </w:pPr>
          <w:hyperlink w:anchor="__RefHeading___Toc3974203_1067777946">
            <w:r>
              <w:rPr>
                <w:webHidden/>
                <w:rStyle w:val="IndexLink"/>
                <w:rtl w:val="true"/>
              </w:rPr>
              <w:t>اعتبار به وقت جنايت مضمونه</w:t>
            </w:r>
            <w:r>
              <w:rPr>
                <w:rStyle w:val="IndexLink"/>
                <w:rtl w:val="true"/>
              </w:rPr>
              <w:tab/>
            </w:r>
            <w:r>
              <w:rPr>
                <w:rStyle w:val="IndexLink"/>
              </w:rPr>
              <w:t>605</w:t>
            </w:r>
          </w:hyperlink>
        </w:p>
        <w:p>
          <w:pPr>
            <w:pStyle w:val="Contents4"/>
            <w:tabs>
              <w:tab w:val="clear" w:pos="8176"/>
              <w:tab w:val="right" w:pos="9026" w:leader="dot"/>
            </w:tabs>
            <w:rPr/>
          </w:pPr>
          <w:hyperlink w:anchor="__RefHeading___Toc3974205_1067777946">
            <w:r>
              <w:rPr>
                <w:webHidden/>
                <w:rStyle w:val="IndexLink"/>
                <w:rtl w:val="true"/>
              </w:rPr>
              <w:t>جنينى كه يكى از والدين او ذمى و ديگرى وثنى است</w:t>
            </w:r>
            <w:r>
              <w:rPr>
                <w:rStyle w:val="IndexLink"/>
                <w:rtl w:val="true"/>
              </w:rPr>
              <w:tab/>
            </w:r>
            <w:r>
              <w:rPr>
                <w:rStyle w:val="IndexLink"/>
              </w:rPr>
              <w:t>605</w:t>
            </w:r>
          </w:hyperlink>
        </w:p>
        <w:p>
          <w:pPr>
            <w:pStyle w:val="Contents4"/>
            <w:tabs>
              <w:tab w:val="clear" w:pos="8176"/>
              <w:tab w:val="right" w:pos="9026" w:leader="dot"/>
            </w:tabs>
            <w:rPr/>
          </w:pPr>
          <w:hyperlink w:anchor="__RefHeading___Toc3974207_1067777946">
            <w:r>
              <w:rPr>
                <w:webHidden/>
                <w:rStyle w:val="IndexLink"/>
                <w:rtl w:val="true"/>
              </w:rPr>
              <w:t>اسقاط جنين از مرتدّه</w:t>
            </w:r>
            <w:r>
              <w:rPr>
                <w:rStyle w:val="IndexLink"/>
                <w:rtl w:val="true"/>
              </w:rPr>
              <w:tab/>
            </w:r>
            <w:r>
              <w:rPr>
                <w:rStyle w:val="IndexLink"/>
              </w:rPr>
              <w:t>606</w:t>
            </w:r>
          </w:hyperlink>
        </w:p>
        <w:p>
          <w:pPr>
            <w:pStyle w:val="Contents4"/>
            <w:tabs>
              <w:tab w:val="clear" w:pos="8176"/>
              <w:tab w:val="right" w:pos="9026" w:leader="dot"/>
            </w:tabs>
            <w:rPr/>
          </w:pPr>
          <w:hyperlink w:anchor="__RefHeading___Toc3974209_1067777946">
            <w:r>
              <w:rPr>
                <w:webHidden/>
                <w:rStyle w:val="IndexLink"/>
                <w:rtl w:val="true"/>
              </w:rPr>
              <w:t>ثبوت ديۀ ضرب خطايى بر عاقله</w:t>
            </w:r>
            <w:r>
              <w:rPr>
                <w:rStyle w:val="IndexLink"/>
                <w:rtl w:val="true"/>
              </w:rPr>
              <w:tab/>
            </w:r>
            <w:r>
              <w:rPr>
                <w:rStyle w:val="IndexLink"/>
              </w:rPr>
              <w:t>606</w:t>
            </w:r>
          </w:hyperlink>
        </w:p>
        <w:p>
          <w:pPr>
            <w:pStyle w:val="Contents4"/>
            <w:tabs>
              <w:tab w:val="clear" w:pos="8176"/>
              <w:tab w:val="right" w:pos="9026" w:leader="dot"/>
            </w:tabs>
            <w:rPr/>
          </w:pPr>
          <w:hyperlink w:anchor="__RefHeading___Toc3974211_1067777946">
            <w:r>
              <w:rPr>
                <w:webHidden/>
                <w:rStyle w:val="IndexLink"/>
                <w:rtl w:val="true"/>
              </w:rPr>
              <w:t>چند فرض ديگر اختلاف جانى و ولىّ‌</w:t>
            </w:r>
            <w:r>
              <w:rPr>
                <w:rStyle w:val="IndexLink"/>
                <w:rtl w:val="true"/>
              </w:rPr>
              <w:tab/>
            </w:r>
            <w:r>
              <w:rPr>
                <w:rStyle w:val="IndexLink"/>
              </w:rPr>
              <w:t>606</w:t>
            </w:r>
          </w:hyperlink>
        </w:p>
        <w:p>
          <w:pPr>
            <w:pStyle w:val="Contents4"/>
            <w:tabs>
              <w:tab w:val="clear" w:pos="8176"/>
              <w:tab w:val="right" w:pos="9026" w:leader="dot"/>
            </w:tabs>
            <w:rPr/>
          </w:pPr>
          <w:hyperlink w:anchor="__RefHeading___Toc3974213_1067777946">
            <w:r>
              <w:rPr>
                <w:webHidden/>
                <w:rStyle w:val="IndexLink"/>
                <w:rtl w:val="true"/>
              </w:rPr>
              <w:t>فوت زن بعد از القاى جنين</w:t>
            </w:r>
            <w:r>
              <w:rPr>
                <w:rStyle w:val="IndexLink"/>
                <w:rtl w:val="true"/>
              </w:rPr>
              <w:tab/>
            </w:r>
            <w:r>
              <w:rPr>
                <w:rStyle w:val="IndexLink"/>
              </w:rPr>
              <w:t>606</w:t>
            </w:r>
          </w:hyperlink>
        </w:p>
        <w:p>
          <w:pPr>
            <w:pStyle w:val="Contents4"/>
            <w:tabs>
              <w:tab w:val="clear" w:pos="8176"/>
              <w:tab w:val="right" w:pos="9026" w:leader="dot"/>
            </w:tabs>
            <w:rPr/>
          </w:pPr>
          <w:hyperlink w:anchor="__RefHeading___Toc3974215_1067777946">
            <w:r>
              <w:rPr>
                <w:webHidden/>
                <w:rStyle w:val="IndexLink"/>
                <w:rtl w:val="true"/>
              </w:rPr>
              <w:t>القاى جنين به وسيله شخصى و قتل به وسيله ديگرى</w:t>
            </w:r>
            <w:r>
              <w:rPr>
                <w:rStyle w:val="IndexLink"/>
                <w:rtl w:val="true"/>
              </w:rPr>
              <w:tab/>
            </w:r>
            <w:r>
              <w:rPr>
                <w:rStyle w:val="IndexLink"/>
              </w:rPr>
              <w:t>607</w:t>
            </w:r>
          </w:hyperlink>
        </w:p>
        <w:p>
          <w:pPr>
            <w:pStyle w:val="Contents4"/>
            <w:tabs>
              <w:tab w:val="clear" w:pos="8176"/>
              <w:tab w:val="right" w:pos="9026" w:leader="dot"/>
            </w:tabs>
            <w:rPr/>
          </w:pPr>
          <w:hyperlink w:anchor="__RefHeading___Toc3974217_1067777946">
            <w:r>
              <w:rPr>
                <w:webHidden/>
                <w:rStyle w:val="IndexLink"/>
                <w:rtl w:val="true"/>
              </w:rPr>
              <w:t>فرض تعيين والد به وسيلۀ قرعه</w:t>
            </w:r>
            <w:r>
              <w:rPr>
                <w:rStyle w:val="IndexLink"/>
                <w:rtl w:val="true"/>
              </w:rPr>
              <w:tab/>
            </w:r>
            <w:r>
              <w:rPr>
                <w:rStyle w:val="IndexLink"/>
              </w:rPr>
              <w:t>607</w:t>
            </w:r>
          </w:hyperlink>
        </w:p>
        <w:p>
          <w:pPr>
            <w:pStyle w:val="Contents4"/>
            <w:tabs>
              <w:tab w:val="clear" w:pos="8176"/>
              <w:tab w:val="right" w:pos="9026" w:leader="dot"/>
            </w:tabs>
            <w:rPr/>
          </w:pPr>
          <w:hyperlink w:anchor="__RefHeading___Toc3974219_1067777946">
            <w:r>
              <w:rPr>
                <w:webHidden/>
                <w:rStyle w:val="IndexLink"/>
                <w:rtl w:val="true"/>
              </w:rPr>
              <w:t>چند فرع دربارۀ القاى عضو جنين يا خود آن</w:t>
            </w:r>
            <w:r>
              <w:rPr>
                <w:rStyle w:val="IndexLink"/>
                <w:rtl w:val="true"/>
              </w:rPr>
              <w:tab/>
            </w:r>
            <w:r>
              <w:rPr>
                <w:rStyle w:val="IndexLink"/>
              </w:rPr>
              <w:t>607</w:t>
            </w:r>
          </w:hyperlink>
        </w:p>
        <w:p>
          <w:pPr>
            <w:pStyle w:val="Contents4"/>
            <w:tabs>
              <w:tab w:val="clear" w:pos="8176"/>
              <w:tab w:val="right" w:pos="9026" w:leader="dot"/>
            </w:tabs>
            <w:rPr/>
          </w:pPr>
          <w:hyperlink w:anchor="__RefHeading___Toc3974221_1067777946">
            <w:r>
              <w:rPr>
                <w:webHidden/>
                <w:rStyle w:val="IndexLink"/>
                <w:rtl w:val="true"/>
              </w:rPr>
              <w:t>ديۀ جنين در عمد و شبه عمد و خطا</w:t>
            </w:r>
            <w:r>
              <w:rPr>
                <w:rStyle w:val="IndexLink"/>
                <w:rtl w:val="true"/>
              </w:rPr>
              <w:tab/>
            </w:r>
            <w:r>
              <w:rPr>
                <w:rStyle w:val="IndexLink"/>
              </w:rPr>
              <w:t>608</w:t>
            </w:r>
          </w:hyperlink>
        </w:p>
        <w:p>
          <w:pPr>
            <w:pStyle w:val="Contents3"/>
            <w:tabs>
              <w:tab w:val="clear" w:pos="8459"/>
              <w:tab w:val="right" w:pos="9026" w:leader="dot"/>
            </w:tabs>
            <w:rPr/>
          </w:pPr>
          <w:hyperlink w:anchor="__RefHeading___Toc3974223_1067777946">
            <w:r>
              <w:rPr>
                <w:webHidden/>
                <w:rStyle w:val="IndexLink"/>
                <w:rtl w:val="true"/>
              </w:rPr>
              <w:t>فصل ششم ديۀ جنايت بر ميّت</w:t>
            </w:r>
            <w:r>
              <w:rPr>
                <w:rStyle w:val="IndexLink"/>
                <w:rtl w:val="true"/>
              </w:rPr>
              <w:tab/>
            </w:r>
            <w:r>
              <w:rPr>
                <w:rStyle w:val="IndexLink"/>
              </w:rPr>
              <w:t>609</w:t>
            </w:r>
          </w:hyperlink>
        </w:p>
        <w:p>
          <w:pPr>
            <w:pStyle w:val="Contents4"/>
            <w:tabs>
              <w:tab w:val="clear" w:pos="8176"/>
              <w:tab w:val="right" w:pos="9026" w:leader="dot"/>
            </w:tabs>
            <w:rPr/>
          </w:pPr>
          <w:hyperlink w:anchor="__RefHeading___Toc3974225_1067777946">
            <w:r>
              <w:rPr>
                <w:webHidden/>
                <w:rStyle w:val="IndexLink"/>
                <w:rtl w:val="true"/>
              </w:rPr>
              <w:t>ديۀ قطع سر ميّت</w:t>
            </w:r>
            <w:r>
              <w:rPr>
                <w:rStyle w:val="IndexLink"/>
                <w:rtl w:val="true"/>
              </w:rPr>
              <w:tab/>
            </w:r>
            <w:r>
              <w:rPr>
                <w:rStyle w:val="IndexLink"/>
              </w:rPr>
              <w:t>609</w:t>
            </w:r>
          </w:hyperlink>
        </w:p>
        <w:p>
          <w:pPr>
            <w:pStyle w:val="Contents4"/>
            <w:tabs>
              <w:tab w:val="clear" w:pos="8176"/>
              <w:tab w:val="right" w:pos="9026" w:leader="dot"/>
            </w:tabs>
            <w:rPr/>
          </w:pPr>
          <w:hyperlink w:anchor="__RefHeading___Toc3974227_1067777946">
            <w:r>
              <w:rPr>
                <w:webHidden/>
                <w:rStyle w:val="IndexLink"/>
                <w:rtl w:val="true"/>
              </w:rPr>
              <w:t>ديات مترتب بر ميّت صرف در وجوه خير مى شود</w:t>
            </w:r>
            <w:r>
              <w:rPr>
                <w:rStyle w:val="IndexLink"/>
                <w:rtl w:val="true"/>
              </w:rPr>
              <w:tab/>
            </w:r>
            <w:r>
              <w:rPr>
                <w:rStyle w:val="IndexLink"/>
              </w:rPr>
              <w:t>609</w:t>
            </w:r>
          </w:hyperlink>
        </w:p>
        <w:p>
          <w:pPr>
            <w:pStyle w:val="Contents4"/>
            <w:tabs>
              <w:tab w:val="clear" w:pos="8176"/>
              <w:tab w:val="right" w:pos="9026" w:leader="dot"/>
            </w:tabs>
            <w:rPr/>
          </w:pPr>
          <w:hyperlink w:anchor="__RefHeading___Toc3974229_1067777946">
            <w:r>
              <w:rPr>
                <w:webHidden/>
                <w:rStyle w:val="IndexLink"/>
                <w:rtl w:val="true"/>
              </w:rPr>
              <w:t>آن چه به قطع رأس الحاق مى شود</w:t>
            </w:r>
            <w:r>
              <w:rPr>
                <w:rStyle w:val="IndexLink"/>
                <w:rtl w:val="true"/>
              </w:rPr>
              <w:tab/>
            </w:r>
            <w:r>
              <w:rPr>
                <w:rStyle w:val="IndexLink"/>
              </w:rPr>
              <w:t>610</w:t>
            </w:r>
          </w:hyperlink>
        </w:p>
        <w:p>
          <w:pPr>
            <w:pStyle w:val="Contents3"/>
            <w:tabs>
              <w:tab w:val="clear" w:pos="8459"/>
              <w:tab w:val="right" w:pos="9026" w:leader="dot"/>
            </w:tabs>
            <w:rPr/>
          </w:pPr>
          <w:hyperlink w:anchor="__RefHeading___Toc3974231_1067777946">
            <w:r>
              <w:rPr>
                <w:webHidden/>
                <w:rStyle w:val="IndexLink"/>
                <w:rtl w:val="true"/>
              </w:rPr>
              <w:t>فصل هفتم ديۀ جنايت بر حيوان</w:t>
            </w:r>
            <w:r>
              <w:rPr>
                <w:rStyle w:val="IndexLink"/>
                <w:rtl w:val="true"/>
              </w:rPr>
              <w:tab/>
            </w:r>
            <w:r>
              <w:rPr>
                <w:rStyle w:val="IndexLink"/>
              </w:rPr>
              <w:t>611</w:t>
            </w:r>
          </w:hyperlink>
        </w:p>
        <w:p>
          <w:pPr>
            <w:pStyle w:val="Contents4"/>
            <w:tabs>
              <w:tab w:val="clear" w:pos="8176"/>
              <w:tab w:val="right" w:pos="9026" w:leader="dot"/>
            </w:tabs>
            <w:rPr/>
          </w:pPr>
          <w:hyperlink w:anchor="__RefHeading___Toc3974233_1067777946">
            <w:r>
              <w:rPr>
                <w:webHidden/>
                <w:rStyle w:val="IndexLink"/>
                <w:rtl w:val="true"/>
              </w:rPr>
              <w:t>جنايت بر حيوان مأكول اللحم</w:t>
            </w:r>
            <w:r>
              <w:rPr>
                <w:rStyle w:val="IndexLink"/>
                <w:rtl w:val="true"/>
              </w:rPr>
              <w:tab/>
            </w:r>
            <w:r>
              <w:rPr>
                <w:rStyle w:val="IndexLink"/>
              </w:rPr>
              <w:t>611</w:t>
            </w:r>
          </w:hyperlink>
        </w:p>
        <w:p>
          <w:pPr>
            <w:pStyle w:val="Contents5"/>
            <w:tabs>
              <w:tab w:val="clear" w:pos="7892"/>
              <w:tab w:val="right" w:pos="9026" w:leader="dot"/>
            </w:tabs>
            <w:rPr/>
          </w:pPr>
          <w:hyperlink w:anchor="__RefHeading___Toc3974235_1067777946">
            <w:r>
              <w:rPr>
                <w:webHidden/>
                <w:rStyle w:val="IndexLink"/>
                <w:rtl w:val="true"/>
              </w:rPr>
              <w:t>اتلاف مأكول اللحم بدون اذن با تذكيه</w:t>
            </w:r>
            <w:r>
              <w:rPr>
                <w:rStyle w:val="IndexLink"/>
                <w:rtl w:val="true"/>
              </w:rPr>
              <w:tab/>
            </w:r>
            <w:r>
              <w:rPr>
                <w:rStyle w:val="IndexLink"/>
              </w:rPr>
              <w:t>611</w:t>
            </w:r>
          </w:hyperlink>
        </w:p>
        <w:p>
          <w:pPr>
            <w:pStyle w:val="Contents5"/>
            <w:tabs>
              <w:tab w:val="clear" w:pos="7892"/>
              <w:tab w:val="right" w:pos="9026" w:leader="dot"/>
            </w:tabs>
            <w:rPr/>
          </w:pPr>
          <w:hyperlink w:anchor="__RefHeading___Toc3974237_1067777946">
            <w:r>
              <w:rPr>
                <w:webHidden/>
                <w:rStyle w:val="IndexLink"/>
                <w:rtl w:val="true"/>
              </w:rPr>
              <w:t>اتلاف بدون تذكيه</w:t>
            </w:r>
            <w:r>
              <w:rPr>
                <w:rStyle w:val="IndexLink"/>
                <w:rtl w:val="true"/>
              </w:rPr>
              <w:tab/>
            </w:r>
            <w:r>
              <w:rPr>
                <w:rStyle w:val="IndexLink"/>
              </w:rPr>
              <w:t>611</w:t>
            </w:r>
          </w:hyperlink>
        </w:p>
        <w:p>
          <w:pPr>
            <w:pStyle w:val="Contents5"/>
            <w:tabs>
              <w:tab w:val="clear" w:pos="7892"/>
              <w:tab w:val="right" w:pos="9026" w:leader="dot"/>
            </w:tabs>
            <w:rPr/>
          </w:pPr>
          <w:hyperlink w:anchor="__RefHeading___Toc3974239_1067777946">
            <w:r>
              <w:rPr>
                <w:webHidden/>
                <w:rStyle w:val="IndexLink"/>
                <w:rtl w:val="true"/>
              </w:rPr>
              <w:t>صدمه به اعضاى حيوان</w:t>
            </w:r>
            <w:r>
              <w:rPr>
                <w:rStyle w:val="IndexLink"/>
                <w:rtl w:val="true"/>
              </w:rPr>
              <w:tab/>
            </w:r>
            <w:r>
              <w:rPr>
                <w:rStyle w:val="IndexLink"/>
              </w:rPr>
              <w:t>611</w:t>
            </w:r>
          </w:hyperlink>
        </w:p>
        <w:p>
          <w:pPr>
            <w:pStyle w:val="Contents4"/>
            <w:tabs>
              <w:tab w:val="clear" w:pos="8176"/>
              <w:tab w:val="right" w:pos="9026" w:leader="dot"/>
            </w:tabs>
            <w:rPr/>
          </w:pPr>
          <w:hyperlink w:anchor="__RefHeading___Toc3974241_1067777946">
            <w:r>
              <w:rPr>
                <w:webHidden/>
                <w:rStyle w:val="IndexLink"/>
                <w:rtl w:val="true"/>
              </w:rPr>
              <w:t>جنايت بر حيوان غير مأكول قابل تذكيه</w:t>
            </w:r>
            <w:r>
              <w:rPr>
                <w:rStyle w:val="IndexLink"/>
                <w:rtl w:val="true"/>
              </w:rPr>
              <w:tab/>
            </w:r>
            <w:r>
              <w:rPr>
                <w:rStyle w:val="IndexLink"/>
              </w:rPr>
              <w:t>612</w:t>
            </w:r>
          </w:hyperlink>
        </w:p>
        <w:p>
          <w:pPr>
            <w:pStyle w:val="Contents5"/>
            <w:tabs>
              <w:tab w:val="clear" w:pos="7892"/>
              <w:tab w:val="right" w:pos="9026" w:leader="dot"/>
            </w:tabs>
            <w:rPr/>
          </w:pPr>
          <w:hyperlink w:anchor="__RefHeading___Toc3974243_1067777946">
            <w:r>
              <w:rPr>
                <w:webHidden/>
                <w:rStyle w:val="IndexLink"/>
                <w:rtl w:val="true"/>
              </w:rPr>
              <w:t>اشاره</w:t>
            </w:r>
            <w:r>
              <w:rPr>
                <w:rStyle w:val="IndexLink"/>
                <w:rtl w:val="true"/>
              </w:rPr>
              <w:tab/>
            </w:r>
            <w:r>
              <w:rPr>
                <w:rStyle w:val="IndexLink"/>
              </w:rPr>
              <w:t>612</w:t>
            </w:r>
          </w:hyperlink>
        </w:p>
        <w:p>
          <w:pPr>
            <w:pStyle w:val="Contents5"/>
            <w:tabs>
              <w:tab w:val="clear" w:pos="7892"/>
              <w:tab w:val="right" w:pos="9026" w:leader="dot"/>
            </w:tabs>
            <w:rPr/>
          </w:pPr>
          <w:hyperlink w:anchor="__RefHeading___Toc3974245_1067777946">
            <w:r>
              <w:rPr>
                <w:webHidden/>
                <w:rStyle w:val="IndexLink"/>
                <w:rtl w:val="true"/>
              </w:rPr>
              <w:t>اتلاف به غير تذكيه</w:t>
            </w:r>
            <w:r>
              <w:rPr>
                <w:rStyle w:val="IndexLink"/>
                <w:rtl w:val="true"/>
              </w:rPr>
              <w:tab/>
            </w:r>
            <w:r>
              <w:rPr>
                <w:rStyle w:val="IndexLink"/>
              </w:rPr>
              <w:t>612</w:t>
            </w:r>
          </w:hyperlink>
        </w:p>
        <w:p>
          <w:pPr>
            <w:pStyle w:val="Contents5"/>
            <w:tabs>
              <w:tab w:val="clear" w:pos="7892"/>
              <w:tab w:val="right" w:pos="9026" w:leader="dot"/>
            </w:tabs>
            <w:rPr/>
          </w:pPr>
          <w:hyperlink w:anchor="__RefHeading___Toc3974247_1067777946">
            <w:r>
              <w:rPr>
                <w:webHidden/>
                <w:rStyle w:val="IndexLink"/>
                <w:rtl w:val="true"/>
              </w:rPr>
              <w:t>اتلاف محلّل الأكل كه عادتاً مأكول نيستند</w:t>
            </w:r>
            <w:r>
              <w:rPr>
                <w:rStyle w:val="IndexLink"/>
                <w:rtl w:val="true"/>
              </w:rPr>
              <w:tab/>
            </w:r>
            <w:r>
              <w:rPr>
                <w:rStyle w:val="IndexLink"/>
              </w:rPr>
              <w:t>612</w:t>
            </w:r>
          </w:hyperlink>
        </w:p>
        <w:p>
          <w:pPr>
            <w:pStyle w:val="Contents4"/>
            <w:tabs>
              <w:tab w:val="clear" w:pos="8176"/>
              <w:tab w:val="right" w:pos="9026" w:leader="dot"/>
            </w:tabs>
            <w:rPr/>
          </w:pPr>
          <w:hyperlink w:anchor="__RefHeading___Toc3974249_1067777946">
            <w:r>
              <w:rPr>
                <w:webHidden/>
                <w:rStyle w:val="IndexLink"/>
                <w:rtl w:val="true"/>
              </w:rPr>
              <w:t>جنايت بر حيوان غير مأكول غير قابل تذكيه</w:t>
            </w:r>
            <w:r>
              <w:rPr>
                <w:rStyle w:val="IndexLink"/>
                <w:rtl w:val="true"/>
              </w:rPr>
              <w:tab/>
            </w:r>
            <w:r>
              <w:rPr>
                <w:rStyle w:val="IndexLink"/>
              </w:rPr>
              <w:t>612</w:t>
            </w:r>
          </w:hyperlink>
        </w:p>
        <w:p>
          <w:pPr>
            <w:pStyle w:val="Contents5"/>
            <w:tabs>
              <w:tab w:val="clear" w:pos="7892"/>
              <w:tab w:val="right" w:pos="9026" w:leader="dot"/>
            </w:tabs>
            <w:rPr/>
          </w:pPr>
          <w:hyperlink w:anchor="__RefHeading___Toc3974251_1067777946">
            <w:r>
              <w:rPr>
                <w:webHidden/>
                <w:rStyle w:val="IndexLink"/>
                <w:rtl w:val="true"/>
              </w:rPr>
              <w:t>جنايت بر انواع كلب و حكم هر يك</w:t>
            </w:r>
            <w:r>
              <w:rPr>
                <w:rStyle w:val="IndexLink"/>
                <w:rtl w:val="true"/>
              </w:rPr>
              <w:tab/>
            </w:r>
            <w:r>
              <w:rPr>
                <w:rStyle w:val="IndexLink"/>
              </w:rPr>
              <w:t>612</w:t>
            </w:r>
          </w:hyperlink>
        </w:p>
        <w:p>
          <w:pPr>
            <w:pStyle w:val="Contents5"/>
            <w:tabs>
              <w:tab w:val="clear" w:pos="7892"/>
              <w:tab w:val="right" w:pos="9026" w:leader="dot"/>
            </w:tabs>
            <w:rPr/>
          </w:pPr>
          <w:hyperlink w:anchor="__RefHeading___Toc3974253_1067777946">
            <w:r>
              <w:rPr>
                <w:webHidden/>
                <w:rStyle w:val="IndexLink"/>
                <w:rtl w:val="true"/>
              </w:rPr>
              <w:t>اتلاف غير كلب و حكم هر يك</w:t>
            </w:r>
            <w:r>
              <w:rPr>
                <w:rStyle w:val="IndexLink"/>
                <w:rtl w:val="true"/>
              </w:rPr>
              <w:tab/>
            </w:r>
            <w:r>
              <w:rPr>
                <w:rStyle w:val="IndexLink"/>
              </w:rPr>
              <w:t>613</w:t>
            </w:r>
          </w:hyperlink>
        </w:p>
        <w:p>
          <w:pPr>
            <w:pStyle w:val="Contents5"/>
            <w:tabs>
              <w:tab w:val="clear" w:pos="7892"/>
              <w:tab w:val="right" w:pos="9026" w:leader="dot"/>
            </w:tabs>
            <w:rPr/>
          </w:pPr>
          <w:hyperlink w:anchor="__RefHeading___Toc3974255_1067777946">
            <w:r>
              <w:rPr>
                <w:webHidden/>
                <w:rStyle w:val="IndexLink"/>
                <w:rtl w:val="true"/>
              </w:rPr>
              <w:t>اگر جانى خود غاصب باشد</w:t>
            </w:r>
            <w:r>
              <w:rPr>
                <w:rStyle w:val="IndexLink"/>
                <w:rtl w:val="true"/>
              </w:rPr>
              <w:tab/>
            </w:r>
            <w:r>
              <w:rPr>
                <w:rStyle w:val="IndexLink"/>
              </w:rPr>
              <w:t>613</w:t>
            </w:r>
          </w:hyperlink>
        </w:p>
        <w:p>
          <w:pPr>
            <w:pStyle w:val="Contents5"/>
            <w:tabs>
              <w:tab w:val="clear" w:pos="7892"/>
              <w:tab w:val="right" w:pos="9026" w:leader="dot"/>
            </w:tabs>
            <w:rPr/>
          </w:pPr>
          <w:hyperlink w:anchor="__RefHeading___Toc3974257_1067777946">
            <w:r>
              <w:rPr>
                <w:webHidden/>
                <w:rStyle w:val="IndexLink"/>
                <w:rtl w:val="true"/>
              </w:rPr>
              <w:t>ايجاد نقص در كلب مغصوب</w:t>
            </w:r>
            <w:r>
              <w:rPr>
                <w:rStyle w:val="IndexLink"/>
                <w:rtl w:val="true"/>
              </w:rPr>
              <w:tab/>
            </w:r>
            <w:r>
              <w:rPr>
                <w:rStyle w:val="IndexLink"/>
              </w:rPr>
              <w:t>613</w:t>
            </w:r>
          </w:hyperlink>
        </w:p>
        <w:p>
          <w:pPr>
            <w:pStyle w:val="Contents4"/>
            <w:tabs>
              <w:tab w:val="clear" w:pos="8176"/>
              <w:tab w:val="right" w:pos="9026" w:leader="dot"/>
            </w:tabs>
            <w:rPr/>
          </w:pPr>
          <w:hyperlink w:anchor="__RefHeading___Toc3974259_1067777946">
            <w:r>
              <w:rPr>
                <w:webHidden/>
                <w:rStyle w:val="IndexLink"/>
                <w:rtl w:val="true"/>
              </w:rPr>
              <w:t>اتلاف خمر يا آلت لهو</w:t>
            </w:r>
            <w:r>
              <w:rPr>
                <w:rStyle w:val="IndexLink"/>
                <w:rtl w:val="true"/>
              </w:rPr>
              <w:tab/>
            </w:r>
            <w:r>
              <w:rPr>
                <w:rStyle w:val="IndexLink"/>
              </w:rPr>
              <w:t>614</w:t>
            </w:r>
          </w:hyperlink>
        </w:p>
        <w:p>
          <w:pPr>
            <w:pStyle w:val="Contents4"/>
            <w:tabs>
              <w:tab w:val="clear" w:pos="8176"/>
              <w:tab w:val="right" w:pos="9026" w:leader="dot"/>
            </w:tabs>
            <w:rPr/>
          </w:pPr>
          <w:hyperlink w:anchor="__RefHeading___Toc3974261_1067777946">
            <w:r>
              <w:rPr>
                <w:webHidden/>
                <w:rStyle w:val="IndexLink"/>
                <w:rtl w:val="true"/>
              </w:rPr>
              <w:t>اگر بهايم مملوكه، زراعتى را فاسد نمودند</w:t>
            </w:r>
            <w:r>
              <w:rPr>
                <w:rStyle w:val="IndexLink"/>
                <w:rtl w:val="true"/>
              </w:rPr>
              <w:tab/>
            </w:r>
            <w:r>
              <w:rPr>
                <w:rStyle w:val="IndexLink"/>
              </w:rPr>
              <w:t>614</w:t>
            </w:r>
          </w:hyperlink>
        </w:p>
        <w:p>
          <w:pPr>
            <w:pStyle w:val="Contents3"/>
            <w:tabs>
              <w:tab w:val="clear" w:pos="8459"/>
              <w:tab w:val="right" w:pos="9026" w:leader="dot"/>
            </w:tabs>
            <w:rPr/>
          </w:pPr>
          <w:hyperlink w:anchor="__RefHeading___Toc3974263_1067777946">
            <w:r>
              <w:rPr>
                <w:webHidden/>
                <w:rStyle w:val="IndexLink"/>
                <w:rtl w:val="true"/>
              </w:rPr>
              <w:t>فصل هشتم كفارۀ قتل</w:t>
            </w:r>
            <w:r>
              <w:rPr>
                <w:rStyle w:val="IndexLink"/>
                <w:rtl w:val="true"/>
              </w:rPr>
              <w:tab/>
            </w:r>
            <w:r>
              <w:rPr>
                <w:rStyle w:val="IndexLink"/>
              </w:rPr>
              <w:t>615</w:t>
            </w:r>
          </w:hyperlink>
        </w:p>
        <w:p>
          <w:pPr>
            <w:pStyle w:val="Contents4"/>
            <w:tabs>
              <w:tab w:val="clear" w:pos="8176"/>
              <w:tab w:val="right" w:pos="9026" w:leader="dot"/>
            </w:tabs>
            <w:rPr/>
          </w:pPr>
          <w:hyperlink w:anchor="__RefHeading___Toc3974265_1067777946">
            <w:r>
              <w:rPr>
                <w:webHidden/>
                <w:rStyle w:val="IndexLink"/>
                <w:rtl w:val="true"/>
              </w:rPr>
              <w:t>كفّاره انواع قتل</w:t>
            </w:r>
            <w:r>
              <w:rPr>
                <w:rStyle w:val="IndexLink"/>
                <w:rtl w:val="true"/>
              </w:rPr>
              <w:tab/>
            </w:r>
            <w:r>
              <w:rPr>
                <w:rStyle w:val="IndexLink"/>
              </w:rPr>
              <w:t>615</w:t>
            </w:r>
          </w:hyperlink>
        </w:p>
        <w:p>
          <w:pPr>
            <w:pStyle w:val="Contents4"/>
            <w:tabs>
              <w:tab w:val="clear" w:pos="8176"/>
              <w:tab w:val="right" w:pos="9026" w:leader="dot"/>
            </w:tabs>
            <w:rPr/>
          </w:pPr>
          <w:hyperlink w:anchor="__RefHeading___Toc3974267_1067777946">
            <w:r>
              <w:rPr>
                <w:webHidden/>
                <w:rStyle w:val="IndexLink"/>
                <w:rtl w:val="true"/>
              </w:rPr>
              <w:t>اختصاص كفاره به قتل مسلم</w:t>
            </w:r>
            <w:r>
              <w:rPr>
                <w:rStyle w:val="IndexLink"/>
                <w:rtl w:val="true"/>
              </w:rPr>
              <w:tab/>
            </w:r>
            <w:r>
              <w:rPr>
                <w:rStyle w:val="IndexLink"/>
              </w:rPr>
              <w:t>615</w:t>
            </w:r>
          </w:hyperlink>
        </w:p>
        <w:p>
          <w:pPr>
            <w:pStyle w:val="Contents4"/>
            <w:tabs>
              <w:tab w:val="clear" w:pos="8176"/>
              <w:tab w:val="right" w:pos="9026" w:leader="dot"/>
            </w:tabs>
            <w:rPr/>
          </w:pPr>
          <w:hyperlink w:anchor="__RefHeading___Toc3974269_1067777946">
            <w:r>
              <w:rPr>
                <w:webHidden/>
                <w:rStyle w:val="IndexLink"/>
                <w:rtl w:val="true"/>
              </w:rPr>
              <w:t>كشتن مسلمى در دار الحرب عمداً يا خطاءً‌</w:t>
            </w:r>
            <w:r>
              <w:rPr>
                <w:rStyle w:val="IndexLink"/>
                <w:rtl w:val="true"/>
              </w:rPr>
              <w:tab/>
            </w:r>
            <w:r>
              <w:rPr>
                <w:rStyle w:val="IndexLink"/>
              </w:rPr>
              <w:t>615</w:t>
            </w:r>
          </w:hyperlink>
        </w:p>
        <w:p>
          <w:pPr>
            <w:pStyle w:val="Contents4"/>
            <w:tabs>
              <w:tab w:val="clear" w:pos="8176"/>
              <w:tab w:val="right" w:pos="9026" w:leader="dot"/>
            </w:tabs>
            <w:rPr/>
          </w:pPr>
          <w:hyperlink w:anchor="__RefHeading___Toc3974271_1067777946">
            <w:r>
              <w:rPr>
                <w:webHidden/>
                <w:rStyle w:val="IndexLink"/>
                <w:rtl w:val="true"/>
              </w:rPr>
              <w:t>توزيع كفاره</w:t>
            </w:r>
            <w:r>
              <w:rPr>
                <w:rStyle w:val="IndexLink"/>
                <w:rtl w:val="true"/>
              </w:rPr>
              <w:tab/>
            </w:r>
            <w:r>
              <w:rPr>
                <w:rStyle w:val="IndexLink"/>
              </w:rPr>
              <w:t>616</w:t>
            </w:r>
          </w:hyperlink>
        </w:p>
        <w:p>
          <w:pPr>
            <w:pStyle w:val="Contents4"/>
            <w:tabs>
              <w:tab w:val="clear" w:pos="8176"/>
              <w:tab w:val="right" w:pos="9026" w:leader="dot"/>
            </w:tabs>
            <w:rPr/>
          </w:pPr>
          <w:hyperlink w:anchor="__RefHeading___Toc3974273_1067777946">
            <w:r>
              <w:rPr>
                <w:webHidden/>
                <w:rStyle w:val="IndexLink"/>
                <w:rtl w:val="true"/>
              </w:rPr>
              <w:t>دو مورد عدم سقوط كفاره</w:t>
            </w:r>
            <w:r>
              <w:rPr>
                <w:rStyle w:val="IndexLink"/>
                <w:rtl w:val="true"/>
              </w:rPr>
              <w:tab/>
            </w:r>
            <w:r>
              <w:rPr>
                <w:rStyle w:val="IndexLink"/>
              </w:rPr>
              <w:t>616</w:t>
            </w:r>
          </w:hyperlink>
        </w:p>
        <w:p>
          <w:pPr>
            <w:pStyle w:val="Contents4"/>
            <w:tabs>
              <w:tab w:val="clear" w:pos="8176"/>
              <w:tab w:val="right" w:pos="9026" w:leader="dot"/>
            </w:tabs>
            <w:rPr/>
          </w:pPr>
          <w:hyperlink w:anchor="__RefHeading___Toc3974275_1067777946">
            <w:r>
              <w:rPr>
                <w:webHidden/>
                <w:rStyle w:val="IndexLink"/>
                <w:rtl w:val="true"/>
              </w:rPr>
              <w:t>حكم كفّاره بعد از قصاص</w:t>
            </w:r>
            <w:r>
              <w:rPr>
                <w:rStyle w:val="IndexLink"/>
                <w:rtl w:val="true"/>
              </w:rPr>
              <w:tab/>
            </w:r>
            <w:r>
              <w:rPr>
                <w:rStyle w:val="IndexLink"/>
              </w:rPr>
              <w:t>616</w:t>
            </w:r>
          </w:hyperlink>
        </w:p>
        <w:p>
          <w:pPr>
            <w:pStyle w:val="Contents4"/>
            <w:tabs>
              <w:tab w:val="clear" w:pos="8176"/>
              <w:tab w:val="right" w:pos="9026" w:leader="dot"/>
            </w:tabs>
            <w:rPr/>
          </w:pPr>
          <w:hyperlink w:anchor="__RefHeading___Toc3974277_1067777946">
            <w:r>
              <w:rPr>
                <w:webHidden/>
                <w:rStyle w:val="IndexLink"/>
                <w:rtl w:val="true"/>
              </w:rPr>
              <w:t>اگر قاتل مسلم صبى يا مجنون باشد</w:t>
            </w:r>
            <w:r>
              <w:rPr>
                <w:rStyle w:val="IndexLink"/>
                <w:rtl w:val="true"/>
              </w:rPr>
              <w:tab/>
            </w:r>
            <w:r>
              <w:rPr>
                <w:rStyle w:val="IndexLink"/>
              </w:rPr>
              <w:t>616</w:t>
            </w:r>
          </w:hyperlink>
        </w:p>
        <w:p>
          <w:pPr>
            <w:pStyle w:val="Contents4"/>
            <w:tabs>
              <w:tab w:val="clear" w:pos="8176"/>
              <w:tab w:val="right" w:pos="9026" w:leader="dot"/>
            </w:tabs>
            <w:rPr/>
          </w:pPr>
          <w:hyperlink w:anchor="__RefHeading___Toc3974279_1067777946">
            <w:r>
              <w:rPr>
                <w:webHidden/>
                <w:rStyle w:val="IndexLink"/>
                <w:rtl w:val="true"/>
              </w:rPr>
              <w:t>سقوط كفّاره از كافر به واسطۀ اسلام آوردن</w:t>
            </w:r>
            <w:r>
              <w:rPr>
                <w:rStyle w:val="IndexLink"/>
                <w:rtl w:val="true"/>
              </w:rPr>
              <w:tab/>
            </w:r>
            <w:r>
              <w:rPr>
                <w:rStyle w:val="IndexLink"/>
              </w:rPr>
              <w:t>616</w:t>
            </w:r>
          </w:hyperlink>
        </w:p>
        <w:p>
          <w:pPr>
            <w:pStyle w:val="Contents4"/>
            <w:tabs>
              <w:tab w:val="clear" w:pos="8176"/>
              <w:tab w:val="right" w:pos="9026" w:leader="dot"/>
            </w:tabs>
            <w:rPr/>
          </w:pPr>
          <w:hyperlink w:anchor="__RefHeading___Toc3974281_1067777946">
            <w:r>
              <w:rPr>
                <w:webHidden/>
                <w:rStyle w:val="IndexLink"/>
                <w:rtl w:val="true"/>
              </w:rPr>
              <w:t>قتل مباح القتل بدون اذن امام و نائب</w:t>
            </w:r>
            <w:r>
              <w:rPr>
                <w:rStyle w:val="IndexLink"/>
                <w:rtl w:val="true"/>
              </w:rPr>
              <w:tab/>
            </w:r>
            <w:r>
              <w:rPr>
                <w:rStyle w:val="IndexLink"/>
              </w:rPr>
              <w:t>617</w:t>
            </w:r>
          </w:hyperlink>
        </w:p>
        <w:p>
          <w:pPr>
            <w:pStyle w:val="Contents4"/>
            <w:tabs>
              <w:tab w:val="clear" w:pos="8176"/>
              <w:tab w:val="right" w:pos="9026" w:leader="dot"/>
            </w:tabs>
            <w:rPr/>
          </w:pPr>
          <w:hyperlink w:anchor="__RefHeading___Toc3974283_1067777946">
            <w:r>
              <w:rPr>
                <w:webHidden/>
                <w:rStyle w:val="IndexLink"/>
                <w:rtl w:val="true"/>
              </w:rPr>
              <w:t>تصادم دو حامل</w:t>
            </w:r>
            <w:r>
              <w:rPr>
                <w:rStyle w:val="IndexLink"/>
                <w:rtl w:val="true"/>
              </w:rPr>
              <w:tab/>
            </w:r>
            <w:r>
              <w:rPr>
                <w:rStyle w:val="IndexLink"/>
              </w:rPr>
              <w:t>617</w:t>
            </w:r>
          </w:hyperlink>
        </w:p>
        <w:p>
          <w:pPr>
            <w:pStyle w:val="Contents3"/>
            <w:tabs>
              <w:tab w:val="clear" w:pos="8459"/>
              <w:tab w:val="right" w:pos="9026" w:leader="dot"/>
            </w:tabs>
            <w:rPr/>
          </w:pPr>
          <w:hyperlink w:anchor="__RefHeading___Toc3974285_1067777946">
            <w:r>
              <w:rPr>
                <w:webHidden/>
                <w:rStyle w:val="IndexLink"/>
                <w:rtl w:val="true"/>
              </w:rPr>
              <w:t>فصل نهم تعيين عاقله و كيفيت توزيع ديه بر عاقله</w:t>
            </w:r>
            <w:r>
              <w:rPr>
                <w:rStyle w:val="IndexLink"/>
                <w:rtl w:val="true"/>
              </w:rPr>
              <w:tab/>
            </w:r>
            <w:r>
              <w:rPr>
                <w:rStyle w:val="IndexLink"/>
              </w:rPr>
              <w:t>618</w:t>
            </w:r>
          </w:hyperlink>
        </w:p>
        <w:p>
          <w:pPr>
            <w:pStyle w:val="Contents4"/>
            <w:tabs>
              <w:tab w:val="clear" w:pos="8176"/>
              <w:tab w:val="right" w:pos="9026" w:leader="dot"/>
            </w:tabs>
            <w:rPr/>
          </w:pPr>
          <w:hyperlink w:anchor="__RefHeading___Toc3974287_1067777946">
            <w:r>
              <w:rPr>
                <w:webHidden/>
                <w:rStyle w:val="IndexLink"/>
              </w:rPr>
              <w:t>1</w:t>
            </w:r>
            <w:r>
              <w:rPr>
                <w:rStyle w:val="IndexLink"/>
                <w:rtl w:val="true"/>
              </w:rPr>
              <w:t xml:space="preserve">. </w:t>
            </w:r>
            <w:r>
              <w:rPr>
                <w:rStyle w:val="IndexLink"/>
                <w:rtl w:val="true"/>
              </w:rPr>
              <w:t>تعيين عاقله</w:t>
            </w:r>
            <w:r>
              <w:rPr>
                <w:rStyle w:val="IndexLink"/>
                <w:rtl w:val="true"/>
              </w:rPr>
              <w:tab/>
            </w:r>
            <w:r>
              <w:rPr>
                <w:rStyle w:val="IndexLink"/>
              </w:rPr>
              <w:t>618</w:t>
            </w:r>
          </w:hyperlink>
        </w:p>
        <w:p>
          <w:pPr>
            <w:pStyle w:val="Contents5"/>
            <w:tabs>
              <w:tab w:val="clear" w:pos="7892"/>
              <w:tab w:val="right" w:pos="9026" w:leader="dot"/>
            </w:tabs>
            <w:rPr/>
          </w:pPr>
          <w:hyperlink w:anchor="__RefHeading___Toc3974289_1067777946">
            <w:r>
              <w:rPr>
                <w:webHidden/>
                <w:rStyle w:val="IndexLink"/>
                <w:rtl w:val="true"/>
              </w:rPr>
              <w:t>ديه اى كه با صلح و تراضى يا انتفاى بعض شروط قصاص ثابت مى شود</w:t>
            </w:r>
            <w:r>
              <w:rPr>
                <w:rStyle w:val="IndexLink"/>
                <w:rtl w:val="true"/>
              </w:rPr>
              <w:tab/>
            </w:r>
            <w:r>
              <w:rPr>
                <w:rStyle w:val="IndexLink"/>
              </w:rPr>
              <w:t>618</w:t>
            </w:r>
          </w:hyperlink>
        </w:p>
        <w:p>
          <w:pPr>
            <w:pStyle w:val="Contents5"/>
            <w:tabs>
              <w:tab w:val="clear" w:pos="7892"/>
              <w:tab w:val="right" w:pos="9026" w:leader="dot"/>
            </w:tabs>
            <w:rPr/>
          </w:pPr>
          <w:hyperlink w:anchor="__RefHeading___Toc3974291_1067777946">
            <w:r>
              <w:rPr>
                <w:webHidden/>
                <w:rStyle w:val="IndexLink"/>
                <w:rtl w:val="true"/>
              </w:rPr>
              <w:t>ديه قاتل متعمّد فرارى</w:t>
            </w:r>
            <w:r>
              <w:rPr>
                <w:rStyle w:val="IndexLink"/>
                <w:rtl w:val="true"/>
              </w:rPr>
              <w:tab/>
            </w:r>
            <w:r>
              <w:rPr>
                <w:rStyle w:val="IndexLink"/>
              </w:rPr>
              <w:t>618</w:t>
            </w:r>
          </w:hyperlink>
        </w:p>
        <w:p>
          <w:pPr>
            <w:pStyle w:val="Contents5"/>
            <w:tabs>
              <w:tab w:val="clear" w:pos="7892"/>
              <w:tab w:val="right" w:pos="9026" w:leader="dot"/>
            </w:tabs>
            <w:rPr/>
          </w:pPr>
          <w:hyperlink w:anchor="__RefHeading___Toc3974293_1067777946">
            <w:r>
              <w:rPr>
                <w:webHidden/>
                <w:rStyle w:val="IndexLink"/>
                <w:rtl w:val="true"/>
              </w:rPr>
              <w:t>ديه شبه عمد و خطأ محض</w:t>
            </w:r>
            <w:r>
              <w:rPr>
                <w:rStyle w:val="IndexLink"/>
                <w:rtl w:val="true"/>
              </w:rPr>
              <w:tab/>
            </w:r>
            <w:r>
              <w:rPr>
                <w:rStyle w:val="IndexLink"/>
              </w:rPr>
              <w:t>618</w:t>
            </w:r>
          </w:hyperlink>
        </w:p>
        <w:p>
          <w:pPr>
            <w:pStyle w:val="Contents5"/>
            <w:tabs>
              <w:tab w:val="clear" w:pos="7892"/>
              <w:tab w:val="right" w:pos="9026" w:leader="dot"/>
            </w:tabs>
            <w:rPr/>
          </w:pPr>
          <w:hyperlink w:anchor="__RefHeading___Toc3974295_1067777946">
            <w:r>
              <w:rPr>
                <w:webHidden/>
                <w:rStyle w:val="IndexLink"/>
                <w:rtl w:val="true"/>
              </w:rPr>
              <w:t>تعيين عاقله</w:t>
            </w:r>
            <w:r>
              <w:rPr>
                <w:rStyle w:val="IndexLink"/>
                <w:rtl w:val="true"/>
              </w:rPr>
              <w:tab/>
            </w:r>
            <w:r>
              <w:rPr>
                <w:rStyle w:val="IndexLink"/>
              </w:rPr>
              <w:t>618</w:t>
            </w:r>
          </w:hyperlink>
        </w:p>
        <w:p>
          <w:pPr>
            <w:pStyle w:val="Contents5"/>
            <w:tabs>
              <w:tab w:val="clear" w:pos="7892"/>
              <w:tab w:val="right" w:pos="9026" w:leader="dot"/>
            </w:tabs>
            <w:rPr/>
          </w:pPr>
          <w:hyperlink w:anchor="__RefHeading___Toc3974297_1067777946">
            <w:r>
              <w:rPr>
                <w:webHidden/>
                <w:rStyle w:val="IndexLink"/>
                <w:rtl w:val="true"/>
              </w:rPr>
              <w:t>تعيين عصبه</w:t>
            </w:r>
            <w:r>
              <w:rPr>
                <w:rStyle w:val="IndexLink"/>
                <w:rtl w:val="true"/>
              </w:rPr>
              <w:tab/>
            </w:r>
            <w:r>
              <w:rPr>
                <w:rStyle w:val="IndexLink"/>
              </w:rPr>
              <w:t>619</w:t>
            </w:r>
          </w:hyperlink>
        </w:p>
        <w:p>
          <w:pPr>
            <w:pStyle w:val="Contents5"/>
            <w:tabs>
              <w:tab w:val="clear" w:pos="7892"/>
              <w:tab w:val="right" w:pos="9026" w:leader="dot"/>
            </w:tabs>
            <w:rPr/>
          </w:pPr>
          <w:hyperlink w:anchor="__RefHeading___Toc3974299_1067777946">
            <w:r>
              <w:rPr>
                <w:webHidden/>
                <w:rStyle w:val="IndexLink"/>
                <w:rtl w:val="true"/>
              </w:rPr>
              <w:t>تعيين مُعتِق</w:t>
            </w:r>
            <w:r>
              <w:rPr>
                <w:rStyle w:val="IndexLink"/>
                <w:rtl w:val="true"/>
              </w:rPr>
              <w:tab/>
            </w:r>
            <w:r>
              <w:rPr>
                <w:rStyle w:val="IndexLink"/>
              </w:rPr>
              <w:t>619</w:t>
            </w:r>
          </w:hyperlink>
        </w:p>
        <w:p>
          <w:pPr>
            <w:pStyle w:val="Contents5"/>
            <w:tabs>
              <w:tab w:val="clear" w:pos="7892"/>
              <w:tab w:val="right" w:pos="9026" w:leader="dot"/>
            </w:tabs>
            <w:rPr/>
          </w:pPr>
          <w:hyperlink w:anchor="__RefHeading___Toc3974301_1067777946">
            <w:r>
              <w:rPr>
                <w:webHidden/>
                <w:rStyle w:val="IndexLink"/>
                <w:rtl w:val="true"/>
              </w:rPr>
              <w:t>عدم تحمّل عاقله غير ديۀ موضحه و بالاتر از آن را</w:t>
            </w:r>
            <w:r>
              <w:rPr>
                <w:rStyle w:val="IndexLink"/>
                <w:rtl w:val="true"/>
              </w:rPr>
              <w:tab/>
            </w:r>
            <w:r>
              <w:rPr>
                <w:rStyle w:val="IndexLink"/>
              </w:rPr>
              <w:t>621</w:t>
            </w:r>
          </w:hyperlink>
        </w:p>
        <w:p>
          <w:pPr>
            <w:pStyle w:val="Contents5"/>
            <w:tabs>
              <w:tab w:val="clear" w:pos="7892"/>
              <w:tab w:val="right" w:pos="9026" w:leader="dot"/>
            </w:tabs>
            <w:rPr/>
          </w:pPr>
          <w:hyperlink w:anchor="__RefHeading___Toc3974303_1067777946">
            <w:r>
              <w:rPr>
                <w:webHidden/>
                <w:rStyle w:val="IndexLink"/>
                <w:rtl w:val="true"/>
              </w:rPr>
              <w:t>ضمان عاقله ديۀ خطأ را و مدّت استيفاى آن</w:t>
            </w:r>
            <w:r>
              <w:rPr>
                <w:rStyle w:val="IndexLink"/>
                <w:rtl w:val="true"/>
              </w:rPr>
              <w:tab/>
            </w:r>
            <w:r>
              <w:rPr>
                <w:rStyle w:val="IndexLink"/>
              </w:rPr>
              <w:t>621</w:t>
            </w:r>
          </w:hyperlink>
        </w:p>
        <w:p>
          <w:pPr>
            <w:pStyle w:val="Contents5"/>
            <w:tabs>
              <w:tab w:val="clear" w:pos="7892"/>
              <w:tab w:val="right" w:pos="9026" w:leader="dot"/>
            </w:tabs>
            <w:rPr/>
          </w:pPr>
          <w:hyperlink w:anchor="__RefHeading___Toc3974305_1067777946">
            <w:r>
              <w:rPr>
                <w:webHidden/>
                <w:rStyle w:val="IndexLink"/>
                <w:rtl w:val="true"/>
              </w:rPr>
              <w:t>عدم ثبوت ديه بر عاقله به سبب اقرار جانى و صلح</w:t>
            </w:r>
            <w:r>
              <w:rPr>
                <w:rStyle w:val="IndexLink"/>
                <w:rtl w:val="true"/>
              </w:rPr>
              <w:tab/>
            </w:r>
            <w:r>
              <w:rPr>
                <w:rStyle w:val="IndexLink"/>
              </w:rPr>
              <w:t>621</w:t>
            </w:r>
          </w:hyperlink>
        </w:p>
        <w:p>
          <w:pPr>
            <w:pStyle w:val="Contents5"/>
            <w:tabs>
              <w:tab w:val="clear" w:pos="7892"/>
              <w:tab w:val="right" w:pos="9026" w:leader="dot"/>
            </w:tabs>
            <w:rPr/>
          </w:pPr>
          <w:hyperlink w:anchor="__RefHeading___Toc3974307_1067777946">
            <w:r>
              <w:rPr>
                <w:webHidden/>
                <w:rStyle w:val="IndexLink"/>
                <w:rtl w:val="true"/>
              </w:rPr>
              <w:t>عدم ثبوت ديه بر عاقله در جنايت عمدى و وجود قاتل</w:t>
            </w:r>
            <w:r>
              <w:rPr>
                <w:rStyle w:val="IndexLink"/>
                <w:rtl w:val="true"/>
              </w:rPr>
              <w:tab/>
            </w:r>
            <w:r>
              <w:rPr>
                <w:rStyle w:val="IndexLink"/>
              </w:rPr>
              <w:t>621</w:t>
            </w:r>
          </w:hyperlink>
        </w:p>
        <w:p>
          <w:pPr>
            <w:pStyle w:val="Contents5"/>
            <w:tabs>
              <w:tab w:val="clear" w:pos="7892"/>
              <w:tab w:val="right" w:pos="9026" w:leader="dot"/>
            </w:tabs>
            <w:rPr/>
          </w:pPr>
          <w:hyperlink w:anchor="__RefHeading___Toc3974309_1067777946">
            <w:r>
              <w:rPr>
                <w:webHidden/>
                <w:rStyle w:val="IndexLink"/>
                <w:rtl w:val="true"/>
              </w:rPr>
              <w:t>حكم جنايت غير عمدى ذمّى</w:t>
            </w:r>
            <w:r>
              <w:rPr>
                <w:rStyle w:val="IndexLink"/>
                <w:rtl w:val="true"/>
              </w:rPr>
              <w:tab/>
            </w:r>
            <w:r>
              <w:rPr>
                <w:rStyle w:val="IndexLink"/>
              </w:rPr>
              <w:t>622</w:t>
            </w:r>
          </w:hyperlink>
        </w:p>
        <w:p>
          <w:pPr>
            <w:pStyle w:val="Contents5"/>
            <w:tabs>
              <w:tab w:val="clear" w:pos="7892"/>
              <w:tab w:val="right" w:pos="9026" w:leader="dot"/>
            </w:tabs>
            <w:rPr/>
          </w:pPr>
          <w:hyperlink w:anchor="__RefHeading___Toc3974311_1067777946">
            <w:r>
              <w:rPr>
                <w:webHidden/>
                <w:rStyle w:val="IndexLink"/>
                <w:rtl w:val="true"/>
              </w:rPr>
              <w:t>حكم جنايت صبىّ و مجنون</w:t>
            </w:r>
            <w:r>
              <w:rPr>
                <w:rStyle w:val="IndexLink"/>
                <w:rtl w:val="true"/>
              </w:rPr>
              <w:tab/>
            </w:r>
            <w:r>
              <w:rPr>
                <w:rStyle w:val="IndexLink"/>
              </w:rPr>
              <w:t>622</w:t>
            </w:r>
          </w:hyperlink>
        </w:p>
        <w:p>
          <w:pPr>
            <w:pStyle w:val="Contents5"/>
            <w:tabs>
              <w:tab w:val="clear" w:pos="7892"/>
              <w:tab w:val="right" w:pos="9026" w:leader="dot"/>
            </w:tabs>
            <w:rPr/>
          </w:pPr>
          <w:hyperlink w:anchor="__RefHeading___Toc3974313_1067777946">
            <w:r>
              <w:rPr>
                <w:webHidden/>
                <w:rStyle w:val="IndexLink"/>
                <w:rtl w:val="true"/>
              </w:rPr>
              <w:t>حكم جنايت غير عمدى مملوك</w:t>
            </w:r>
            <w:r>
              <w:rPr>
                <w:rStyle w:val="IndexLink"/>
                <w:rtl w:val="true"/>
              </w:rPr>
              <w:tab/>
            </w:r>
            <w:r>
              <w:rPr>
                <w:rStyle w:val="IndexLink"/>
              </w:rPr>
              <w:t>622</w:t>
            </w:r>
          </w:hyperlink>
        </w:p>
        <w:p>
          <w:pPr>
            <w:pStyle w:val="Contents5"/>
            <w:tabs>
              <w:tab w:val="clear" w:pos="7892"/>
              <w:tab w:val="right" w:pos="9026" w:leader="dot"/>
            </w:tabs>
            <w:rPr/>
          </w:pPr>
          <w:hyperlink w:anchor="__RefHeading___Toc3974315_1067777946">
            <w:r>
              <w:rPr>
                <w:webHidden/>
                <w:rStyle w:val="IndexLink"/>
                <w:rtl w:val="true"/>
              </w:rPr>
              <w:t>نوبت عقل ضامن جريره و امام</w:t>
            </w:r>
            <w:r>
              <w:rPr>
                <w:rStyle w:val="IndexLink"/>
                <w:rtl w:val="true"/>
              </w:rPr>
              <w:tab/>
            </w:r>
            <w:r>
              <w:rPr>
                <w:rStyle w:val="IndexLink"/>
              </w:rPr>
              <w:t>622</w:t>
            </w:r>
          </w:hyperlink>
        </w:p>
        <w:p>
          <w:pPr>
            <w:pStyle w:val="Contents4"/>
            <w:tabs>
              <w:tab w:val="clear" w:pos="8176"/>
              <w:tab w:val="right" w:pos="9026" w:leader="dot"/>
            </w:tabs>
            <w:rPr/>
          </w:pPr>
          <w:hyperlink w:anchor="__RefHeading___Toc3974317_1067777946">
            <w:r>
              <w:rPr>
                <w:webHidden/>
                <w:rStyle w:val="IndexLink"/>
              </w:rPr>
              <w:t>2</w:t>
            </w:r>
            <w:r>
              <w:rPr>
                <w:rStyle w:val="IndexLink"/>
                <w:rtl w:val="true"/>
              </w:rPr>
              <w:t xml:space="preserve">. </w:t>
            </w:r>
            <w:r>
              <w:rPr>
                <w:rStyle w:val="IndexLink"/>
                <w:rtl w:val="true"/>
              </w:rPr>
              <w:t>كيفيت توزيع ديه بر عاقله</w:t>
            </w:r>
            <w:r>
              <w:rPr>
                <w:rStyle w:val="IndexLink"/>
                <w:rtl w:val="true"/>
              </w:rPr>
              <w:tab/>
            </w:r>
            <w:r>
              <w:rPr>
                <w:rStyle w:val="IndexLink"/>
              </w:rPr>
              <w:t>622</w:t>
            </w:r>
          </w:hyperlink>
        </w:p>
        <w:p>
          <w:pPr>
            <w:pStyle w:val="Contents5"/>
            <w:tabs>
              <w:tab w:val="clear" w:pos="7892"/>
              <w:tab w:val="right" w:pos="9026" w:leader="dot"/>
            </w:tabs>
            <w:rPr/>
          </w:pPr>
          <w:hyperlink w:anchor="__RefHeading___Toc3974319_1067777946">
            <w:r>
              <w:rPr>
                <w:webHidden/>
                <w:rStyle w:val="IndexLink"/>
                <w:rtl w:val="true"/>
              </w:rPr>
              <w:t>ثبوت ضمان ابتدائى براى عاقله</w:t>
            </w:r>
            <w:r>
              <w:rPr>
                <w:rStyle w:val="IndexLink"/>
                <w:rtl w:val="true"/>
              </w:rPr>
              <w:tab/>
            </w:r>
            <w:r>
              <w:rPr>
                <w:rStyle w:val="IndexLink"/>
              </w:rPr>
              <w:t>622</w:t>
            </w:r>
          </w:hyperlink>
        </w:p>
        <w:p>
          <w:pPr>
            <w:pStyle w:val="Contents5"/>
            <w:tabs>
              <w:tab w:val="clear" w:pos="7892"/>
              <w:tab w:val="right" w:pos="9026" w:leader="dot"/>
            </w:tabs>
            <w:rPr/>
          </w:pPr>
          <w:hyperlink w:anchor="__RefHeading___Toc3974321_1067777946">
            <w:r>
              <w:rPr>
                <w:webHidden/>
                <w:rStyle w:val="IndexLink"/>
                <w:rtl w:val="true"/>
              </w:rPr>
              <w:t>تعيين مقدار استحقاق بر افراد عاقله توسط حاكم يا عدول مؤمنين</w:t>
            </w:r>
            <w:r>
              <w:rPr>
                <w:rStyle w:val="IndexLink"/>
                <w:rtl w:val="true"/>
              </w:rPr>
              <w:tab/>
            </w:r>
            <w:r>
              <w:rPr>
                <w:rStyle w:val="IndexLink"/>
              </w:rPr>
              <w:t>623</w:t>
            </w:r>
          </w:hyperlink>
        </w:p>
        <w:p>
          <w:pPr>
            <w:pStyle w:val="Contents5"/>
            <w:tabs>
              <w:tab w:val="clear" w:pos="7892"/>
              <w:tab w:val="right" w:pos="9026" w:leader="dot"/>
            </w:tabs>
            <w:rPr/>
          </w:pPr>
          <w:hyperlink w:anchor="__RefHeading___Toc3974323_1067777946">
            <w:r>
              <w:rPr>
                <w:webHidden/>
                <w:rStyle w:val="IndexLink"/>
                <w:rtl w:val="true"/>
              </w:rPr>
              <w:t>تقديم اقرب در توزيع عاقله بر آنها</w:t>
            </w:r>
            <w:r>
              <w:rPr>
                <w:rStyle w:val="IndexLink"/>
                <w:rtl w:val="true"/>
              </w:rPr>
              <w:tab/>
            </w:r>
            <w:r>
              <w:rPr>
                <w:rStyle w:val="IndexLink"/>
              </w:rPr>
              <w:t>623</w:t>
            </w:r>
          </w:hyperlink>
        </w:p>
        <w:p>
          <w:pPr>
            <w:pStyle w:val="Contents5"/>
            <w:tabs>
              <w:tab w:val="clear" w:pos="7892"/>
              <w:tab w:val="right" w:pos="9026" w:leader="dot"/>
            </w:tabs>
            <w:rPr/>
          </w:pPr>
          <w:hyperlink w:anchor="__RefHeading___Toc3974325_1067777946">
            <w:r>
              <w:rPr>
                <w:webHidden/>
                <w:rStyle w:val="IndexLink"/>
                <w:rtl w:val="true"/>
              </w:rPr>
              <w:t>اگر استيفاء تمام ديه از عصبه ممكن نبود</w:t>
            </w:r>
            <w:r>
              <w:rPr>
                <w:rStyle w:val="IndexLink"/>
                <w:rtl w:val="true"/>
              </w:rPr>
              <w:tab/>
            </w:r>
            <w:r>
              <w:rPr>
                <w:rStyle w:val="IndexLink"/>
              </w:rPr>
              <w:t>623</w:t>
            </w:r>
          </w:hyperlink>
        </w:p>
        <w:p>
          <w:pPr>
            <w:pStyle w:val="Contents5"/>
            <w:tabs>
              <w:tab w:val="clear" w:pos="7892"/>
              <w:tab w:val="right" w:pos="9026" w:leader="dot"/>
            </w:tabs>
            <w:rPr/>
          </w:pPr>
          <w:hyperlink w:anchor="__RefHeading___Toc3974327_1067777946">
            <w:r>
              <w:rPr>
                <w:webHidden/>
                <w:rStyle w:val="IndexLink"/>
                <w:rtl w:val="true"/>
              </w:rPr>
              <w:t>مراتب عاقله</w:t>
            </w:r>
            <w:r>
              <w:rPr>
                <w:rStyle w:val="IndexLink"/>
                <w:rtl w:val="true"/>
              </w:rPr>
              <w:tab/>
            </w:r>
            <w:r>
              <w:rPr>
                <w:rStyle w:val="IndexLink"/>
              </w:rPr>
              <w:t>623</w:t>
            </w:r>
          </w:hyperlink>
        </w:p>
        <w:p>
          <w:pPr>
            <w:pStyle w:val="Contents5"/>
            <w:tabs>
              <w:tab w:val="clear" w:pos="7892"/>
              <w:tab w:val="right" w:pos="9026" w:leader="dot"/>
            </w:tabs>
            <w:rPr/>
          </w:pPr>
          <w:hyperlink w:anchor="__RefHeading___Toc3974329_1067777946">
            <w:r>
              <w:rPr>
                <w:webHidden/>
                <w:rStyle w:val="IndexLink"/>
                <w:rtl w:val="true"/>
              </w:rPr>
              <w:t>صورت توانايى و عجز عاقله</w:t>
            </w:r>
            <w:r>
              <w:rPr>
                <w:rStyle w:val="IndexLink"/>
                <w:rtl w:val="true"/>
              </w:rPr>
              <w:tab/>
            </w:r>
            <w:r>
              <w:rPr>
                <w:rStyle w:val="IndexLink"/>
              </w:rPr>
              <w:t>623</w:t>
            </w:r>
          </w:hyperlink>
        </w:p>
        <w:p>
          <w:pPr>
            <w:pStyle w:val="Contents5"/>
            <w:tabs>
              <w:tab w:val="clear" w:pos="7892"/>
              <w:tab w:val="right" w:pos="9026" w:leader="dot"/>
            </w:tabs>
            <w:rPr/>
          </w:pPr>
          <w:hyperlink w:anchor="__RefHeading___Toc3974331_1067777946">
            <w:r>
              <w:rPr>
                <w:webHidden/>
                <w:rStyle w:val="IndexLink"/>
                <w:rtl w:val="true"/>
              </w:rPr>
              <w:t>اگر عاقله بيشتر از ديه باشد</w:t>
            </w:r>
            <w:r>
              <w:rPr>
                <w:rStyle w:val="IndexLink"/>
                <w:rtl w:val="true"/>
              </w:rPr>
              <w:tab/>
            </w:r>
            <w:r>
              <w:rPr>
                <w:rStyle w:val="IndexLink"/>
              </w:rPr>
              <w:t>624</w:t>
            </w:r>
          </w:hyperlink>
        </w:p>
        <w:p>
          <w:pPr>
            <w:pStyle w:val="Contents5"/>
            <w:tabs>
              <w:tab w:val="clear" w:pos="7892"/>
              <w:tab w:val="right" w:pos="9026" w:leader="dot"/>
            </w:tabs>
            <w:rPr/>
          </w:pPr>
          <w:hyperlink w:anchor="__RefHeading___Toc3974333_1067777946">
            <w:r>
              <w:rPr>
                <w:webHidden/>
                <w:rStyle w:val="IndexLink"/>
                <w:rtl w:val="true"/>
              </w:rPr>
              <w:t>اگر بعضى از افراد عاقله غائب و يا دور باشند</w:t>
            </w:r>
            <w:r>
              <w:rPr>
                <w:rStyle w:val="IndexLink"/>
                <w:rtl w:val="true"/>
              </w:rPr>
              <w:tab/>
            </w:r>
            <w:r>
              <w:rPr>
                <w:rStyle w:val="IndexLink"/>
              </w:rPr>
              <w:t>624</w:t>
            </w:r>
          </w:hyperlink>
        </w:p>
        <w:p>
          <w:pPr>
            <w:pStyle w:val="Contents5"/>
            <w:tabs>
              <w:tab w:val="clear" w:pos="7892"/>
              <w:tab w:val="right" w:pos="9026" w:leader="dot"/>
            </w:tabs>
            <w:rPr/>
          </w:pPr>
          <w:hyperlink w:anchor="__RefHeading___Toc3974335_1067777946">
            <w:r>
              <w:rPr>
                <w:webHidden/>
                <w:rStyle w:val="IndexLink"/>
                <w:rtl w:val="true"/>
              </w:rPr>
              <w:t>ابتداء تأجيل مدّت در قتل غير عمدى و جنايت بر اعضا</w:t>
            </w:r>
            <w:r>
              <w:rPr>
                <w:rStyle w:val="IndexLink"/>
                <w:rtl w:val="true"/>
              </w:rPr>
              <w:tab/>
            </w:r>
            <w:r>
              <w:rPr>
                <w:rStyle w:val="IndexLink"/>
              </w:rPr>
              <w:t>624</w:t>
            </w:r>
          </w:hyperlink>
        </w:p>
        <w:p>
          <w:pPr>
            <w:pStyle w:val="Contents5"/>
            <w:tabs>
              <w:tab w:val="clear" w:pos="7892"/>
              <w:tab w:val="right" w:pos="9026" w:leader="dot"/>
            </w:tabs>
            <w:rPr/>
          </w:pPr>
          <w:hyperlink w:anchor="__RefHeading___Toc3974337_1067777946">
            <w:r>
              <w:rPr>
                <w:webHidden/>
                <w:rStyle w:val="IndexLink"/>
                <w:rtl w:val="true"/>
              </w:rPr>
              <w:t>تعيّن زمان ضرب اجل بدون نياز به تعيين وقت توسط حاكم يا عدول مؤمنين</w:t>
            </w:r>
            <w:r>
              <w:rPr>
                <w:rStyle w:val="IndexLink"/>
                <w:rtl w:val="true"/>
              </w:rPr>
              <w:tab/>
            </w:r>
            <w:r>
              <w:rPr>
                <w:rStyle w:val="IndexLink"/>
              </w:rPr>
              <w:t>624</w:t>
            </w:r>
          </w:hyperlink>
        </w:p>
        <w:p>
          <w:pPr>
            <w:pStyle w:val="Contents5"/>
            <w:tabs>
              <w:tab w:val="clear" w:pos="7892"/>
              <w:tab w:val="right" w:pos="9026" w:leader="dot"/>
            </w:tabs>
            <w:rPr/>
          </w:pPr>
          <w:hyperlink w:anchor="__RefHeading___Toc3974339_1067777946">
            <w:r>
              <w:rPr>
                <w:webHidden/>
                <w:rStyle w:val="IndexLink"/>
                <w:rtl w:val="true"/>
              </w:rPr>
              <w:t>حكم موت تمكّن از اداء بعد و يا در اثناى حول</w:t>
            </w:r>
            <w:r>
              <w:rPr>
                <w:rStyle w:val="IndexLink"/>
                <w:rtl w:val="true"/>
              </w:rPr>
              <w:tab/>
            </w:r>
            <w:r>
              <w:rPr>
                <w:rStyle w:val="IndexLink"/>
              </w:rPr>
              <w:t>624</w:t>
            </w:r>
          </w:hyperlink>
        </w:p>
        <w:p>
          <w:pPr>
            <w:pStyle w:val="Contents5"/>
            <w:tabs>
              <w:tab w:val="clear" w:pos="7892"/>
              <w:tab w:val="right" w:pos="9026" w:leader="dot"/>
            </w:tabs>
            <w:rPr/>
          </w:pPr>
          <w:hyperlink w:anchor="__RefHeading___Toc3974341_1067777946">
            <w:r>
              <w:rPr>
                <w:webHidden/>
                <w:rStyle w:val="IndexLink"/>
                <w:rtl w:val="true"/>
              </w:rPr>
              <w:t>اگر عاقله، غائب يا عاجز بود و يا عاقله نداشت</w:t>
            </w:r>
            <w:r>
              <w:rPr>
                <w:rStyle w:val="IndexLink"/>
                <w:rtl w:val="true"/>
              </w:rPr>
              <w:tab/>
            </w:r>
            <w:r>
              <w:rPr>
                <w:rStyle w:val="IndexLink"/>
              </w:rPr>
              <w:t>625</w:t>
            </w:r>
          </w:hyperlink>
        </w:p>
        <w:p>
          <w:pPr>
            <w:pStyle w:val="Contents5"/>
            <w:tabs>
              <w:tab w:val="clear" w:pos="7892"/>
              <w:tab w:val="right" w:pos="9026" w:leader="dot"/>
            </w:tabs>
            <w:rPr/>
          </w:pPr>
          <w:hyperlink w:anchor="__RefHeading___Toc3974343_1067777946">
            <w:r>
              <w:rPr>
                <w:webHidden/>
                <w:rStyle w:val="IndexLink"/>
                <w:rtl w:val="true"/>
              </w:rPr>
              <w:t>صُوَر مختلف استيفاى ديۀ عمد و شبه آن</w:t>
            </w:r>
            <w:r>
              <w:rPr>
                <w:rStyle w:val="IndexLink"/>
                <w:rtl w:val="true"/>
              </w:rPr>
              <w:tab/>
            </w:r>
            <w:r>
              <w:rPr>
                <w:rStyle w:val="IndexLink"/>
              </w:rPr>
              <w:t>625</w:t>
            </w:r>
          </w:hyperlink>
        </w:p>
        <w:p>
          <w:pPr>
            <w:pStyle w:val="Contents4"/>
            <w:tabs>
              <w:tab w:val="clear" w:pos="8176"/>
              <w:tab w:val="right" w:pos="9026" w:leader="dot"/>
            </w:tabs>
            <w:rPr/>
          </w:pPr>
          <w:hyperlink w:anchor="__RefHeading___Toc3974345_1067777946">
            <w:r>
              <w:rPr>
                <w:webHidden/>
                <w:rStyle w:val="IndexLink"/>
                <w:rtl w:val="true"/>
              </w:rPr>
              <w:t>چند مسأله</w:t>
            </w:r>
            <w:r>
              <w:rPr>
                <w:rStyle w:val="IndexLink"/>
                <w:rtl w:val="true"/>
              </w:rPr>
              <w:tab/>
            </w:r>
            <w:r>
              <w:rPr>
                <w:rStyle w:val="IndexLink"/>
              </w:rPr>
              <w:t>625</w:t>
            </w:r>
          </w:hyperlink>
        </w:p>
        <w:p>
          <w:pPr>
            <w:pStyle w:val="Contents5"/>
            <w:tabs>
              <w:tab w:val="clear" w:pos="7892"/>
              <w:tab w:val="right" w:pos="9026" w:leader="dot"/>
            </w:tabs>
            <w:rPr/>
          </w:pPr>
          <w:hyperlink w:anchor="__RefHeading___Toc3974347_1067777946">
            <w:r>
              <w:rPr>
                <w:webHidden/>
                <w:rStyle w:val="IndexLink"/>
                <w:rtl w:val="true"/>
              </w:rPr>
              <w:t>لزوم احراز نسبت از طريق آباء با قاتل</w:t>
            </w:r>
            <w:r>
              <w:rPr>
                <w:rStyle w:val="IndexLink"/>
                <w:rtl w:val="true"/>
              </w:rPr>
              <w:tab/>
            </w:r>
            <w:r>
              <w:rPr>
                <w:rStyle w:val="IndexLink"/>
              </w:rPr>
              <w:t>625</w:t>
            </w:r>
          </w:hyperlink>
        </w:p>
        <w:p>
          <w:pPr>
            <w:pStyle w:val="Contents5"/>
            <w:tabs>
              <w:tab w:val="clear" w:pos="7892"/>
              <w:tab w:val="right" w:pos="9026" w:leader="dot"/>
            </w:tabs>
            <w:rPr/>
          </w:pPr>
          <w:hyperlink w:anchor="__RefHeading___Toc3974349_1067777946">
            <w:r>
              <w:rPr>
                <w:webHidden/>
                <w:rStyle w:val="IndexLink"/>
                <w:rtl w:val="true"/>
              </w:rPr>
              <w:t>حكم اقرار به بنوّت طفل صغير</w:t>
            </w:r>
            <w:r>
              <w:rPr>
                <w:rStyle w:val="IndexLink"/>
                <w:rtl w:val="true"/>
              </w:rPr>
              <w:tab/>
            </w:r>
            <w:r>
              <w:rPr>
                <w:rStyle w:val="IndexLink"/>
              </w:rPr>
              <w:t>626</w:t>
            </w:r>
          </w:hyperlink>
        </w:p>
        <w:p>
          <w:pPr>
            <w:pStyle w:val="Contents5"/>
            <w:tabs>
              <w:tab w:val="clear" w:pos="7892"/>
              <w:tab w:val="right" w:pos="9026" w:leader="dot"/>
            </w:tabs>
            <w:rPr/>
          </w:pPr>
          <w:hyperlink w:anchor="__RefHeading___Toc3974351_1067777946">
            <w:r>
              <w:rPr>
                <w:webHidden/>
                <w:rStyle w:val="IndexLink"/>
                <w:rtl w:val="true"/>
              </w:rPr>
              <w:t>حكم ديه اگر پدر فرزندش را بكشد</w:t>
            </w:r>
            <w:r>
              <w:rPr>
                <w:rStyle w:val="IndexLink"/>
                <w:rtl w:val="true"/>
              </w:rPr>
              <w:tab/>
            </w:r>
            <w:r>
              <w:rPr>
                <w:rStyle w:val="IndexLink"/>
              </w:rPr>
              <w:t>626</w:t>
            </w:r>
          </w:hyperlink>
        </w:p>
        <w:p>
          <w:pPr>
            <w:pStyle w:val="Contents5"/>
            <w:tabs>
              <w:tab w:val="clear" w:pos="7892"/>
              <w:tab w:val="right" w:pos="9026" w:leader="dot"/>
            </w:tabs>
            <w:rPr/>
          </w:pPr>
          <w:hyperlink w:anchor="__RefHeading___Toc3974353_1067777946">
            <w:r>
              <w:rPr>
                <w:webHidden/>
                <w:rStyle w:val="IndexLink"/>
                <w:rtl w:val="true"/>
              </w:rPr>
              <w:t>عدم ثبوت ضمانت جنايت عبد و بهيمه بر عاقله</w:t>
            </w:r>
            <w:r>
              <w:rPr>
                <w:rStyle w:val="IndexLink"/>
                <w:rtl w:val="true"/>
              </w:rPr>
              <w:tab/>
            </w:r>
            <w:r>
              <w:rPr>
                <w:rStyle w:val="IndexLink"/>
              </w:rPr>
              <w:t>627</w:t>
            </w:r>
          </w:hyperlink>
        </w:p>
        <w:p>
          <w:pPr>
            <w:pStyle w:val="Contents5"/>
            <w:tabs>
              <w:tab w:val="clear" w:pos="7892"/>
              <w:tab w:val="right" w:pos="9026" w:leader="dot"/>
            </w:tabs>
            <w:rPr/>
          </w:pPr>
          <w:hyperlink w:anchor="__RefHeading___Toc3974355_1067777946">
            <w:r>
              <w:rPr>
                <w:webHidden/>
                <w:rStyle w:val="IndexLink"/>
                <w:rtl w:val="true"/>
              </w:rPr>
              <w:t>دو صورت ديگر كه عاقله ضامن جنايت نيستند</w:t>
            </w:r>
            <w:r>
              <w:rPr>
                <w:rStyle w:val="IndexLink"/>
                <w:rtl w:val="true"/>
              </w:rPr>
              <w:tab/>
            </w:r>
            <w:r>
              <w:rPr>
                <w:rStyle w:val="IndexLink"/>
              </w:rPr>
              <w:t>627</w:t>
            </w:r>
          </w:hyperlink>
        </w:p>
        <w:p>
          <w:pPr>
            <w:pStyle w:val="Contents2"/>
            <w:tabs>
              <w:tab w:val="clear" w:pos="8743"/>
              <w:tab w:val="right" w:pos="9026" w:leader="dot"/>
            </w:tabs>
            <w:rPr/>
          </w:pPr>
          <w:hyperlink w:anchor="__RefHeading___Toc3974357_1067777946">
            <w:r>
              <w:rPr>
                <w:webHidden/>
                <w:rStyle w:val="IndexLink"/>
                <w:rtl w:val="true"/>
              </w:rPr>
              <w:t>فهرست تفصيلى مطالب</w:t>
            </w:r>
            <w:r>
              <w:rPr>
                <w:rStyle w:val="IndexLink"/>
                <w:rtl w:val="true"/>
              </w:rPr>
              <w:tab/>
            </w:r>
            <w:r>
              <w:rPr>
                <w:rStyle w:val="IndexLink"/>
              </w:rPr>
              <w:t>628</w:t>
            </w:r>
          </w:hyperlink>
        </w:p>
        <w:p>
          <w:pPr>
            <w:pStyle w:val="Contents3"/>
            <w:tabs>
              <w:tab w:val="clear" w:pos="8459"/>
              <w:tab w:val="right" w:pos="9026" w:leader="dot"/>
            </w:tabs>
            <w:rPr/>
          </w:pPr>
          <w:hyperlink w:anchor="__RefHeading___Toc3974359_1067777946">
            <w:r>
              <w:rPr>
                <w:webHidden/>
                <w:rStyle w:val="IndexLink"/>
                <w:rtl w:val="true"/>
              </w:rPr>
              <w:t>كتاب شفعه</w:t>
            </w:r>
            <w:r>
              <w:rPr>
                <w:rStyle w:val="IndexLink"/>
                <w:rtl w:val="true"/>
              </w:rPr>
              <w:tab/>
            </w:r>
            <w:r>
              <w:rPr>
                <w:rStyle w:val="IndexLink"/>
              </w:rPr>
              <w:t>628</w:t>
            </w:r>
          </w:hyperlink>
        </w:p>
        <w:p>
          <w:pPr>
            <w:pStyle w:val="Contents3"/>
            <w:tabs>
              <w:tab w:val="clear" w:pos="8459"/>
              <w:tab w:val="right" w:pos="9026" w:leader="dot"/>
            </w:tabs>
            <w:rPr/>
          </w:pPr>
          <w:hyperlink w:anchor="__RefHeading___Toc3974361_1067777946">
            <w:r>
              <w:rPr>
                <w:webHidden/>
                <w:rStyle w:val="IndexLink"/>
                <w:rtl w:val="true"/>
              </w:rPr>
              <w:t>كتاب احياى موات</w:t>
            </w:r>
            <w:r>
              <w:rPr>
                <w:rStyle w:val="IndexLink"/>
                <w:rtl w:val="true"/>
              </w:rPr>
              <w:tab/>
            </w:r>
            <w:r>
              <w:rPr>
                <w:rStyle w:val="IndexLink"/>
              </w:rPr>
              <w:t>634</w:t>
            </w:r>
          </w:hyperlink>
        </w:p>
        <w:p>
          <w:pPr>
            <w:pStyle w:val="Contents3"/>
            <w:tabs>
              <w:tab w:val="clear" w:pos="8459"/>
              <w:tab w:val="right" w:pos="9026" w:leader="dot"/>
            </w:tabs>
            <w:rPr/>
          </w:pPr>
          <w:hyperlink w:anchor="__RefHeading___Toc3974363_1067777946">
            <w:r>
              <w:rPr>
                <w:webHidden/>
                <w:rStyle w:val="IndexLink"/>
                <w:rtl w:val="true"/>
              </w:rPr>
              <w:t>كتاب لقطه</w:t>
            </w:r>
            <w:r>
              <w:rPr>
                <w:rStyle w:val="IndexLink"/>
                <w:rtl w:val="true"/>
              </w:rPr>
              <w:tab/>
            </w:r>
            <w:r>
              <w:rPr>
                <w:rStyle w:val="IndexLink"/>
              </w:rPr>
              <w:t>638</w:t>
            </w:r>
          </w:hyperlink>
        </w:p>
        <w:p>
          <w:pPr>
            <w:pStyle w:val="Contents3"/>
            <w:tabs>
              <w:tab w:val="clear" w:pos="8459"/>
              <w:tab w:val="right" w:pos="9026" w:leader="dot"/>
            </w:tabs>
            <w:rPr/>
          </w:pPr>
          <w:hyperlink w:anchor="__RefHeading___Toc3974365_1067777946">
            <w:r>
              <w:rPr>
                <w:webHidden/>
                <w:rStyle w:val="IndexLink"/>
                <w:rtl w:val="true"/>
              </w:rPr>
              <w:t>كتاب الارث</w:t>
            </w:r>
            <w:r>
              <w:rPr>
                <w:rStyle w:val="IndexLink"/>
                <w:rtl w:val="true"/>
              </w:rPr>
              <w:tab/>
            </w:r>
            <w:r>
              <w:rPr>
                <w:rStyle w:val="IndexLink"/>
              </w:rPr>
              <w:t>642</w:t>
            </w:r>
          </w:hyperlink>
        </w:p>
        <w:p>
          <w:pPr>
            <w:pStyle w:val="Contents3"/>
            <w:tabs>
              <w:tab w:val="clear" w:pos="8459"/>
              <w:tab w:val="right" w:pos="9026" w:leader="dot"/>
            </w:tabs>
            <w:rPr/>
          </w:pPr>
          <w:hyperlink w:anchor="__RefHeading___Toc3974367_1067777946">
            <w:r>
              <w:rPr>
                <w:webHidden/>
                <w:rStyle w:val="IndexLink"/>
                <w:rtl w:val="true"/>
              </w:rPr>
              <w:t>كتاب شهادات</w:t>
            </w:r>
            <w:r>
              <w:rPr>
                <w:rStyle w:val="IndexLink"/>
                <w:rtl w:val="true"/>
              </w:rPr>
              <w:tab/>
            </w:r>
            <w:r>
              <w:rPr>
                <w:rStyle w:val="IndexLink"/>
              </w:rPr>
              <w:t>646</w:t>
            </w:r>
          </w:hyperlink>
        </w:p>
        <w:p>
          <w:pPr>
            <w:pStyle w:val="Contents3"/>
            <w:tabs>
              <w:tab w:val="clear" w:pos="8459"/>
              <w:tab w:val="right" w:pos="9026" w:leader="dot"/>
            </w:tabs>
            <w:rPr/>
          </w:pPr>
          <w:hyperlink w:anchor="__RefHeading___Toc3974369_1067777946">
            <w:r>
              <w:rPr>
                <w:webHidden/>
                <w:rStyle w:val="IndexLink"/>
                <w:rtl w:val="true"/>
              </w:rPr>
              <w:t>كتاب حدود و تعزيرات</w:t>
            </w:r>
            <w:r>
              <w:rPr>
                <w:rStyle w:val="IndexLink"/>
                <w:rtl w:val="true"/>
              </w:rPr>
              <w:tab/>
            </w:r>
            <w:r>
              <w:rPr>
                <w:rStyle w:val="IndexLink"/>
              </w:rPr>
              <w:t>652</w:t>
            </w:r>
          </w:hyperlink>
        </w:p>
        <w:p>
          <w:pPr>
            <w:pStyle w:val="Contents3"/>
            <w:tabs>
              <w:tab w:val="clear" w:pos="8459"/>
              <w:tab w:val="right" w:pos="9026" w:leader="dot"/>
            </w:tabs>
            <w:rPr/>
          </w:pPr>
          <w:hyperlink w:anchor="__RefHeading___Toc3974371_1067777946">
            <w:r>
              <w:rPr>
                <w:webHidden/>
                <w:rStyle w:val="IndexLink"/>
                <w:rtl w:val="true"/>
              </w:rPr>
              <w:t>كتاب قصاص</w:t>
            </w:r>
            <w:r>
              <w:rPr>
                <w:rStyle w:val="IndexLink"/>
                <w:rtl w:val="true"/>
              </w:rPr>
              <w:tab/>
            </w:r>
            <w:r>
              <w:rPr>
                <w:rStyle w:val="IndexLink"/>
              </w:rPr>
              <w:t>663</w:t>
            </w:r>
          </w:hyperlink>
        </w:p>
        <w:p>
          <w:pPr>
            <w:pStyle w:val="Contents3"/>
            <w:tabs>
              <w:tab w:val="clear" w:pos="8459"/>
              <w:tab w:val="right" w:pos="9026" w:leader="dot"/>
            </w:tabs>
            <w:rPr/>
          </w:pPr>
          <w:hyperlink w:anchor="__RefHeading___Toc3974373_1067777946">
            <w:r>
              <w:rPr>
                <w:webHidden/>
                <w:rStyle w:val="IndexLink"/>
                <w:rtl w:val="true"/>
              </w:rPr>
              <w:t>كتاب ديات</w:t>
            </w:r>
            <w:r>
              <w:rPr>
                <w:rStyle w:val="IndexLink"/>
                <w:rtl w:val="true"/>
              </w:rPr>
              <w:tab/>
            </w:r>
            <w:r>
              <w:rPr>
                <w:rStyle w:val="IndexLink"/>
              </w:rPr>
              <w:t>675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75_96300"/>
      <w:bookmarkStart w:id="1" w:name="pg10275_96300"/>
      <w:bookmarkEnd w:id="1"/>
    </w:p>
    <w:p>
      <w:pPr>
        <w:pStyle w:val="Heading2"/>
        <w:numPr>
          <w:ilvl w:val="1"/>
          <w:numId w:val="1"/>
        </w:numPr>
        <w:rPr/>
      </w:pPr>
      <w:bookmarkStart w:id="2" w:name="pg10275_96300"/>
      <w:bookmarkStart w:id="3" w:name="__RefHeading___Toc397098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م‍ح‍م‍دت‍ق‍ی‌،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و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محقق شیخ محمدحسین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آن تا پایان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آیه‌الله‌العظمی محمدتقی بهجت‏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 ‏</w:t>
      </w:r>
      <w:r>
        <w:rPr>
          <w:rFonts w:eastAsia="IRNazanin" w:cs="IRNazanin"/>
          <w:color w:val="111111"/>
          <w:sz w:val="28"/>
          <w:szCs w:val="28"/>
          <w:lang w:bidi="fa-IR"/>
        </w:rPr>
        <w:t xml:space="preserve">‫‬‭964-90359-0-7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964-96942-0</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آیت الله العظمی محمد تقی بهجت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۹‭‬ </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غ۴ذ۳۲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۱‎۲‎۱‎۲‎۸‎۷‎۲</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0989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275_96302"/>
    </w:p>
    <w:p>
      <w:pPr>
        <w:pStyle w:val="Heading2"/>
        <w:numPr>
          <w:ilvl w:val="1"/>
          <w:numId w:val="1"/>
        </w:numPr>
        <w:rPr/>
      </w:pPr>
      <w:bookmarkStart w:id="8" w:name="__RefHeading___Toc3970991_1067777946"/>
      <w:bookmarkStart w:id="9" w:name="_Toc3"/>
      <w:bookmarkEnd w:id="7"/>
      <w:bookmarkEnd w:id="8"/>
      <w:r>
        <w:rPr>
          <w:rtl w:val="true"/>
        </w:rPr>
        <w:t>تذكر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حاضر جلد پنجم از دورۀ فقه فتوايى تخصّصى حضرت آيت اللّٰه العظمى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از آغاز تا پايان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اجتهاد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تعليقه، شرح و اضافات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علامۀ محقق شيخ محمد حسين غروى اصفهانى قدس سرّه و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فقه به صورت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معظّم له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فرعى كه با علامت مشخص شده است و نيز مواردى كه در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سوى گروه تحقيق آثار معظّمٌ له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المسائل</w:t>
      </w:r>
    </w:p>
    <w:p>
      <w:pPr>
        <w:pStyle w:val="BookText"/>
        <w:rPr/>
      </w:pPr>
      <w:r>
        <w:rPr>
          <w:rFonts w:ascii="IRNazanin" w:hAnsi="IRNazanin" w:eastAsia="IRNazanin"/>
          <w:color w:val="111111"/>
          <w:sz w:val="28"/>
          <w:sz w:val="28"/>
          <w:szCs w:val="28"/>
          <w:rtl w:val="true"/>
          <w:lang w:bidi="fa-IR"/>
        </w:rPr>
        <w:t>جلد پنجم</w:t>
      </w:r>
    </w:p>
    <w:p>
      <w:pPr>
        <w:pStyle w:val="BookText"/>
        <w:rPr/>
      </w:pPr>
      <w:r>
        <w:rPr>
          <w:rFonts w:ascii="Amiri" w:hAnsi="Amiri" w:eastAsia="Amiri" w:cs="Amiri"/>
          <w:color w:val="111111"/>
          <w:sz w:val="28"/>
          <w:sz w:val="28"/>
          <w:szCs w:val="28"/>
          <w:rtl w:val="true"/>
          <w:lang w:bidi="ar-SA"/>
        </w:rPr>
        <w:t>تأليف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محمد تقى بهجت </w:t>
      </w:r>
      <w:bookmarkStart w:id="10" w:name="pg10275_96304"/>
    </w:p>
    <w:p>
      <w:pPr>
        <w:pStyle w:val="Heading2"/>
        <w:numPr>
          <w:ilvl w:val="1"/>
          <w:numId w:val="1"/>
        </w:numPr>
        <w:rPr/>
      </w:pPr>
      <w:bookmarkStart w:id="11" w:name="__RefHeading___Toc3970993_1067777946"/>
      <w:bookmarkStart w:id="12" w:name="_Toc4"/>
      <w:bookmarkEnd w:id="10"/>
      <w:bookmarkEnd w:id="11"/>
      <w:r>
        <w:rPr>
          <w:rtl w:val="true"/>
        </w:rPr>
        <w:t>كتاب شفعه</w:t>
      </w:r>
      <w:bookmarkEnd w:id="12"/>
    </w:p>
    <w:p>
      <w:pPr>
        <w:pStyle w:val="Heading3"/>
        <w:numPr>
          <w:ilvl w:val="2"/>
          <w:numId w:val="1"/>
        </w:numPr>
        <w:rPr/>
      </w:pPr>
      <w:bookmarkStart w:id="13" w:name="__RefHeading___Toc3970995_1067777946"/>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متعلّق شفعه</w:t>
      </w:r>
    </w:p>
    <w:p>
      <w:pPr>
        <w:pStyle w:val="BookText"/>
        <w:rPr/>
      </w:pPr>
      <w:r>
        <w:rPr>
          <w:rFonts w:ascii="Amiri" w:hAnsi="Amiri" w:eastAsia="Amiri" w:cs="Amiri"/>
          <w:color w:val="111111"/>
          <w:sz w:val="28"/>
          <w:sz w:val="28"/>
          <w:szCs w:val="28"/>
          <w:rtl w:val="true"/>
          <w:lang w:bidi="ar-SA"/>
        </w:rPr>
        <w:t>شفيع</w:t>
      </w:r>
    </w:p>
    <w:p>
      <w:pPr>
        <w:pStyle w:val="BookText"/>
        <w:rPr/>
      </w:pPr>
      <w:r>
        <w:rPr>
          <w:rFonts w:ascii="Amiri" w:hAnsi="Amiri" w:eastAsia="Amiri" w:cs="Amiri"/>
          <w:color w:val="111111"/>
          <w:sz w:val="28"/>
          <w:sz w:val="28"/>
          <w:szCs w:val="28"/>
          <w:rtl w:val="true"/>
          <w:lang w:bidi="ar-SA"/>
        </w:rPr>
        <w:t>كيفيّت اخذ به شفعه</w:t>
      </w:r>
    </w:p>
    <w:p>
      <w:pPr>
        <w:pStyle w:val="BookText"/>
        <w:rPr/>
      </w:pPr>
      <w:r>
        <w:rPr>
          <w:rFonts w:ascii="IRNazanin" w:hAnsi="IRNazanin" w:eastAsia="IRNazanin"/>
          <w:color w:val="111111"/>
          <w:sz w:val="28"/>
          <w:sz w:val="28"/>
          <w:szCs w:val="28"/>
          <w:rtl w:val="true"/>
          <w:lang w:bidi="fa-IR"/>
        </w:rPr>
        <w:t>لواحق اخذ به شفعه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تنازع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275_96306"/>
      <w:bookmarkStart w:id="16" w:name="pg10275_96306"/>
      <w:bookmarkEnd w:id="16"/>
    </w:p>
    <w:p>
      <w:pPr>
        <w:pStyle w:val="Heading3"/>
        <w:numPr>
          <w:ilvl w:val="2"/>
          <w:numId w:val="1"/>
        </w:numPr>
        <w:rPr/>
      </w:pPr>
      <w:bookmarkStart w:id="17" w:name="pg10275_96306"/>
      <w:bookmarkStart w:id="18" w:name="__RefHeading___Toc3970997_1067777946"/>
      <w:bookmarkStart w:id="19" w:name="_Toc6"/>
      <w:bookmarkEnd w:id="17"/>
      <w:bookmarkEnd w:id="18"/>
      <w:r>
        <w:rPr>
          <w:rtl w:val="true"/>
        </w:rPr>
        <w:t>فصل اوّل متعلّق شفعه</w:t>
      </w:r>
      <w:bookmarkEnd w:id="19"/>
    </w:p>
    <w:p>
      <w:pPr>
        <w:pStyle w:val="Heading4"/>
        <w:numPr>
          <w:ilvl w:val="3"/>
          <w:numId w:val="1"/>
        </w:numPr>
        <w:rPr/>
      </w:pPr>
      <w:bookmarkStart w:id="20" w:name="__RefHeading___Toc3970999_1067777946"/>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فصل اوّل متعلّق شفعه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علىٰ سيّد أنبيائه</w:t>
      </w:r>
    </w:p>
    <w:p>
      <w:pPr>
        <w:pStyle w:val="BookText"/>
        <w:rPr/>
      </w:pPr>
      <w:r>
        <w:rPr>
          <w:rFonts w:ascii="Amiri" w:hAnsi="Amiri" w:eastAsia="Amiri" w:cs="Amiri"/>
          <w:color w:val="111111"/>
          <w:sz w:val="28"/>
          <w:sz w:val="28"/>
          <w:szCs w:val="28"/>
          <w:rtl w:val="true"/>
          <w:lang w:bidi="ar-SA"/>
        </w:rPr>
        <w:t>محمّد و آله سادة الأوصياء الطاهرين</w:t>
      </w:r>
    </w:p>
    <w:p>
      <w:pPr>
        <w:pStyle w:val="Heading4"/>
        <w:numPr>
          <w:ilvl w:val="3"/>
          <w:numId w:val="1"/>
        </w:numPr>
        <w:rPr/>
      </w:pPr>
      <w:bookmarkStart w:id="22" w:name="__RefHeading___Toc3971001_1067777946"/>
      <w:bookmarkStart w:id="23" w:name="_Toc8"/>
      <w:bookmarkEnd w:id="22"/>
      <w:r>
        <w:rPr>
          <w:rtl w:val="true"/>
        </w:rPr>
        <w:t>معناى شفعه</w:t>
      </w:r>
      <w:bookmarkEnd w:id="23"/>
    </w:p>
    <w:p>
      <w:pPr>
        <w:pStyle w:val="BookText"/>
        <w:rPr/>
      </w:pPr>
      <w:r>
        <w:rPr>
          <w:rFonts w:ascii="Amiri" w:hAnsi="Amiri" w:eastAsia="Amiri" w:cs="Amiri"/>
          <w:color w:val="111111"/>
          <w:sz w:val="28"/>
          <w:sz w:val="28"/>
          <w:szCs w:val="28"/>
          <w:rtl w:val="true"/>
          <w:lang w:bidi="ar-SA"/>
        </w:rPr>
        <w:t xml:space="preserve">شفعه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شريك، حصّۀ شريك خود را كه از او منتقل به بيع شده باشد، با بذل مقدار ثمن به نحوى كه مذكور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پنج مقصد است</w:t>
      </w:r>
      <w:r>
        <w:rPr>
          <w:rFonts w:eastAsia="IRNazanin" w:cs="IRNazanin"/>
          <w:color w:val="111111"/>
          <w:sz w:val="28"/>
          <w:szCs w:val="28"/>
          <w:rtl w:val="true"/>
          <w:lang w:bidi="fa-IR"/>
        </w:rPr>
        <w:t>.</w:t>
      </w:r>
    </w:p>
    <w:p>
      <w:pPr>
        <w:pStyle w:val="Heading4"/>
        <w:numPr>
          <w:ilvl w:val="3"/>
          <w:numId w:val="1"/>
        </w:numPr>
        <w:rPr/>
      </w:pPr>
      <w:bookmarkStart w:id="24" w:name="__RefHeading___Toc3971003_1067777946"/>
      <w:bookmarkStart w:id="25" w:name="_Toc9"/>
      <w:bookmarkEnd w:id="24"/>
      <w:r>
        <w:rPr>
          <w:rtl w:val="true"/>
        </w:rPr>
        <w:t>حكم شفعه در غير منقول و منقول</w:t>
      </w:r>
      <w:bookmarkEnd w:id="25"/>
    </w:p>
    <w:p>
      <w:pPr>
        <w:pStyle w:val="BookText"/>
        <w:rPr/>
      </w:pPr>
      <w:r>
        <w:rPr>
          <w:rFonts w:ascii="Amiri" w:hAnsi="Amiri" w:eastAsia="Amiri" w:cs="Amiri"/>
          <w:color w:val="111111"/>
          <w:sz w:val="28"/>
          <w:sz w:val="28"/>
          <w:szCs w:val="28"/>
          <w:rtl w:val="true"/>
          <w:lang w:bidi="ar-SA"/>
        </w:rPr>
        <w:t xml:space="preserve">و در ثبوت آن در غير 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زمينها و مسكنها و بستانها و نحو 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ثبوت آن در منقولات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ثياب و نحو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است، و جماعتى از متقدمين و متأخّرين به يكى از دو قول قائل شده اند، و اظهر عدم ثبوت آن است در منقولات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درختها و بنائها و ديوارها، پس اگر با زمينهاى منبت و مقرّ آنها داخل در بيع </w:t>
      </w:r>
      <w:bookmarkStart w:id="26" w:name="pg10275_96307"/>
    </w:p>
    <w:p>
      <w:pPr>
        <w:pStyle w:val="BookText"/>
        <w:rPr/>
      </w:pPr>
      <w:bookmarkEnd w:id="26"/>
      <w:r>
        <w:rPr>
          <w:rFonts w:ascii="IRNazanin" w:hAnsi="IRNazanin" w:eastAsia="IRNazanin"/>
          <w:color w:val="111111"/>
          <w:sz w:val="28"/>
          <w:sz w:val="28"/>
          <w:szCs w:val="28"/>
          <w:rtl w:val="true"/>
          <w:lang w:bidi="fa-IR"/>
        </w:rPr>
        <w:t>بودند و تابع بودند، شفعه در آنها ثابت است؛ وگرنه اظهر عدم ثبوت شفعه است اگر چه با زمينهاى ديگرى كه در آن ثابت نيستند فروخته شوند، مگر بنا بر قول مُثبِت شفعه در 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دولاب مثبَت در چاه، در خانه يا بستان، تابع چاه است؛ و اگر جدا فروخته شود از چاه، شفعه در آن نيست، كه در اول و آخر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شفعه در دلوها و ريسمانها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 يا كوزۀ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و حمّام كه تابع ثابت در بيع باشند شفعه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رحىٰ و دكّان و چاه و حمّام كه ملحق به دار و بستان مى شوند در عدم نقل، ثابت است بنا بر اظهر</w:t>
      </w:r>
      <w:r>
        <w:rPr>
          <w:rFonts w:eastAsia="IRNazanin" w:cs="IRNazanin"/>
          <w:color w:val="111111"/>
          <w:sz w:val="28"/>
          <w:szCs w:val="28"/>
          <w:rtl w:val="true"/>
          <w:lang w:bidi="fa-IR"/>
        </w:rPr>
        <w:t>.</w:t>
      </w:r>
    </w:p>
    <w:p>
      <w:pPr>
        <w:pStyle w:val="Heading4"/>
        <w:numPr>
          <w:ilvl w:val="3"/>
          <w:numId w:val="1"/>
        </w:numPr>
        <w:rPr/>
      </w:pPr>
      <w:bookmarkStart w:id="27" w:name="__RefHeading___Toc3971005_1067777946"/>
      <w:bookmarkStart w:id="28" w:name="_Toc10"/>
      <w:bookmarkEnd w:id="27"/>
      <w:r>
        <w:rPr>
          <w:rtl w:val="true"/>
        </w:rPr>
        <w:t>ثبوت يا عدم ثبوت شفعه در غرفۀ مشترك</w:t>
      </w:r>
      <w:bookmarkEnd w:id="28"/>
    </w:p>
    <w:p>
      <w:pPr>
        <w:pStyle w:val="BookText"/>
        <w:rPr/>
      </w:pPr>
      <w:r>
        <w:rPr>
          <w:rFonts w:ascii="IRNazanin" w:hAnsi="IRNazanin" w:eastAsia="IRNazanin"/>
          <w:color w:val="111111"/>
          <w:sz w:val="28"/>
          <w:sz w:val="28"/>
          <w:szCs w:val="28"/>
          <w:rtl w:val="true"/>
          <w:lang w:bidi="fa-IR"/>
        </w:rPr>
        <w:t>و اگر غرفه مشترك باشد و سطح آن، سقفِ صاحب بيت مختص باشد در جميع نواحى به يكى از دو شريك در عالى يا به غير اينها مثل صاحب سافل، پس در آن غرفه چون ثابت يا تابعِ ثابت نيست، شفعه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سقف، مشترك بين سافل و عالى يا مختص به عالى باشد، شفعه در بيع عالى مشترك بين دو شريك ثابت است، مثل طبقات متعدّده كه هر كدام مسكن مستقل باشد در صورتى كه در زمين كه مقرّ بنا است شريك باشند و هر عالى بر سافل استحقاق استقرار طبقۀ عاليه بر طبقه سافله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سافل مشترك باشد و عالى مختص، پس صاحب عالى فروخت مملوك خود را به ثالثى، پس شريك مى تواند اخذ نمايد به شفعه، خصوص نصيب بايع از سافل را، نه عالى كه اختصاصى او بوده و با ضميمۀ مختص يا مشترك فروخته بوده، چنانچه واضح است</w:t>
      </w:r>
      <w:r>
        <w:rPr>
          <w:rFonts w:eastAsia="IRNazanin" w:cs="IRNazanin"/>
          <w:color w:val="111111"/>
          <w:sz w:val="28"/>
          <w:szCs w:val="28"/>
          <w:rtl w:val="true"/>
          <w:lang w:bidi="fa-IR"/>
        </w:rPr>
        <w:t>.</w:t>
      </w:r>
    </w:p>
    <w:p>
      <w:pPr>
        <w:pStyle w:val="Heading4"/>
        <w:numPr>
          <w:ilvl w:val="3"/>
          <w:numId w:val="1"/>
        </w:numPr>
        <w:rPr/>
      </w:pPr>
      <w:bookmarkStart w:id="29" w:name="__RefHeading___Toc3971007_1067777946"/>
      <w:bookmarkStart w:id="30" w:name="_Toc11"/>
      <w:bookmarkEnd w:id="29"/>
      <w:r>
        <w:rPr>
          <w:rtl w:val="true"/>
        </w:rPr>
        <w:t>شفعه در زراعت</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بستان يا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مآل آن به نقل است اگر چه دُور باشد، اظهر عدم شفعه است؛ و تبعيّت محل در بيع، موجب دخول شفعه در منقول نيست، مثل تبعيّت </w:t>
      </w:r>
      <w:bookmarkStart w:id="31" w:name="pg10275_96308"/>
    </w:p>
    <w:p>
      <w:pPr>
        <w:pStyle w:val="BookText"/>
        <w:rPr/>
      </w:pPr>
      <w:bookmarkEnd w:id="31"/>
      <w:r>
        <w:rPr>
          <w:rFonts w:ascii="Amiri" w:hAnsi="Amiri" w:eastAsia="Amiri" w:cs="Amiri"/>
          <w:color w:val="111111"/>
          <w:sz w:val="28"/>
          <w:sz w:val="28"/>
          <w:szCs w:val="28"/>
          <w:rtl w:val="true"/>
          <w:lang w:bidi="ar-SA"/>
        </w:rPr>
        <w:t>ثمره بر شجر در بيع و عدم دخول شفعه در ثمره قبل از تأبير و بعد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اصول آن در صورت ثبات و قطع فروع به نحو متعدّد با استحقاق بقا يا تبعيّت ثابت در بيع، اظهر ثبوت شفعه است، مثل اشجار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نيست در بيوتى كه شفعه در آنها ثابت است بين اتخاذ از طين يا خشب يا قصب و نحو اينها، مگر بيوت منقوله كه در فصلى بناء و بعداً منهدم مى شود يا نقل مكان مى شود كه نه ثابت و نه تابع ثابت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هر تابعى در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قفلها و كليدها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شفعه نيست، بلكه در خصوص تابع در وجود به نحو متقدّم شفعه است</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971009_1067777946"/>
      <w:bookmarkStart w:id="33" w:name="_Toc12"/>
      <w:bookmarkEnd w:id="32"/>
      <w:r>
        <w:rPr>
          <w:rtl w:val="true"/>
        </w:rPr>
        <w:t>عدم اعتبار قابليت قسمت در متعلق شفعه</w:t>
      </w:r>
      <w:bookmarkEnd w:id="33"/>
    </w:p>
    <w:p>
      <w:pPr>
        <w:pStyle w:val="BookText"/>
        <w:rPr/>
      </w:pPr>
      <w:r>
        <w:rPr>
          <w:rFonts w:ascii="IRNazanin" w:hAnsi="IRNazanin" w:eastAsia="IRNazanin"/>
          <w:color w:val="111111"/>
          <w:sz w:val="28"/>
          <w:sz w:val="28"/>
          <w:szCs w:val="28"/>
          <w:rtl w:val="true"/>
          <w:lang w:bidi="fa-IR"/>
        </w:rPr>
        <w:t>اظهر عدم اعتبار قابليت قسمت است در متعلّق شفعه؛ پس در غير قابل قسمت اجباريّه، شفعه ثابت است با شروط ثبوت آن در قابل قسمت، اگر چه احوط ترك إعمال اين حق است در موارد خلاف</w:t>
      </w:r>
      <w:r>
        <w:rPr>
          <w:rFonts w:eastAsia="IRNazanin" w:cs="IRNazanin"/>
          <w:color w:val="111111"/>
          <w:sz w:val="28"/>
          <w:szCs w:val="28"/>
          <w:rtl w:val="true"/>
          <w:lang w:bidi="fa-IR"/>
        </w:rPr>
        <w:t>.</w:t>
      </w:r>
    </w:p>
    <w:p>
      <w:pPr>
        <w:pStyle w:val="Heading4"/>
        <w:numPr>
          <w:ilvl w:val="3"/>
          <w:numId w:val="1"/>
        </w:numPr>
        <w:rPr/>
      </w:pPr>
      <w:bookmarkStart w:id="34" w:name="__RefHeading___Toc3971011_1067777946"/>
      <w:bookmarkStart w:id="35" w:name="_Toc13"/>
      <w:bookmarkEnd w:id="34"/>
      <w:r>
        <w:rPr>
          <w:rtl w:val="true"/>
        </w:rPr>
        <w:t>شفعه در طريق و ذو الطريق در صورت بيع با هم</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در طريق، موجب شفعه در ذو الطريق و طريق است در صورت بيع با هم اگر چه غير طريق مشترك نباشد، پس مى تواند شريكِ طريق، اخذ شفعه در هر دو يا ترك آن در هر دو نمايد در صورتى كه طريق ديگرى براى مشترى نباشد؛ و در اين فرض نمى تواند شريك طريق، اخذ به شفعه در خصوص طريق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طريق منفرداً بيع بشود مى تواند اخذ به شفعه در خصوص آن كه مشترك است نمايد با شروط استحقاق؛ و هم چنين اگر منضم شود طريق در بيع با غير خانه اى كه آن طريقش است يا مى شود؛ و در اين دو صورت، شفعه در خانه اى كه اين طريق آن بوده، در بيعِ ديگرِ متعلّق به آن خانه ثابت نيست براى شريك در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فرق در صور مذكوره بين قابليت طريق براى قسمت و عدم آن، چنانچه سابقاً ذكر شد</w:t>
      </w:r>
      <w:r>
        <w:rPr>
          <w:rFonts w:eastAsia="IRNazanin" w:cs="IRNazanin"/>
          <w:color w:val="111111"/>
          <w:sz w:val="28"/>
          <w:szCs w:val="28"/>
          <w:rtl w:val="true"/>
          <w:lang w:bidi="fa-IR"/>
        </w:rPr>
        <w:t xml:space="preserve">. </w:t>
      </w:r>
      <w:bookmarkStart w:id="36" w:name="pg10275_96309"/>
    </w:p>
    <w:p>
      <w:pPr>
        <w:pStyle w:val="BookText"/>
        <w:rPr/>
      </w:pPr>
      <w:bookmarkEnd w:id="36"/>
      <w:r>
        <w:rPr>
          <w:rFonts w:ascii="IRNazanin" w:hAnsi="IRNazanin" w:eastAsia="IRNazanin"/>
          <w:color w:val="111111"/>
          <w:sz w:val="28"/>
          <w:sz w:val="28"/>
          <w:szCs w:val="28"/>
          <w:rtl w:val="true"/>
          <w:lang w:bidi="fa-IR"/>
        </w:rPr>
        <w:t>و اگر خانه منفرداً از طريق، بيع بشود، شركت در طريق غير مبيع به آن بيع، موجب شفعه در آن خانه نيست</w:t>
      </w:r>
      <w:r>
        <w:rPr>
          <w:rFonts w:eastAsia="IRNazanin" w:cs="IRNazanin"/>
          <w:color w:val="111111"/>
          <w:sz w:val="28"/>
          <w:szCs w:val="28"/>
          <w:rtl w:val="true"/>
          <w:lang w:bidi="fa-IR"/>
        </w:rPr>
        <w:t>.</w:t>
      </w:r>
    </w:p>
    <w:p>
      <w:pPr>
        <w:pStyle w:val="Heading4"/>
        <w:numPr>
          <w:ilvl w:val="3"/>
          <w:numId w:val="1"/>
        </w:numPr>
        <w:rPr/>
      </w:pPr>
      <w:bookmarkStart w:id="37" w:name="__RefHeading___Toc3971013_1067777946"/>
      <w:bookmarkStart w:id="38" w:name="_Toc14"/>
      <w:bookmarkEnd w:id="37"/>
      <w:r>
        <w:rPr>
          <w:rtl w:val="true"/>
        </w:rPr>
        <w:t>لحوق بئر و نهر به طريق، در حكم مذكور</w:t>
      </w:r>
      <w:bookmarkEnd w:id="38"/>
    </w:p>
    <w:p>
      <w:pPr>
        <w:pStyle w:val="BookText"/>
        <w:rPr/>
      </w:pPr>
      <w:r>
        <w:rPr>
          <w:rFonts w:ascii="IRNazanin" w:hAnsi="IRNazanin" w:eastAsia="IRNazanin"/>
          <w:color w:val="111111"/>
          <w:sz w:val="28"/>
          <w:sz w:val="28"/>
          <w:szCs w:val="28"/>
          <w:rtl w:val="true"/>
          <w:lang w:bidi="fa-IR"/>
        </w:rPr>
        <w:t xml:space="preserve">اظهر لحوق بئر و نهر است به طريق در حكم مذكور، يعنى ثبوت شفعه در خانه و مزرعه به اشتراك در طريق و چاه و نهر در صورت بيع با همديگر، پس تعدّى معظم از منصوص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طريق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لحوق بيع بعض دار با بعض طريق است، به بيع همۀ دار با همۀ طريق مشترك، در ثبوت شفعه بالنسبه به خصوص مبيع از دار با خصوص حصۀ مبيعه از طريق مشترك يا چاه يا نهر كه مشتركند و مورد احتياج همۀ خانه يا مزرعه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شركت در اساس ديوار خانۀ مختص، ايجاب آن شفعه را در خانۀ مبيع با اساس آن كه مشترك باشد، خالى از وجه مبنى بر الغاى خصوصيّت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971015_1067777946"/>
      <w:bookmarkStart w:id="40" w:name="_Toc15"/>
      <w:bookmarkEnd w:id="39"/>
      <w:r>
        <w:rPr>
          <w:rtl w:val="true"/>
        </w:rPr>
        <w:t>بيع عرصۀ اختصاص با عرصۀ مشترك</w:t>
      </w:r>
      <w:bookmarkEnd w:id="40"/>
    </w:p>
    <w:p>
      <w:pPr>
        <w:pStyle w:val="BookText"/>
        <w:rPr/>
      </w:pPr>
      <w:r>
        <w:rPr>
          <w:rFonts w:ascii="IRNazanin" w:hAnsi="IRNazanin" w:eastAsia="IRNazanin"/>
          <w:color w:val="111111"/>
          <w:sz w:val="28"/>
          <w:sz w:val="28"/>
          <w:szCs w:val="28"/>
          <w:rtl w:val="true"/>
          <w:lang w:bidi="fa-IR"/>
        </w:rPr>
        <w:t>اگر عرصۀ اختصاصى را با عرصۀ مشتركه فروخت، شفعه در خصوص مشترك ثابت است با حصۀ آن از ثمن، پس تقويم مى شود مجموع و خصوص مشترك، و نسبتِ بين دو قيمت از ثمن تأديه مى شود؛ و مبيع از مشترك را، شريك از مشترى اخذ به شفعه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خيار تبعّض صفقه براى مشترى نيست با عدم جهل به موضوع اشتراك يا حكم مشترك</w:t>
      </w:r>
      <w:r>
        <w:rPr>
          <w:rFonts w:eastAsia="IRNazanin" w:cs="IRNazanin"/>
          <w:color w:val="111111"/>
          <w:sz w:val="28"/>
          <w:szCs w:val="28"/>
          <w:rtl w:val="true"/>
          <w:lang w:bidi="fa-IR"/>
        </w:rPr>
        <w:t>.</w:t>
      </w:r>
    </w:p>
    <w:p>
      <w:pPr>
        <w:pStyle w:val="Heading4"/>
        <w:numPr>
          <w:ilvl w:val="3"/>
          <w:numId w:val="1"/>
        </w:numPr>
        <w:rPr/>
      </w:pPr>
      <w:bookmarkStart w:id="41" w:name="__RefHeading___Toc3971017_1067777946"/>
      <w:bookmarkStart w:id="42" w:name="_Toc16"/>
      <w:bookmarkEnd w:id="41"/>
      <w:r>
        <w:rPr>
          <w:rtl w:val="true"/>
        </w:rPr>
        <w:t>اختصاص ثبوت شفعه به انتقال به بيع</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اظهر عدم ثبوت شفعه است در صورتى كه انتقال از احد الشريكين به سبب بيع نباشد، بلكه به مثل اصداق يا تصدّق يا هبه يا صلح باشد؛ و در صلح معاوضى كه مقصود از آن بيع است و جز اختلاف صيغه فرقى ندارد تأمّل است، و احتياط براى طرف صلح و شريك ترك نشود</w:t>
      </w:r>
      <w:r>
        <w:rPr>
          <w:rFonts w:eastAsia="Amiri" w:cs="Amiri" w:ascii="Amiri" w:hAnsi="Amiri"/>
          <w:color w:val="111111"/>
          <w:sz w:val="28"/>
          <w:szCs w:val="28"/>
          <w:rtl w:val="true"/>
          <w:lang w:bidi="ar-SA"/>
        </w:rPr>
        <w:t xml:space="preserve">. </w:t>
      </w:r>
      <w:bookmarkStart w:id="43" w:name="pg10275_96310"/>
    </w:p>
    <w:p>
      <w:pPr>
        <w:pStyle w:val="Heading4"/>
        <w:numPr>
          <w:ilvl w:val="3"/>
          <w:numId w:val="1"/>
        </w:numPr>
        <w:rPr/>
      </w:pPr>
      <w:bookmarkStart w:id="44" w:name="__RefHeading___Toc3971019_1067777946"/>
      <w:bookmarkStart w:id="45" w:name="_Toc17"/>
      <w:bookmarkEnd w:id="43"/>
      <w:bookmarkEnd w:id="44"/>
      <w:r>
        <w:rPr>
          <w:rtl w:val="true"/>
        </w:rPr>
        <w:t>حكم شفعه در خانه اى كه قسمتى از ان وقف است</w:t>
      </w:r>
      <w:bookmarkEnd w:id="45"/>
    </w:p>
    <w:p>
      <w:pPr>
        <w:pStyle w:val="BookText"/>
        <w:rPr/>
      </w:pPr>
      <w:r>
        <w:rPr>
          <w:rFonts w:ascii="IRNazanin" w:hAnsi="IRNazanin" w:eastAsia="IRNazanin"/>
          <w:color w:val="111111"/>
          <w:sz w:val="28"/>
          <w:sz w:val="28"/>
          <w:szCs w:val="28"/>
          <w:rtl w:val="true"/>
          <w:lang w:bidi="fa-IR"/>
        </w:rPr>
        <w:t>در صورتى كه بعض خانه اى وقف و بعضى ملك طلق باشد پس صاحب طلق فروخت، صاحب وقف حق شفعه دارد يا نه‌؟ محل خلاف است، اقرب اين است كه حق دارد اگر چه اعمال آن به مباشرت ناظر يا حاكم باشد در صورتى كه صاحب وقف، واحد باشد در حال بيع طلق، وفاقاً للمرتضى و جماعة من المتأخرين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صاحب وقف فروخت در صورتى كه بيع وقف صحيح بشود، صاحب طلق حق شفعه دارد در صورت وحدت و موافقت در صحّت بيع آن وقف شرعاً</w:t>
      </w:r>
      <w:r>
        <w:rPr>
          <w:rFonts w:eastAsia="IRNazanin" w:cs="IRNazanin"/>
          <w:color w:val="111111"/>
          <w:sz w:val="28"/>
          <w:szCs w:val="28"/>
          <w:rtl w:val="true"/>
          <w:lang w:bidi="fa-IR"/>
        </w:rPr>
        <w:t xml:space="preserve">. </w:t>
      </w:r>
      <w:bookmarkStart w:id="46" w:name="pg10275_96311"/>
    </w:p>
    <w:p>
      <w:pPr>
        <w:pStyle w:val="Heading3"/>
        <w:numPr>
          <w:ilvl w:val="2"/>
          <w:numId w:val="1"/>
        </w:numPr>
        <w:rPr/>
      </w:pPr>
      <w:bookmarkStart w:id="47" w:name="__RefHeading___Toc3971021_1067777946"/>
      <w:bookmarkStart w:id="48" w:name="_Toc18"/>
      <w:bookmarkEnd w:id="46"/>
      <w:bookmarkEnd w:id="47"/>
      <w:r>
        <w:rPr>
          <w:rtl w:val="true"/>
        </w:rPr>
        <w:t>فصل دوّم شفيع</w:t>
      </w:r>
      <w:bookmarkEnd w:id="48"/>
    </w:p>
    <w:p>
      <w:pPr>
        <w:pStyle w:val="Heading4"/>
        <w:numPr>
          <w:ilvl w:val="3"/>
          <w:numId w:val="1"/>
        </w:numPr>
        <w:rPr/>
      </w:pPr>
      <w:bookmarkStart w:id="49" w:name="__RefHeading___Toc3971023_1067777946"/>
      <w:bookmarkStart w:id="50" w:name="_Toc19"/>
      <w:bookmarkEnd w:id="49"/>
      <w:r>
        <w:rPr>
          <w:rtl w:val="true"/>
        </w:rPr>
        <w:t>اعتبار شركت به قدرت اداى ثمن و اسلام در شفيع</w:t>
      </w:r>
      <w:bookmarkEnd w:id="50"/>
    </w:p>
    <w:p>
      <w:pPr>
        <w:pStyle w:val="BookText"/>
        <w:rPr/>
      </w:pPr>
      <w:r>
        <w:rPr>
          <w:rFonts w:ascii="IRNazanin" w:hAnsi="IRNazanin" w:eastAsia="IRNazanin"/>
          <w:color w:val="111111"/>
          <w:sz w:val="28"/>
          <w:sz w:val="28"/>
          <w:szCs w:val="28"/>
          <w:rtl w:val="true"/>
          <w:lang w:bidi="fa-IR"/>
        </w:rPr>
        <w:t xml:space="preserve">بايد شريك در نفس مبيع يا طريق آن يا آبخور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متقدّم در بيع انضمامى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بايد قادر بالفعل يا بالقوه بر اداء ثمن بدون مماطله و اضرار باشد؛ و بايد مسلمان باشد در صورت اسلام مشترى؛ و گذشت كلام در اعتبار قابليت قسمت؛ و مذكور مى شود كلام در اعتبار اتحاد شريك در استحقاق شفعه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نزد ما شفعه براى همسايه اى كه شريك همخانه نباشد نيست</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971025_1067777946"/>
      <w:bookmarkStart w:id="52" w:name="_Toc20"/>
      <w:bookmarkEnd w:id="51"/>
      <w:r>
        <w:rPr>
          <w:rtl w:val="true"/>
        </w:rPr>
        <w:t>عدم شفعه بعد از تقسيم و تمييز مشترك</w:t>
      </w:r>
      <w:bookmarkEnd w:id="52"/>
    </w:p>
    <w:p>
      <w:pPr>
        <w:pStyle w:val="BookText"/>
        <w:rPr/>
      </w:pPr>
      <w:r>
        <w:rPr>
          <w:rFonts w:ascii="IRNazanin" w:hAnsi="IRNazanin" w:eastAsia="IRNazanin"/>
          <w:color w:val="111111"/>
          <w:sz w:val="28"/>
          <w:sz w:val="28"/>
          <w:szCs w:val="28"/>
          <w:rtl w:val="true"/>
          <w:lang w:bidi="fa-IR"/>
        </w:rPr>
        <w:t>و شفعه بعد از تقسيم با شريك و تمييزِ مشترك نيست، مگر در صورت اشتراك در طريق و نحو آن كه ذكر شد</w:t>
      </w:r>
      <w:r>
        <w:rPr>
          <w:rFonts w:eastAsia="IRNazanin" w:cs="IRNazanin"/>
          <w:color w:val="111111"/>
          <w:sz w:val="28"/>
          <w:szCs w:val="28"/>
          <w:rtl w:val="true"/>
          <w:lang w:bidi="fa-IR"/>
        </w:rPr>
        <w:t>.</w:t>
      </w:r>
    </w:p>
    <w:p>
      <w:pPr>
        <w:pStyle w:val="Heading4"/>
        <w:numPr>
          <w:ilvl w:val="3"/>
          <w:numId w:val="1"/>
        </w:numPr>
        <w:rPr/>
      </w:pPr>
      <w:bookmarkStart w:id="53" w:name="__RefHeading___Toc3971027_1067777946"/>
      <w:bookmarkStart w:id="54" w:name="_Toc21"/>
      <w:bookmarkEnd w:id="53"/>
      <w:r>
        <w:rPr>
          <w:rtl w:val="true"/>
        </w:rPr>
        <w:t>عدم شفعه با تعدد شريك و حكم كثرت شركا بعد از بيع</w:t>
      </w:r>
      <w:bookmarkEnd w:id="54"/>
    </w:p>
    <w:p>
      <w:pPr>
        <w:pStyle w:val="BookText"/>
        <w:rPr/>
      </w:pPr>
      <w:r>
        <w:rPr>
          <w:rFonts w:ascii="IRNazanin" w:hAnsi="IRNazanin" w:eastAsia="IRNazanin"/>
          <w:color w:val="111111"/>
          <w:sz w:val="28"/>
          <w:sz w:val="28"/>
          <w:szCs w:val="28"/>
          <w:rtl w:val="true"/>
          <w:lang w:bidi="fa-IR"/>
        </w:rPr>
        <w:t>اگر شريك ازيد از واحد قبل از بيع باشد، اظهر عدم شفعه است؛ و اگر واحد قبل از بيع بود، شفعه ثابت است به اتفاق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كثرت شركا بعد از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شريك، بيع كرد حصّۀ خود را به دو نفر معاً يا على 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اظهر در بيع در يك زمان، ثبوت شفعه براى شريك است در هر دو بيع و در يك؛ و در صورت تعدّد زمانى، شفعه در اوّلى ثابت است و با </w:t>
      </w:r>
      <w:bookmarkStart w:id="55" w:name="pg10275_96312"/>
    </w:p>
    <w:p>
      <w:pPr>
        <w:pStyle w:val="BookText"/>
        <w:rPr/>
      </w:pPr>
      <w:bookmarkEnd w:id="55"/>
      <w:r>
        <w:rPr>
          <w:rFonts w:ascii="IRNazanin" w:hAnsi="IRNazanin" w:eastAsia="IRNazanin"/>
          <w:color w:val="111111"/>
          <w:sz w:val="28"/>
          <w:sz w:val="28"/>
          <w:szCs w:val="28"/>
          <w:rtl w:val="true"/>
          <w:lang w:bidi="fa-IR"/>
        </w:rPr>
        <w:t>عذرى مثل جهل به موضوع، اظهر عدم سقوط است؛ و در دومى پس اگر اخذ به شفعه در اوّلى كرد، اظهر ثبوت شفعه است به واسطۀ اثنينيّت شركا در حين بيع دوم، و در صورت عدم اعمال حق در اوّلى و تحقّق شركت بين ثلاثه، اظهر عدم ثبوت شفعه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تقدير قول به ثبوت شفعه با كثرت سابقه، پس اظهر ملاحظۀ رءوس شركاى متعدّدين است نه سهام آنها با زياده و نقيصه</w:t>
      </w:r>
      <w:r>
        <w:rPr>
          <w:rFonts w:eastAsia="IRNazanin" w:cs="IRNazanin"/>
          <w:color w:val="111111"/>
          <w:sz w:val="28"/>
          <w:szCs w:val="28"/>
          <w:rtl w:val="true"/>
          <w:lang w:bidi="fa-IR"/>
        </w:rPr>
        <w:t>.</w:t>
      </w:r>
    </w:p>
    <w:p>
      <w:pPr>
        <w:pStyle w:val="Heading4"/>
        <w:numPr>
          <w:ilvl w:val="3"/>
          <w:numId w:val="1"/>
        </w:numPr>
        <w:rPr/>
      </w:pPr>
      <w:bookmarkStart w:id="56" w:name="__RefHeading___Toc3971029_1067777946"/>
      <w:bookmarkStart w:id="57" w:name="_Toc22"/>
      <w:bookmarkEnd w:id="56"/>
      <w:r>
        <w:rPr>
          <w:rtl w:val="true"/>
        </w:rPr>
        <w:t>سقوط شفعه با عجز شريك از اداء ثمن</w:t>
      </w:r>
      <w:bookmarkEnd w:id="57"/>
    </w:p>
    <w:p>
      <w:pPr>
        <w:pStyle w:val="BookText"/>
        <w:rPr/>
      </w:pPr>
      <w:r>
        <w:rPr>
          <w:rFonts w:ascii="IRNazanin" w:hAnsi="IRNazanin" w:eastAsia="IRNazanin"/>
          <w:color w:val="111111"/>
          <w:sz w:val="28"/>
          <w:sz w:val="28"/>
          <w:szCs w:val="28"/>
          <w:rtl w:val="true"/>
          <w:lang w:bidi="fa-IR"/>
        </w:rPr>
        <w:t>و شفعه با عجز شريك از اداء ثمن، ساقط مى شود مگر با رضاى مشترى به تأخير مادام كه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ممكن است معلوم بشود؛ و ثابت مى شود به اعتراف شريك؛ و با عجز ثابت، امهال، لازم نيست</w:t>
      </w:r>
      <w:r>
        <w:rPr>
          <w:rFonts w:eastAsia="IRNazanin" w:cs="IRNazanin"/>
          <w:color w:val="111111"/>
          <w:sz w:val="28"/>
          <w:szCs w:val="28"/>
          <w:rtl w:val="true"/>
          <w:lang w:bidi="fa-IR"/>
        </w:rPr>
        <w:t>.</w:t>
      </w:r>
    </w:p>
    <w:p>
      <w:pPr>
        <w:pStyle w:val="Heading4"/>
        <w:numPr>
          <w:ilvl w:val="3"/>
          <w:numId w:val="1"/>
        </w:numPr>
        <w:rPr/>
      </w:pPr>
      <w:bookmarkStart w:id="58" w:name="__RefHeading___Toc3971031_1067777946"/>
      <w:bookmarkStart w:id="59" w:name="_Toc23"/>
      <w:bookmarkEnd w:id="58"/>
      <w:r>
        <w:rPr>
          <w:rtl w:val="true"/>
        </w:rPr>
        <w:t>ادعاى غيبيت ثمن يا قدرت بر تحصيل و امهال وى</w:t>
      </w:r>
      <w:bookmarkEnd w:id="59"/>
    </w:p>
    <w:p>
      <w:pPr>
        <w:pStyle w:val="BookText"/>
        <w:rPr/>
      </w:pPr>
      <w:r>
        <w:rPr>
          <w:rFonts w:ascii="IRNazanin" w:hAnsi="IRNazanin" w:eastAsia="IRNazanin"/>
          <w:color w:val="111111"/>
          <w:sz w:val="28"/>
          <w:sz w:val="28"/>
          <w:szCs w:val="28"/>
          <w:rtl w:val="true"/>
          <w:lang w:bidi="fa-IR"/>
        </w:rPr>
        <w:t>و با ادعاى غيبت ثمن يا قدرت بر تحصيل اگر چه با قرض و نحو آن باشد، سه روز مهلت داده مى شود؛ اگر حاضر نكرد در اين مدت، ساقط مى شود شفعۀ او</w:t>
      </w:r>
      <w:r>
        <w:rPr>
          <w:rStyle w:val="FootnoteAnchor"/>
          <w:rtl w:val="true"/>
        </w:rPr>
        <w:footnoteReference w:id="3"/>
      </w:r>
      <w:r>
        <w:rPr>
          <w:rFonts w:ascii="IRNazanin" w:hAnsi="IRNazanin" w:eastAsia="IRNazanin"/>
          <w:color w:val="111111"/>
          <w:sz w:val="28"/>
          <w:sz w:val="28"/>
          <w:szCs w:val="28"/>
          <w:rtl w:val="true"/>
          <w:lang w:bidi="fa-IR"/>
        </w:rPr>
        <w:t xml:space="preserve">اگر چه اخذ به شفعه قبل از تأجيل كرده باشد بنا بر اظهر مبنىّ بر عدم ظهور رضا به تأخير از مشترى در اسقاط حق و انفاذ اخذ به شفعه تا آنكه طريقى براى تخلص از ضرر جز خيار فسخ نداشته باشد، با آنكه رضاى مشترى به اخذ شفيع، غير لازم و غير مؤثّر و غير مفروض است، و مقتضاى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انتفاى شفعه به عدم توفيه است، و متدارك به خيار، ضررِ رفع يد از خصوصيّت نيست، بلكه ضرر رفع يد از مجموع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مدّعى مدّت حمل ثمن از بلد ديگر باشد زائد بر سه روز، در مقدار رفت و آمد و حمل ثمن، امهال مى شود</w:t>
      </w:r>
      <w:r>
        <w:rPr>
          <w:rFonts w:eastAsia="IRNazanin" w:cs="IRNazanin"/>
          <w:color w:val="111111"/>
          <w:sz w:val="28"/>
          <w:szCs w:val="28"/>
          <w:rtl w:val="true"/>
          <w:lang w:bidi="fa-IR"/>
        </w:rPr>
        <w:t xml:space="preserve">. </w:t>
      </w:r>
      <w:bookmarkStart w:id="60" w:name="pg10275_96313"/>
    </w:p>
    <w:p>
      <w:pPr>
        <w:pStyle w:val="Heading4"/>
        <w:numPr>
          <w:ilvl w:val="3"/>
          <w:numId w:val="1"/>
        </w:numPr>
        <w:rPr/>
      </w:pPr>
      <w:bookmarkStart w:id="61" w:name="__RefHeading___Toc3971033_1067777946"/>
      <w:bookmarkStart w:id="62" w:name="_Toc24"/>
      <w:bookmarkEnd w:id="60"/>
      <w:bookmarkEnd w:id="61"/>
      <w:r>
        <w:rPr>
          <w:rtl w:val="true"/>
        </w:rPr>
        <w:t>سقوط شفعه با مماطلۀ شريك</w:t>
      </w:r>
      <w:bookmarkEnd w:id="62"/>
    </w:p>
    <w:p>
      <w:pPr>
        <w:pStyle w:val="BookText"/>
        <w:rPr/>
      </w:pPr>
      <w:r>
        <w:rPr>
          <w:rFonts w:ascii="IRNazanin" w:hAnsi="IRNazanin" w:eastAsia="IRNazanin"/>
          <w:color w:val="111111"/>
          <w:sz w:val="28"/>
          <w:sz w:val="28"/>
          <w:szCs w:val="28"/>
          <w:rtl w:val="true"/>
          <w:lang w:bidi="fa-IR"/>
        </w:rPr>
        <w:t xml:space="preserve">و با مماطله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امتناع از تأديه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امهال داده نمى شود به نحوى كه غير او امهال مى شود، بلكه مثل عجز مطلق، شفعه با آن ساقط مى شود؛ و تضرر شفيع مؤثّر است در صورت مماثلت او با مشترى در تأديۀ خصوص ثمن نه در صورت عجز يا مماطله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هَرَب كه اقوى از مماطله است در غير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فرقى بين قبل از اخذ به شفعه و بعد از آن نيست و در هر دو، شفعه منتفى است، نه چنانچه فرموده شده تفصيل است بين تحقّق اين امور قبل از اخذ به شفعه و بعد از آن و در دومى خيار فسخ براى مشترى ثابت است</w:t>
      </w:r>
      <w:r>
        <w:rPr>
          <w:rFonts w:eastAsia="IRNazanin" w:cs="IRNazanin"/>
          <w:color w:val="111111"/>
          <w:sz w:val="28"/>
          <w:szCs w:val="28"/>
          <w:rtl w:val="true"/>
          <w:lang w:bidi="fa-IR"/>
        </w:rPr>
        <w:t>.</w:t>
      </w:r>
    </w:p>
    <w:p>
      <w:pPr>
        <w:pStyle w:val="Heading4"/>
        <w:numPr>
          <w:ilvl w:val="3"/>
          <w:numId w:val="1"/>
        </w:numPr>
        <w:rPr/>
      </w:pPr>
      <w:bookmarkStart w:id="63" w:name="__RefHeading___Toc3971035_1067777946"/>
      <w:bookmarkStart w:id="64" w:name="_Toc25"/>
      <w:bookmarkEnd w:id="63"/>
      <w:r>
        <w:rPr>
          <w:rtl w:val="true"/>
        </w:rPr>
        <w:t>شروع سه روز مهلت</w:t>
      </w:r>
      <w:bookmarkEnd w:id="64"/>
    </w:p>
    <w:p>
      <w:pPr>
        <w:pStyle w:val="BookText"/>
        <w:rPr/>
      </w:pPr>
      <w:r>
        <w:rPr>
          <w:rFonts w:ascii="IRNazanin" w:hAnsi="IRNazanin" w:eastAsia="IRNazanin"/>
          <w:color w:val="111111"/>
          <w:sz w:val="28"/>
          <w:sz w:val="28"/>
          <w:szCs w:val="28"/>
          <w:rtl w:val="true"/>
          <w:lang w:bidi="fa-IR"/>
        </w:rPr>
        <w:t>دور نيست كه ابتداى ثلاثه ايام تأجيلى، زمان مطالبۀ مشترى بعد از اخذ به شفعه از روى استحقاق باشد، نه زمان مجرد بيع اگر چه شريك عالم نباشد، يا اخذ به شفعه نكرده باشد براى 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ثلاثه، تلفيق هم كافى است، و ظاهر در تلفيق ملاحظۀ خصوص وقتى از روز يا شب كه ابتداى ثلاثه است تا مثل آن از روز يا شب بعد است</w:t>
      </w:r>
      <w:r>
        <w:rPr>
          <w:rFonts w:eastAsia="IRNazanin" w:cs="IRNazanin"/>
          <w:color w:val="111111"/>
          <w:sz w:val="28"/>
          <w:szCs w:val="28"/>
          <w:rtl w:val="true"/>
          <w:lang w:bidi="fa-IR"/>
        </w:rPr>
        <w:t>.</w:t>
      </w:r>
    </w:p>
    <w:p>
      <w:pPr>
        <w:pStyle w:val="Heading4"/>
        <w:numPr>
          <w:ilvl w:val="3"/>
          <w:numId w:val="1"/>
        </w:numPr>
        <w:rPr/>
      </w:pPr>
      <w:bookmarkStart w:id="65" w:name="__RefHeading___Toc3971037_1067777946"/>
      <w:bookmarkStart w:id="66" w:name="_Toc26"/>
      <w:bookmarkEnd w:id="65"/>
      <w:r>
        <w:rPr>
          <w:rtl w:val="true"/>
        </w:rPr>
        <w:t>احتياج شفيع به مهلتى بيش از سه روز</w:t>
      </w:r>
      <w:bookmarkEnd w:id="66"/>
    </w:p>
    <w:p>
      <w:pPr>
        <w:pStyle w:val="BookText"/>
        <w:rPr/>
      </w:pPr>
      <w:r>
        <w:rPr>
          <w:rFonts w:ascii="IRNazanin" w:hAnsi="IRNazanin" w:eastAsia="IRNazanin"/>
          <w:color w:val="111111"/>
          <w:sz w:val="28"/>
          <w:sz w:val="28"/>
          <w:szCs w:val="28"/>
          <w:rtl w:val="true"/>
          <w:lang w:bidi="fa-IR"/>
        </w:rPr>
        <w:t>و اگر محتاج شد شفيع به ازيد از سه روز به واسطۀ غيبت ثمن و وجود آن در بلد ديگر، مقدار زمان رفت و آمد در آن بلد مزيد بر ثلاثه ملحوظ مى شود در صورتى كه فوق العاده و موجب تضرر مشترى نباشد</w:t>
      </w:r>
      <w:r>
        <w:rPr>
          <w:rFonts w:eastAsia="IRNazanin" w:cs="IRNazanin"/>
          <w:color w:val="111111"/>
          <w:sz w:val="28"/>
          <w:szCs w:val="28"/>
          <w:rtl w:val="true"/>
          <w:lang w:bidi="fa-IR"/>
        </w:rPr>
        <w:t>.</w:t>
      </w:r>
    </w:p>
    <w:p>
      <w:pPr>
        <w:pStyle w:val="Heading4"/>
        <w:numPr>
          <w:ilvl w:val="3"/>
          <w:numId w:val="1"/>
        </w:numPr>
        <w:rPr/>
      </w:pPr>
      <w:bookmarkStart w:id="67" w:name="__RefHeading___Toc3971039_1067777946"/>
      <w:bookmarkStart w:id="68" w:name="_Toc27"/>
      <w:bookmarkEnd w:id="67"/>
      <w:r>
        <w:rPr>
          <w:rtl w:val="true"/>
        </w:rPr>
        <w:t>عدم مانعيت غيبت شريك از استحقاق شفعه</w:t>
      </w:r>
      <w:bookmarkEnd w:id="6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غائب بودن شريكْ‌، مانع از استحقاق شفعه نيست، بلكه اگر وكيل عام و مطلق دارد در بلد بيع حاضر است؛ و اگر ترك انشا اخذ نمود با علم به مباشرت و توكيل به حدّى كه موجب اضرار بر مشترى باشد بيش از سه روز و زيادتى متعارفه كه مورد احتياج در رفت و آمد باشد يا وصول به مقصود به توسط وكيل باشد، شفعۀ او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9" w:name="pg10275_96314"/>
    </w:p>
    <w:p>
      <w:pPr>
        <w:pStyle w:val="BookText"/>
        <w:rPr/>
      </w:pPr>
      <w:bookmarkEnd w:id="69"/>
      <w:r>
        <w:rPr>
          <w:rFonts w:ascii="IRNazanin" w:hAnsi="IRNazanin" w:eastAsia="IRNazanin"/>
          <w:color w:val="111111"/>
          <w:sz w:val="28"/>
          <w:sz w:val="28"/>
          <w:szCs w:val="28"/>
          <w:rtl w:val="true"/>
          <w:lang w:bidi="fa-IR"/>
        </w:rPr>
        <w:t>دور نيست تحديد حاضر به سه روز عذر و زيادتى متعارفۀ مذكوره، در غائب هم جارى باشد؛ پس اگر غيبت به حد اضرار بيش از مقدار مذكور در حاضر معذور طول بكشد، دور نيست سقوط شفعه از اول يا در زمان زيادتى اضرار بر اضرار مغتفر از حاضر معذور</w:t>
      </w:r>
      <w:r>
        <w:rPr>
          <w:rFonts w:eastAsia="IRNazanin" w:cs="IRNazanin"/>
          <w:color w:val="111111"/>
          <w:sz w:val="28"/>
          <w:szCs w:val="28"/>
          <w:rtl w:val="true"/>
          <w:lang w:bidi="fa-IR"/>
        </w:rPr>
        <w:t>.</w:t>
      </w:r>
    </w:p>
    <w:p>
      <w:pPr>
        <w:pStyle w:val="Heading4"/>
        <w:numPr>
          <w:ilvl w:val="3"/>
          <w:numId w:val="1"/>
        </w:numPr>
        <w:rPr/>
      </w:pPr>
      <w:bookmarkStart w:id="70" w:name="__RefHeading___Toc3971041_1067777946"/>
      <w:bookmarkStart w:id="71" w:name="_Toc28"/>
      <w:bookmarkEnd w:id="70"/>
      <w:r>
        <w:rPr>
          <w:rtl w:val="true"/>
        </w:rPr>
        <w:t>حكم حاضرى كه بخاطر عذرى، متمكن از اخذ به شفعه نباشد</w:t>
      </w:r>
      <w:bookmarkEnd w:id="71"/>
    </w:p>
    <w:p>
      <w:pPr>
        <w:pStyle w:val="BookText"/>
        <w:rPr/>
      </w:pPr>
      <w:r>
        <w:rPr>
          <w:rFonts w:ascii="IRNazanin" w:hAnsi="IRNazanin" w:eastAsia="IRNazanin"/>
          <w:color w:val="111111"/>
          <w:sz w:val="28"/>
          <w:sz w:val="28"/>
          <w:szCs w:val="28"/>
          <w:rtl w:val="true"/>
          <w:lang w:bidi="fa-IR"/>
        </w:rPr>
        <w:t xml:space="preserve">و هم چنين است حال در حاضرى كه به سببى از اعذار، متمكّن از اخذ به شفعه و لوازم آن نباشد، مثل مرض و حبس به غير حق يا به حق با عدم قدرت، در تحديد به سه روز و زيادتيهايى كه ممكن است به مثل احتياج حاضر در تحصيل ثمن عارض بشود به نحو متعارف، نه آنكه اضرار او از متعارف خارج باشد، پس تحديد، مربوط به معذور است، و غير معذور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مماطل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تحديد مذكور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است حال مغمى عليه كه صاحب شفعه است و انتظار افاقۀ او را مى نمايند، و در تقدير غايت طول، تحديد به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متقدّم مثل غائب و حاضرِ غير متمكّن 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w:t>
      </w:r>
      <w:r>
        <w:rPr>
          <w:rFonts w:eastAsia="IRNazanin" w:cs="IRNazanin"/>
          <w:color w:val="111111"/>
          <w:sz w:val="28"/>
          <w:szCs w:val="28"/>
          <w:rtl w:val="true"/>
          <w:lang w:bidi="fa-IR"/>
        </w:rPr>
        <w:t>.</w:t>
      </w:r>
    </w:p>
    <w:p>
      <w:pPr>
        <w:pStyle w:val="Heading4"/>
        <w:numPr>
          <w:ilvl w:val="3"/>
          <w:numId w:val="1"/>
        </w:numPr>
        <w:rPr/>
      </w:pPr>
      <w:bookmarkStart w:id="72" w:name="__RefHeading___Toc3971043_1067777946"/>
      <w:bookmarkStart w:id="73" w:name="_Toc29"/>
      <w:bookmarkEnd w:id="72"/>
      <w:r>
        <w:rPr>
          <w:rtl w:val="true"/>
        </w:rPr>
        <w:t>جريان فضولى در شفعه</w:t>
      </w:r>
      <w:bookmarkEnd w:id="73"/>
    </w:p>
    <w:p>
      <w:pPr>
        <w:pStyle w:val="BookText"/>
        <w:rPr/>
      </w:pPr>
      <w:r>
        <w:rPr>
          <w:rFonts w:ascii="IRNazanin" w:hAnsi="IRNazanin" w:eastAsia="IRNazanin"/>
          <w:color w:val="111111"/>
          <w:sz w:val="28"/>
          <w:sz w:val="28"/>
          <w:szCs w:val="28"/>
          <w:rtl w:val="true"/>
          <w:lang w:bidi="fa-IR"/>
        </w:rPr>
        <w:t>و هم چنين لحوق شفعه به سائر ايقاعات قابلۀ جريان فضوليت در آنها با اجازۀ كاشفه، خالى از وجه نيست</w:t>
      </w:r>
      <w:r>
        <w:rPr>
          <w:rFonts w:eastAsia="IRNazanin" w:cs="IRNazanin"/>
          <w:color w:val="111111"/>
          <w:sz w:val="28"/>
          <w:szCs w:val="28"/>
          <w:rtl w:val="true"/>
          <w:lang w:bidi="fa-IR"/>
        </w:rPr>
        <w:t>.</w:t>
      </w:r>
    </w:p>
    <w:p>
      <w:pPr>
        <w:pStyle w:val="Heading4"/>
        <w:numPr>
          <w:ilvl w:val="3"/>
          <w:numId w:val="1"/>
        </w:numPr>
        <w:rPr/>
      </w:pPr>
      <w:bookmarkStart w:id="74" w:name="__RefHeading___Toc3971045_1067777946"/>
      <w:bookmarkStart w:id="75" w:name="_Toc30"/>
      <w:bookmarkEnd w:id="74"/>
      <w:r>
        <w:rPr>
          <w:rtl w:val="true"/>
        </w:rPr>
        <w:t>ثبوت حق شفعه براى شريك سفيد</w:t>
      </w:r>
      <w:bookmarkEnd w:id="7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ثابت است حق شفعه براى شريك سفيه، مثل سائر املاك و حقوق ماليۀ قهريّه؛ و متولى اخذ به شفعه، ولىّ او يا مأذون ولىّ است؛ و متولى دفع ثمن، ولىّ يا مأذون ولىّ است؛ و در صورت صحّت اخذ و وقوع آن، تأخير در دفع ثمن با رضاى مشترى، موجب بطلان اخذ نمى شود، مثل تأخير مرضىّ از غير سفيه و مثل ابراء از ثمن</w:t>
      </w:r>
      <w:r>
        <w:rPr>
          <w:rFonts w:eastAsia="Amiri" w:cs="Amiri" w:ascii="Amiri" w:hAnsi="Amiri"/>
          <w:color w:val="111111"/>
          <w:sz w:val="28"/>
          <w:szCs w:val="28"/>
          <w:rtl w:val="true"/>
          <w:lang w:bidi="ar-SA"/>
        </w:rPr>
        <w:t xml:space="preserve">. </w:t>
      </w:r>
      <w:bookmarkStart w:id="76" w:name="pg10275_96315"/>
    </w:p>
    <w:p>
      <w:pPr>
        <w:pStyle w:val="Heading4"/>
        <w:numPr>
          <w:ilvl w:val="3"/>
          <w:numId w:val="1"/>
        </w:numPr>
        <w:rPr/>
      </w:pPr>
      <w:bookmarkStart w:id="77" w:name="__RefHeading___Toc3971047_1067777946"/>
      <w:bookmarkStart w:id="78" w:name="_Toc31"/>
      <w:bookmarkEnd w:id="76"/>
      <w:bookmarkEnd w:id="77"/>
      <w:r>
        <w:rPr>
          <w:rtl w:val="true"/>
        </w:rPr>
        <w:t>ثبوت شفعه براى مفلّس</w:t>
      </w:r>
      <w:bookmarkEnd w:id="78"/>
    </w:p>
    <w:p>
      <w:pPr>
        <w:pStyle w:val="BookText"/>
        <w:rPr/>
      </w:pPr>
      <w:r>
        <w:rPr>
          <w:rFonts w:ascii="Amiri" w:hAnsi="Amiri" w:eastAsia="Amiri" w:cs="Amiri"/>
          <w:color w:val="111111"/>
          <w:sz w:val="28"/>
          <w:sz w:val="28"/>
          <w:szCs w:val="28"/>
          <w:rtl w:val="true"/>
          <w:lang w:bidi="ar-SA"/>
        </w:rPr>
        <w:t>و براى مفلّس ثابت است حق شفعه، مثل ثبوت املاك به ارث؛ و به اخذ به شفعه، مالك شقص مبيع مى شود؛ و با رضاى مشترى به بقاى ثمن يا استدانه از غير يا از متعلّق حق غرما با اذن ايشان، رعايت حق مشترى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اخذ و تملّك شقص بر تقديرى كه سائر املاك متجدّده بعد از تفليس، متعلّق حق غرما مى شود، مأخوذ به شفعه هم داخل در متعلّق حق ايشان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غرما نمى توانند اجبار نمايند بر اخذ به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بذل ثمن نمايند، چنانچه نمى توانند اجبار بر اكتساب مال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منع نمايند از اخذ به شفعه</w:t>
      </w:r>
      <w:r>
        <w:rPr>
          <w:rFonts w:eastAsia="IRNazanin" w:cs="IRNazanin"/>
          <w:color w:val="111111"/>
          <w:sz w:val="28"/>
          <w:szCs w:val="28"/>
          <w:rtl w:val="true"/>
          <w:lang w:bidi="fa-IR"/>
        </w:rPr>
        <w:t>.</w:t>
      </w:r>
    </w:p>
    <w:p>
      <w:pPr>
        <w:pStyle w:val="Heading4"/>
        <w:numPr>
          <w:ilvl w:val="3"/>
          <w:numId w:val="1"/>
        </w:numPr>
        <w:rPr/>
      </w:pPr>
      <w:bookmarkStart w:id="79" w:name="__RefHeading___Toc3971049_1067777946"/>
      <w:bookmarkStart w:id="80" w:name="_Toc32"/>
      <w:bookmarkEnd w:id="79"/>
      <w:r>
        <w:rPr>
          <w:rtl w:val="true"/>
        </w:rPr>
        <w:t>اگر شفيع، متمكن از تاديۀ ثمن نشد</w:t>
      </w:r>
      <w:bookmarkEnd w:id="80"/>
    </w:p>
    <w:p>
      <w:pPr>
        <w:pStyle w:val="BookText"/>
        <w:rPr/>
      </w:pPr>
      <w:r>
        <w:rPr>
          <w:rFonts w:ascii="IRNazanin" w:hAnsi="IRNazanin" w:eastAsia="IRNazanin"/>
          <w:color w:val="111111"/>
          <w:sz w:val="28"/>
          <w:sz w:val="28"/>
          <w:szCs w:val="28"/>
          <w:rtl w:val="true"/>
          <w:lang w:bidi="fa-IR"/>
        </w:rPr>
        <w:t>و چون حق مشترى به لوازم اخذ به شفعه سابق است، پس اگر بعد از اخذ به شفعه متمكّن از تأديۀ ثمن از طريقى نشد، مى تواند انتزاع نمايد از شفيع، به جهت بطلان شفعه به اخذ غير قادر بر اداء ثمن</w:t>
      </w:r>
      <w:r>
        <w:rPr>
          <w:rFonts w:eastAsia="IRNazanin" w:cs="IRNazanin"/>
          <w:color w:val="111111"/>
          <w:sz w:val="28"/>
          <w:szCs w:val="28"/>
          <w:rtl w:val="true"/>
          <w:lang w:bidi="fa-IR"/>
        </w:rPr>
        <w:t>.</w:t>
      </w:r>
    </w:p>
    <w:p>
      <w:pPr>
        <w:pStyle w:val="Heading4"/>
        <w:numPr>
          <w:ilvl w:val="3"/>
          <w:numId w:val="1"/>
        </w:numPr>
        <w:rPr/>
      </w:pPr>
      <w:bookmarkStart w:id="81" w:name="__RefHeading___Toc3971051_1067777946"/>
      <w:bookmarkStart w:id="82" w:name="_Toc33"/>
      <w:bookmarkEnd w:id="81"/>
      <w:r>
        <w:rPr>
          <w:rtl w:val="true"/>
        </w:rPr>
        <w:t>ثبوت شفعه براى صبى و مجنون و وظيفۀ ولى</w:t>
      </w:r>
      <w:bookmarkEnd w:id="82"/>
    </w:p>
    <w:p>
      <w:pPr>
        <w:pStyle w:val="BookText"/>
        <w:rPr/>
      </w:pPr>
      <w:r>
        <w:rPr>
          <w:rFonts w:ascii="IRNazanin" w:hAnsi="IRNazanin" w:eastAsia="IRNazanin"/>
          <w:color w:val="111111"/>
          <w:sz w:val="28"/>
          <w:sz w:val="28"/>
          <w:szCs w:val="28"/>
          <w:rtl w:val="true"/>
          <w:lang w:bidi="fa-IR"/>
        </w:rPr>
        <w:t>و هم چنين شفعه ثابت است براى صبى و مجنون؛ و متولى اخذ به شفعه ولىّ آنها است با 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وصىّ اب و جد و مانند او از كسانى كه جائز بشود تصرفات او، محتمل است مزيد رعايت وجود مصلحت در اخذ به شفعه، بلكه فى الجمله محل احتياط لزومى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مجرد ترك ولىّ مطالبۀ شفعه را با آنكه مصلحت داشت، از روى قصور يا تقصير، حقّ مولّى عليه ساقط نمى شود، بلكه با بلوغ يا افاقه مى تواند اخذ به شفعه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عفو و اسقاط ولىّ در صورت مذكوره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مفسدۀ بر مولّى عليه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نيست و حق باقى است؛ و اگر ولىّ خواست بعد از عفو مذكور با بقاى ولايتش اخذ به شفعه نمايد نافذ است، مثل نفوذ اخذ از خود صاحب حق بعد از كمال</w:t>
      </w:r>
      <w:r>
        <w:rPr>
          <w:rFonts w:eastAsia="IRNazanin" w:cs="IRNazanin"/>
          <w:color w:val="111111"/>
          <w:sz w:val="28"/>
          <w:szCs w:val="28"/>
          <w:rtl w:val="true"/>
          <w:lang w:bidi="fa-IR"/>
        </w:rPr>
        <w:t xml:space="preserve">. </w:t>
      </w:r>
      <w:bookmarkStart w:id="83" w:name="pg10275_96316"/>
    </w:p>
    <w:p>
      <w:pPr>
        <w:pStyle w:val="BookText"/>
        <w:rPr/>
      </w:pPr>
      <w:bookmarkEnd w:id="83"/>
      <w:r>
        <w:rPr>
          <w:rFonts w:ascii="Amiri" w:hAnsi="Amiri" w:eastAsia="Amiri" w:cs="Amiri"/>
          <w:color w:val="111111"/>
          <w:sz w:val="28"/>
          <w:sz w:val="28"/>
          <w:szCs w:val="28"/>
          <w:rtl w:val="true"/>
          <w:lang w:bidi="ar-SA"/>
        </w:rPr>
        <w:t>و در صورتى كه در انتظار طولانى، مشترى متضرر باشد و ولىّ انجام عملى ندهد و مشترى جاهل به شريك يا خصوصيّت او بوده، دور نيست خيار فسخ ثابت باشد براى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اخذ ولىّ با وجود مفسده در اخذ، بى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ثمن مضمون است، و شقص، باقى در ملك مشترى است، و بعد از كمال، حق شفعه ثابت است، مگر مُسقطى مثل عجز از ثمن و اعسار محقّق شده باشد و آن، مفروضِ اين فرع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عدم غبطه در مورد احتياط به اعتبار آن، مورد تأمّل و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وجود مصلحت در عفو و اسقاط ولىّ حق را يا اكتفاى به عدم مفسده، حق ساقط مى شود مثل عفو صاحب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صورت جهل به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عدم مفسده در اخذ يا ترك يا اسقاط ولىّ يا در وجود مصلحت در تقدير لزوم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مى شود فعل ولىّ بر صحيح، و به مقتضاى آن و لازم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بقاى حق يا سقوط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مى شود به ترتيب مذكور، مثل سائر تصرفات اوليا در اموال مولّى عليهم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971053_1067777946"/>
      <w:bookmarkStart w:id="85" w:name="_Toc34"/>
      <w:bookmarkEnd w:id="84"/>
      <w:r>
        <w:rPr>
          <w:rtl w:val="true"/>
        </w:rPr>
        <w:t>ثبوت حق شفعه براى كافر</w:t>
      </w:r>
      <w:bookmarkEnd w:id="85"/>
    </w:p>
    <w:p>
      <w:pPr>
        <w:pStyle w:val="BookText"/>
        <w:rPr/>
      </w:pPr>
      <w:r>
        <w:rPr>
          <w:rFonts w:ascii="IRNazanin" w:hAnsi="IRNazanin" w:eastAsia="IRNazanin"/>
          <w:color w:val="111111"/>
          <w:sz w:val="28"/>
          <w:sz w:val="28"/>
          <w:szCs w:val="28"/>
          <w:rtl w:val="true"/>
          <w:lang w:bidi="fa-IR"/>
        </w:rPr>
        <w:t>كافر، بر مماثل خود در كفر، حق شفعه براى او ثابت است اگر چه بائع، مسلمان باشد، نه بر مسلم اگر چه بائع، ذمى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مسلم ثابت است حق شفعه بر مشترى مسلم و كافر</w:t>
      </w:r>
      <w:r>
        <w:rPr>
          <w:rFonts w:eastAsia="IRNazanin" w:cs="IRNazanin"/>
          <w:color w:val="111111"/>
          <w:sz w:val="28"/>
          <w:szCs w:val="28"/>
          <w:rtl w:val="true"/>
          <w:lang w:bidi="fa-IR"/>
        </w:rPr>
        <w:t>.</w:t>
      </w:r>
    </w:p>
    <w:p>
      <w:pPr>
        <w:pStyle w:val="Heading4"/>
        <w:numPr>
          <w:ilvl w:val="3"/>
          <w:numId w:val="1"/>
        </w:numPr>
        <w:rPr/>
      </w:pPr>
      <w:bookmarkStart w:id="86" w:name="__RefHeading___Toc3971055_1067777946"/>
      <w:bookmarkStart w:id="87" w:name="_Toc35"/>
      <w:bookmarkEnd w:id="86"/>
      <w:r>
        <w:rPr>
          <w:rtl w:val="true"/>
        </w:rPr>
        <w:t>شفعه در موردى كه ولى، مال مشترك بين خود و مولّى عليه را بفروشد</w:t>
      </w:r>
      <w:bookmarkEnd w:id="8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 و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نمود مال يتيم يا مجنون را به نحوى كه صحيح باشد، شقص مشترك بين خود و مولّى عليه را، براى او حق شفعه ثابت است و به منزلۀ خريدن مال آنها است با شرط عدم مفسده يا وجود مصلحت؛ لكن در مقام اخذ، تصرّف در مال مشترى است و شرطى ديگر ندارد با صحّت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ولىّ‌ </w:t>
      </w:r>
      <w:bookmarkStart w:id="88" w:name="pg10275_96317"/>
    </w:p>
    <w:p>
      <w:pPr>
        <w:pStyle w:val="BookText"/>
        <w:rPr/>
      </w:pPr>
      <w:bookmarkEnd w:id="88"/>
      <w:r>
        <w:rPr>
          <w:rFonts w:ascii="IRNazanin" w:hAnsi="IRNazanin" w:eastAsia="IRNazanin"/>
          <w:color w:val="111111"/>
          <w:sz w:val="28"/>
          <w:sz w:val="28"/>
          <w:szCs w:val="28"/>
          <w:rtl w:val="true"/>
          <w:lang w:bidi="fa-IR"/>
        </w:rPr>
        <w:t>اشتراء نمود مشترك بين خود و ديگرى را براى يتيم يا مجنون، مى تواند اخذ به شفعه براى شخص خود نمايد با صحّت 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وكيل در بيع يا اشتراء شقص، مى تواند اخذ به شفعه براى خودش نمايد مورد معامله كه مشترك بوده بين خودش و ديگرى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همۀ اين صور، بايع و مشترى در حقيقت غير شفيع شريك است، و نفس معامله اسقاط شفعه نيست</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971057_1067777946"/>
      <w:bookmarkStart w:id="90" w:name="_Toc36"/>
      <w:bookmarkEnd w:id="89"/>
      <w:r>
        <w:rPr>
          <w:rtl w:val="true"/>
        </w:rPr>
        <w:t>ثبوت شفعه براى ولد و وصى نسبت به والد و موصى</w:t>
      </w:r>
      <w:bookmarkEnd w:id="90"/>
    </w:p>
    <w:p>
      <w:pPr>
        <w:pStyle w:val="BookText"/>
        <w:rPr/>
      </w:pPr>
      <w:r>
        <w:rPr>
          <w:rFonts w:ascii="IRNazanin" w:hAnsi="IRNazanin" w:eastAsia="IRNazanin"/>
          <w:color w:val="111111"/>
          <w:sz w:val="28"/>
          <w:sz w:val="28"/>
          <w:szCs w:val="28"/>
          <w:rtl w:val="true"/>
          <w:lang w:bidi="fa-IR"/>
        </w:rPr>
        <w:t>و هم چنين ولد بر والد، استحقاق شفعه دارد در صورتى كه با قطع نظر از اين انتساب، استحقاق،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براى وصىّ‌، شفعه است در صورت وقوع معامله از او به وصايت، و در صورت استحقاق با قطع نظر از وصايت، در آنچه خودش شريك بوده است</w:t>
      </w:r>
      <w:r>
        <w:rPr>
          <w:rFonts w:eastAsia="IRNazanin" w:cs="IRNazanin"/>
          <w:color w:val="111111"/>
          <w:sz w:val="28"/>
          <w:szCs w:val="28"/>
          <w:rtl w:val="true"/>
          <w:lang w:bidi="fa-IR"/>
        </w:rPr>
        <w:t>.</w:t>
      </w:r>
    </w:p>
    <w:p>
      <w:pPr>
        <w:pStyle w:val="Heading4"/>
        <w:numPr>
          <w:ilvl w:val="3"/>
          <w:numId w:val="1"/>
        </w:numPr>
        <w:rPr/>
      </w:pPr>
      <w:bookmarkStart w:id="91" w:name="__RefHeading___Toc3971059_1067777946"/>
      <w:bookmarkStart w:id="92" w:name="_Toc37"/>
      <w:bookmarkEnd w:id="91"/>
      <w:r>
        <w:rPr>
          <w:rtl w:val="true"/>
        </w:rPr>
        <w:t>ثبوت شفعه براى عبد و مكاتب</w:t>
      </w:r>
      <w:bookmarkEnd w:id="92"/>
    </w:p>
    <w:p>
      <w:pPr>
        <w:pStyle w:val="BookText"/>
        <w:rPr/>
      </w:pPr>
      <w:r>
        <w:rPr>
          <w:rFonts w:ascii="IRNazanin" w:hAnsi="IRNazanin" w:eastAsia="IRNazanin"/>
          <w:color w:val="111111"/>
          <w:sz w:val="28"/>
          <w:sz w:val="28"/>
          <w:szCs w:val="28"/>
          <w:rtl w:val="true"/>
          <w:lang w:bidi="fa-IR"/>
        </w:rPr>
        <w:t>و هم چنين عبد مأذون كه معاملۀ او و اخذ به شفعۀ او براى مالكِ آذن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مكاتب، براى او اخذ به شفعه است در محلى كه آزاد، مستحق آن است، چه كتابت مطلقه باشد يا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مكاتب، شقص مشترك را به مولى فروخت به عوض مال الكتابه، شريك فروشنده اخذ به شفعه را مستحق است؛ پس اگر مشروطه بود و فسخ شد كتابت، پس آيا استحقاق شفعه باقى است اعتبار او به حال بيع يا آنكه مكشوف، زوال آنست به انتفاى مال الكتابه به فسخ كتابت و بودن بيع در اصل بلاثمن‌؟ اوّلى خالى از رجحان نيست، و مبنا انفساخ از زمان عجز است نه از اصل مكاتبه و لوازم آن</w:t>
      </w:r>
      <w:r>
        <w:rPr>
          <w:rFonts w:eastAsia="IRNazanin" w:cs="IRNazanin"/>
          <w:color w:val="111111"/>
          <w:sz w:val="28"/>
          <w:szCs w:val="28"/>
          <w:rtl w:val="true"/>
          <w:lang w:bidi="fa-IR"/>
        </w:rPr>
        <w:t>.</w:t>
      </w:r>
    </w:p>
    <w:p>
      <w:pPr>
        <w:pStyle w:val="Heading4"/>
        <w:numPr>
          <w:ilvl w:val="3"/>
          <w:numId w:val="1"/>
        </w:numPr>
        <w:rPr/>
      </w:pPr>
      <w:bookmarkStart w:id="93" w:name="__RefHeading___Toc3971061_1067777946"/>
      <w:bookmarkStart w:id="94" w:name="_Toc38"/>
      <w:bookmarkEnd w:id="93"/>
      <w:r>
        <w:rPr>
          <w:rtl w:val="true"/>
        </w:rPr>
        <w:t>شفعه در مضاربه</w:t>
      </w:r>
      <w:bookmarkEnd w:id="9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عامل مضاربه، شقص مشترك بين صاحب مال قراض و ديگرى را، از غير خريد </w:t>
      </w:r>
      <w:bookmarkStart w:id="95" w:name="pg10275_96318"/>
    </w:p>
    <w:p>
      <w:pPr>
        <w:pStyle w:val="BookText"/>
        <w:rPr/>
      </w:pPr>
      <w:bookmarkEnd w:id="95"/>
      <w:r>
        <w:rPr>
          <w:rFonts w:ascii="IRNazanin" w:hAnsi="IRNazanin" w:eastAsia="IRNazanin"/>
          <w:color w:val="111111"/>
          <w:sz w:val="28"/>
          <w:sz w:val="28"/>
          <w:szCs w:val="28"/>
          <w:rtl w:val="true"/>
          <w:lang w:bidi="fa-IR"/>
        </w:rPr>
        <w:t>بدون ربحى از آن شراء، پس تمام را مالك مى شود صاحب مال به اين شراء، و محلى براى شفعه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فسخ مضاربه، عامل، مستحق اجرت المثل براى عمل مأذون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ربح ظاهر شد، پس عامل اگر چه شريك با صاحب مال مى شود، لكن شركت آن به تعلّق بيع بر حصه اى از مشاع نيست، بلكه به سببيّت بيع به آن جهت كه فائدۀ شراء سابق است پس محلى براى شفعه براى صاحب 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خصوصيّات و تفاصيل اين فرع، مربوط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6" w:name="__RefHeading___Toc3971063_1067777946"/>
      <w:bookmarkStart w:id="97" w:name="_Toc39"/>
      <w:bookmarkEnd w:id="96"/>
      <w:r>
        <w:rPr>
          <w:rtl w:val="true"/>
        </w:rPr>
        <w:t>تفريعات بر ثبوت شفعه با كثرت شفعا</w:t>
      </w:r>
      <w:bookmarkEnd w:id="97"/>
    </w:p>
    <w:p>
      <w:pPr>
        <w:pStyle w:val="Heading5"/>
        <w:numPr>
          <w:ilvl w:val="4"/>
          <w:numId w:val="1"/>
        </w:numPr>
        <w:rPr/>
      </w:pPr>
      <w:bookmarkStart w:id="98" w:name="__RefHeading___Toc3971065_1067777946"/>
      <w:bookmarkStart w:id="99" w:name="_Toc40"/>
      <w:bookmarkEnd w:id="98"/>
      <w:r>
        <w:rPr>
          <w:rtl w:val="true"/>
        </w:rPr>
        <w:t>تعدد شركا و عفو بعضى و اخذ به شفعۀ بعضى ديگر</w:t>
      </w:r>
      <w:bookmarkEnd w:id="99"/>
    </w:p>
    <w:p>
      <w:pPr>
        <w:pStyle w:val="Heading6"/>
        <w:numPr>
          <w:ilvl w:val="5"/>
          <w:numId w:val="1"/>
        </w:numPr>
        <w:rPr/>
      </w:pPr>
      <w:bookmarkStart w:id="100" w:name="__RefHeading___Toc3971067_1067777946"/>
      <w:bookmarkStart w:id="101" w:name="_Toc41"/>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شفعا چهار نفر مثلاً بودند، پس يكى حصّۀ خود را فروخت با علم مشترى به تعدّد شفعا و دومى عفو كرد، براى دو نفرِ ديگر حق شفعه هست، و هر كدام به قدر حق خودش كه يك چهارم مبيع است مى تواند اخذ به شفعه نمايد و به قدر تمام مبيع، استحقاق اخذ ندارد، اگر چه اَولىٰ ترك تبعيض مضرّ به مشترى است، بلكه با معيّت يك نفر ديگر در تمام مبيع اخذ به شفعه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وجه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اتحاد شفيع و بنا بر اعتبار وحدت او و توريث جماعتى به صفت مذكوره، مگر بنا بر آنكه اخذ ورثه براى مورِّث است و تلقّى ورثه از او بعد از اخذ مى شود و عفو بعضى به منزله عفو مورِّث است و مسقط حق شفعۀ مورِّث است كه پس از آن وارث نمى تواند تبعيض در اخذ نمايد</w:t>
      </w:r>
      <w:r>
        <w:rPr>
          <w:rFonts w:eastAsia="IRNazanin" w:cs="IRNazanin"/>
          <w:color w:val="111111"/>
          <w:sz w:val="28"/>
          <w:szCs w:val="28"/>
          <w:rtl w:val="true"/>
          <w:lang w:bidi="fa-IR"/>
        </w:rPr>
        <w:t>.</w:t>
      </w:r>
    </w:p>
    <w:p>
      <w:pPr>
        <w:pStyle w:val="Heading6"/>
        <w:numPr>
          <w:ilvl w:val="5"/>
          <w:numId w:val="1"/>
        </w:numPr>
        <w:rPr/>
      </w:pPr>
      <w:bookmarkStart w:id="102" w:name="__RefHeading___Toc3971069_1067777946"/>
      <w:bookmarkStart w:id="103" w:name="_Toc42"/>
      <w:bookmarkEnd w:id="102"/>
      <w:r>
        <w:rPr>
          <w:rtl w:val="true"/>
        </w:rPr>
        <w:t>ثبوت خيار فسخ براى مشترى جاهل به تعدد شريك</w:t>
      </w:r>
      <w:bookmarkEnd w:id="10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مشترى، عالم به تعدّد شريك نبود با معذوريّت عرفيّه در ترك فحص، پس دور نيست كه بعد از علم، به مجرّد اطلاع به معرضيّت مبيع از براى تبعيض در اخذ به شفعه يا بعد از وقوع تبعيض در اخذ، حق خيار فسخ در معامله با بايع داشته باشد بنا بر ثبوت شفعه با تعدّد شركا</w:t>
      </w:r>
      <w:r>
        <w:rPr>
          <w:rFonts w:eastAsia="IRNazanin" w:cs="IRNazanin"/>
          <w:color w:val="111111"/>
          <w:sz w:val="28"/>
          <w:szCs w:val="28"/>
          <w:rtl w:val="true"/>
          <w:lang w:bidi="fa-IR"/>
        </w:rPr>
        <w:t xml:space="preserve">. </w:t>
      </w:r>
      <w:bookmarkStart w:id="104" w:name="pg10275_96319"/>
    </w:p>
    <w:p>
      <w:pPr>
        <w:pStyle w:val="BookText"/>
        <w:rPr/>
      </w:pPr>
      <w:bookmarkEnd w:id="104"/>
      <w:r>
        <w:rPr>
          <w:rFonts w:ascii="IRNazanin" w:hAnsi="IRNazanin" w:eastAsia="IRNazanin"/>
          <w:color w:val="111111"/>
          <w:sz w:val="28"/>
          <w:sz w:val="28"/>
          <w:szCs w:val="28"/>
          <w:rtl w:val="true"/>
          <w:lang w:bidi="fa-IR"/>
        </w:rPr>
        <w:t>و هم چنين اگر عالم به وجود شريك نبود و شفيع به واسطۀ غيبت، معذور از اخذ فعلى باشد و معلوم شود معرضيّت براى اخذ در مدتى كه صبر در آن ضرر است بر مشترى، بعيد نيست خيار فسخ فعلى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قائل به شفعه در صورت تعدّد شركا نباشيم، لكن شريك واحد، قبل از اخذ، وفات نمود و متعدّد، وارث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شفعا در حضور و غيبت، تغييرى در حقوق آنها ايجاب نمى كند و هر كدام مستحق اخذ در نصيب خودش مى باشد كه بر تقدير حضور مى تواند به قدر حصّۀ خودش اخذ به شفعه نمايد؛ و حاضر هم حق اخذ در نصيب خودش دارد به ترتيبى كه در غير اين گونه اختلاف گذشت</w:t>
      </w:r>
      <w:r>
        <w:rPr>
          <w:rFonts w:eastAsia="IRNazanin" w:cs="IRNazanin"/>
          <w:color w:val="111111"/>
          <w:sz w:val="28"/>
          <w:szCs w:val="28"/>
          <w:rtl w:val="true"/>
          <w:lang w:bidi="fa-IR"/>
        </w:rPr>
        <w:t>.</w:t>
      </w:r>
    </w:p>
    <w:p>
      <w:pPr>
        <w:pStyle w:val="Heading5"/>
        <w:numPr>
          <w:ilvl w:val="4"/>
          <w:numId w:val="1"/>
        </w:numPr>
        <w:rPr/>
      </w:pPr>
      <w:bookmarkStart w:id="105" w:name="__RefHeading___Toc3971071_1067777946"/>
      <w:bookmarkStart w:id="106" w:name="_Toc43"/>
      <w:bookmarkEnd w:id="105"/>
      <w:r>
        <w:rPr>
          <w:rtl w:val="true"/>
        </w:rPr>
        <w:t>حق شفعه براى غائب در صورت عدم اخذ يا عفو حاضر</w:t>
      </w:r>
      <w:bookmarkEnd w:id="106"/>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اخذ به شفعه نكرد يا آنكه عفو كرد، براى غائب است اخذ به شفعه در مقدار حق خودش بنا بر مذكور از ثبوت حق براى متعدّدين از شركا يا آنكه تعدّد در وارث واحد مفروض باشد</w:t>
      </w:r>
      <w:r>
        <w:rPr>
          <w:rFonts w:eastAsia="IRNazanin" w:cs="IRNazanin"/>
          <w:color w:val="111111"/>
          <w:sz w:val="28"/>
          <w:szCs w:val="28"/>
          <w:rtl w:val="true"/>
          <w:lang w:bidi="fa-IR"/>
        </w:rPr>
        <w:t>.</w:t>
      </w:r>
    </w:p>
    <w:p>
      <w:pPr>
        <w:pStyle w:val="Heading5"/>
        <w:numPr>
          <w:ilvl w:val="4"/>
          <w:numId w:val="1"/>
        </w:numPr>
        <w:rPr/>
      </w:pPr>
      <w:bookmarkStart w:id="107" w:name="__RefHeading___Toc3971073_1067777946"/>
      <w:bookmarkStart w:id="108" w:name="_Toc44"/>
      <w:bookmarkEnd w:id="107"/>
      <w:r>
        <w:rPr>
          <w:rtl w:val="true"/>
        </w:rPr>
        <w:t>حضور بعضى شركا و اخذ به شفعه و غيبت بعضى</w:t>
      </w:r>
      <w:bookmarkEnd w:id="108"/>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شركا حاضر بود و اخذ به شفعه در نصيب خودش نمود، حقوق غائبين باقى است بنا بر آنچه ذكر شد، فعلاً آنكه اخذ به شفعه نموده است، مقاسمه با مشترى كه مالك فعلى است و غائبين كه صاحبان حق شفعه در باقى مى باشند، امر قسمت به طور يقين انجام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حضور غائب و اخذ به شفعه در مقدار حق خودش، پس اگر غائب يكى بود، چيزى لازم نيست؛ وگرنه پس متعدّدها با اخذ همه به شفعه، مقاسمه با هم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متعدّد حاضر شد، با مقاسمه با وكيل غائب، تعيين حق خودش بعد از اخذ به شفعه مى نمايد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شفيع اول به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اخذ او به شفعه در غير نصيب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ندارد و براى </w:t>
      </w:r>
      <w:bookmarkStart w:id="109" w:name="pg10275_96320"/>
    </w:p>
    <w:p>
      <w:pPr>
        <w:pStyle w:val="BookText"/>
        <w:rPr/>
      </w:pPr>
      <w:bookmarkEnd w:id="109"/>
      <w:r>
        <w:rPr>
          <w:rFonts w:ascii="Amiri" w:hAnsi="Amiri" w:eastAsia="Amiri" w:cs="Amiri"/>
          <w:color w:val="111111"/>
          <w:sz w:val="28"/>
          <w:sz w:val="28"/>
          <w:szCs w:val="28"/>
          <w:rtl w:val="true"/>
          <w:lang w:bidi="ar-SA"/>
        </w:rPr>
        <w:t>غائب، اخذ به شفعه در نصيب خودش باقى است و رد سابق به منزلۀ عفو شريك است در حق خودش</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971075_1067777946"/>
      <w:bookmarkStart w:id="111" w:name="_Toc45"/>
      <w:bookmarkEnd w:id="110"/>
      <w:r>
        <w:rPr>
          <w:rtl w:val="true"/>
        </w:rPr>
        <w:t>لازمۀ استغلال اول شريك به ظهور ثمره</w:t>
      </w:r>
      <w:bookmarkEnd w:id="111"/>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استغلال اول شريك به ظهور ثمره بعد از اخذ او به شفعه، آنچه مملوك او است مأخوذ به قدر حق او و منفعتِ همان، مملوكِ همان شفيع است، و بقيه عيناً و منفعتاً در ملك فعلى مشترى عيناً و متعلّق حق شفيع بعدى است اگر حاضر شد و اخذ به شفعه در حق خودش نمود در آنچه اخذ، تأثير در تغيير آن دارد</w:t>
      </w:r>
      <w:r>
        <w:rPr>
          <w:rFonts w:eastAsia="IRNazanin" w:cs="IRNazanin"/>
          <w:color w:val="111111"/>
          <w:sz w:val="28"/>
          <w:szCs w:val="28"/>
          <w:rtl w:val="true"/>
          <w:lang w:bidi="fa-IR"/>
        </w:rPr>
        <w:t>.</w:t>
      </w:r>
    </w:p>
    <w:p>
      <w:pPr>
        <w:pStyle w:val="Heading5"/>
        <w:numPr>
          <w:ilvl w:val="4"/>
          <w:numId w:val="1"/>
        </w:numPr>
        <w:rPr/>
      </w:pPr>
      <w:bookmarkStart w:id="112" w:name="__RefHeading___Toc3971077_1067777946"/>
      <w:bookmarkStart w:id="113" w:name="_Toc46"/>
      <w:bookmarkEnd w:id="112"/>
      <w:r>
        <w:rPr>
          <w:rtl w:val="true"/>
        </w:rPr>
        <w:t>عدم جواز اناطۀ اخذ به شفعه به حضور سائر شركا</w:t>
      </w:r>
      <w:bookmarkEnd w:id="113"/>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حاضر از شركا است اخذ به شفعه در نصيب خودش يا عفو، و نمى تواند معلّق و مؤخّر نمايد اخذ را به حضور سائر شركا بنا بر مختار؛ و تأخير بدون عذر و منافى با فوريّت عرفيّه، موجب سقوط حق او است در نصيب خودش</w:t>
      </w:r>
      <w:r>
        <w:rPr>
          <w:rFonts w:eastAsia="IRNazanin" w:cs="IRNazanin"/>
          <w:color w:val="111111"/>
          <w:sz w:val="28"/>
          <w:szCs w:val="28"/>
          <w:rtl w:val="true"/>
          <w:lang w:bidi="fa-IR"/>
        </w:rPr>
        <w:t>.</w:t>
      </w:r>
    </w:p>
    <w:p>
      <w:pPr>
        <w:pStyle w:val="Heading5"/>
        <w:numPr>
          <w:ilvl w:val="4"/>
          <w:numId w:val="1"/>
        </w:numPr>
        <w:rPr/>
      </w:pPr>
      <w:bookmarkStart w:id="114" w:name="__RefHeading___Toc3971079_1067777946"/>
      <w:bookmarkStart w:id="115" w:name="_Toc47"/>
      <w:bookmarkEnd w:id="114"/>
      <w:r>
        <w:rPr>
          <w:rtl w:val="true"/>
        </w:rPr>
        <w:t>حكم درك مال با تغاير متعلّق اخذ</w:t>
      </w:r>
      <w:bookmarkEnd w:id="115"/>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اخذ و دفع ثمن كرد، پس از آن، غائب، حاضر شد و اخذ و دفع ثمن نمود، چون متعلّق اخذها مغاير است بنا بر مختار پس دَرَك مال اگر مستحَق للغير ظاهر شده است، بر صاحب آن است قبل از اخذ تا منتهى به صاحب اوّلى مال در حال استحقاق غير بشود، و ترتّب تأثير ندارد با مغايرت مأخوذها به اخذ هر شفيع، با آنكه اخذ هر كدام در مقدار حقّ خودش است فقط</w:t>
      </w:r>
      <w:r>
        <w:rPr>
          <w:rFonts w:eastAsia="IRNazanin" w:cs="IRNazanin"/>
          <w:color w:val="111111"/>
          <w:sz w:val="28"/>
          <w:szCs w:val="28"/>
          <w:rtl w:val="true"/>
          <w:lang w:bidi="fa-IR"/>
        </w:rPr>
        <w:t>.</w:t>
      </w:r>
    </w:p>
    <w:p>
      <w:pPr>
        <w:pStyle w:val="Heading5"/>
        <w:numPr>
          <w:ilvl w:val="4"/>
          <w:numId w:val="1"/>
        </w:numPr>
        <w:rPr/>
      </w:pPr>
      <w:bookmarkStart w:id="116" w:name="__RefHeading___Toc3971081_1067777946"/>
      <w:bookmarkStart w:id="117" w:name="_Toc48"/>
      <w:bookmarkEnd w:id="116"/>
      <w:r>
        <w:rPr>
          <w:rtl w:val="true"/>
        </w:rPr>
        <w:t>فروختن يكى از سه شريك، سهم خود را به شريك ديگر</w:t>
      </w:r>
      <w:bookmarkEnd w:id="1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بين سه نفر بود، پس فروخت يكى از آنها به ديگرى، حق شفعه براى سومى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خريدار هم هست پس مال با اخذ به شفعه بين خريدار و سومى است يا آنكه فقط براى سومى است و مى تواند جميع مبيع را بگيرد با شفعه‌؟ </w:t>
      </w:r>
      <w:bookmarkStart w:id="118" w:name="pg10275_96321"/>
    </w:p>
    <w:p>
      <w:pPr>
        <w:pStyle w:val="BookText"/>
        <w:rPr/>
      </w:pPr>
      <w:bookmarkEnd w:id="118"/>
      <w:r>
        <w:rPr>
          <w:rFonts w:ascii="IRNazanin" w:hAnsi="IRNazanin" w:eastAsia="IRNazanin"/>
          <w:color w:val="111111"/>
          <w:sz w:val="28"/>
          <w:sz w:val="28"/>
          <w:szCs w:val="28"/>
          <w:rtl w:val="true"/>
          <w:lang w:bidi="fa-IR"/>
        </w:rPr>
        <w:t xml:space="preserve">اقرب اول است 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وجه قرب، اولويتِ ندادن آنچه در دست شريك است از استحقاق به دست آوردن او به شفعه آنچه را كه در دست مشترى اجنبى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اسقاط مشترى حق خود را، حق شريك، ازيد از آنچه بوده نمى شود بنا بر آنچه اختيار آن گذشت؛ پس اگر مشترى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اسقاط كردم حق خود را پس اخذ نما تمام مبيع را يا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نمى شود اجابت او بر شريك؛ و راهى براى تملّك تمام مبيع بلكه تمام آنچه در يد مشترى است جز خريدن از مشترى يا رضاى او نيست، مگر آنكه استفادۀ اذن در شراءِ آنچه در يد مشترى است، از فحواى كلام سابق او بشود</w:t>
      </w:r>
      <w:r>
        <w:rPr>
          <w:rFonts w:eastAsia="IRNazanin" w:cs="IRNazanin"/>
          <w:color w:val="111111"/>
          <w:sz w:val="28"/>
          <w:szCs w:val="28"/>
          <w:rtl w:val="true"/>
          <w:lang w:bidi="fa-IR"/>
        </w:rPr>
        <w:t>.</w:t>
      </w:r>
    </w:p>
    <w:p>
      <w:pPr>
        <w:pStyle w:val="Heading5"/>
        <w:numPr>
          <w:ilvl w:val="4"/>
          <w:numId w:val="1"/>
        </w:numPr>
        <w:rPr/>
      </w:pPr>
      <w:bookmarkStart w:id="119" w:name="__RefHeading___Toc3971083_1067777946"/>
      <w:bookmarkStart w:id="120" w:name="_Toc49"/>
      <w:bookmarkEnd w:id="119"/>
      <w:r>
        <w:rPr>
          <w:rtl w:val="true"/>
        </w:rPr>
        <w:t>صور مختلف تعدّد و وحدت شريك، بايع و مشترى</w:t>
      </w:r>
      <w:bookmarkEnd w:id="120"/>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فروخت دو نفر از سه شريك مثلاً به سه شريك مثلاً صفقۀ مجتمعه را با يك بيع، پس شريك غير بايع كه شفيع است مى تواند تمام صفقه را اخذ نمايد به شفعه، و مى تواند از دو نفر از سه مشترى اخذ نمايد، و مى تواند از يك نفر از آنها اخذ نمايد، مثل آنكه با سه معامله انجام داده مى شد، زيرا مرجع اين معاملۀ واحده به متعدّده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بايع يكى بود به دو خريدار، شفيع مى تواند از هر دو اخذ به شفعه نمايد، و از يكى بالخصوص اخذ به شفعه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بايع دو نفر بودند و خريدار يكى، مى تواند شفيع اخذ به شفعه نمايد مورد مبايعۀ دو نفر را، و مى تواند اخذ نمايد مورد معاملۀ يكى از آنها را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بيع نمود دو نفر به دو نفر، راجع به چهار معامله مى شود و مى تواند شفيع اخذ نمايد در يكى از چهار، و در دو از چهار، و در سه از چهار، و در تمام چهار معامله </w:t>
      </w:r>
      <w:bookmarkStart w:id="121" w:name="pg10275_96322"/>
    </w:p>
    <w:p>
      <w:pPr>
        <w:pStyle w:val="BookText"/>
        <w:rPr/>
      </w:pPr>
      <w:bookmarkEnd w:id="121"/>
      <w:r>
        <w:rPr>
          <w:rFonts w:ascii="IRNazanin" w:hAnsi="IRNazanin" w:eastAsia="IRNazanin"/>
          <w:color w:val="111111"/>
          <w:sz w:val="28"/>
          <w:sz w:val="28"/>
          <w:szCs w:val="28"/>
          <w:rtl w:val="true"/>
          <w:lang w:bidi="fa-IR"/>
        </w:rPr>
        <w:t>كه در حكم مستقل هستند و ارتباطى مُضرّ بين آنها نيست، و هم چنين مى تواند عفو از همه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معاملۀ با دو نفر از دو شريك در يك دفعه بود، مشاركت در اخذ به شفعۀ ديگرى نيست، وگرنه هر صاحب سابقى شريك است با شفيع در شفعۀ لاحق به جهت سبق شراكت بر اخذ به شفعۀ لاحق، و رجوع به چهار معامله مبنى بر عدم فرق بين تعدّد بايع و مشترى است كه در مقام اجتماع دارند، چون مثل فروختن يكى به چهار مشترى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ترتّب و تعاقب بيوع با سه نفر اگر اخذ از اول مشترى كرد، ثانى و ثالث حق شفعه با شفيع ندارند؛ و اگر اخذ از اول و ثانى كرد، ثالث حق ندارد؛ و اگر اخذ از ثالث كرد، اول و ثانى حق دارند؛ و اگر عفو از اول كرد و اخذ از ثانى نمود، اوّل حق شفعه دارد؛ و اگر اخذ از ثالث كرد و عفو از اول و دوم كرد، اين دو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شفيع مخير است در بيع دو شريك به دو نفر، بين آنكه جميع مبيع را اخذ نمايد در يك دفعه، و بين آنكه سه ربع مبيع را اخذ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نصيب يكى از دو شريك و نصف نصيب شريك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بين آنكه نصف مبيع را اخذ نمايد؛ يا به اينكه نصيب يكى را اخذ نمايد و به نصيب شريك ديگر كارى نداشته باشد، يا آنكه نصف نصيب هر كدام از دو شريك را اخذ نمايد، و اينكه ربع مبيع را اخذ نمايد به اخذ نصف نصيب يكى از دو شريك فقط؛ و بعد از اين سه، اخذ جميع است</w:t>
      </w:r>
      <w:r>
        <w:rPr>
          <w:rFonts w:eastAsia="IRNazanin" w:cs="IRNazanin"/>
          <w:color w:val="111111"/>
          <w:sz w:val="28"/>
          <w:szCs w:val="28"/>
          <w:rtl w:val="true"/>
          <w:lang w:bidi="fa-IR"/>
        </w:rPr>
        <w:t>.</w:t>
      </w:r>
    </w:p>
    <w:p>
      <w:pPr>
        <w:pStyle w:val="Heading5"/>
        <w:numPr>
          <w:ilvl w:val="4"/>
          <w:numId w:val="1"/>
        </w:numPr>
        <w:rPr/>
      </w:pPr>
      <w:bookmarkStart w:id="122" w:name="__RefHeading___Toc3971085_1067777946"/>
      <w:bookmarkStart w:id="123" w:name="_Toc50"/>
      <w:bookmarkEnd w:id="122"/>
      <w:r>
        <w:rPr>
          <w:rtl w:val="true"/>
        </w:rPr>
        <w:t>حق شركاى غير بايع در اخذ به شفعه</w:t>
      </w:r>
      <w:bookmarkEnd w:id="1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حكم حضور بعض شركا با غيبت بعض ديگر از آنها، كه هر كدام در حصۀ خودش حق فروختن دارد و ديگران بالسويه استحقاق شفعه دارند در صورت شراكت بالسويه؛ پس اگر مجموع شركا غير بائع، سه باشند، هر كدام در ثلث مبيع حق شفعه دارد، چه حاضر و آخذ باشد و چه غائب باشد و متأخّر باشد اخذ او به شفعه</w:t>
      </w:r>
      <w:r>
        <w:rPr>
          <w:rFonts w:eastAsia="IRNazanin" w:cs="IRNazanin"/>
          <w:color w:val="111111"/>
          <w:sz w:val="28"/>
          <w:szCs w:val="28"/>
          <w:rtl w:val="true"/>
          <w:lang w:bidi="fa-IR"/>
        </w:rPr>
        <w:t xml:space="preserve">. </w:t>
      </w:r>
      <w:bookmarkStart w:id="124" w:name="pg10275_96323"/>
    </w:p>
    <w:p>
      <w:pPr>
        <w:pStyle w:val="Heading5"/>
        <w:numPr>
          <w:ilvl w:val="4"/>
          <w:numId w:val="1"/>
        </w:numPr>
        <w:rPr/>
      </w:pPr>
      <w:bookmarkStart w:id="125" w:name="__RefHeading___Toc3971087_1067777946"/>
      <w:bookmarkStart w:id="126" w:name="_Toc51"/>
      <w:bookmarkEnd w:id="124"/>
      <w:bookmarkEnd w:id="125"/>
      <w:r>
        <w:rPr>
          <w:rtl w:val="true"/>
        </w:rPr>
        <w:t>انتقال حق شفعه به وارث</w:t>
      </w:r>
      <w:bookmarkEnd w:id="1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بين دو برادر بود، يكى وفات كرد و داراى دو پسر بود، پس يك وارث فروخت، حق شفعه بين عمّ و پسر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جماعتى وارث بودند و يكى از وراث فروخت، عمّ‌، مشاركت با سائر ورثه در استحقاق شفعه دارد</w:t>
      </w:r>
      <w:r>
        <w:rPr>
          <w:rFonts w:eastAsia="IRNazanin" w:cs="IRNazanin"/>
          <w:color w:val="111111"/>
          <w:sz w:val="28"/>
          <w:szCs w:val="28"/>
          <w:rtl w:val="true"/>
          <w:lang w:bidi="fa-IR"/>
        </w:rPr>
        <w:t xml:space="preserve">. </w:t>
      </w:r>
      <w:bookmarkStart w:id="127" w:name="pg10275_96324"/>
    </w:p>
    <w:p>
      <w:pPr>
        <w:pStyle w:val="Heading3"/>
        <w:numPr>
          <w:ilvl w:val="2"/>
          <w:numId w:val="1"/>
        </w:numPr>
        <w:rPr/>
      </w:pPr>
      <w:bookmarkStart w:id="128" w:name="__RefHeading___Toc3971089_1067777946"/>
      <w:bookmarkStart w:id="129" w:name="_Toc52"/>
      <w:bookmarkEnd w:id="127"/>
      <w:bookmarkEnd w:id="128"/>
      <w:r>
        <w:rPr>
          <w:rtl w:val="true"/>
        </w:rPr>
        <w:t>فصل سوّم كيفيّت اخذ به شفعه</w:t>
      </w:r>
      <w:bookmarkEnd w:id="129"/>
    </w:p>
    <w:p>
      <w:pPr>
        <w:pStyle w:val="Heading4"/>
        <w:numPr>
          <w:ilvl w:val="3"/>
          <w:numId w:val="1"/>
        </w:numPr>
        <w:rPr/>
      </w:pPr>
      <w:bookmarkStart w:id="130" w:name="__RefHeading___Toc3971091_1067777946"/>
      <w:bookmarkStart w:id="131" w:name="_Toc53"/>
      <w:bookmarkEnd w:id="130"/>
      <w:r>
        <w:rPr>
          <w:rtl w:val="true"/>
        </w:rPr>
        <w:t>حدّ زمانى استحقاق شفعه</w:t>
      </w:r>
      <w:bookmarkEnd w:id="131"/>
    </w:p>
    <w:p>
      <w:pPr>
        <w:pStyle w:val="BookText"/>
        <w:rPr/>
      </w:pPr>
      <w:r>
        <w:rPr>
          <w:rFonts w:ascii="Amiri" w:hAnsi="Amiri" w:eastAsia="Amiri" w:cs="Amiri"/>
          <w:color w:val="111111"/>
          <w:sz w:val="28"/>
          <w:sz w:val="28"/>
          <w:szCs w:val="28"/>
          <w:rtl w:val="true"/>
          <w:lang w:bidi="ar-SA"/>
        </w:rPr>
        <w:t>شفيع، استحقاق اخذ به شفعه از مشترى دارد بعد از عقد و انقضاى خيار بايع، يا خيار بايع و مشترى؛ و استحقاق بعد از عقد بيع و قبل از انقضاى خيار بايع يا هر دو، خالى از وجه نيست؛ و لازم آن، تأثير فسخ بيع در بدل مبيع و ثمن است، و بنا بر بطلان اخذ به شفعه به تعقّب فسخ، تأثير در نماى مورد استرجاع تا زمان فعليت فسخ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خيار مشترى تأثير فسخ او در رد بدل مبيع و استحقاق اخذ شخص ثمن با بقاى آن و تشخص آن است؛ و در دفع ضمان، دَرَك مبيع بر مشترى است، مثل اينكه مى خواست رد به عيب نمايد پس شفيع اخذ به شفعه كرد</w:t>
      </w:r>
      <w:r>
        <w:rPr>
          <w:rFonts w:eastAsia="IRNazanin" w:cs="IRNazanin"/>
          <w:color w:val="111111"/>
          <w:sz w:val="28"/>
          <w:szCs w:val="28"/>
          <w:rtl w:val="true"/>
          <w:lang w:bidi="fa-IR"/>
        </w:rPr>
        <w:t>.</w:t>
      </w:r>
    </w:p>
    <w:p>
      <w:pPr>
        <w:pStyle w:val="Heading4"/>
        <w:numPr>
          <w:ilvl w:val="3"/>
          <w:numId w:val="1"/>
        </w:numPr>
        <w:rPr/>
      </w:pPr>
      <w:bookmarkStart w:id="132" w:name="__RefHeading___Toc3971093_1067777946"/>
      <w:bookmarkStart w:id="133" w:name="_Toc54"/>
      <w:bookmarkEnd w:id="132"/>
      <w:r>
        <w:rPr>
          <w:rtl w:val="true"/>
        </w:rPr>
        <w:t>ثبوت شفعه در معاطات</w:t>
      </w:r>
      <w:bookmarkEnd w:id="133"/>
    </w:p>
    <w:p>
      <w:pPr>
        <w:pStyle w:val="BookText"/>
        <w:rPr/>
      </w:pPr>
      <w:r>
        <w:rPr>
          <w:rFonts w:ascii="Amiri" w:hAnsi="Amiri" w:eastAsia="Amiri" w:cs="Amiri"/>
          <w:color w:val="111111"/>
          <w:sz w:val="28"/>
          <w:sz w:val="28"/>
          <w:szCs w:val="28"/>
          <w:rtl w:val="true"/>
          <w:lang w:bidi="ar-SA"/>
        </w:rPr>
        <w:t>و اظهر ثبوت شفعه است در معاطات، بنا بر اقرب كه افاده ملكيت آن است، مادام كه احد طرفين معاطاة، رجوع جائز را انجام نداده باشد</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971095_1067777946"/>
      <w:bookmarkStart w:id="135" w:name="_Toc55"/>
      <w:bookmarkEnd w:id="134"/>
      <w:r>
        <w:rPr>
          <w:rtl w:val="true"/>
        </w:rPr>
        <w:t>تبعيض در اخذ به شفعه</w:t>
      </w:r>
      <w:bookmarkEnd w:id="1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شفيع نمى تواند تبعيض مضرّ به مشترى در اخذ به شفعه نمايد، اگر نفس منتقل به او تمام بعض مبيع نباشد، چنانچه گذشت؛ و با عدم اضرار و با رضاى مشترى، اظهر جواز تبعيض در اخذ به شفعه است؛ و در صورت اضرار و عدم رضاى مشترى، پس </w:t>
      </w:r>
      <w:bookmarkStart w:id="136" w:name="pg10275_96325"/>
    </w:p>
    <w:p>
      <w:pPr>
        <w:pStyle w:val="BookText"/>
        <w:rPr/>
      </w:pPr>
      <w:bookmarkEnd w:id="136"/>
      <w:r>
        <w:rPr>
          <w:rFonts w:ascii="IRNazanin" w:hAnsi="IRNazanin" w:eastAsia="IRNazanin"/>
          <w:color w:val="111111"/>
          <w:sz w:val="28"/>
          <w:sz w:val="28"/>
          <w:szCs w:val="28"/>
          <w:rtl w:val="true"/>
          <w:lang w:bidi="fa-IR"/>
        </w:rPr>
        <w:t>تبعيض در اخذ، لغو و بى اثر است، و موجب اسقاط حق و عفو نيست مگر با قرينۀ خاصۀ به آن مورد، بلكه حق شفعه در اخذ در جميع يا ترك در جميع، باقى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 جميع به نحو تعاقب غير مخلّ به فوريّت عرفيّۀ مناسبه به مورد، در حكم اخذ جميع در دفعۀ واحده است، و لازم اخذ به تمام ثمن است بدون زياده و نقيصه اگر چه قيمت مبيع، زائد يا ناقص باشد</w:t>
      </w:r>
      <w:r>
        <w:rPr>
          <w:rFonts w:eastAsia="IRNazanin" w:cs="IRNazanin"/>
          <w:color w:val="111111"/>
          <w:sz w:val="28"/>
          <w:szCs w:val="28"/>
          <w:rtl w:val="true"/>
          <w:lang w:bidi="fa-IR"/>
        </w:rPr>
        <w:t>.</w:t>
      </w:r>
    </w:p>
    <w:p>
      <w:pPr>
        <w:pStyle w:val="Heading4"/>
        <w:numPr>
          <w:ilvl w:val="3"/>
          <w:numId w:val="1"/>
        </w:numPr>
        <w:rPr/>
      </w:pPr>
      <w:bookmarkStart w:id="137" w:name="__RefHeading___Toc3971097_1067777946"/>
      <w:bookmarkStart w:id="138" w:name="_Toc56"/>
      <w:bookmarkEnd w:id="137"/>
      <w:r>
        <w:rPr>
          <w:rtl w:val="true"/>
        </w:rPr>
        <w:t>غرامتهاى مشترى</w:t>
      </w:r>
      <w:bookmarkEnd w:id="138"/>
    </w:p>
    <w:p>
      <w:pPr>
        <w:pStyle w:val="BookText"/>
        <w:rPr/>
      </w:pPr>
      <w:r>
        <w:rPr>
          <w:rFonts w:ascii="Amiri" w:hAnsi="Amiri" w:eastAsia="Amiri" w:cs="Amiri"/>
          <w:color w:val="111111"/>
          <w:sz w:val="28"/>
          <w:sz w:val="28"/>
          <w:szCs w:val="28"/>
          <w:rtl w:val="true"/>
          <w:lang w:bidi="ar-SA"/>
        </w:rPr>
        <w:t>و غرامتهاى مشترى از قبيل دلالت و وكالت، بر شفيع نيست؛ و در غرامتهاى عاديۀ او به نحوى كه اخذ، مستلزم تضرر مشترى باشد به ازيد از تضرر به اخذ مبيع قهراً شرعاً، تأمّل است</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971099_1067777946"/>
      <w:bookmarkStart w:id="140" w:name="_Toc57"/>
      <w:bookmarkEnd w:id="139"/>
      <w:r>
        <w:rPr>
          <w:rtl w:val="true"/>
        </w:rPr>
        <w:t>زيادتيهاى بعد از عقد و نقيصه ضمن عقد</w:t>
      </w:r>
      <w:bookmarkEnd w:id="140"/>
    </w:p>
    <w:p>
      <w:pPr>
        <w:pStyle w:val="BookText"/>
        <w:rPr/>
      </w:pPr>
      <w:r>
        <w:rPr>
          <w:rFonts w:ascii="IRNazanin" w:hAnsi="IRNazanin" w:eastAsia="IRNazanin"/>
          <w:color w:val="111111"/>
          <w:sz w:val="28"/>
          <w:sz w:val="28"/>
          <w:szCs w:val="28"/>
          <w:rtl w:val="true"/>
          <w:lang w:bidi="fa-IR"/>
        </w:rPr>
        <w:t xml:space="preserve">و زيادتيهاى بعد از عقد و انقضاى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مشترى به بايع ملحق به هبۀ جديده است و لازم بر شفيع نخواهد بود مگر زيادتيها در ضمن عقد كه به منزلۀ شروط ضمنيّه باشد كه عقد، مبنىّ بر آنها باشد و مرجع شرط به جزء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است حكم نقيصۀ مشروطه در ضمن عقد، اگر چه اشتراط لفظى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مذكورۀ در زياده، به حكم نقص ثمن است، و بر شفيع، ازيد از ثمن با شرط نقص چيزى نيست</w:t>
      </w:r>
      <w:r>
        <w:rPr>
          <w:rFonts w:eastAsia="IRNazanin" w:cs="IRNazanin"/>
          <w:color w:val="111111"/>
          <w:sz w:val="28"/>
          <w:szCs w:val="28"/>
          <w:rtl w:val="true"/>
          <w:lang w:bidi="fa-IR"/>
        </w:rPr>
        <w:t>.</w:t>
      </w:r>
    </w:p>
    <w:p>
      <w:pPr>
        <w:pStyle w:val="Heading4"/>
        <w:numPr>
          <w:ilvl w:val="3"/>
          <w:numId w:val="1"/>
        </w:numPr>
        <w:rPr/>
      </w:pPr>
      <w:bookmarkStart w:id="141" w:name="__RefHeading___Toc3971101_1067777946"/>
      <w:bookmarkStart w:id="142" w:name="_Toc58"/>
      <w:bookmarkEnd w:id="141"/>
      <w:r>
        <w:rPr>
          <w:rtl w:val="true"/>
        </w:rPr>
        <w:t>حظيظۀ بايع بعد از عقد، از ثمن</w:t>
      </w:r>
      <w:bookmarkEnd w:id="1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حظيظۀ بايع بعد از عقد، از ثمن، اگر راجع به شرط نقيصه در ضمن عقد نباشد، تأثيرى در تغيير ثمن ندارد؛ و آنچه ثمن واقع در عقد در حدّ عوض مبيع واقع است، لازم است اداء آن بر شفيع به مشترى؛ و هبۀ بايع به مشترى يا عكس، مؤثّر نيست در آنچه لازم است بر شفيع، تأديۀ آن به مشترى</w:t>
      </w:r>
      <w:r>
        <w:rPr>
          <w:rFonts w:eastAsia="IRNazanin" w:cs="IRNazanin"/>
          <w:color w:val="111111"/>
          <w:sz w:val="28"/>
          <w:szCs w:val="28"/>
          <w:rtl w:val="true"/>
          <w:lang w:bidi="fa-IR"/>
        </w:rPr>
        <w:t xml:space="preserve">. </w:t>
      </w:r>
      <w:bookmarkStart w:id="143" w:name="pg10275_96326"/>
    </w:p>
    <w:p>
      <w:pPr>
        <w:pStyle w:val="Heading4"/>
        <w:numPr>
          <w:ilvl w:val="3"/>
          <w:numId w:val="1"/>
        </w:numPr>
        <w:rPr/>
      </w:pPr>
      <w:bookmarkStart w:id="144" w:name="__RefHeading___Toc3971103_1067777946"/>
      <w:bookmarkStart w:id="145" w:name="_Toc59"/>
      <w:bookmarkEnd w:id="143"/>
      <w:bookmarkEnd w:id="144"/>
      <w:r>
        <w:rPr>
          <w:rtl w:val="true"/>
        </w:rPr>
        <w:t>اعتبار معيت تقابض ثمن</w:t>
      </w:r>
      <w:bookmarkEnd w:id="145"/>
    </w:p>
    <w:p>
      <w:pPr>
        <w:pStyle w:val="BookText"/>
        <w:rPr/>
      </w:pPr>
      <w:r>
        <w:rPr>
          <w:rFonts w:ascii="IRNazanin" w:hAnsi="IRNazanin" w:eastAsia="IRNazanin"/>
          <w:color w:val="111111"/>
          <w:sz w:val="28"/>
          <w:sz w:val="28"/>
          <w:szCs w:val="28"/>
          <w:rtl w:val="true"/>
          <w:lang w:bidi="fa-IR"/>
        </w:rPr>
        <w:t xml:space="preserve">و اظهر اعتبار معيّت تقابض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قبض مشترى، با اقباض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تأثير اخذ او به شفعه است؛ و تقديم اقباض ثمن، شرط تأثير اخذ به شفعه نيست؛ و در صورت رضاى مشترى به تأخير قبض، مانعى از صحّت اخذ سابق نيست در صورت تعقّب به قبض كاشف از تأثير اخذ در زمان وقوع آن نه مطلقاً؛ و آنچه لازم است بر مشترى، تخليه بين شفيع و شقص مبيع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اينها، مفهوم از دليل است كه اقتضاى نيابت شفيع از مشترى مى نمايد، و اعتبار ازيد، مدفوع به اصل است اگر اطلاق، مفروض العدم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امهال شفيع تا سه روز به نحو متقدّم، در صورت ادعاى غيبتِ ثمن، موافق مذكور در سابق است</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971105_1067777946"/>
      <w:bookmarkStart w:id="147" w:name="_Toc60"/>
      <w:bookmarkEnd w:id="146"/>
      <w:r>
        <w:rPr>
          <w:rtl w:val="true"/>
        </w:rPr>
        <w:t>نحوۀ تحقق اخذ به شفعه</w:t>
      </w:r>
      <w:bookmarkEnd w:id="147"/>
    </w:p>
    <w:p>
      <w:pPr>
        <w:pStyle w:val="BookText"/>
        <w:rPr/>
      </w:pPr>
      <w:r>
        <w:rPr>
          <w:rFonts w:ascii="Amiri" w:hAnsi="Amiri" w:eastAsia="Amiri" w:cs="Amiri"/>
          <w:color w:val="111111"/>
          <w:sz w:val="28"/>
          <w:sz w:val="28"/>
          <w:szCs w:val="28"/>
          <w:rtl w:val="true"/>
          <w:lang w:bidi="ar-SA"/>
        </w:rPr>
        <w:t>و اخذ به شفعه اثباتاً و اسقاطاً، اختصاص به اجراء صيغه به قول ندارد، بلكه به فعل و هر دالّى بر آن، حاصل و مؤثّر در تملّك يا عفو و اسقاط مى شود با احضار ثمن در اوّلى، مثل اعمال خيار در امضا يا فسخ و اسقاط آن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971107_1067777946"/>
      <w:bookmarkStart w:id="149" w:name="_Toc61"/>
      <w:bookmarkEnd w:id="148"/>
      <w:r>
        <w:rPr>
          <w:rtl w:val="true"/>
        </w:rPr>
        <w:t>واقع شدن شقص مشترك با متاع ديگر در يك معامله</w:t>
      </w:r>
      <w:bookmarkEnd w:id="149"/>
    </w:p>
    <w:p>
      <w:pPr>
        <w:pStyle w:val="BookText"/>
        <w:rPr/>
      </w:pPr>
      <w:r>
        <w:rPr>
          <w:rFonts w:ascii="IRNazanin" w:hAnsi="IRNazanin" w:eastAsia="IRNazanin"/>
          <w:color w:val="111111"/>
          <w:sz w:val="28"/>
          <w:sz w:val="28"/>
          <w:szCs w:val="28"/>
          <w:rtl w:val="true"/>
          <w:lang w:bidi="fa-IR"/>
        </w:rPr>
        <w:t>اگر شقص مشترك را با متاعى در صفقۀ واحده خريد، شفيع، اخذ به شفعه در خصوص مشترك مى نمايد با حصۀ آن از ثمن واقع در مقابل صفقه؛ و براى مشترى خيار تبعيض نيست با علم و اقدام او، به خلاف جهلى كه عذر باشد در موضوع يا حكم بنا بر عذريت آن</w:t>
      </w:r>
      <w:r>
        <w:rPr>
          <w:rFonts w:eastAsia="IRNazanin" w:cs="IRNazanin"/>
          <w:color w:val="111111"/>
          <w:sz w:val="28"/>
          <w:szCs w:val="28"/>
          <w:rtl w:val="true"/>
          <w:lang w:bidi="fa-IR"/>
        </w:rPr>
        <w:t>.</w:t>
      </w:r>
    </w:p>
    <w:p>
      <w:pPr>
        <w:pStyle w:val="Heading4"/>
        <w:numPr>
          <w:ilvl w:val="3"/>
          <w:numId w:val="1"/>
        </w:numPr>
        <w:rPr/>
      </w:pPr>
      <w:bookmarkStart w:id="150" w:name="__RefHeading___Toc3971109_1067777946"/>
      <w:bookmarkStart w:id="151" w:name="_Toc62"/>
      <w:bookmarkEnd w:id="150"/>
      <w:r>
        <w:rPr>
          <w:rtl w:val="true"/>
        </w:rPr>
        <w:t>حكم شفعه در قيمى</w:t>
      </w:r>
      <w:bookmarkEnd w:id="1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مثلىّ دفع مثل ثمن لازم است بر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قيمى خلاف است، جمعى قائل به سقوط شفعه شده اند، و جمعى كه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قائل به ثبوت شفعه </w:t>
      </w:r>
      <w:bookmarkStart w:id="152" w:name="pg10275_96327"/>
    </w:p>
    <w:p>
      <w:pPr>
        <w:pStyle w:val="BookText"/>
        <w:rPr/>
      </w:pPr>
      <w:bookmarkEnd w:id="152"/>
      <w:r>
        <w:rPr>
          <w:rFonts w:ascii="Amiri" w:hAnsi="Amiri" w:eastAsia="Amiri" w:cs="Amiri"/>
          <w:color w:val="111111"/>
          <w:sz w:val="28"/>
          <w:sz w:val="28"/>
          <w:szCs w:val="28"/>
          <w:rtl w:val="true"/>
          <w:lang w:bidi="ar-SA"/>
        </w:rPr>
        <w:t>در قيمت ثمن قيمى شده اند، و اقرب ثبوت شفعه به اداء قيمت است؛ و اظهر اعتبار به قيمت مبيع در وقت عقد است، و زيادتى و نقص تا وقت دفع، ملحوظ نيست با بقاى ماليت در ثمن كه قيمى است، و احتياط به اعتبار اعلى القيم از وقت عقد تا دفع قيمت ثمن بعد از اخذ به شفعه خوب است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971111_1067777946"/>
      <w:bookmarkStart w:id="154" w:name="_Toc63"/>
      <w:bookmarkEnd w:id="153"/>
      <w:r>
        <w:rPr>
          <w:rtl w:val="true"/>
        </w:rPr>
        <w:t>موارد جواز تاخير اخذ به شفعه</w:t>
      </w:r>
      <w:bookmarkEnd w:id="154"/>
    </w:p>
    <w:p>
      <w:pPr>
        <w:pStyle w:val="BookText"/>
        <w:rPr/>
      </w:pPr>
      <w:r>
        <w:rPr>
          <w:rFonts w:ascii="IRNazanin" w:hAnsi="IRNazanin" w:eastAsia="IRNazanin"/>
          <w:color w:val="111111"/>
          <w:sz w:val="28"/>
          <w:sz w:val="28"/>
          <w:szCs w:val="28"/>
          <w:rtl w:val="true"/>
          <w:lang w:bidi="fa-IR"/>
        </w:rPr>
        <w:t>اگر شفيع، عالم به بيع شريك شد، مى تواند فوراً اخذ به شفعه نمايد؛ و تأخير در اخذ به واسطۀ عذر عرفى از مباشرت اخذ و توكيل در آن، موجب سقوط حق شفعه نمى شود، مثل اينكه معتقد بود ثمن زياد است و معلوم شد قلّت آن، بلكه فقط در موارد اهمالِ كاشف از رغبت از اخذ،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كه اخبار به قلت ثمن و تأجيل آن بشود و ترك اخذ نمايد، پس از آن معلوم شد كثرت يا حلول آن، كه ترك با اعتقاد مذكور، كاشف از ترك به اختلاف اعتقاد با واقع است به اولويت قطعيّه، مگر آنكه غرض صحيحى در كثرت يا حلول بوده باشد در خصوص موردى يا خصوص شفيعى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معذور است در تأخير مطالبه، اگر محبوس به حقّى بود واقعاً كه عاجز از اداء آن بوده و نمى توانست با محبوسيّت، مباشرت يا توكيل در اخذ به شفعه نمايد در صورتى كه عالم به فعليّت شفعه بوده، به خلاف صورت قدرت بر تأديۀ حق واجب واقعى اگر چه اعتراف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صورتى كه محبوس به باطل بوده، اگر چه قدرت بر اداء غير مستحَق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حكم حق واقعى است حقى كه در ظاهر شرع، محكوم و مأخوذ براى آن شده باشد، اگر چه مدّعى مظلوميت باشد</w:t>
      </w:r>
      <w:r>
        <w:rPr>
          <w:rFonts w:eastAsia="IRNazanin" w:cs="IRNazanin"/>
          <w:color w:val="111111"/>
          <w:sz w:val="28"/>
          <w:szCs w:val="28"/>
          <w:rtl w:val="true"/>
          <w:lang w:bidi="fa-IR"/>
        </w:rPr>
        <w:t>.</w:t>
      </w:r>
    </w:p>
    <w:p>
      <w:pPr>
        <w:pStyle w:val="Heading4"/>
        <w:numPr>
          <w:ilvl w:val="3"/>
          <w:numId w:val="1"/>
        </w:numPr>
        <w:rPr/>
      </w:pPr>
      <w:bookmarkStart w:id="155" w:name="__RefHeading___Toc3971113_1067777946"/>
      <w:bookmarkStart w:id="156" w:name="_Toc64"/>
      <w:bookmarkEnd w:id="155"/>
      <w:r>
        <w:rPr>
          <w:rtl w:val="true"/>
        </w:rPr>
        <w:t>وجوب مبادرت به اخذ به شفعه در صورت امكان و علم</w:t>
      </w:r>
      <w:bookmarkEnd w:id="1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علم شفيع به تحقّق شفعه، واجب است مبادرت به مطالبه و اخذ به شفعه و </w:t>
      </w:r>
      <w:bookmarkStart w:id="157" w:name="pg10275_96328"/>
    </w:p>
    <w:p>
      <w:pPr>
        <w:pStyle w:val="BookText"/>
        <w:rPr/>
      </w:pPr>
      <w:bookmarkEnd w:id="157"/>
      <w:r>
        <w:rPr>
          <w:rFonts w:ascii="Amiri" w:hAnsi="Amiri" w:eastAsia="Amiri" w:cs="Amiri"/>
          <w:color w:val="111111"/>
          <w:sz w:val="28"/>
          <w:sz w:val="28"/>
          <w:szCs w:val="28"/>
          <w:rtl w:val="true"/>
          <w:lang w:bidi="ar-SA"/>
        </w:rPr>
        <w:t>مقدمات آن به نحو متعارف غير منافى با فوريّت عرفيّه كه در آن اهمال نباشد، و امثلۀ آنها مذكور در مفصّلات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مسافر اگر قادر بر مباشرت يا توكيل باشد و ترك نمود، ساقط مى شود حق شفعۀ او، وگرنه ثابت است؛ بلكه در هر مقامى كه قادر بر قول مذكورِ دالّ بر اخذ به شفعه بود با دفع ثمن به مباشرت يا توكيل، اگر چه به وكيل مشترى باشد و قبض مناسب مبيع، و نكرد، ساقط است حق شفعۀ او؛ و عذريت جهل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و هم چنين جهل به فوريّت، يا نسيان موضوع يا حكم</w:t>
      </w:r>
      <w:r>
        <w:rPr>
          <w:rFonts w:eastAsia="IRNazanin" w:cs="IRNazanin"/>
          <w:color w:val="111111"/>
          <w:sz w:val="28"/>
          <w:szCs w:val="28"/>
          <w:rtl w:val="true"/>
          <w:lang w:bidi="fa-IR"/>
        </w:rPr>
        <w:t>.</w:t>
      </w:r>
    </w:p>
    <w:p>
      <w:pPr>
        <w:pStyle w:val="Heading4"/>
        <w:numPr>
          <w:ilvl w:val="3"/>
          <w:numId w:val="1"/>
        </w:numPr>
        <w:rPr/>
      </w:pPr>
      <w:bookmarkStart w:id="158" w:name="__RefHeading___Toc3971115_1067777946"/>
      <w:bookmarkStart w:id="159" w:name="_Toc65"/>
      <w:bookmarkEnd w:id="158"/>
      <w:r>
        <w:rPr>
          <w:rtl w:val="true"/>
        </w:rPr>
        <w:t>ادعاى عذر در ترك اخذ به شفعه توسط شفيع</w:t>
      </w:r>
      <w:bookmarkEnd w:id="159"/>
    </w:p>
    <w:p>
      <w:pPr>
        <w:pStyle w:val="BookText"/>
        <w:rPr/>
      </w:pPr>
      <w:r>
        <w:rPr>
          <w:rFonts w:ascii="IRNazanin" w:hAnsi="IRNazanin" w:eastAsia="IRNazanin"/>
          <w:color w:val="111111"/>
          <w:sz w:val="28"/>
          <w:sz w:val="28"/>
          <w:szCs w:val="28"/>
          <w:rtl w:val="true"/>
          <w:lang w:bidi="fa-IR"/>
        </w:rPr>
        <w:t xml:space="preserve">و در مسموع بودن قول شفيع در ادعا وجود عذر از اخذ، با احتمال عقلايى و عدم ظهور خلاف، وجهى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آنچه معلوم نمى شود از غير ناحيۀ شفيع؛ و ضميمۀ يمين شفيع در ترك اهمال، موافق احتياط است در موارد ادعاى عذر با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 آن عدم سقوط حق است با عدم ثبوت اهمال در ترك اخذ و مقدماتش، و از اين جهت اشهاد بر ثبوت عذر واجب نيست بر شفيع، چنانچه معهود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حضور شفيع عالم غير معذور فوراً نزد مشترى، اگر باشد، و اشهاد با حضور نزد حاكم، اگر نباشد، موافق احتياط است به دفع موجبات تنازع كه ممكن است منتهى به محكوميّت شفيع مستحِق بشود به واسطۀ، عدم اجتماع ميزان قضا بر نفع او، نه اينكه اين امور شرط واقعى بقاى حق شفعه است كه لازم آن سقوط حق به انتفاى اينها است و لازم آن عدم ثبوت شفعه است مگر در نادرى از فروض</w:t>
      </w:r>
      <w:r>
        <w:rPr>
          <w:rFonts w:eastAsia="IRNazanin" w:cs="IRNazanin"/>
          <w:color w:val="111111"/>
          <w:sz w:val="28"/>
          <w:szCs w:val="28"/>
          <w:rtl w:val="true"/>
          <w:lang w:bidi="fa-IR"/>
        </w:rPr>
        <w:t>.</w:t>
      </w:r>
    </w:p>
    <w:p>
      <w:pPr>
        <w:pStyle w:val="Heading4"/>
        <w:numPr>
          <w:ilvl w:val="3"/>
          <w:numId w:val="1"/>
        </w:numPr>
        <w:rPr/>
      </w:pPr>
      <w:bookmarkStart w:id="160" w:name="__RefHeading___Toc3971117_1067777946"/>
      <w:bookmarkStart w:id="161" w:name="_Toc66"/>
      <w:bookmarkEnd w:id="160"/>
      <w:r>
        <w:rPr>
          <w:rtl w:val="true"/>
        </w:rPr>
        <w:t>سقوط يا عدم سقوط حق شفعه به تقايل متبايعين، و امثال آن</w:t>
      </w:r>
      <w:bookmarkEnd w:id="1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به تقايل متبايعين ساقط نمى شود، و هم چنين به سبب رد به عيب به واسطۀ سبقت آن بر حق ثابت در مورد اقاله و رد، و نقل عدم خلاف بر آن شده </w:t>
      </w:r>
    </w:p>
    <w:p>
      <w:pPr>
        <w:pStyle w:val="BookText"/>
        <w:rPr/>
      </w:pPr>
      <w:r>
        <w:rPr>
          <w:rFonts w:ascii="IRNazanin" w:hAnsi="IRNazanin" w:eastAsia="IRNazanin"/>
          <w:color w:val="111111"/>
          <w:sz w:val="28"/>
          <w:sz w:val="28"/>
          <w:szCs w:val="28"/>
          <w:rtl w:val="true"/>
          <w:lang w:bidi="fa-IR"/>
        </w:rPr>
        <w:t>است؛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نيست صحّت آن بر اذن شفيع، و هم چنين سائر تصرفات مشترى به معامله يا وقف و نحو آن، بلكه مراعى است بقاى آن بر عدم اخذ شفيع اگر چه ظاهراً در مثل وقف، حق نقض به اخذ به شفعه دارد يا فسخ از حين اخذ، و با سائر معاملات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اگر اجماع غير مدركى محقّق است، مقبول است، وگرنه خالى از اشكال نيست؛ زيرا استحقاق شفعه در موضوع مالكيّت مشترى است، و اقاله و ردّ، هادم اين موضوع هستند نه معارض با اخذ تا ترجيح به سبق داده شود، بلكه مثل صورت استحقاق بائع، خيار را به اشتراط در عقد است كه تقدم دارد بر حق شفيع، و هم چنين خيار بايع به عيب در ثمن و خيار مشترى مطلقاً و سائر خياراتِ هر دو، اگر اجماع بر خلاف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خلاف معاملات ناقله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بر ملك سابق مشترى مى باشند، نه هادم آن به هدم موضوع به هدم سبب كه عقد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عدم موقوفيت مثل فضولى در حدوث و مراعىٰ بودن در بقا نه در حدوث مگر در امورى كه لازمۀ صحّت در آن، بقا است و لازمۀ عدم بقا، عدم حدوث است در غير موارد مخصوصه مثل وقف، امرى است غير معهود؛ و احوط براى شفيع در غير صورت تعارض مذكور، ترك اخذ و عفو است كه با عفو ساقط مى شود استحقاق او و باقى مى ماند اقاله و رد به عيب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بقاى درك مبيع بر مشترى چنانچه فرموده اند با تخلص از آن به رد به بايع و اخذ قهرى از مشترى و ضمان مأخوذ قهرى، امرى غريب است؛ و مشكل است قيام شفيع، مقام مشترى در رد به بايع و تضمين او درك مبيع را كه با او طرف معامله نبوده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احتياج التزام به تحقّق دخول در ملك مشترى بعد از اقاله و فسخ و خروج از ملك او و دخول در ملك شفيع در زمان واحد يا متعدّد با ترتّب، به دليل خاص مفقود از غير ناحيۀ نقل اجماع</w:t>
      </w:r>
      <w:r>
        <w:rPr>
          <w:rFonts w:eastAsia="Amiri" w:cs="Amiri" w:ascii="Amiri" w:hAnsi="Amiri"/>
          <w:color w:val="111111"/>
          <w:sz w:val="28"/>
          <w:szCs w:val="28"/>
          <w:rtl w:val="true"/>
          <w:lang w:bidi="ar-SA"/>
        </w:rPr>
        <w:t xml:space="preserve">. </w:t>
      </w:r>
      <w:bookmarkStart w:id="162" w:name="pg10275_96330"/>
    </w:p>
    <w:p>
      <w:pPr>
        <w:pStyle w:val="BookText"/>
        <w:rPr/>
      </w:pPr>
      <w:bookmarkEnd w:id="162"/>
      <w:r>
        <w:rPr>
          <w:rFonts w:ascii="Amiri" w:hAnsi="Amiri" w:eastAsia="Amiri" w:cs="Amiri"/>
          <w:color w:val="111111"/>
          <w:sz w:val="28"/>
          <w:sz w:val="28"/>
          <w:szCs w:val="28"/>
          <w:rtl w:val="true"/>
          <w:lang w:bidi="ar-SA"/>
        </w:rPr>
        <w:t>و خروج مشترى از درك مبيع، به اقاله و رد به عيب و دخول در ضمان او به فسخ شفيع و بقاى آن با تخلل عدم و رد از حين فسخ شفيع، غير معقول است؛ و عدم مناسبت حكمت تشريع شفعه به دفع ضرر تبديل شريك، با مقام كه عود به شريك اصلى است، واضح است</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971119_1067777946"/>
      <w:bookmarkStart w:id="164" w:name="_Toc67"/>
      <w:bookmarkEnd w:id="163"/>
      <w:r>
        <w:rPr>
          <w:rtl w:val="true"/>
        </w:rPr>
        <w:t>تصرّفات معامليّۀ مشترى تا زمان اخذ به شفعه و اقسام آن</w:t>
      </w:r>
      <w:bookmarkEnd w:id="164"/>
    </w:p>
    <w:p>
      <w:pPr>
        <w:pStyle w:val="BookText"/>
        <w:rPr/>
      </w:pPr>
      <w:r>
        <w:rPr>
          <w:rFonts w:ascii="Amiri" w:hAnsi="Amiri" w:eastAsia="Amiri" w:cs="Amiri"/>
          <w:color w:val="111111"/>
          <w:sz w:val="28"/>
          <w:sz w:val="28"/>
          <w:szCs w:val="28"/>
          <w:rtl w:val="true"/>
          <w:lang w:bidi="ar-SA"/>
        </w:rPr>
        <w:t>و بالجمله تصرفات معامليّۀ مشترى، صحيح و نافذ مى باشند تا زمان اخذ شفيع به شفعۀ ثابته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تصرفات بر دو قسمند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تصرفاتى كه در آنها هم شفعه ثابت است مثل بيع، پس شفيع مخير است بين اخذ از مشترى اول، پس با دفع ثمن به او، شراء دوم منفسخ مى شود، و رجوع مى نمايد مشترى دوم به مشترىِ اوّل در تمام ثمن در شراء خودش، و هكذا در زيادتى بيوع؛ و اگر از مشترى اخير اخذ نمود، جميع سابق بر او از بيوع متعدّده صحيح مى شوند؛ و اگر از متوسط اخذ نمود، سابق، صحيح، و لاحق باطل و منفسخ، و رجوع لاحق به سابق بر او مى شود در تمام ثمن در شراء لاحق، و فسخ شفيع به نفس اخذ به شفعه مى شود نه به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مدلول دليل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تصرفاتى كه مورد شفعه نيستند مثل وقف نمودن يا مسجد قرار دادن، كه شفيع مى تواند ازالۀ اين تصرفات را از اصل نمايد، و قابل تبعيض به حسب ازمنه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هبۀ معوّضه و غير معوّضه و لازمه و غير لازمه، پس اظهر محكوميت آن است به حكم بيع مشترى، كه شفيع مى تواند اخذ مبيع از مشترى و از متّهب نمايد و ثمن را تأديه به صاحب مبيع به عوض نمايد؛ و اگر رجوع به مشترى كرد، متّهب به عوض، رجوع به واهب مى نمايد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شفيع اخذ به شفعه از ملك مشترى مى نمايد و دَرَك آن بر مشترى است؛ و اگر هنوز در يد بايع بود، تكليف نمى نمايد مشترى را به قبض از بايع تا قبض از مشترى نمايد، بلكه قبض شفيع، به جاى قبض مشترى است از بايع؛ و طريقى براى فسخ بيع </w:t>
      </w:r>
      <w:bookmarkStart w:id="165" w:name="pg10275_96331"/>
    </w:p>
    <w:p>
      <w:pPr>
        <w:pStyle w:val="BookText"/>
        <w:rPr/>
      </w:pPr>
      <w:bookmarkEnd w:id="165"/>
      <w:r>
        <w:rPr>
          <w:rFonts w:ascii="Amiri" w:hAnsi="Amiri" w:eastAsia="Amiri" w:cs="Amiri"/>
          <w:color w:val="111111"/>
          <w:sz w:val="28"/>
          <w:sz w:val="28"/>
          <w:szCs w:val="28"/>
          <w:rtl w:val="true"/>
          <w:lang w:bidi="ar-SA"/>
        </w:rPr>
        <w:t>شريك به غير از اخذ به شفعه از شفيع نيست؛ و فسخ قولى به غير اخذ با احضار ثمن، مؤثّر نيست، بلكه شفيع تملّك قهرى از مشترى مى نمايد به سبب اخذ به شفعه، نه از ملك بايع به سبب فسخ شفيع به غير طريق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غلط قصدى در اين مقام بى اثر است بعد از قصد اخذ به شفعه به نحو واقع در سبب و مسبّب؛ و خطأ در قصد تملّك از بايع، ضرر ندارد</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971121_1067777946"/>
      <w:bookmarkStart w:id="167" w:name="_Toc68"/>
      <w:bookmarkEnd w:id="166"/>
      <w:r>
        <w:rPr>
          <w:rtl w:val="true"/>
        </w:rPr>
        <w:t>انهدام يا عيب دار شدن مبيع قبل از اخذ به شفعه</w:t>
      </w:r>
      <w:bookmarkEnd w:id="167"/>
    </w:p>
    <w:p>
      <w:pPr>
        <w:pStyle w:val="BookText"/>
        <w:rPr/>
      </w:pPr>
      <w:r>
        <w:rPr>
          <w:rFonts w:ascii="IRNazanin" w:hAnsi="IRNazanin" w:eastAsia="IRNazanin"/>
          <w:color w:val="111111"/>
          <w:sz w:val="28"/>
          <w:sz w:val="28"/>
          <w:szCs w:val="28"/>
          <w:rtl w:val="true"/>
          <w:lang w:bidi="fa-IR"/>
        </w:rPr>
        <w:t xml:space="preserve">اگر مبيع منهدم شد يا عيب پيدا كرد به غير فعل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آفت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مطالبۀ شفيع يا بعد از آن قبل از اخذ به شفعه، يا به فعل مشترى قبل از مطالبۀ شفيع و اخذ به شفعه، پس شفيع مخير است بين اخذ به تمام ثمن واقع در بيع يا ترك و اسقاط حق شفعه كه مخالف اصل است، در غير آن صورى كه درك بر مشترى است؛ و حق رجوع به بايع دارد مطلقاً بر حسب مشهور موافق مرسل ابن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الا البيع و الشراء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مقام از موارد تضرر شفيع به اخذ به شفعه است كه بايد ملاحظۀ اقل ضرراً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بقاياى خانۀ منهدم در مبيع يا در خارج مانده باشد، ملك شفيع به اخذ به شفعه مى شود؛ و آنچه به فعل مشترى حاصل شده از نقصها بعد از اخذ به شفعه و دخول آن در ملك شفيع، مضمون است و بايد به شفيع، رد شود</w:t>
      </w:r>
      <w:r>
        <w:rPr>
          <w:rFonts w:eastAsia="IRNazanin" w:cs="IRNazanin"/>
          <w:color w:val="111111"/>
          <w:sz w:val="28"/>
          <w:szCs w:val="28"/>
          <w:rtl w:val="true"/>
          <w:lang w:bidi="fa-IR"/>
        </w:rPr>
        <w:t>.</w:t>
      </w:r>
    </w:p>
    <w:p>
      <w:pPr>
        <w:pStyle w:val="Heading4"/>
        <w:numPr>
          <w:ilvl w:val="3"/>
          <w:numId w:val="1"/>
        </w:numPr>
        <w:rPr/>
      </w:pPr>
      <w:bookmarkStart w:id="168" w:name="__RefHeading___Toc3971123_1067777946"/>
      <w:bookmarkStart w:id="169" w:name="_Toc69"/>
      <w:bookmarkEnd w:id="168"/>
      <w:r>
        <w:rPr>
          <w:rtl w:val="true"/>
        </w:rPr>
        <w:t>غرس يا بناى مشترى در زمين مشترك قبل از اخذ به شفعه</w:t>
      </w:r>
      <w:bookmarkEnd w:id="1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مشترى غرس نمود يا بنا كرد در زمين مشترك قبل از اخذ شفيع به شفعه، و هر دو معذور بودند يعنى مشترى در تصرّف و شفيع در تأخير اخذ، پس از آن اخذ به شفعه كرد، پس هر كدام مى تواند مطالبۀ تخليص ملك خود از ملك ديگرى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مشترى است اصلاح زمين بعد از تخليص به نحوى كه معظم منافع مترقبه از زمين، تحصل آنها ممكن باشد بر شفيع كه مالك شده است، و بر او است مؤونۀ آن يا نه‌؟ يا </w:t>
      </w:r>
      <w:bookmarkStart w:id="170" w:name="pg10275_96332"/>
    </w:p>
    <w:p>
      <w:pPr>
        <w:pStyle w:val="BookText"/>
        <w:rPr/>
      </w:pPr>
      <w:bookmarkEnd w:id="170"/>
      <w:r>
        <w:rPr>
          <w:rFonts w:ascii="IRNazanin" w:hAnsi="IRNazanin" w:eastAsia="IRNazanin"/>
          <w:color w:val="111111"/>
          <w:sz w:val="28"/>
          <w:sz w:val="28"/>
          <w:szCs w:val="28"/>
          <w:rtl w:val="true"/>
          <w:lang w:bidi="fa-IR"/>
        </w:rPr>
        <w:t>آنكه فرق است بين مطالبۀ تخليص از شفيع براى مصلحت زمين، پس مشترى ضامن نيست، يا خواستن مشترى آن را براى مصلحت ملك فعلى خودش‌؟ و هم چنين نقص حاصل در غرس مثلاً از ناحيۀ قلعْ‌، در ضمان شفيع است به جهت مطالبۀ او قلع را، يا نه به جهت وقوع در متعلّق حق غير و تزلزل ملك مشترى‌؟ اقرب عدم ضمان است مطلقاً در فرع اخير؛ و هم چنين نقص حاصل در زمين به سبب غرس يا بنا، در ضمان مشترى مباشر نيست؛ و احوط براى طرفين، صلح است در فرع اول</w:t>
      </w:r>
      <w:r>
        <w:rPr>
          <w:rFonts w:eastAsia="IRNazanin" w:cs="IRNazanin"/>
          <w:color w:val="111111"/>
          <w:sz w:val="28"/>
          <w:szCs w:val="28"/>
          <w:rtl w:val="true"/>
          <w:lang w:bidi="fa-IR"/>
        </w:rPr>
        <w:t>.</w:t>
      </w:r>
    </w:p>
    <w:p>
      <w:pPr>
        <w:pStyle w:val="Heading4"/>
        <w:numPr>
          <w:ilvl w:val="3"/>
          <w:numId w:val="1"/>
        </w:numPr>
        <w:rPr/>
      </w:pPr>
      <w:bookmarkStart w:id="171" w:name="__RefHeading___Toc3971125_1067777946"/>
      <w:bookmarkStart w:id="172" w:name="_Toc70"/>
      <w:bookmarkEnd w:id="171"/>
      <w:r>
        <w:rPr>
          <w:rtl w:val="true"/>
        </w:rPr>
        <w:t>امتناع مشترى از قلع و هبه، و امتناع شفيع از اسقاط شفعه</w:t>
      </w:r>
      <w:bookmarkEnd w:id="172"/>
    </w:p>
    <w:p>
      <w:pPr>
        <w:pStyle w:val="BookText"/>
        <w:rPr/>
      </w:pPr>
      <w:r>
        <w:rPr>
          <w:rFonts w:ascii="IRNazanin" w:hAnsi="IRNazanin" w:eastAsia="IRNazanin"/>
          <w:color w:val="111111"/>
          <w:sz w:val="28"/>
          <w:sz w:val="28"/>
          <w:szCs w:val="28"/>
          <w:rtl w:val="true"/>
          <w:lang w:bidi="fa-IR"/>
        </w:rPr>
        <w:t>اگر مشترى از ازالۀ غرس و هدم بنا امتناع نمود و شفيع از اسقاط حقّ شفعه امتناع نمود، مخيرند طرفين در صلح، به قلع شفيع با تأديۀ ارش مقلوع و مهدوم به مشترى كه ملحوظ بشود با آن ارش زمين ناهموار، يا ابقا با تأديۀ اجرت آنچه در ملك مشترى ثابت و باقى است با رضايت طرفين، يا تأديۀ قيمت غرس و بنا با صيرورت آنها داخل در ملك شفيع با رضايت طرفين، يا نحو اين معامله با رضاى طرفين؛ پس هر كدام كه مورد رضايت طرفين است، متعين مى شود؛ و اگر بيش از يك طريق، مرضىّ آنها است، مخير مى شوند بين آنها با توافق در خصوص مختار آنها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احتياط مذكور، ترجيح جواز مطالبۀ شفيع بعد از اخذ به شفعه، قلع غرس را، بدون تأديۀ ارش مقلوع و با تأديۀ اجرت پر كردن گودى هاى زمين و اصلاح آن به نحوى كه قابل معظم انتفاع به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لزوم تضرر شفيع در خلاف آن بدون اقدام او جز براى مطالبۀ حق شفعه و اعمال آن؛ و تضرر مشترى بدون حق ادامه بوده اگر چه در احداث، معذور بوده و ادامه را تخيل كرده بوده پس تكليفاً معذور بوده است؛ پس بر او است قلع و تخليص ملك شفيع از غير، و براى او نيست ارش مقلوع، به جهت عدم استحقاق دوام كمال و عدم نقص مفروض، چنانچه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او است ارش حفرها و اعادۀ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 شد و حادث شد تملّك شفيع،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در حال شراء بوده است، در صورتى كه تغيّر به نقص، به فعل مشترى باشد</w:t>
      </w:r>
      <w:r>
        <w:rPr>
          <w:rFonts w:eastAsia="IRNazanin" w:cs="IRNazanin"/>
          <w:color w:val="111111"/>
          <w:sz w:val="28"/>
          <w:szCs w:val="28"/>
          <w:rtl w:val="true"/>
          <w:lang w:bidi="fa-IR"/>
        </w:rPr>
        <w:t xml:space="preserve">. </w:t>
      </w:r>
      <w:bookmarkStart w:id="173" w:name="pg10275_96333"/>
    </w:p>
    <w:p>
      <w:pPr>
        <w:pStyle w:val="BookText"/>
        <w:rPr/>
      </w:pPr>
      <w:bookmarkEnd w:id="173"/>
      <w:r>
        <w:rPr>
          <w:rFonts w:ascii="IRNazanin" w:hAnsi="IRNazanin" w:eastAsia="IRNazanin"/>
          <w:color w:val="111111"/>
          <w:sz w:val="28"/>
          <w:sz w:val="28"/>
          <w:szCs w:val="28"/>
          <w:rtl w:val="true"/>
          <w:lang w:bidi="fa-IR"/>
        </w:rPr>
        <w:t>و اگر غرس مشترى يا بناى او با اطلاع و اذن شفيع يا وكيل او بود، پس اگر با اطلاع به شفعه و محل و شروط و موانع آن بوده، موجب سقوط حق شفعۀ او مى شود وگرنه سقوط، محل تأمّل است</w:t>
      </w:r>
      <w:r>
        <w:rPr>
          <w:rFonts w:eastAsia="IRNazanin" w:cs="IRNazanin"/>
          <w:color w:val="111111"/>
          <w:sz w:val="28"/>
          <w:szCs w:val="28"/>
          <w:rtl w:val="true"/>
          <w:lang w:bidi="fa-IR"/>
        </w:rPr>
        <w:t>.</w:t>
      </w:r>
    </w:p>
    <w:p>
      <w:pPr>
        <w:pStyle w:val="Heading4"/>
        <w:numPr>
          <w:ilvl w:val="3"/>
          <w:numId w:val="1"/>
        </w:numPr>
        <w:rPr/>
      </w:pPr>
      <w:bookmarkStart w:id="174" w:name="__RefHeading___Toc3971127_1067777946"/>
      <w:bookmarkStart w:id="175" w:name="_Toc71"/>
      <w:bookmarkEnd w:id="174"/>
      <w:r>
        <w:rPr>
          <w:rtl w:val="true"/>
        </w:rPr>
        <w:t>حكم زيادتيهاى متصله و منفصله در حال بيع</w:t>
      </w:r>
      <w:bookmarkEnd w:id="175"/>
    </w:p>
    <w:p>
      <w:pPr>
        <w:pStyle w:val="BookText"/>
        <w:rPr/>
      </w:pPr>
      <w:r>
        <w:rPr>
          <w:rFonts w:ascii="IRNazanin" w:hAnsi="IRNazanin" w:eastAsia="IRNazanin"/>
          <w:color w:val="111111"/>
          <w:sz w:val="28"/>
          <w:sz w:val="28"/>
          <w:szCs w:val="28"/>
          <w:rtl w:val="true"/>
          <w:lang w:bidi="fa-IR"/>
        </w:rPr>
        <w:t xml:space="preserve">زيادتيهاى متّصلۀ در حال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صغار نخل متّصل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شفيع است بعد از اخذ به شفعه؛ و هم چنين اجزاء متّصلۀ در آن حال اگر چه منفصل بشوند بعد از بيع، مثل خشك شدن شاخه هاى درخت و جدا شدن ابعاض خانه؛ به خلاف منفصل حقيقى يا حكمى در حال بيع كه مربوط به شفعه و شفيع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شاخه هاى نخل كه در حال بيع خشك شده بوده اگر چه هنوز متّصل بوده است كه به منزلۀ منفعت درخت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واسطۀ عينيت، داخل در بيع است و از قبيل بيع منقول با غير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ابعاض خانۀ منهدم در حال بيع است و از شفعه خارج است</w:t>
      </w:r>
      <w:r>
        <w:rPr>
          <w:rFonts w:eastAsia="IRNazanin" w:cs="IRNazanin"/>
          <w:color w:val="111111"/>
          <w:sz w:val="28"/>
          <w:szCs w:val="28"/>
          <w:rtl w:val="true"/>
          <w:lang w:bidi="fa-IR"/>
        </w:rPr>
        <w:t>.</w:t>
      </w:r>
    </w:p>
    <w:p>
      <w:pPr>
        <w:pStyle w:val="Heading4"/>
        <w:numPr>
          <w:ilvl w:val="3"/>
          <w:numId w:val="1"/>
        </w:numPr>
        <w:rPr/>
      </w:pPr>
      <w:bookmarkStart w:id="176" w:name="__RefHeading___Toc3971129_1067777946"/>
      <w:bookmarkStart w:id="177" w:name="_Toc72"/>
      <w:bookmarkEnd w:id="176"/>
      <w:r>
        <w:rPr>
          <w:rtl w:val="true"/>
        </w:rPr>
        <w:t>حكم منافع مبيع</w:t>
      </w:r>
      <w:bookmarkEnd w:id="177"/>
    </w:p>
    <w:p>
      <w:pPr>
        <w:pStyle w:val="BookText"/>
        <w:rPr/>
      </w:pPr>
      <w:r>
        <w:rPr>
          <w:rFonts w:ascii="IRNazanin" w:hAnsi="IRNazanin" w:eastAsia="IRNazanin"/>
          <w:color w:val="111111"/>
          <w:sz w:val="28"/>
          <w:sz w:val="28"/>
          <w:szCs w:val="28"/>
          <w:rtl w:val="true"/>
          <w:lang w:bidi="fa-IR"/>
        </w:rPr>
        <w:t xml:space="preserve">و اما منافع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سكناى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مربوط به مشترى است نه شفيع، بلكه خارج از متعلّق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ثمرۀ نخل اگر چه هنوز منفصل نشده باشد از آن، از قبيل ضم منقول به غير منقول در بيع است و شفعه فقط در غير منقول، ثابت است</w:t>
      </w:r>
      <w:r>
        <w:rPr>
          <w:rFonts w:eastAsia="IRNazanin" w:cs="IRNazanin"/>
          <w:color w:val="111111"/>
          <w:sz w:val="28"/>
          <w:szCs w:val="28"/>
          <w:rtl w:val="true"/>
          <w:lang w:bidi="fa-IR"/>
        </w:rPr>
        <w:t>.</w:t>
      </w:r>
    </w:p>
    <w:p>
      <w:pPr>
        <w:pStyle w:val="Heading4"/>
        <w:numPr>
          <w:ilvl w:val="3"/>
          <w:numId w:val="1"/>
        </w:numPr>
        <w:rPr/>
      </w:pPr>
      <w:bookmarkStart w:id="178" w:name="__RefHeading___Toc3971131_1067777946"/>
      <w:bookmarkStart w:id="179" w:name="_Toc73"/>
      <w:bookmarkEnd w:id="178"/>
      <w:r>
        <w:rPr>
          <w:rtl w:val="true"/>
        </w:rPr>
        <w:t>حكم شكوفۀ درخت خرما</w:t>
      </w:r>
      <w:bookmarkEnd w:id="179"/>
    </w:p>
    <w:p>
      <w:pPr>
        <w:pStyle w:val="BookText"/>
        <w:rPr/>
      </w:pPr>
      <w:r>
        <w:rPr>
          <w:rFonts w:ascii="Amiri" w:hAnsi="Amiri" w:eastAsia="Amiri" w:cs="Amiri"/>
          <w:color w:val="111111"/>
          <w:sz w:val="28"/>
          <w:sz w:val="28"/>
          <w:szCs w:val="28"/>
          <w:rtl w:val="true"/>
          <w:lang w:bidi="ar-SA"/>
        </w:rPr>
        <w:t>شكوفۀ درخت خرما قبل از تأبير و تلقيح آن، با مقارنت با بيع، از منقول بالقوّه است و مربوط به مشترى است نه شفيع، فضلاً از آنكه تأبير شود بالمرّة، ظاهره بر درخت باشد يا آنكه بعد از ابتياع، حمل باشد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جمع بين حقين به ابقاى ثمره بر درخت تا زمان چيدن و رسيدن وقت آن است با اجرت در صورت ثبوت، نه مجاناً و بلاعوض</w:t>
      </w:r>
      <w:r>
        <w:rPr>
          <w:rFonts w:eastAsia="IRNazanin" w:cs="IRNazanin"/>
          <w:color w:val="111111"/>
          <w:sz w:val="28"/>
          <w:szCs w:val="28"/>
          <w:rtl w:val="true"/>
          <w:lang w:bidi="fa-IR"/>
        </w:rPr>
        <w:t xml:space="preserve">. </w:t>
      </w:r>
      <w:bookmarkStart w:id="180" w:name="pg10275_96334"/>
    </w:p>
    <w:p>
      <w:pPr>
        <w:pStyle w:val="Heading4"/>
        <w:numPr>
          <w:ilvl w:val="3"/>
          <w:numId w:val="1"/>
        </w:numPr>
        <w:rPr/>
      </w:pPr>
      <w:bookmarkStart w:id="181" w:name="__RefHeading___Toc3971133_1067777946"/>
      <w:bookmarkStart w:id="182" w:name="_Toc74"/>
      <w:bookmarkEnd w:id="180"/>
      <w:bookmarkEnd w:id="181"/>
      <w:r>
        <w:rPr>
          <w:rtl w:val="true"/>
        </w:rPr>
        <w:t>حكم اعمال شفعه در دو شقص از دو خانه</w:t>
      </w:r>
      <w:bookmarkEnd w:id="182"/>
    </w:p>
    <w:p>
      <w:pPr>
        <w:pStyle w:val="BookText"/>
        <w:rPr/>
      </w:pPr>
      <w:r>
        <w:rPr>
          <w:rFonts w:ascii="IRNazanin" w:hAnsi="IRNazanin" w:eastAsia="IRNazanin"/>
          <w:color w:val="111111"/>
          <w:sz w:val="28"/>
          <w:sz w:val="28"/>
          <w:szCs w:val="28"/>
          <w:rtl w:val="true"/>
          <w:lang w:bidi="fa-IR"/>
        </w:rPr>
        <w:t>اگر دو شقص از دو خانه مثلاً بيع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شفيع، واحد باشد، مى تواند اخذ به شفعه در هر دو خانه يا ترك آن و عفو شفعه در هر دو يا اخذ در يكى و عفو در ديگرى نمايد، و نمى تواند تبعيض در شفعۀ واحده به اخذ شفعه در بعض يك خانۀ مشترك و ترك اخذ در بعض ديگر از يك خانۀ مشترك نمايد تا از اين ناحيه ضررى متوجه مشترى بشود يا متوجه به بايع در صورت ارادۀ مشترى، فسخ در بعض باقى را</w:t>
      </w:r>
      <w:r>
        <w:rPr>
          <w:rFonts w:eastAsia="IRNazanin" w:cs="IRNazanin"/>
          <w:color w:val="111111"/>
          <w:sz w:val="28"/>
          <w:szCs w:val="28"/>
          <w:rtl w:val="true"/>
          <w:lang w:bidi="fa-IR"/>
        </w:rPr>
        <w:t>.</w:t>
      </w:r>
    </w:p>
    <w:p>
      <w:pPr>
        <w:pStyle w:val="Heading4"/>
        <w:numPr>
          <w:ilvl w:val="3"/>
          <w:numId w:val="1"/>
        </w:numPr>
        <w:rPr/>
      </w:pPr>
      <w:bookmarkStart w:id="183" w:name="__RefHeading___Toc3971135_1067777946"/>
      <w:bookmarkStart w:id="184" w:name="_Toc75"/>
      <w:bookmarkEnd w:id="183"/>
      <w:r>
        <w:rPr>
          <w:rtl w:val="true"/>
        </w:rPr>
        <w:t>اگر ثمن در بيع شريك، مستحق للغير بود</w:t>
      </w:r>
      <w:bookmarkEnd w:id="184"/>
    </w:p>
    <w:p>
      <w:pPr>
        <w:pStyle w:val="BookText"/>
        <w:rPr/>
      </w:pPr>
      <w:r>
        <w:rPr>
          <w:rFonts w:ascii="IRNazanin" w:hAnsi="IRNazanin" w:eastAsia="IRNazanin"/>
          <w:color w:val="111111"/>
          <w:sz w:val="28"/>
          <w:sz w:val="28"/>
          <w:szCs w:val="28"/>
          <w:rtl w:val="true"/>
          <w:lang w:bidi="fa-IR"/>
        </w:rPr>
        <w:t xml:space="preserve">اگر ثمن در بيع شريك كه مدفوع به بايع بود، مستحَق للغير بود و معامله با شخص آن بود و مالك و مستحق، اجازه نكرد آن را به نحوى كه باطل بود، پس شفعه در آن مبيع ثابت نيست؛ و اگر در ذمه بود يا تشخّص مبطل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كلّى فى المعيّن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ثابت است و بائع، مستحِق تبديل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شفيع، دفع ثمن به مشترى با اخذ به شفعه كرد، پس معلوم شد كه ثمن مذكور، مستحَق غير است، شفعه باطل نمى شود و فوريّت عرفيّه هم مختل نمى شود و اخذ خاص كالعدم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شفيع عالم بود به استحقاق غير، پس ملحوق به اجازۀ صاحب حق در ثمن شد، صحّت اخذ خاص، بى وجه نيست، وگرنه خالى از تأمّل نيست</w:t>
      </w:r>
      <w:r>
        <w:rPr>
          <w:rFonts w:eastAsia="IRNazanin" w:cs="IRNazanin"/>
          <w:color w:val="111111"/>
          <w:sz w:val="28"/>
          <w:szCs w:val="28"/>
          <w:rtl w:val="true"/>
          <w:lang w:bidi="fa-IR"/>
        </w:rPr>
        <w:t>.</w:t>
      </w:r>
    </w:p>
    <w:p>
      <w:pPr>
        <w:pStyle w:val="Heading4"/>
        <w:numPr>
          <w:ilvl w:val="3"/>
          <w:numId w:val="1"/>
        </w:numPr>
        <w:rPr/>
      </w:pPr>
      <w:bookmarkStart w:id="185" w:name="__RefHeading___Toc3971137_1067777946"/>
      <w:bookmarkStart w:id="186" w:name="_Toc76"/>
      <w:bookmarkEnd w:id="185"/>
      <w:r>
        <w:rPr>
          <w:rtl w:val="true"/>
        </w:rPr>
        <w:t>ظهور عيب در مبيع قبل از اخذ به شفعه</w:t>
      </w:r>
      <w:bookmarkEnd w:id="186"/>
    </w:p>
    <w:p>
      <w:pPr>
        <w:pStyle w:val="BookText"/>
        <w:rPr/>
      </w:pPr>
      <w:r>
        <w:rPr>
          <w:rFonts w:ascii="IRNazanin" w:hAnsi="IRNazanin" w:eastAsia="IRNazanin"/>
          <w:color w:val="111111"/>
          <w:sz w:val="28"/>
          <w:sz w:val="28"/>
          <w:szCs w:val="28"/>
          <w:rtl w:val="true"/>
          <w:lang w:bidi="fa-IR"/>
        </w:rPr>
        <w:t>اگر در مبيع عيبى ظاهر شد پس مشترى ارش عيب را از بايع مأخوذ داشت، مى تواند شفيع اخذ به شفعه نمايد با تأديۀ ثمن به استثناى مقدار ارش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مشترى امساك كرد مبيع را بدون اخذ ارش، پس در تعيّن اخذ به تمام ثمن يا ترك اخذ، بر شفيع، تأمّل است، و محتمل است صحّت اخذ با استثناى مقدار ارش، اگر چه مشترى عفو و اغماض از حق خودش كرده باشد</w:t>
      </w:r>
      <w:r>
        <w:rPr>
          <w:rFonts w:eastAsia="IRNazanin" w:cs="IRNazanin"/>
          <w:color w:val="111111"/>
          <w:sz w:val="28"/>
          <w:szCs w:val="28"/>
          <w:rtl w:val="true"/>
          <w:lang w:bidi="fa-IR"/>
        </w:rPr>
        <w:t xml:space="preserve">. </w:t>
      </w:r>
      <w:bookmarkStart w:id="187" w:name="pg10275_96335"/>
    </w:p>
    <w:p>
      <w:pPr>
        <w:pStyle w:val="Heading4"/>
        <w:numPr>
          <w:ilvl w:val="3"/>
          <w:numId w:val="1"/>
        </w:numPr>
        <w:rPr/>
      </w:pPr>
      <w:bookmarkStart w:id="188" w:name="__RefHeading___Toc3971139_1067777946"/>
      <w:bookmarkStart w:id="189" w:name="_Toc77"/>
      <w:bookmarkEnd w:id="187"/>
      <w:bookmarkEnd w:id="188"/>
      <w:r>
        <w:rPr>
          <w:rtl w:val="true"/>
        </w:rPr>
        <w:t xml:space="preserve">فروع ششگانۀ </w:t>
      </w:r>
      <w:r>
        <w:rPr>
          <w:rtl w:val="true"/>
        </w:rPr>
        <w:t>«</w:t>
      </w:r>
      <w:r>
        <w:rPr>
          <w:rtl w:val="true"/>
        </w:rPr>
        <w:t>شرائع</w:t>
      </w:r>
      <w:r>
        <w:rPr>
          <w:rtl w:val="true"/>
        </w:rPr>
        <w:t>»</w:t>
      </w:r>
      <w:bookmarkEnd w:id="189"/>
    </w:p>
    <w:p>
      <w:pPr>
        <w:pStyle w:val="Heading5"/>
        <w:numPr>
          <w:ilvl w:val="4"/>
          <w:numId w:val="1"/>
        </w:numPr>
        <w:rPr/>
      </w:pPr>
      <w:bookmarkStart w:id="190" w:name="__RefHeading___Toc3971141_1067777946"/>
      <w:bookmarkStart w:id="191" w:name="_Toc78"/>
      <w:bookmarkEnd w:id="190"/>
      <w:r>
        <w:rPr>
          <w:rtl w:val="true"/>
        </w:rPr>
        <w:t>تأثير احتمال ترك شفعه از روى عذر در عدم سقوط</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مشترى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را به صد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شفيع ترك كرد و احتمال عدم اهمال در ترك به واسطۀ زيادتى ثمن مخبر عنها بود، شفعه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را به پنجاه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نصف را به صد خريده بود و احتمال عدم اعتنا به كمى مورد شراء و عدم اخذ به شفعه براى آن بود، شفعه ساقط نمى شود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احتياج به يمين شفيع، در صورت ادعاى مشترى اهمال شفيع را در ترك اخذ به نحوى كه كشف از عفو نمايد در صورتى كه تفاوت به مجرد علم و قصد نباشد، خالى از وجه نيست</w:t>
      </w:r>
      <w:r>
        <w:rPr>
          <w:rFonts w:eastAsia="IRNazanin" w:cs="IRNazanin"/>
          <w:color w:val="111111"/>
          <w:sz w:val="28"/>
          <w:szCs w:val="28"/>
          <w:rtl w:val="true"/>
          <w:lang w:bidi="fa-IR"/>
        </w:rPr>
        <w:t>.</w:t>
      </w:r>
    </w:p>
    <w:p>
      <w:pPr>
        <w:pStyle w:val="Heading5"/>
        <w:numPr>
          <w:ilvl w:val="4"/>
          <w:numId w:val="1"/>
        </w:numPr>
        <w:rPr/>
      </w:pPr>
      <w:bookmarkStart w:id="192" w:name="__RefHeading___Toc3971143_1067777946"/>
      <w:bookmarkStart w:id="193" w:name="_Toc79"/>
      <w:bookmarkEnd w:id="192"/>
      <w:r>
        <w:rPr>
          <w:rtl w:val="true"/>
        </w:rPr>
        <w:t>اعتبار علم به ثمن و مثمن و مقدار آنها در أخذ به شفعه</w:t>
      </w:r>
      <w:bookmarkEnd w:id="1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عالم شد شفيع به بيع،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عالم به مثمن و ثمن و حدّ آنها و مقدار آنها بود، صحيح است با دفع ثمن؛ و اگر جاهل بود، پس خالى از شبهه نيست، لكن دفع ثمن، معتبر است و بدون علم به حدّ و مقدار، ممكن نيست، پس اگر در حال دفع ثمن عالم بود، شرط حاصل است اگر چه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اعتبار علم به مثمن است، زيرا علم به ثمن در حال دفع، بدون علم به حدّ و مقدار مثمن، لغو و بى اثر است در عرف، مگر آنكه محمول بر غالب معاملات عرفيّۀ عقلائيّه باشد كه مناسب اين حدّ ثمن بدون تغابن غير غالب، اين حدّ از مثمن است و اين امارۀ عرفيّه براى تحديد مثمن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اين، كفايت عكس است، يعنى معرفيّت مثمن براى ثمن، اگر نبود آنچه مذكور شد از اعتبار علم در حال دفع ثمن، پس با معرفيت، كفايت علم به يكى، خالى از وجه نيست</w:t>
      </w:r>
      <w:r>
        <w:rPr>
          <w:rFonts w:eastAsia="IRNazanin" w:cs="IRNazanin"/>
          <w:color w:val="111111"/>
          <w:sz w:val="28"/>
          <w:szCs w:val="28"/>
          <w:rtl w:val="true"/>
          <w:lang w:bidi="fa-IR"/>
        </w:rPr>
        <w:t xml:space="preserve">. </w:t>
      </w:r>
      <w:bookmarkStart w:id="194" w:name="pg10275_96336"/>
    </w:p>
    <w:p>
      <w:pPr>
        <w:pStyle w:val="Heading5"/>
        <w:numPr>
          <w:ilvl w:val="4"/>
          <w:numId w:val="1"/>
        </w:numPr>
        <w:rPr/>
      </w:pPr>
      <w:bookmarkStart w:id="195" w:name="__RefHeading___Toc3971145_1067777946"/>
      <w:bookmarkStart w:id="196" w:name="_Toc80"/>
      <w:bookmarkEnd w:id="194"/>
      <w:bookmarkEnd w:id="195"/>
      <w:r>
        <w:rPr>
          <w:rtl w:val="true"/>
        </w:rPr>
        <w:t>لزوم معيت بين تسليم شقص و تسليم ثمن</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مشترى، تسليم شقص و بر شفيع، تسليم ثمن است به نحو معيّت حقيقيّه يا حكميّه به وثوق هر كدام به تسليم مملوك خودش متقدماً يا متأخّراً عن تسلّم عوض؛ و در غير اين صورت، مقتضاى اصل، عدم حصول ملكيت شقص براى شفيع است به مجرد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بالشفعة</w:t>
      </w:r>
      <w:r>
        <w:rPr>
          <w:rFonts w:eastAsia="IRNazanin" w:cs="IRNazanin"/>
          <w:color w:val="111111"/>
          <w:sz w:val="28"/>
          <w:szCs w:val="28"/>
          <w:rtl w:val="true"/>
          <w:lang w:bidi="fa-IR"/>
        </w:rPr>
        <w:t>».</w:t>
      </w:r>
    </w:p>
    <w:p>
      <w:pPr>
        <w:pStyle w:val="Heading5"/>
        <w:numPr>
          <w:ilvl w:val="4"/>
          <w:numId w:val="1"/>
        </w:numPr>
        <w:rPr/>
      </w:pPr>
      <w:bookmarkStart w:id="197" w:name="__RefHeading___Toc3971147_1067777946"/>
      <w:bookmarkStart w:id="198" w:name="_Toc81"/>
      <w:bookmarkEnd w:id="197"/>
      <w:r>
        <w:rPr>
          <w:rtl w:val="true"/>
        </w:rPr>
        <w:t>عدم سقوط حق شفعه با ترك آن با ابلاغ خلاف واقع به شفيع</w:t>
      </w:r>
      <w:bookmarkEnd w:id="1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ابلاغِ خلاف واقع شد به شفيع، مثل وحدت مشترى يا كثرت آن يا آنكه اشتراء لنفسه بوده يا لغيره، پس ترك اخذ به شفعه، موجب سقوط حق نيست و بعد از تبيّن خلاف مى تواند اخذ به شفعه نمايد</w:t>
      </w:r>
      <w:r>
        <w:rPr>
          <w:rFonts w:eastAsia="IRNazanin" w:cs="IRNazanin"/>
          <w:color w:val="111111"/>
          <w:sz w:val="28"/>
          <w:szCs w:val="28"/>
          <w:rtl w:val="true"/>
          <w:lang w:bidi="fa-IR"/>
        </w:rPr>
        <w:t>.</w:t>
      </w:r>
    </w:p>
    <w:p>
      <w:pPr>
        <w:pStyle w:val="Heading5"/>
        <w:numPr>
          <w:ilvl w:val="4"/>
          <w:numId w:val="1"/>
        </w:numPr>
        <w:rPr/>
      </w:pPr>
      <w:bookmarkStart w:id="199" w:name="__RefHeading___Toc3971149_1067777946"/>
      <w:bookmarkStart w:id="200" w:name="_Toc82"/>
      <w:bookmarkEnd w:id="199"/>
      <w:r>
        <w:rPr>
          <w:rtl w:val="true"/>
        </w:rPr>
        <w:t>شفعه در زمين مشغول به زراعت</w:t>
      </w:r>
      <w:bookmarkEnd w:id="2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زمين مبيع، مشغول به زرع بوده با اذن شفيع يا مثل اذن او، پس لازم است ابقاى زرع بعد از اخذ به شفعه تا زمان اَمَد منتظر؛ و اما آنكه مجاناً باشد يا مع العوض، پس دائر مدار مستفاد از اذن است، و اگر اوّلى باشد استحقاق عوض ندارد و مشترى به ضرر غير مقدمٌ عليه واقع نخواهد شد، به خلاف ثانى يا مشكوك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مشترى اجاره داد زمين را تا مدتى با عدم اذن شفيع و مثل اذن او، پس بعد از اخذ مى تواند فسخ اجاره در مابعد از اخذ نمايد، مثل قلع مشترى با ارش يا بدون آن در فرع سابق؛ و با اذن و مانند آن نمى تواند فسخ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مستحق اجرت بعد از اخذ مى شود؟ دائر مدار مستفاد از اذن است چنانچه گذشت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شفيع مخير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اخذ به شفعه در صورت مشغوليت زمين به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اخذ فى الحال و بين تأخير تا زمان حصاد زرع، در صورت عدم امكان انتفاع با مشغوليت به زرع به منفعتى غير از ضدّ زراعت، به جهت عذريت اشتغال مفروض از تعجيل ثمن براى تعجيل اخذ به شفعه، به خلاف صورت امكان انتفاع</w:t>
      </w:r>
      <w:r>
        <w:rPr>
          <w:rFonts w:eastAsia="Amiri" w:cs="Amiri" w:ascii="Amiri" w:hAnsi="Amiri"/>
          <w:color w:val="111111"/>
          <w:sz w:val="28"/>
          <w:szCs w:val="28"/>
          <w:rtl w:val="true"/>
          <w:lang w:bidi="ar-SA"/>
        </w:rPr>
        <w:t xml:space="preserve">. </w:t>
      </w:r>
      <w:bookmarkStart w:id="201" w:name="pg10275_96337"/>
    </w:p>
    <w:p>
      <w:pPr>
        <w:pStyle w:val="Heading5"/>
        <w:numPr>
          <w:ilvl w:val="4"/>
          <w:numId w:val="1"/>
        </w:numPr>
        <w:rPr/>
      </w:pPr>
      <w:bookmarkStart w:id="202" w:name="__RefHeading___Toc3971151_1067777946"/>
      <w:bookmarkStart w:id="203" w:name="_Toc83"/>
      <w:bookmarkEnd w:id="201"/>
      <w:bookmarkEnd w:id="202"/>
      <w:r>
        <w:rPr>
          <w:rtl w:val="true"/>
        </w:rPr>
        <w:t>عدم مشروعيت اقاله بين شفيع و بايع</w:t>
      </w:r>
      <w:bookmarkEnd w:id="2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اخذ به شفعه كرد، بعد از آن اقاله بين او و بايع مشروعيت ندارد؛ پس طلب اقاله از بايع يا شفيع، طلب غير مشروع است؛ و اقالۀ مشروعه فقط بين متعاقدين و بايع و مشترى است</w:t>
      </w:r>
      <w:r>
        <w:rPr>
          <w:rFonts w:eastAsia="IRNazanin" w:cs="IRNazanin"/>
          <w:color w:val="111111"/>
          <w:sz w:val="28"/>
          <w:szCs w:val="28"/>
          <w:rtl w:val="true"/>
          <w:lang w:bidi="fa-IR"/>
        </w:rPr>
        <w:t>.</w:t>
      </w:r>
      <w:bookmarkStart w:id="204" w:name="pg10275_96338"/>
    </w:p>
    <w:p>
      <w:pPr>
        <w:pStyle w:val="Heading3"/>
        <w:numPr>
          <w:ilvl w:val="2"/>
          <w:numId w:val="1"/>
        </w:numPr>
        <w:rPr/>
      </w:pPr>
      <w:bookmarkStart w:id="205" w:name="__RefHeading___Toc3971153_1067777946"/>
      <w:bookmarkStart w:id="206" w:name="_Toc84"/>
      <w:bookmarkEnd w:id="204"/>
      <w:bookmarkEnd w:id="205"/>
      <w:r>
        <w:rPr>
          <w:rtl w:val="true"/>
        </w:rPr>
        <w:t>فصل چهارم لواحق اخذ به شفعه</w:t>
      </w:r>
      <w:bookmarkEnd w:id="206"/>
    </w:p>
    <w:p>
      <w:pPr>
        <w:pStyle w:val="Heading4"/>
        <w:numPr>
          <w:ilvl w:val="3"/>
          <w:numId w:val="1"/>
        </w:numPr>
        <w:rPr/>
      </w:pPr>
      <w:bookmarkStart w:id="207" w:name="__RefHeading___Toc3971155_1067777946"/>
      <w:bookmarkStart w:id="208" w:name="_Toc85"/>
      <w:bookmarkEnd w:id="207"/>
      <w:r>
        <w:rPr/>
        <w:t>1</w:t>
      </w:r>
      <w:r>
        <w:rPr>
          <w:rtl w:val="true"/>
        </w:rPr>
        <w:t xml:space="preserve">. </w:t>
      </w:r>
      <w:r>
        <w:rPr>
          <w:rtl w:val="true"/>
        </w:rPr>
        <w:t>مسائل اخذ به شفعه</w:t>
      </w:r>
      <w:bookmarkEnd w:id="208"/>
    </w:p>
    <w:p>
      <w:pPr>
        <w:pStyle w:val="Heading5"/>
        <w:numPr>
          <w:ilvl w:val="4"/>
          <w:numId w:val="1"/>
        </w:numPr>
        <w:rPr/>
      </w:pPr>
      <w:bookmarkStart w:id="209" w:name="__RefHeading___Toc3971157_1067777946"/>
      <w:bookmarkStart w:id="210" w:name="_Toc86"/>
      <w:bookmarkEnd w:id="209"/>
      <w:r>
        <w:rPr>
          <w:rtl w:val="true"/>
        </w:rPr>
        <w:t>ثبوت شفعه در صورتى كه اشتراء به ثمن مؤجل باشد</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اشتراء به ثمن مؤجل بود، اظهر ثبوت حق شفعه است، و لزوم اخذ به شفعه عاجلاً، و تأجيل ثمن، و مساوات در آن بين شفيع و مشترى است، و عدم جواز تأخير اخذ است تا حدّ منافى با فوريّت عرفيّه، و عدم وجوب تعجيل ثمن است بر شفيع؛ بلى اگر شفيع تعجيل در تأديۀ ثمن نمود، اظهر وجوب قبول است بر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صورت عدم امكان احضار كفيل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جايى كه استظهار حق براى دائن و مديون نباشد در معاملۀ بين بايع و مشترى و فقط ارفاق به مديون باشد چنانچه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و احوط احضار كفيل ملىّ است براى شفيع، در صورت عدم تعجيل ثمن در مؤجل تا حلول وقت آن</w:t>
      </w:r>
      <w:r>
        <w:rPr>
          <w:rFonts w:eastAsia="IRNazanin" w:cs="IRNazanin"/>
          <w:color w:val="111111"/>
          <w:sz w:val="28"/>
          <w:szCs w:val="28"/>
          <w:rtl w:val="true"/>
          <w:lang w:bidi="fa-IR"/>
        </w:rPr>
        <w:t>.</w:t>
      </w:r>
    </w:p>
    <w:p>
      <w:pPr>
        <w:pStyle w:val="Heading5"/>
        <w:numPr>
          <w:ilvl w:val="4"/>
          <w:numId w:val="1"/>
        </w:numPr>
        <w:rPr/>
      </w:pPr>
      <w:bookmarkStart w:id="211" w:name="__RefHeading___Toc3971159_1067777946"/>
      <w:bookmarkStart w:id="212" w:name="_Toc87"/>
      <w:bookmarkEnd w:id="211"/>
      <w:r>
        <w:rPr>
          <w:rtl w:val="true"/>
        </w:rPr>
        <w:t>توريث حق شفعه</w:t>
      </w:r>
      <w:bookmarkEnd w:id="2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اظهر توريث حق شفعه مثل سائر حقوق موروثه است، چنانچه موافق اشهر و حكايت اجماع و عموم كتاب و سنّت در توريث و عموم و خصوص سنت در توريث حق است</w:t>
      </w:r>
      <w:r>
        <w:rPr>
          <w:rFonts w:eastAsia="IRNazanin" w:cs="IRNazanin"/>
          <w:color w:val="111111"/>
          <w:sz w:val="28"/>
          <w:szCs w:val="28"/>
          <w:rtl w:val="true"/>
          <w:lang w:bidi="fa-IR"/>
        </w:rPr>
        <w:t>.</w:t>
      </w:r>
    </w:p>
    <w:p>
      <w:pPr>
        <w:pStyle w:val="Heading5"/>
        <w:numPr>
          <w:ilvl w:val="4"/>
          <w:numId w:val="1"/>
        </w:numPr>
        <w:rPr/>
      </w:pPr>
      <w:bookmarkStart w:id="213" w:name="__RefHeading___Toc3971161_1067777946"/>
      <w:bookmarkStart w:id="214" w:name="_Toc88"/>
      <w:bookmarkEnd w:id="213"/>
      <w:r>
        <w:rPr>
          <w:rtl w:val="true"/>
        </w:rPr>
        <w:t>نحوۀ توريث شفعه</w:t>
      </w:r>
      <w:bookmarkEnd w:id="2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توريث شفعه بر نصيبها است، نه به حسب رءوس ورثه، پس حق را وارث</w:t>
      </w:r>
      <w:bookmarkStart w:id="215" w:name="pg10275_96339"/>
    </w:p>
    <w:p>
      <w:pPr>
        <w:pStyle w:val="BookText"/>
        <w:rPr/>
      </w:pPr>
      <w:bookmarkEnd w:id="215"/>
      <w:r>
        <w:rPr>
          <w:rFonts w:ascii="IRNazanin" w:hAnsi="IRNazanin" w:eastAsia="IRNazanin"/>
          <w:color w:val="111111"/>
          <w:sz w:val="28"/>
          <w:sz w:val="28"/>
          <w:szCs w:val="28"/>
          <w:rtl w:val="true"/>
          <w:lang w:bidi="fa-IR"/>
        </w:rPr>
        <w:t>مى شوند مثل ملك، پس گاهى به تساوى نيست؛ و محروميت زوجه از عقار، در ارث ملكِ غير منقول است نه در ارث حق تملّك به اخذ به شفعه، پس زوجه و ولد، وارث حق مى شوند به اينكه ثُمن مال بعد از اخذ هر دو، مال زن، و باقى مال ولد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يكى از وراث عفو نمود، ساقط مى شود شفعه در مقدار حق او و باقى مى ماند ملك مشترى در آن مقدار بدون مستحق شفعه؛ و براى ديگران از ورثه، اخذ به شفعه در مقدار نصيب آنها است بنا بر اظهر و موجّه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p>
    <w:p>
      <w:pPr>
        <w:pStyle w:val="Heading5"/>
        <w:numPr>
          <w:ilvl w:val="4"/>
          <w:numId w:val="1"/>
        </w:numPr>
        <w:rPr/>
      </w:pPr>
      <w:bookmarkStart w:id="216" w:name="__RefHeading___Toc3971163_1067777946"/>
      <w:bookmarkStart w:id="217" w:name="_Toc89"/>
      <w:bookmarkEnd w:id="216"/>
      <w:r>
        <w:rPr>
          <w:rtl w:val="true"/>
        </w:rPr>
        <w:t>فوت مفلَّس و توريث شفعه</w:t>
      </w:r>
      <w:bookmarkEnd w:id="217"/>
    </w:p>
    <w:p>
      <w:pPr>
        <w:pStyle w:val="BookText"/>
        <w:rPr/>
      </w:pPr>
      <w:r>
        <w:rPr>
          <w:rFonts w:ascii="IRNazanin" w:hAnsi="IRNazanin" w:eastAsia="IRNazanin"/>
          <w:color w:val="111111"/>
          <w:sz w:val="28"/>
          <w:sz w:val="28"/>
          <w:szCs w:val="28"/>
          <w:rtl w:val="true"/>
          <w:lang w:bidi="fa-IR"/>
        </w:rPr>
        <w:t>اگر مفلَّس وفات كرد بعد از بيع شريك، پس براى ورثۀ او حق شفعه ثابت است بر تقدير موروث بودن تركه حتى در صورت استيعاب، چنانچه مختار در محل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بيع شد بعض ملك مفلَّس در اداء دين، پس وفات كرد، وارثِ بقيّه حق شفعه ندارد، چون خود بايع حق شفعه نداشته تا توريث نمايد؛ و هم چنين است بيع بعد از وفات كه بيع حاكم به منزلۀ بيع مالك است و مالك بر خودش حق شفعه در بعض مبيع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وارث، شريك مورّث بود پس نصيب مورّث بيع شد در دين به جهت مذكوره</w:t>
      </w:r>
      <w:r>
        <w:rPr>
          <w:rFonts w:eastAsia="IRNazanin" w:cs="IRNazanin"/>
          <w:color w:val="111111"/>
          <w:sz w:val="28"/>
          <w:szCs w:val="28"/>
          <w:rtl w:val="true"/>
          <w:lang w:bidi="fa-IR"/>
        </w:rPr>
        <w:t>.</w:t>
      </w:r>
    </w:p>
    <w:p>
      <w:pPr>
        <w:pStyle w:val="Heading5"/>
        <w:numPr>
          <w:ilvl w:val="4"/>
          <w:numId w:val="1"/>
        </w:numPr>
        <w:rPr/>
      </w:pPr>
      <w:bookmarkStart w:id="218" w:name="__RefHeading___Toc3971165_1067777946"/>
      <w:bookmarkStart w:id="219" w:name="_Toc90"/>
      <w:bookmarkEnd w:id="218"/>
      <w:r>
        <w:rPr>
          <w:rtl w:val="true"/>
        </w:rPr>
        <w:t>وصيت به متعلَّق حق شفعه</w:t>
      </w:r>
      <w:bookmarkEnd w:id="219"/>
    </w:p>
    <w:p>
      <w:pPr>
        <w:pStyle w:val="BookText"/>
        <w:rPr/>
      </w:pPr>
      <w:r>
        <w:rPr>
          <w:rFonts w:ascii="IRNazanin" w:hAnsi="IRNazanin" w:eastAsia="IRNazanin"/>
          <w:color w:val="111111"/>
          <w:sz w:val="28"/>
          <w:sz w:val="28"/>
          <w:szCs w:val="28"/>
          <w:rtl w:val="true"/>
          <w:lang w:bidi="fa-IR"/>
        </w:rPr>
        <w:t>اگر خريد مشترك متعلّق حق شفعه را و آن را وصيّت نمود براى كسى، پس از آن وفات نمود، شفيع حق اخذ به شفعه دارد و ثمن را به ورثه دفع مى نمايد و وصيّت اگر متعلّق به عين نه به اعم از ماليت عين بوده، باطل مى شود، مثل سائر تصرفات مشترى در متعلّق حق شفعه</w:t>
      </w:r>
      <w:r>
        <w:rPr>
          <w:rFonts w:eastAsia="IRNazanin" w:cs="IRNazanin"/>
          <w:color w:val="111111"/>
          <w:sz w:val="28"/>
          <w:szCs w:val="28"/>
          <w:rtl w:val="true"/>
          <w:lang w:bidi="fa-IR"/>
        </w:rPr>
        <w:t>.</w:t>
      </w:r>
    </w:p>
    <w:p>
      <w:pPr>
        <w:pStyle w:val="Heading5"/>
        <w:numPr>
          <w:ilvl w:val="4"/>
          <w:numId w:val="1"/>
        </w:numPr>
        <w:rPr/>
      </w:pPr>
      <w:bookmarkStart w:id="220" w:name="__RefHeading___Toc3971167_1067777946"/>
      <w:bookmarkStart w:id="221" w:name="_Toc91"/>
      <w:bookmarkEnd w:id="220"/>
      <w:r>
        <w:rPr>
          <w:rtl w:val="true"/>
        </w:rPr>
        <w:t>وصيت به مشترك و فروختن شريك قبل از قبول وصى</w:t>
      </w:r>
      <w:bookmarkEnd w:id="22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كرد مشترك را براى كسى و پس از موت موصى، شريك بيع كرد قبل از </w:t>
      </w:r>
      <w:bookmarkStart w:id="222" w:name="pg10275_96340"/>
    </w:p>
    <w:p>
      <w:pPr>
        <w:pStyle w:val="BookText"/>
        <w:rPr/>
      </w:pPr>
      <w:bookmarkEnd w:id="222"/>
      <w:r>
        <w:rPr>
          <w:rFonts w:ascii="IRNazanin" w:hAnsi="IRNazanin" w:eastAsia="IRNazanin"/>
          <w:color w:val="111111"/>
          <w:sz w:val="28"/>
          <w:sz w:val="28"/>
          <w:szCs w:val="28"/>
          <w:rtl w:val="true"/>
          <w:lang w:bidi="fa-IR"/>
        </w:rPr>
        <w:t>قبول وصى، وارث موصى حق شفعه دارد بنا بر نقل؛ و اما بنا بر كشف پس اگر موصى له قبول كرد و فوراً اخذ به شفعه كرد، مالك مى شود هر دو حصّه را، و قبل از قبول و رد، هيچ كدام از ورثۀ موصى و موصى له، استحقاق فعلى اخذ به شفعه ندارند به جهت اصالت عدم رد معتبر در مالكيّت وارث و اصالت عدم قبول معتبر در مالكيّت موصى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مطالبه قبول كرد، پس اگر به رجاى تحقّق قبول بوده و مصادف با آن شد، اظهر عدم احتياج به قبول دوم است؛ و اگر به رجا، وارث اخذ به شفعه كرد پس موصى له قبول كرد، قبول وارث در غير محل آن است، و اگر موصى له بعد از قبول اخذ كرد نافذ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وارث مطالبه نكرد تا زمان قبول موصى له، شفعه نيست براى موصى له بنا بر نقل در صورت اسقاط حق از وارث كه شريك در زمان بيع بوده؛ و اما وارث، پس با اسقاط مذكور، شفعه براى او ثابت نيست با فرض تعقّب به قبول به اقل؛ به خلاف فرض كاشف بودن</w:t>
      </w:r>
      <w:r>
        <w:rPr>
          <w:rFonts w:eastAsia="IRNazanin" w:cs="IRNazanin"/>
          <w:color w:val="111111"/>
          <w:sz w:val="28"/>
          <w:szCs w:val="28"/>
          <w:rtl w:val="true"/>
          <w:lang w:bidi="fa-IR"/>
        </w:rPr>
        <w:t>.</w:t>
      </w:r>
    </w:p>
    <w:p>
      <w:pPr>
        <w:pStyle w:val="Heading5"/>
        <w:numPr>
          <w:ilvl w:val="4"/>
          <w:numId w:val="1"/>
        </w:numPr>
        <w:rPr/>
      </w:pPr>
      <w:bookmarkStart w:id="223" w:name="__RefHeading___Toc3971169_1067777946"/>
      <w:bookmarkStart w:id="224" w:name="_Toc92"/>
      <w:bookmarkEnd w:id="223"/>
      <w:r>
        <w:rPr>
          <w:rtl w:val="true"/>
        </w:rPr>
        <w:t>بيع شفيع، نصيب خود را بعد از علم به شفعه</w:t>
      </w:r>
      <w:bookmarkEnd w:id="2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شفيع نصيب خود را فروخت بعد از علم به شفعه و عدم اخذ وكيل او به شفعه، ظاهر، اسقاط حق شفعه است كه مسبّب از شركت در حال بيع و شراء و ما بعد آن تا زمان اخذ است، و مقتضاى مناسبت، ثبوت و بقاى شركت است تا زمان اخذ رافع شركت؛ به خلاف آنكه بدون علم به شفعه بيع نمايد كه حق شفعه بعد از علم به آن ساقط نمى شود، بلكه چون اخذ به سبب سابق است كاشف از بطلان بيع منافى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مشترىِ اول شفعه است در نصيب مشترى دوم در صورت صحّت شراء ثانى، چنانچه گذشت</w:t>
      </w:r>
      <w:r>
        <w:rPr>
          <w:rFonts w:eastAsia="IRNazanin" w:cs="IRNazanin"/>
          <w:color w:val="111111"/>
          <w:sz w:val="28"/>
          <w:szCs w:val="28"/>
          <w:rtl w:val="true"/>
          <w:lang w:bidi="fa-IR"/>
        </w:rPr>
        <w:t>.</w:t>
      </w:r>
    </w:p>
    <w:p>
      <w:pPr>
        <w:pStyle w:val="Heading5"/>
        <w:numPr>
          <w:ilvl w:val="4"/>
          <w:numId w:val="1"/>
        </w:numPr>
        <w:rPr/>
      </w:pPr>
      <w:bookmarkStart w:id="225" w:name="__RefHeading___Toc3971171_1067777946"/>
      <w:bookmarkStart w:id="226" w:name="_Toc93"/>
      <w:bookmarkEnd w:id="225"/>
      <w:r>
        <w:rPr>
          <w:rtl w:val="true"/>
        </w:rPr>
        <w:t>بيع شفيع پس از بيع شريك</w:t>
      </w:r>
      <w:bookmarkEnd w:id="2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بيع كرد شريك، پس از آن بيع كرد شفيع، پس براى مشترى اول شفعه است در </w:t>
      </w:r>
      <w:bookmarkStart w:id="227" w:name="pg10275_96341"/>
    </w:p>
    <w:p>
      <w:pPr>
        <w:pStyle w:val="BookText"/>
        <w:rPr/>
      </w:pPr>
      <w:bookmarkEnd w:id="227"/>
      <w:r>
        <w:rPr>
          <w:rFonts w:ascii="IRNazanin" w:hAnsi="IRNazanin" w:eastAsia="IRNazanin"/>
          <w:color w:val="111111"/>
          <w:sz w:val="28"/>
          <w:sz w:val="28"/>
          <w:szCs w:val="28"/>
          <w:rtl w:val="true"/>
          <w:lang w:bidi="fa-IR"/>
        </w:rPr>
        <w:t>ملك مشترى ثانى با سقوط شفعۀ شريك شفيع به سبب بيع در صورت علم او؛ و براى شفيع است شفعه در ملك مشترى اول با عدم سقوط شفعه به بيع در صورت عدم علم او به بيع، چنانچه گذشت؛ و فرقى بين ثبوت خيار شرط براى مشترى يا بايع يا هر دو، يا عدم ثبوت نيست چنانچه در محل خود ذكر شده است</w:t>
      </w:r>
      <w:r>
        <w:rPr>
          <w:rFonts w:eastAsia="IRNazanin" w:cs="IRNazanin"/>
          <w:color w:val="111111"/>
          <w:sz w:val="28"/>
          <w:szCs w:val="28"/>
          <w:rtl w:val="true"/>
          <w:lang w:bidi="fa-IR"/>
        </w:rPr>
        <w:t>.</w:t>
      </w:r>
    </w:p>
    <w:p>
      <w:pPr>
        <w:pStyle w:val="Heading5"/>
        <w:numPr>
          <w:ilvl w:val="4"/>
          <w:numId w:val="1"/>
        </w:numPr>
        <w:rPr/>
      </w:pPr>
      <w:bookmarkStart w:id="228" w:name="__RefHeading___Toc3971173_1067777946"/>
      <w:bookmarkStart w:id="229" w:name="_Toc94"/>
      <w:bookmarkEnd w:id="228"/>
      <w:r>
        <w:rPr>
          <w:rtl w:val="true"/>
        </w:rPr>
        <w:t>بيع مشترك در مرض موت</w:t>
      </w:r>
      <w:bookmarkEnd w:id="2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مشترك را فروخت در مرض موت، به اجنبى يا وارثى با 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محاباة موافق ثلث بود، شريك اخذ به شفعه مى نمايد با همان ثمن كه در عقد محاباتى بوده؛ و اگر موافقت نداشت با ثلث، صحيح است بيع در آنچه مطابقت با ثلث دارد، و بقيه در ملك مالك لو لا المحاباة و زائد بر ثلث است و حق شفعه دارند با تأديۀ قسط مبيع از ثمن مطابق ثلث يا با تأديۀ تمام ثمن واقع در عقد بيع چنانچه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منجّز از اصل است، پس صحّت بيع مطلقاً اناطه به عدم زيادتى قيمت مبيع از ثلث متروكات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غير مبيع در متروكات نباشد، پس محلى براى شفعه در غير مشترك نيست؛ و هم چنين اگر باشد، به جهت عدم مالكيّت وارث در زمان بيع محاباتى در حيات مورّث؛ به خلاف صورت مفروضه كه شريك، غير وارث است و در زمان مورّث، شريك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فروخت در مرض موت، شقص مشترك غير منقولى را كه قيمت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پس در نصف مبيع، محاباة نيست بلكه در ثلث و زائد بر نصف محاباة است و بيع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صحيح است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مربوط به وارث است، پس اخذ مى نمايد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را در صورت عدم اجازۀ او در سدس به تمام ثمن واقع در بيع يا با تأديۀ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از آن ثمن به جهت بطلان عقد در مقابل سدس، پس كانّه عقدى در سدس واقع نشده است، مثل بيع مشترك و غير مشترك به ثمن واحد، و بيع مملوك و غير آن به ثمن واحد، بعد از ملاحظۀ بطلان عقد در زائد بر ثلث غير مجاز، و محاباة در كل، منحل به محاباة در بعض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ممكن است گفته شود كه معامله در زائد بر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عين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اجازۀ وارث، باطل است، و معامله به نحو ديگر به مراعات قيمت، غير واقع است، و با بطلان در زائد بر ثلث، باطل است محاباة در زائد، پس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در ملك وارث است، و شفيع مى تواند اخذ به شفعه نمايد با تأديۀ قسط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از ثمن محاباة؛ و اعتبار خصوصيّت مشترى در محاباة مثل اعتبار خصوصيّت مشترى است احياناً در اصل بيع در صورتى كه معلوم شود اعتبار، مانع از اخذ به شفعه يا عدم رعايت مقابله بين مأخوذ به شفعه و مقابلش نمى شود؛ و رجوع معامله محاباتيّه به سوى بيع و هبه در اين مقام يا مطلقاً، ممنوع است، به خلاف صورتى كه اين دو معامله فعليّت داشته باشد به نحو هبه يا بيع؛ و با رعايت مماثلت در ثمن تحليلى، ربا لازم نمى آيد، پس معامله در ثلث با رَبَوى بودن عوضين صحيح است، و اخذ به شفعه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با تأديۀ ثمن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بگوييم با اين معامله، نصف مال بايع محفوظ است ماليت آن، و نصف ديگر را اتلاف كرده است با آنكه بيش از ثلث مال را نمى توانست اتلاف نمايد؛ پس همچنان كه مشترى، نصف مال را مى دهد و پنج سدس آن را مى گيرد، شفيع هم كه به جاى مشترى است تمام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نصف ماليت مال بايع است مى دهد و پنج سدس را مى گيرد و يك سدس مى ماند براى ورثۀ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ربا در رَبَويّين در مثل كُرَّين با اختلاف قيمت به تنصيف، به جهت نقص وزن حاصل براى مشترى و شفيع است در مبيع نسبت به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اقرب به قواعد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مقابلۀ دو ثلث و نصف از هر كدام از ثمن و مثمن، اگر چه تخلص از ربا مى شود لكن تصرّف است در ازيد از دو ثلث، كه نصف آن بيع به مثل است به حسب وزن و قيمت با محاباة، و نصف آن اگر چه قيمتش واصل نيست لكن ازيد از ثلث به حسب وزن و قيمت نيست، به خلاف يك سدس پنجم كه نه واصل است به حسب قيمت حتى در غير رَبَويّين و نه داخل ثلث مبيع است</w:t>
      </w:r>
      <w:r>
        <w:rPr>
          <w:rFonts w:eastAsia="IRNazanin" w:cs="IRNazanin"/>
          <w:color w:val="111111"/>
          <w:sz w:val="28"/>
          <w:szCs w:val="28"/>
          <w:rtl w:val="true"/>
          <w:lang w:bidi="fa-IR"/>
        </w:rPr>
        <w:t xml:space="preserve">. </w:t>
      </w:r>
      <w:bookmarkStart w:id="230" w:name="pg10275_96343"/>
    </w:p>
    <w:p>
      <w:pPr>
        <w:pStyle w:val="BookText"/>
        <w:rPr/>
      </w:pPr>
      <w:bookmarkEnd w:id="230"/>
      <w:r>
        <w:rPr>
          <w:rFonts w:ascii="Amiri" w:hAnsi="Amiri" w:eastAsia="Amiri" w:cs="Amiri"/>
          <w:color w:val="111111"/>
          <w:sz w:val="28"/>
          <w:sz w:val="28"/>
          <w:szCs w:val="28"/>
          <w:rtl w:val="true"/>
          <w:lang w:bidi="ar-SA"/>
        </w:rPr>
        <w:t xml:space="preserve">و تخلص مطلق ظاهراً منحصر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رَبَويّين و غير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مقابلۀ دو ثلث مبيع به دو ثلث ثمن، كه نصف آن واصل است به حسب قيمت با محاباة، و نصف آن مطابق ثلث است بدون زيادتى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مبنا در اين ترتيب، ملاحظۀ استلزام نقص مثمن، نقص ثمن را با قسط آن است مطلقاً و ملاحظۀ تساوى وزنى در عوضين در خصوص ربوى است و اينكه محسوب از ثلث بلاعوض بعد از استثناى آنچه معوّض به مثل است خواهد بود، و از اين جهت فرقى بين رَبَويين و غير آنها در حساب مذكور و ترتيب آن نخواهد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به طريق جبر و مقابله قصد اخذ اين نتيجه نموده</w:t>
      </w:r>
      <w:r>
        <w:rPr>
          <w:rFonts w:eastAsia="IRNazanin" w:cs="IRNazanin"/>
          <w:color w:val="111111"/>
          <w:sz w:val="28"/>
          <w:szCs w:val="28"/>
          <w:rtl w:val="true"/>
          <w:lang w:bidi="fa-IR"/>
        </w:rPr>
        <w:t>.</w:t>
      </w:r>
    </w:p>
    <w:p>
      <w:pPr>
        <w:pStyle w:val="Heading5"/>
        <w:numPr>
          <w:ilvl w:val="4"/>
          <w:numId w:val="1"/>
        </w:numPr>
        <w:rPr/>
      </w:pPr>
      <w:bookmarkStart w:id="231" w:name="__RefHeading___Toc3971175_1067777946"/>
      <w:bookmarkStart w:id="232" w:name="_Toc95"/>
      <w:bookmarkEnd w:id="231"/>
      <w:r>
        <w:rPr>
          <w:rtl w:val="true"/>
        </w:rPr>
        <w:t>سقوط حق شفعه با اسقاط شفيع به صلح معاوضى</w:t>
      </w:r>
      <w:bookmarkEnd w:id="23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اظهر سقوط حق شفعه است با صلح معاوضى اين حق، مانند سائر حقوق ماليّه و مثل سائر دوالّ بر عفو؛ و اغماض صاحب حق، مسقط حق است به طورى كه اخذ به آن بعد از اين اسقاط، بى اثر است؛ و ترتيب آن، صلح نفس حق با مستحق است، و نتيجه اش سقوط است نه نقل به مشترى، نه صلح به ترك شفعه و ترك اخذ به شفعه على الدوام، بلكه مثل صلح املاك بر چيزى كه مفيد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مشترى و شفيع مى توانند مصالحٌ عليه را بعض شقص قرار بدهند و رجوع به تبعيض اخذ به شفعه نمى نمايد</w:t>
      </w:r>
      <w:r>
        <w:rPr>
          <w:rFonts w:eastAsia="IRNazanin" w:cs="IRNazanin"/>
          <w:color w:val="111111"/>
          <w:sz w:val="28"/>
          <w:szCs w:val="28"/>
          <w:rtl w:val="true"/>
          <w:lang w:bidi="fa-IR"/>
        </w:rPr>
        <w:t>.</w:t>
      </w:r>
    </w:p>
    <w:p>
      <w:pPr>
        <w:pStyle w:val="Heading5"/>
        <w:numPr>
          <w:ilvl w:val="4"/>
          <w:numId w:val="1"/>
        </w:numPr>
        <w:rPr/>
      </w:pPr>
      <w:bookmarkStart w:id="233" w:name="__RefHeading___Toc3971177_1067777946"/>
      <w:bookmarkStart w:id="234" w:name="_Toc96"/>
      <w:bookmarkEnd w:id="233"/>
      <w:r>
        <w:rPr>
          <w:rtl w:val="true"/>
        </w:rPr>
        <w:t>عدم سقوط حق شفعه با شرط خيار شفيع و شرط ضمان وى و</w:t>
      </w:r>
      <w:r>
        <w:rPr>
          <w:rtl w:val="true"/>
        </w:rPr>
        <w:t>...</w:t>
      </w:r>
      <w:bookmarkEnd w:id="23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شرط خيار شفيع شد در ضمن عقد بيع، حق شفعه با اين شرط ساقط نمى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شرط ضمان شفيع، عهدۀ ثمن را از مشترى، در ضمن عقد بشود، شفعه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شرط ضمان عهدۀ مبيع از بايع براى مشترى، مسقط حق شفعه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التزام به اين شرطها در معاملۀ بين بايع و مشترى كه موضوع حق شفعه است، منافاة با ثبوت حق شفعه ندارد</w:t>
      </w:r>
      <w:r>
        <w:rPr>
          <w:rFonts w:eastAsia="IRNazanin" w:cs="IRNazanin"/>
          <w:color w:val="111111"/>
          <w:sz w:val="28"/>
          <w:szCs w:val="28"/>
          <w:rtl w:val="true"/>
          <w:lang w:bidi="fa-IR"/>
        </w:rPr>
        <w:t xml:space="preserve">. </w:t>
      </w:r>
      <w:bookmarkStart w:id="235" w:name="pg10275_96344"/>
    </w:p>
    <w:p>
      <w:pPr>
        <w:pStyle w:val="BookText"/>
        <w:rPr/>
      </w:pPr>
      <w:bookmarkEnd w:id="235"/>
      <w:r>
        <w:rPr>
          <w:rFonts w:ascii="Amiri" w:hAnsi="Amiri" w:eastAsia="Amiri" w:cs="Amiri"/>
          <w:color w:val="111111"/>
          <w:sz w:val="28"/>
          <w:sz w:val="28"/>
          <w:szCs w:val="28"/>
          <w:rtl w:val="true"/>
          <w:lang w:bidi="ar-SA"/>
        </w:rPr>
        <w:t>و از آن جمله وكالت شفيع از بايع يا مشترى در اجراء صيغه يا بيع حقيقى است، كه مسقط حق شفعۀ وكيل نيست، بلكه تحقيق موضوع حق است</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971179_1067777946"/>
      <w:bookmarkStart w:id="237" w:name="_Toc97"/>
      <w:bookmarkEnd w:id="236"/>
      <w:r>
        <w:rPr>
          <w:rtl w:val="true"/>
        </w:rPr>
        <w:t>يافتن عيب در مبيع، پس از أخذ به شفعه</w:t>
      </w:r>
      <w:bookmarkEnd w:id="2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اخذ به شفعه نمود، پس ديد در مبيع، عيب سابق بر بيع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مشترى و شفيع، عالم به عيب در حينِ بيع و اخذ بودند، هيچ كدام خيار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جاهل بودند، پس كلامى نيست در صورت اتفاق شفيع با مشترى در رد يا اخذ با ارش يا بدون ارش؛ و اگر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شفيع، اخذ ارش از مشترى نمود، محلى براى رد عين براى مشترى نمى ماند؛ و اگر رد نمود شفيع به مشترى، مخير است مشترى بين رد به بايع و ارش، بر حسب استفادۀ تخير از قاعدۀ ضرر، كه اقتضاى استحقاق دفع ضرر مطلقاً به رد عين و فى الجمله به دفع ضرر مالى به اخذ ارش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مشترى جاهل بوده است چنانچه مفروض است، استحقاق ارش از بايع در صورت عدم رد شفيع، عين را دارد، چه آنكه شفيع عالم بوده و مستحق ارش از مشترى نبوده به جهت علمش به عيب سابق يا آنكه جاهل بوده چنانچه مفروض است و مستحق مطالبۀ ارش يا رد از مشترى باشد به جهت استقلال دو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بيع و اخذ به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ارتباط بين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مذكور شد، جهات موافقت و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معلوم مى شود حكم علم شفيع و جهل مشترى كه تخيير رد براى هيچ كدام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عالم بوده و مشترى، مبيع در يد او و در ملك او نيست و مشترى مستحق ارش است و شفيعِ عالم استحقاق ارش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مشترى عالم بود و شفيع جاهل بود، مشترى استحقاق رد يا ارش ندارد چون عالم بوده، و شفيع استحقاق هر دو را دارد چون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مقام تصريح كرده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نفى استحقاق مشترىِ عالم، ارش را ايضاً</w:t>
      </w:r>
      <w:r>
        <w:rPr>
          <w:rFonts w:eastAsia="IRNazanin" w:cs="IRNazanin"/>
          <w:color w:val="111111"/>
          <w:sz w:val="28"/>
          <w:szCs w:val="28"/>
          <w:rtl w:val="true"/>
          <w:lang w:bidi="fa-IR"/>
        </w:rPr>
        <w:t xml:space="preserve">. </w:t>
      </w:r>
      <w:bookmarkStart w:id="238" w:name="pg10275_96345"/>
    </w:p>
    <w:p>
      <w:pPr>
        <w:pStyle w:val="Heading5"/>
        <w:numPr>
          <w:ilvl w:val="4"/>
          <w:numId w:val="1"/>
        </w:numPr>
        <w:rPr/>
      </w:pPr>
      <w:bookmarkStart w:id="239" w:name="__RefHeading___Toc3971181_1067777946"/>
      <w:bookmarkStart w:id="240" w:name="_Toc98"/>
      <w:bookmarkEnd w:id="238"/>
      <w:bookmarkEnd w:id="239"/>
      <w:r>
        <w:rPr>
          <w:rtl w:val="true"/>
        </w:rPr>
        <w:t>ظهور عيبِ سابق بر بيع، در ثمن، بعد از اخذ به شفعه</w:t>
      </w:r>
      <w:bookmarkEnd w:id="24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بيع كرد شريك، شقص را به عوض معين غير مثلى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شفعه در غير قيمى بودن ثمن نباشد، كلامى در آن نيست؛ و اگر باشد شفعه به قيمت مثلى، و شفيع اخذ به شفعه به قيمت عبد كرد پس از آن عيبى در ثمن مذكور براى بايع ظاهر شد كه سابق بر بيع بوده، مى تواند بايع رد نمايد به فسخ و قيمت شقص در وقت فسخ را مطالبه نمايد در صورت عدم حدوث مانع از رد نزد بايع، و نمى تواند عين شقص را استرداد نمايد از شفيع، زيرا فسخ من الحين است و مبطل شفعۀ سابقه به حق سابق نيست</w:t>
      </w:r>
      <w:r>
        <w:rPr>
          <w:rFonts w:eastAsia="IRNazanin" w:cs="IRNazanin"/>
          <w:color w:val="111111"/>
          <w:sz w:val="28"/>
          <w:szCs w:val="28"/>
          <w:rtl w:val="true"/>
          <w:lang w:bidi="fa-IR"/>
        </w:rPr>
        <w:t>.</w:t>
      </w:r>
    </w:p>
    <w:p>
      <w:pPr>
        <w:pStyle w:val="Heading5"/>
        <w:numPr>
          <w:ilvl w:val="4"/>
          <w:numId w:val="1"/>
        </w:numPr>
        <w:rPr/>
      </w:pPr>
      <w:bookmarkStart w:id="241" w:name="__RefHeading___Toc3971183_1067777946"/>
      <w:bookmarkStart w:id="242" w:name="_Toc99"/>
      <w:bookmarkEnd w:id="241"/>
      <w:r>
        <w:rPr>
          <w:rtl w:val="true"/>
        </w:rPr>
        <w:t>سبق فسخ بر اخذ به شفعه</w:t>
      </w:r>
      <w:bookmarkEnd w:id="242"/>
    </w:p>
    <w:p>
      <w:pPr>
        <w:pStyle w:val="BookText"/>
        <w:rPr/>
      </w:pPr>
      <w:r>
        <w:rPr>
          <w:rFonts w:ascii="IRNazanin" w:hAnsi="IRNazanin" w:eastAsia="IRNazanin"/>
          <w:color w:val="111111"/>
          <w:sz w:val="28"/>
          <w:sz w:val="28"/>
          <w:szCs w:val="28"/>
          <w:rtl w:val="true"/>
          <w:lang w:bidi="fa-IR"/>
        </w:rPr>
        <w:t xml:space="preserve">و حكم چنين است در صورت سبق فسخ بر اخذ به شفعه؛ زيرا با تقارن سببين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خيار، چه از عيب باشد چه از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شفعه، در ترجيح شفعه، جمع بين الحقين است و در ترجيح خيار، ابطال حق شفعه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معروف است در خيار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ترجيح خيار بر حق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معروف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ترجيح شفعه بر خيار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اشكال بلكه منع است</w:t>
      </w:r>
      <w:r>
        <w:rPr>
          <w:rFonts w:eastAsia="IRNazanin" w:cs="IRNazanin"/>
          <w:color w:val="111111"/>
          <w:sz w:val="28"/>
          <w:szCs w:val="28"/>
          <w:rtl w:val="true"/>
          <w:lang w:bidi="fa-IR"/>
        </w:rPr>
        <w:t>.</w:t>
      </w:r>
    </w:p>
    <w:p>
      <w:pPr>
        <w:pStyle w:val="Heading5"/>
        <w:numPr>
          <w:ilvl w:val="4"/>
          <w:numId w:val="1"/>
        </w:numPr>
        <w:rPr/>
      </w:pPr>
      <w:bookmarkStart w:id="243" w:name="__RefHeading___Toc3971185_1067777946"/>
      <w:bookmarkStart w:id="244" w:name="_Toc100"/>
      <w:bookmarkEnd w:id="243"/>
      <w:r>
        <w:rPr>
          <w:rtl w:val="true"/>
        </w:rPr>
        <w:t>اگر مشترى بعد از اخذ به شفعه، مالك شقص شد</w:t>
      </w:r>
      <w:bookmarkEnd w:id="244"/>
    </w:p>
    <w:p>
      <w:pPr>
        <w:pStyle w:val="BookText"/>
        <w:rPr/>
      </w:pPr>
      <w:r>
        <w:rPr>
          <w:rFonts w:ascii="IRNazanin" w:hAnsi="IRNazanin" w:eastAsia="IRNazanin"/>
          <w:color w:val="111111"/>
          <w:sz w:val="28"/>
          <w:sz w:val="28"/>
          <w:szCs w:val="28"/>
          <w:rtl w:val="true"/>
          <w:lang w:bidi="fa-IR"/>
        </w:rPr>
        <w:t xml:space="preserve">اگر بعد از اخذ به شفعه، مشترى به سببى مالك شقص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هبه يا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استحقاق مشترى رد عين را بر بايع، عوض دفع قيمت لازمه به فسخ، با اخذ شفيع، شقص را، تأمّل است، به جهت احتمال استحقاق قيمت محضه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لا بشرط؛ لكن اين احتمال در صورت عدم حرجيّت تبديل عين به قيمت، ضعيف است، و حرجيّت هم نوعاً در مثل فلوس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درهم و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اگر طلب عين كرد در صورت مفروضه، از مشترى، لازم نيست بر مشترى اجابت، و واجب بر او مطلق بدل است نه خصوصيّت</w:t>
      </w:r>
      <w:r>
        <w:rPr>
          <w:rFonts w:eastAsia="IRNazanin" w:cs="IRNazanin"/>
          <w:color w:val="111111"/>
          <w:sz w:val="28"/>
          <w:szCs w:val="28"/>
          <w:rtl w:val="true"/>
          <w:lang w:bidi="fa-IR"/>
        </w:rPr>
        <w:t xml:space="preserve">. </w:t>
      </w:r>
      <w:bookmarkStart w:id="245" w:name="pg10275_96346"/>
    </w:p>
    <w:p>
      <w:pPr>
        <w:pStyle w:val="BookText"/>
        <w:rPr/>
      </w:pPr>
      <w:bookmarkEnd w:id="245"/>
      <w:r>
        <w:rPr>
          <w:rFonts w:ascii="IRNazanin" w:hAnsi="IRNazanin" w:eastAsia="IRNazanin"/>
          <w:color w:val="111111"/>
          <w:sz w:val="28"/>
          <w:sz w:val="28"/>
          <w:szCs w:val="28"/>
          <w:rtl w:val="true"/>
          <w:lang w:bidi="fa-IR"/>
        </w:rPr>
        <w:t>اگر قيمت شقص مملوك شفيع، اقل از قيمت عبد مدفوع به مشترى بود، استحقاق زيادتى از مشترى ندارد؛ و اگر ازيد بود، مشترى بر شفيع، استحقاق زيادتى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قيمت شقص، ملحوظ است بين مشترى و بايع فاسخ نه بين شفيع و مشترى، و قيمت عبد كه ثمن بوده ملحوظ است بين شفيع و مشترى</w:t>
      </w:r>
      <w:r>
        <w:rPr>
          <w:rFonts w:eastAsia="IRNazanin" w:cs="IRNazanin"/>
          <w:color w:val="111111"/>
          <w:sz w:val="28"/>
          <w:szCs w:val="28"/>
          <w:rtl w:val="true"/>
          <w:lang w:bidi="fa-IR"/>
        </w:rPr>
        <w:t>.</w:t>
      </w:r>
    </w:p>
    <w:p>
      <w:pPr>
        <w:pStyle w:val="Heading5"/>
        <w:numPr>
          <w:ilvl w:val="4"/>
          <w:numId w:val="1"/>
        </w:numPr>
        <w:rPr/>
      </w:pPr>
      <w:bookmarkStart w:id="246" w:name="__RefHeading___Toc3971187_1067777946"/>
      <w:bookmarkStart w:id="247" w:name="_Toc101"/>
      <w:bookmarkEnd w:id="246"/>
      <w:r>
        <w:rPr>
          <w:rtl w:val="true"/>
        </w:rPr>
        <w:t>رد بايع ثمن را به سبب عيب، قبل از اخذ به شفعه</w:t>
      </w:r>
      <w:bookmarkEnd w:id="247"/>
    </w:p>
    <w:p>
      <w:pPr>
        <w:pStyle w:val="BookText"/>
        <w:rPr/>
      </w:pPr>
      <w:r>
        <w:rPr>
          <w:rFonts w:ascii="IRNazanin" w:hAnsi="IRNazanin" w:eastAsia="IRNazanin"/>
          <w:color w:val="111111"/>
          <w:sz w:val="28"/>
          <w:sz w:val="28"/>
          <w:szCs w:val="28"/>
          <w:rtl w:val="true"/>
          <w:lang w:bidi="fa-IR"/>
        </w:rPr>
        <w:t xml:space="preserve">اگر هنوز شقص در يد مشترى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اخذ نكرده است، پس بايع رد ثمن به عيب كرد، نمى تواند منع نمايد شفيع را از اخذ براى استرداد عين مبيع، بلكه شفيع اخذ مى نمايد شقص را به قيمت عبد كه ثمن بوده سليماً از عيب؛ و براى بايع بر مشترى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فسخ به رد عبد كه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شقص اگر چه 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ثمن 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نزد بايع، مانعى از رد عين ثمن و فسخ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حدوث عيب يا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 تواند ارش ثمن معيب را از مشترى بگيرد؛ و مشترى ارش را از شفيع مطالبه نمى نمايد، زيرا بر او است اخذ شقص به قيمت ثمن صحيح، پس بر مشترى ضررى وارد نشده از شفيع تا تدارك شود از ناحيۀ شفيع، بلى اگر اخذ شقص با تأديۀ قيمت معيب بوده، بايد تأديۀ ارش به مشترى كه از او اخذ ارش مى شود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ترك رد و فسخ، به اختيار بايع بوده ترك فسخ را نه به واسطۀ مانع، كه اخذ ارش مى نمايد؛ و مشترى تأديۀ ارش مى نمايد و اخذ ارش از شفيع نمى نمايد با اداء قيمت صحيح و مى نمايد با اداء قيمت معيب از ثمن</w:t>
      </w:r>
      <w:r>
        <w:rPr>
          <w:rFonts w:eastAsia="IRNazanin" w:cs="IRNazanin"/>
          <w:color w:val="111111"/>
          <w:sz w:val="28"/>
          <w:szCs w:val="28"/>
          <w:rtl w:val="true"/>
          <w:lang w:bidi="fa-IR"/>
        </w:rPr>
        <w:t>.</w:t>
      </w:r>
    </w:p>
    <w:p>
      <w:pPr>
        <w:pStyle w:val="Heading5"/>
        <w:numPr>
          <w:ilvl w:val="4"/>
          <w:numId w:val="1"/>
        </w:numPr>
        <w:rPr/>
      </w:pPr>
      <w:bookmarkStart w:id="248" w:name="__RefHeading___Toc3971189_1067777946"/>
      <w:bookmarkStart w:id="249" w:name="_Toc102"/>
      <w:bookmarkEnd w:id="248"/>
      <w:r>
        <w:rPr>
          <w:rtl w:val="true"/>
        </w:rPr>
        <w:t>حكم شفعه نسبت به نصب غائب براى مدعى اذن</w:t>
      </w:r>
      <w:bookmarkEnd w:id="24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دارى براى حاضر و غائب بود و حصۀ غائب در يد ديگرى بود، پس بيع نمود آن حصّه را به ادعاى اذن مالك غائب، آيا حق شفعه براى حاضر هست يا نه‌؟ اقرب ثبوت آن است در ظاهر وفاقاً للخلاف و خلافاً للشرائع، مثل سائر تصرفات و معاملات با ذو اليد با ادعاى وكالت در امور ممكنه، بدون معارض</w:t>
      </w:r>
      <w:r>
        <w:rPr>
          <w:rFonts w:eastAsia="IRNazanin" w:cs="IRNazanin"/>
          <w:color w:val="111111"/>
          <w:sz w:val="28"/>
          <w:szCs w:val="28"/>
          <w:rtl w:val="true"/>
          <w:lang w:bidi="fa-IR"/>
        </w:rPr>
        <w:t>.</w:t>
      </w:r>
      <w:bookmarkStart w:id="250" w:name="pg10275_96347"/>
    </w:p>
    <w:p>
      <w:pPr>
        <w:pStyle w:val="Heading5"/>
        <w:numPr>
          <w:ilvl w:val="4"/>
          <w:numId w:val="1"/>
        </w:numPr>
        <w:rPr/>
      </w:pPr>
      <w:bookmarkStart w:id="251" w:name="__RefHeading___Toc3971191_1067777946"/>
      <w:bookmarkStart w:id="252" w:name="_Toc103"/>
      <w:bookmarkEnd w:id="250"/>
      <w:bookmarkEnd w:id="251"/>
      <w:r>
        <w:rPr>
          <w:rtl w:val="true"/>
        </w:rPr>
        <w:t>اگر غائب، اذن در بيع را انكار كرد</w:t>
      </w:r>
      <w:bookmarkEnd w:id="252"/>
    </w:p>
    <w:p>
      <w:pPr>
        <w:pStyle w:val="BookText"/>
        <w:rPr/>
      </w:pPr>
      <w:r>
        <w:rPr>
          <w:rFonts w:ascii="IRNazanin" w:hAnsi="IRNazanin" w:eastAsia="IRNazanin"/>
          <w:color w:val="111111"/>
          <w:sz w:val="28"/>
          <w:sz w:val="28"/>
          <w:szCs w:val="28"/>
          <w:rtl w:val="true"/>
          <w:lang w:bidi="fa-IR"/>
        </w:rPr>
        <w:t xml:space="preserve">و بر تقدير حضور غائب و انكار، و محكوميت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يمين مالك و عدم بينۀ 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مى شود انتفاى شفعه واقعاً، مثل سائر طرق مخالفۀ واقع مربوط به تحقّق موضوع حق شفعه، و انتزاع شقص از يد شفيع مى شود؛ و اجرت براى مالك از حين تصرّف غير مأذون واقعى تا زمان رد به او است، بر متصرّفها از بايع و مشترى و شفيع، با جواز ظاهرى تصرّف براى غير عالم به واقع؛ پس اگر رجوع در اجرت به شفيع يا مشترى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مباشر اتلاف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بايع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و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رجوع به بايع كرد از زمان بيع، رجوع به مباشر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شفيع و مشترى هر كدام تصديق كرده بودند مدّعى وكالت را، رجوع به غير نمى نمايند در صورتى كه رجوع به ايشان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شقص را خريد به صد تومان مثلاً و دفع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متاعى را كه به ده تومان تقويم مى شود، بر شفيع لازم است تأديۀ صد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متعلّق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ترك اخذ</w:t>
      </w:r>
      <w:r>
        <w:rPr>
          <w:rFonts w:eastAsia="IRNazanin" w:cs="IRNazanin"/>
          <w:color w:val="111111"/>
          <w:sz w:val="28"/>
          <w:szCs w:val="28"/>
          <w:rtl w:val="true"/>
          <w:lang w:bidi="fa-IR"/>
        </w:rPr>
        <w:t>.</w:t>
      </w:r>
    </w:p>
    <w:p>
      <w:pPr>
        <w:pStyle w:val="Heading4"/>
        <w:numPr>
          <w:ilvl w:val="3"/>
          <w:numId w:val="1"/>
        </w:numPr>
        <w:rPr/>
      </w:pPr>
      <w:bookmarkStart w:id="253" w:name="__RefHeading___Toc3971193_1067777946"/>
      <w:bookmarkStart w:id="254" w:name="_Toc104"/>
      <w:bookmarkEnd w:id="253"/>
      <w:r>
        <w:rPr/>
        <w:t>2</w:t>
      </w:r>
      <w:r>
        <w:rPr>
          <w:rtl w:val="true"/>
        </w:rPr>
        <w:t xml:space="preserve">. </w:t>
      </w:r>
      <w:r>
        <w:rPr>
          <w:rtl w:val="true"/>
        </w:rPr>
        <w:t>آنچه با آن شفعه باطل مى شود</w:t>
      </w:r>
      <w:bookmarkEnd w:id="254"/>
    </w:p>
    <w:p>
      <w:pPr>
        <w:pStyle w:val="Heading5"/>
        <w:numPr>
          <w:ilvl w:val="4"/>
          <w:numId w:val="1"/>
        </w:numPr>
        <w:rPr/>
      </w:pPr>
      <w:bookmarkStart w:id="255" w:name="__RefHeading___Toc3971195_1067777946"/>
      <w:bookmarkStart w:id="256" w:name="_Toc105"/>
      <w:bookmarkEnd w:id="255"/>
      <w:r>
        <w:rPr>
          <w:rtl w:val="true"/>
        </w:rPr>
        <w:t>بطلان شفعه با ترك أخذ، در صورت وجود قيود و شرائط</w:t>
      </w:r>
      <w:bookmarkEnd w:id="256"/>
    </w:p>
    <w:p>
      <w:pPr>
        <w:pStyle w:val="BookText"/>
        <w:rPr/>
      </w:pPr>
      <w:r>
        <w:rPr>
          <w:rFonts w:ascii="Amiri" w:hAnsi="Amiri" w:eastAsia="Amiri" w:cs="Amiri"/>
          <w:color w:val="111111"/>
          <w:sz w:val="28"/>
          <w:sz w:val="28"/>
          <w:szCs w:val="28"/>
          <w:rtl w:val="true"/>
          <w:lang w:bidi="ar-SA"/>
        </w:rPr>
        <w:t>اظهر بطلان شفعه است با ترك اخذ، با علم و قدرت بدون عذر در تأخير و طول مدت، بلكه با اين قيود نوعاً علم به اغماض و اسقاط حاصل مى شود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 اغماض، كشف نشود، مرسلۀ اعتبار مواثبت و مرسلۀ تنظير به حلّ عقال و حسنۀ دال بر بطلان با تراخى بعد از سه روز، و معلوميت انتهاى امر به دوام مشاجره و لزوم هرج و مرج و معلوميت عدم مشروعيت ازالۀ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علت اين حكم است به آنچه در آن، ضرر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در اعتبار فوريّت متعارفۀ مناسبه با عدم اقدام مشترى مگر در بعض فروض</w:t>
      </w:r>
      <w:r>
        <w:rPr>
          <w:rFonts w:eastAsia="IRNazanin" w:cs="IRNazanin"/>
          <w:color w:val="111111"/>
          <w:sz w:val="28"/>
          <w:szCs w:val="28"/>
          <w:rtl w:val="true"/>
          <w:lang w:bidi="fa-IR"/>
        </w:rPr>
        <w:t xml:space="preserve">. </w:t>
      </w:r>
      <w:bookmarkStart w:id="257" w:name="pg10275_96348"/>
    </w:p>
    <w:p>
      <w:pPr>
        <w:pStyle w:val="Heading5"/>
        <w:numPr>
          <w:ilvl w:val="4"/>
          <w:numId w:val="1"/>
        </w:numPr>
        <w:rPr/>
      </w:pPr>
      <w:bookmarkStart w:id="258" w:name="__RefHeading___Toc3971197_1067777946"/>
      <w:bookmarkStart w:id="259" w:name="_Toc106"/>
      <w:bookmarkEnd w:id="257"/>
      <w:bookmarkEnd w:id="258"/>
      <w:r>
        <w:rPr>
          <w:rtl w:val="true"/>
        </w:rPr>
        <w:t>تنزل از شفعه قبل از بيع</w:t>
      </w:r>
      <w:bookmarkEnd w:id="259"/>
    </w:p>
    <w:p>
      <w:pPr>
        <w:pStyle w:val="BookText"/>
        <w:rPr/>
      </w:pPr>
      <w:r>
        <w:rPr>
          <w:rFonts w:ascii="IRNazanin" w:hAnsi="IRNazanin" w:eastAsia="IRNazanin"/>
          <w:color w:val="111111"/>
          <w:sz w:val="28"/>
          <w:sz w:val="28"/>
          <w:szCs w:val="28"/>
          <w:rtl w:val="true"/>
          <w:lang w:bidi="fa-IR"/>
        </w:rPr>
        <w:t>اگر شريك، نزول از شفعه قبل از بيع شريك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مناسبت قرائن مقاميّه و غير آنها كشف شد بقائش بر نزول سابق بعد از بيع، ساقط مى شود حق شفعه؛ وگرنه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جمع بين قولين، به حمل بر دو محمل مذكور بشود</w:t>
      </w:r>
      <w:r>
        <w:rPr>
          <w:rFonts w:eastAsia="IRNazanin" w:cs="IRNazanin"/>
          <w:color w:val="111111"/>
          <w:sz w:val="28"/>
          <w:szCs w:val="28"/>
          <w:rtl w:val="true"/>
          <w:lang w:bidi="fa-IR"/>
        </w:rPr>
        <w:t>.</w:t>
      </w:r>
    </w:p>
    <w:p>
      <w:pPr>
        <w:pStyle w:val="Heading5"/>
        <w:numPr>
          <w:ilvl w:val="4"/>
          <w:numId w:val="1"/>
        </w:numPr>
        <w:rPr/>
      </w:pPr>
      <w:bookmarkStart w:id="260" w:name="__RefHeading___Toc3971199_1067777946"/>
      <w:bookmarkStart w:id="261" w:name="_Toc107"/>
      <w:bookmarkEnd w:id="260"/>
      <w:r>
        <w:rPr>
          <w:rtl w:val="true"/>
        </w:rPr>
        <w:t>رسيدن خبر بيع به شريك و عدم مطالبۀ او، شفعه را</w:t>
      </w:r>
      <w:bookmarkEnd w:id="261"/>
    </w:p>
    <w:p>
      <w:pPr>
        <w:pStyle w:val="BookText"/>
        <w:rPr/>
      </w:pPr>
      <w:r>
        <w:rPr>
          <w:rFonts w:ascii="IRNazanin" w:hAnsi="IRNazanin" w:eastAsia="IRNazanin"/>
          <w:color w:val="111111"/>
          <w:sz w:val="28"/>
          <w:sz w:val="28"/>
          <w:szCs w:val="28"/>
          <w:rtl w:val="true"/>
          <w:lang w:bidi="fa-IR"/>
        </w:rPr>
        <w:t xml:space="preserve">اگر رسيد بيع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يا بيّنۀ 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شريك به طور قطع و مع هذا مطالبه نكرد، به ادعاى عدم علم و حجت و اعتذار نمود، قبول نمى شود عذرش و باطل مى شود شفعۀ او؛ و هم چنين هر حجتى كه در انكار حجيت آن محكوم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مخبر از بيع يا سائر قيود موضوع حق شفعه، صبىّ يا فاسق بود و به عدد تواتر و استفاضه مفيدۀ علم نبود، شفعۀ او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تصديق كرد مخبر را، ممكن است ملزم به لوازم تصديق او كه ممكن است استناد آن به علم يا حجت باشد، پس معذور نيست در تأخير اخذ بعد از اين تصديق او مخبر را كه ممكن است نزد غير او مفيد علم نباشد و ممكن است نزد او به حسب قرائن، افادۀ علم نمايد؛ به خلاف اعتراف او به اخبار عدل واحد بدون انضمام به تصديق او، يا اعتراف به اخبار عدلين در اين موضوع</w:t>
      </w:r>
      <w:r>
        <w:rPr>
          <w:rFonts w:eastAsia="IRNazanin" w:cs="IRNazanin"/>
          <w:color w:val="111111"/>
          <w:sz w:val="28"/>
          <w:szCs w:val="28"/>
          <w:rtl w:val="true"/>
          <w:lang w:bidi="fa-IR"/>
        </w:rPr>
        <w:t>.</w:t>
      </w:r>
    </w:p>
    <w:p>
      <w:pPr>
        <w:pStyle w:val="Heading5"/>
        <w:numPr>
          <w:ilvl w:val="4"/>
          <w:numId w:val="1"/>
        </w:numPr>
        <w:rPr/>
      </w:pPr>
      <w:bookmarkStart w:id="262" w:name="__RefHeading___Toc3971201_1067777946"/>
      <w:bookmarkStart w:id="263" w:name="_Toc108"/>
      <w:bookmarkEnd w:id="262"/>
      <w:r>
        <w:rPr>
          <w:rtl w:val="true"/>
        </w:rPr>
        <w:t>اعتراف متبايعين به تحقق بيع به نحوى كه مسقط شفعه باشد</w:t>
      </w:r>
      <w:bookmarkEnd w:id="263"/>
    </w:p>
    <w:p>
      <w:pPr>
        <w:pStyle w:val="BookText"/>
        <w:rPr/>
      </w:pPr>
      <w:r>
        <w:rPr>
          <w:rFonts w:ascii="IRNazanin" w:hAnsi="IRNazanin" w:eastAsia="IRNazanin"/>
          <w:color w:val="111111"/>
          <w:sz w:val="28"/>
          <w:sz w:val="28"/>
          <w:szCs w:val="28"/>
          <w:rtl w:val="true"/>
          <w:lang w:bidi="fa-IR"/>
        </w:rPr>
        <w:t>و اما مجرد اعتراف متبايعين به تحقّق بيع به نحوى كه مسقط شفعه باشد با عدم فوريّت بدون عذر، پس مثبت موضوع نيست، بلى گاهى احكام اقرار را دارد، و گاهى اخبار ذى اليد از خصوصيّات ما فى اليد كه موضوعيت دارند نزد ديگرى كفايت مى نمايد</w:t>
      </w:r>
      <w:r>
        <w:rPr>
          <w:rFonts w:eastAsia="IRNazanin" w:cs="IRNazanin"/>
          <w:color w:val="111111"/>
          <w:sz w:val="28"/>
          <w:szCs w:val="28"/>
          <w:rtl w:val="true"/>
          <w:lang w:bidi="fa-IR"/>
        </w:rPr>
        <w:t>.</w:t>
      </w:r>
    </w:p>
    <w:p>
      <w:pPr>
        <w:pStyle w:val="Heading5"/>
        <w:numPr>
          <w:ilvl w:val="4"/>
          <w:numId w:val="1"/>
        </w:numPr>
        <w:rPr/>
      </w:pPr>
      <w:bookmarkStart w:id="264" w:name="__RefHeading___Toc3971203_1067777946"/>
      <w:bookmarkStart w:id="265" w:name="_Toc109"/>
      <w:bookmarkEnd w:id="264"/>
      <w:r>
        <w:rPr>
          <w:rtl w:val="true"/>
        </w:rPr>
        <w:t>جهل شفيع و مشترى به ثمن و خصوصيات آن</w:t>
      </w:r>
      <w:bookmarkEnd w:id="2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جاهل بود شفيع و مشترى، به ثمن و خصوصيّات آن، بدون اختلاف بين آنها، پس </w:t>
      </w:r>
      <w:bookmarkStart w:id="266" w:name="pg10275_96349"/>
    </w:p>
    <w:p>
      <w:pPr>
        <w:pStyle w:val="BookText"/>
        <w:rPr/>
      </w:pPr>
      <w:bookmarkEnd w:id="266"/>
      <w:r>
        <w:rPr>
          <w:rFonts w:ascii="IRNazanin" w:hAnsi="IRNazanin" w:eastAsia="IRNazanin"/>
          <w:color w:val="111111"/>
          <w:sz w:val="28"/>
          <w:sz w:val="28"/>
          <w:szCs w:val="28"/>
          <w:rtl w:val="true"/>
          <w:lang w:bidi="fa-IR"/>
        </w:rPr>
        <w:t>مقتضاى اصل، عدم استحقاق مشترى زيادتى قيمت را است، مثل استحقاق بر بايع در صورت شك؛ چنانچه اگر شفيع بخواهد احتياط نمايد و احتياط حرجى نباشد و موجب منّت بر مشترى نباشد به مناسبت قلت تفاوت و انحصار تخلص به آن، در صورت قطع نظر از اصل مذكور، ممكن است گفته شود نمى تواند مشترى قبول ننمايد تا آنكه لازم آيد بطلان شفعه به واسطۀ جهل مذكور</w:t>
      </w:r>
      <w:r>
        <w:rPr>
          <w:rFonts w:eastAsia="IRNazanin" w:cs="IRNazanin"/>
          <w:color w:val="111111"/>
          <w:sz w:val="28"/>
          <w:szCs w:val="28"/>
          <w:rtl w:val="true"/>
          <w:lang w:bidi="fa-IR"/>
        </w:rPr>
        <w:t>.</w:t>
      </w:r>
    </w:p>
    <w:p>
      <w:pPr>
        <w:pStyle w:val="Heading5"/>
        <w:numPr>
          <w:ilvl w:val="4"/>
          <w:numId w:val="1"/>
        </w:numPr>
        <w:rPr/>
      </w:pPr>
      <w:bookmarkStart w:id="267" w:name="__RefHeading___Toc3971205_1067777946"/>
      <w:bookmarkStart w:id="268" w:name="_Toc110"/>
      <w:bookmarkEnd w:id="267"/>
      <w:r>
        <w:rPr>
          <w:rtl w:val="true"/>
        </w:rPr>
        <w:t>بطلان شفعه با تأخير شفيع و بودن مبيع در بعيد</w:t>
      </w:r>
      <w:bookmarkEnd w:id="268"/>
    </w:p>
    <w:p>
      <w:pPr>
        <w:pStyle w:val="BookText"/>
        <w:rPr/>
      </w:pPr>
      <w:r>
        <w:rPr>
          <w:rFonts w:ascii="IRNazanin" w:hAnsi="IRNazanin" w:eastAsia="IRNazanin"/>
          <w:color w:val="111111"/>
          <w:sz w:val="28"/>
          <w:sz w:val="28"/>
          <w:szCs w:val="28"/>
          <w:rtl w:val="true"/>
          <w:lang w:bidi="fa-IR"/>
        </w:rPr>
        <w:t>اگر مبيع در بلدى دور باشد پس تأخير كرد شفيع در اخذ تا واصل به آن بشود، شفعۀ او باطل مى شود، به جهت فرض صحّت شراء و اولويت شريك از مشترى در وصول شقص؛ و اگر فرق باشد و وصول مبيع در خطر باشد و معيت در تقابض نباشد، اقرب عذريت عدم وصول شقص است در تأخير اخذ و ترك فوريّت آن</w:t>
      </w:r>
      <w:r>
        <w:rPr>
          <w:rFonts w:eastAsia="IRNazanin" w:cs="IRNazanin"/>
          <w:color w:val="111111"/>
          <w:sz w:val="28"/>
          <w:szCs w:val="28"/>
          <w:rtl w:val="true"/>
          <w:lang w:bidi="fa-IR"/>
        </w:rPr>
        <w:t>.</w:t>
      </w:r>
    </w:p>
    <w:p>
      <w:pPr>
        <w:pStyle w:val="Heading5"/>
        <w:numPr>
          <w:ilvl w:val="4"/>
          <w:numId w:val="1"/>
        </w:numPr>
        <w:rPr/>
      </w:pPr>
      <w:bookmarkStart w:id="269" w:name="__RefHeading___Toc3971207_1067777946"/>
      <w:bookmarkStart w:id="270" w:name="_Toc111"/>
      <w:bookmarkEnd w:id="269"/>
      <w:r>
        <w:rPr>
          <w:rtl w:val="true"/>
        </w:rPr>
        <w:t>بطلان شفعه به بطلان بيع</w:t>
      </w:r>
      <w:bookmarkEnd w:id="270"/>
    </w:p>
    <w:p>
      <w:pPr>
        <w:pStyle w:val="BookText"/>
        <w:rPr/>
      </w:pPr>
      <w:r>
        <w:rPr>
          <w:rFonts w:ascii="IRNazanin" w:hAnsi="IRNazanin" w:eastAsia="IRNazanin"/>
          <w:color w:val="111111"/>
          <w:sz w:val="28"/>
          <w:sz w:val="28"/>
          <w:szCs w:val="28"/>
          <w:rtl w:val="true"/>
          <w:lang w:bidi="fa-IR"/>
        </w:rPr>
        <w:t>اگر مستحق للغير ظاهر شد ثمن شخصى در بيع، و غير، اجازه نكرد، شفعه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شفيع و مشترى تصادق كردند بر غصب بودن ثمن معين در عقد، اخذ، باطل و شفعه باطل مى شود به بطلان عقد به حسب تصادق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اقرار كرد شفيع به غصبيّت ثمن خاص، ممنوع از مطالبه و اخذ خواهد بود، به سبب بطلان عقد بيع به حسب اقرار شفيع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تلف شد ثمن معيّن قبل از قبض آن، كه موجب انفساخ و بطلان بيع است كه صحّت آن موضوع است بر استحقاق شفعه؛ و با انفساخ از حين تلف، موضوع استحقاق منتفى مى شود بنابراين كه تلف قبل از قبض، از مالك قبل العقد است، چه مبيع باشد و چه ثمن، و به انفساخ است از حين تلف نه به تغريم مالك ذو اليد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در صورتى كه تلف قبل از اخذ باشد، ظاهر است؛ و در عكس، اظهر صحّت اخذ است، و بر مشترى است اداء قيمت شقص مأخوذ، به بايع، چنانچه </w:t>
      </w:r>
      <w:bookmarkStart w:id="271" w:name="pg10275_96350"/>
    </w:p>
    <w:p>
      <w:pPr>
        <w:pStyle w:val="BookText"/>
        <w:rPr/>
      </w:pPr>
      <w:bookmarkEnd w:id="271"/>
      <w:r>
        <w:rPr>
          <w:rFonts w:ascii="Amiri" w:hAnsi="Amiri" w:eastAsia="Amiri" w:cs="Amiri"/>
          <w:color w:val="111111"/>
          <w:sz w:val="28"/>
          <w:sz w:val="28"/>
          <w:szCs w:val="28"/>
          <w:rtl w:val="true"/>
          <w:lang w:bidi="ar-SA"/>
        </w:rPr>
        <w:t>اخذ نموده است مثل ثمن را قبل از انفساخ به تلف ثمن معين، كه على الفرض اخذ به شفعه قبل از انفساخ به تلف ثمن معين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است اگر به تحالف بايع و مشترى حكم به انفساخ از حين تحالف شد، و اخذ به شفعه، سابق بر اين زمان بود؛ و براى بايع است قيمت شقص بر مشترى در صورتى كه او دفع كرده باشد به شفيع، بعد از اخذ به شفعه</w:t>
      </w:r>
      <w:r>
        <w:rPr>
          <w:rFonts w:eastAsia="IRNazanin" w:cs="IRNazanin"/>
          <w:color w:val="111111"/>
          <w:sz w:val="28"/>
          <w:szCs w:val="28"/>
          <w:rtl w:val="true"/>
          <w:lang w:bidi="fa-IR"/>
        </w:rPr>
        <w:t>.</w:t>
      </w:r>
    </w:p>
    <w:p>
      <w:pPr>
        <w:pStyle w:val="Heading5"/>
        <w:numPr>
          <w:ilvl w:val="4"/>
          <w:numId w:val="1"/>
        </w:numPr>
        <w:rPr/>
      </w:pPr>
      <w:bookmarkStart w:id="272" w:name="__RefHeading___Toc3971209_1067777946"/>
      <w:bookmarkStart w:id="273" w:name="_Toc112"/>
      <w:bookmarkEnd w:id="272"/>
      <w:r>
        <w:rPr>
          <w:rtl w:val="true"/>
        </w:rPr>
        <w:t>حيله اى براى اسقاط حق شفعه</w:t>
      </w:r>
      <w:bookmarkEnd w:id="27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جملۀ حيلِ اسقاط، اين است كه بيع به زيادتى از ثمن باشد و در مقابل زيادتى ثمن از ثمن المثل عوض قليلى از مشترى بگيرد يعنى با مواطاة، كه تا شفيع ارادۀ اخذ نمايد بايد ثمن را با زيادتى آن دفع نمايد كه مطابق مذكور در عقد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بيع به ثمن زائد بوده و دفع بعضى و ابراء بعضى ديگر نموده با 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مشكل است، مگر آنكه مواطاة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بناى بيع بر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مقصود التزام در ضمن التزام بيعى باشد نه وحدت التزام، به رجوع اين گونه شروط به اجزاء، از قبيل شرط زيادتى ثمن يا نقص آن در تقديرى مثلاً</w:t>
      </w:r>
      <w:r>
        <w:rPr>
          <w:rFonts w:eastAsia="IRNazanin" w:cs="IRNazanin"/>
          <w:color w:val="111111"/>
          <w:sz w:val="28"/>
          <w:szCs w:val="28"/>
          <w:rtl w:val="true"/>
          <w:lang w:bidi="fa-IR"/>
        </w:rPr>
        <w:t>.</w:t>
      </w:r>
    </w:p>
    <w:p>
      <w:pPr>
        <w:pStyle w:val="Heading5"/>
        <w:numPr>
          <w:ilvl w:val="4"/>
          <w:numId w:val="1"/>
        </w:numPr>
        <w:rPr/>
      </w:pPr>
      <w:bookmarkStart w:id="274" w:name="__RefHeading___Toc3971211_1067777946"/>
      <w:bookmarkStart w:id="275" w:name="_Toc113"/>
      <w:bookmarkEnd w:id="274"/>
      <w:r>
        <w:rPr>
          <w:rtl w:val="true"/>
        </w:rPr>
        <w:t>اگر نقل، به غير مبيع باشد، شفعه اى در كار نيست</w:t>
      </w:r>
      <w:bookmarkEnd w:id="275"/>
    </w:p>
    <w:p>
      <w:pPr>
        <w:pStyle w:val="BookText"/>
        <w:rPr/>
      </w:pPr>
      <w:r>
        <w:rPr>
          <w:rFonts w:ascii="IRNazanin" w:hAnsi="IRNazanin" w:eastAsia="IRNazanin"/>
          <w:color w:val="111111"/>
          <w:sz w:val="28"/>
          <w:sz w:val="28"/>
          <w:szCs w:val="28"/>
          <w:rtl w:val="true"/>
          <w:lang w:bidi="fa-IR"/>
        </w:rPr>
        <w:t>و از آن جمله است اگر نقل شقص، به غير بيع باشد، مثل هبه يا صلح، چنانچه ذكر شد، كه انتقال به بيع، شرط تعلّق حق شفعه است</w:t>
      </w:r>
      <w:r>
        <w:rPr>
          <w:rFonts w:eastAsia="IRNazanin" w:cs="IRNazanin"/>
          <w:color w:val="111111"/>
          <w:sz w:val="28"/>
          <w:szCs w:val="28"/>
          <w:rtl w:val="true"/>
          <w:lang w:bidi="fa-IR"/>
        </w:rPr>
        <w:t>.</w:t>
      </w:r>
    </w:p>
    <w:p>
      <w:pPr>
        <w:pStyle w:val="Heading5"/>
        <w:numPr>
          <w:ilvl w:val="4"/>
          <w:numId w:val="1"/>
        </w:numPr>
        <w:rPr/>
      </w:pPr>
      <w:bookmarkStart w:id="276" w:name="__RefHeading___Toc3971213_1067777946"/>
      <w:bookmarkStart w:id="277" w:name="_Toc114"/>
      <w:bookmarkEnd w:id="276"/>
      <w:r>
        <w:rPr>
          <w:rtl w:val="true"/>
        </w:rPr>
        <w:t>ادعاى عدم علم به ثمن و تأثير آن در ابطال حق شفعه</w:t>
      </w:r>
      <w:bookmarkEnd w:id="2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شفيع، بر غير، ادعاى ابتياع نمود و او تصديق مدّعى كرد لكن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را اندازه اش را فراموش كرده ام، با حلف او مقبول مى شود و شفعه باطل مى شود بنا بر بطلان به عدم علم به مقدار ثمن؛ و اگر از حلف امتناع كرد و شفيع، مدّعى علم به مقدار ثمن بود و به نكول از حلف قضا نموديم، شفيع اخذ به شفعه مى نمايد؛ و اگر احتياج به حلف داشته باشد و نكول كافى نباشد، با حلْف اخذ به شفعه بنمايد</w:t>
      </w:r>
      <w:r>
        <w:rPr>
          <w:rFonts w:eastAsia="IRNazanin" w:cs="IRNazanin"/>
          <w:color w:val="111111"/>
          <w:sz w:val="28"/>
          <w:szCs w:val="28"/>
          <w:rtl w:val="true"/>
          <w:lang w:bidi="fa-IR"/>
        </w:rPr>
        <w:t xml:space="preserve">. </w:t>
      </w:r>
      <w:bookmarkStart w:id="278" w:name="pg10275_96351"/>
    </w:p>
    <w:p>
      <w:pPr>
        <w:pStyle w:val="Heading5"/>
        <w:numPr>
          <w:ilvl w:val="4"/>
          <w:numId w:val="1"/>
        </w:numPr>
        <w:rPr/>
      </w:pPr>
      <w:bookmarkStart w:id="279" w:name="__RefHeading___Toc3971215_1067777946"/>
      <w:bookmarkStart w:id="280" w:name="_Toc115"/>
      <w:bookmarkEnd w:id="278"/>
      <w:bookmarkEnd w:id="279"/>
      <w:r>
        <w:rPr>
          <w:rtl w:val="true"/>
        </w:rPr>
        <w:t>اگر شفيع، مدعى علم مشترى به ثمن بود</w:t>
      </w:r>
      <w:bookmarkEnd w:id="280"/>
    </w:p>
    <w:p>
      <w:pPr>
        <w:pStyle w:val="BookText"/>
        <w:rPr/>
      </w:pPr>
      <w:r>
        <w:rPr>
          <w:rFonts w:ascii="IRNazanin" w:hAnsi="IRNazanin" w:eastAsia="IRNazanin"/>
          <w:color w:val="111111"/>
          <w:sz w:val="28"/>
          <w:sz w:val="28"/>
          <w:szCs w:val="28"/>
          <w:rtl w:val="true"/>
          <w:lang w:bidi="fa-IR"/>
        </w:rPr>
        <w:t>و اگر شفيع، مدعىِ علم به قدر ثمن نبود بلكه مدعىِ علم مشترى بود، پس ممكن است با نكول مشترى يا حلف شفيع به علم مشترى بر تقدير قضاى به نكول و عدم آن، حكم براى شفيع بشود و به ازيد از معلوم خودش ملزَم نباشد در تقديرى كه با عدم علم به اندازۀ ثمن، شفعه باطل باشد؛ و فرقى بين ادعاى شفيع، علم فعلى را يا علم از اول امر را، نيست، بلكه فرق در ادعاى مشترى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ادعاى شفيع، علم را و ادعاى مشترى، نسيان را، اظهر احتياج به قضاى به نكول يا حلف مشترى، در بطلان شفعه است، بنا بر اعتبار علم به قدر ثمن از شفيع و مشترى؛ و در صورت عدم حلف مشترى و رد حلف به شفيع، اخذ به شفعه به مدعاى خود مى نمايد بنا بر اظهر</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971217_1067777946"/>
      <w:bookmarkStart w:id="282" w:name="_Toc116"/>
      <w:bookmarkEnd w:id="281"/>
      <w:r>
        <w:rPr>
          <w:rtl w:val="true"/>
        </w:rPr>
        <w:t>فرض مصادقه بر نسيان مشترى</w:t>
      </w:r>
      <w:bookmarkEnd w:id="282"/>
    </w:p>
    <w:p>
      <w:pPr>
        <w:pStyle w:val="BookText"/>
        <w:rPr/>
      </w:pPr>
      <w:r>
        <w:rPr>
          <w:rFonts w:ascii="IRNazanin" w:hAnsi="IRNazanin" w:eastAsia="IRNazanin"/>
          <w:color w:val="111111"/>
          <w:sz w:val="28"/>
          <w:sz w:val="28"/>
          <w:szCs w:val="28"/>
          <w:rtl w:val="true"/>
          <w:lang w:bidi="fa-IR"/>
        </w:rPr>
        <w:t>و اگر مصادقه بر نسيان مشترى شد، محتمل است بطلان شفعه بنا بر تقدير مذكور؛ و محتمل است در متيقّن طرفين، اخذ به شفعه بشود و در زائد، اجراء اصل بشود يعنى براى حاكم، اگر چه اين اصل در ادعاى زياده و نقصان نباشد</w:t>
      </w:r>
      <w:r>
        <w:rPr>
          <w:rFonts w:eastAsia="IRNazanin" w:cs="IRNazanin"/>
          <w:color w:val="111111"/>
          <w:sz w:val="28"/>
          <w:szCs w:val="28"/>
          <w:rtl w:val="true"/>
          <w:lang w:bidi="fa-IR"/>
        </w:rPr>
        <w:t>.</w:t>
      </w:r>
    </w:p>
    <w:p>
      <w:pPr>
        <w:pStyle w:val="Heading5"/>
        <w:numPr>
          <w:ilvl w:val="4"/>
          <w:numId w:val="1"/>
        </w:numPr>
        <w:rPr/>
      </w:pPr>
      <w:bookmarkStart w:id="283" w:name="__RefHeading___Toc3971219_1067777946"/>
      <w:bookmarkStart w:id="284" w:name="_Toc117"/>
      <w:bookmarkEnd w:id="283"/>
      <w:r>
        <w:rPr>
          <w:rtl w:val="true"/>
        </w:rPr>
        <w:t>ادعاى عدم علم به ثمن توسط مشترى</w:t>
      </w:r>
      <w:bookmarkEnd w:id="2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مشترى ادعاى عدم علم به ثمن كرد به اين سبب كه قيمى بوده و در دست بايع بعد از اخذ از مشترى تلف شده و قيمتش را نمى داند، ممكن است در معلوم، اخذ به شفعه و در زائد، اجراء اصل بشود، مثل قدر اشتغال ذمۀ بايع براى مشترى، لكن خالى از تأمّل يا منع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مجرد عدم علم به قدر ثمن، شفعه باطل مى شود، پس شفعه باطل مى شود با يمين مشترى، مگر آنكه شفيع احتياط به دفع زائد كرد و مشترى قبول نمايد</w:t>
      </w:r>
      <w:r>
        <w:rPr>
          <w:rFonts w:eastAsia="IRNazanin" w:cs="IRNazanin"/>
          <w:color w:val="111111"/>
          <w:sz w:val="28"/>
          <w:szCs w:val="28"/>
          <w:rtl w:val="true"/>
          <w:lang w:bidi="fa-IR"/>
        </w:rPr>
        <w:t xml:space="preserve">. </w:t>
      </w:r>
      <w:bookmarkStart w:id="285" w:name="pg10275_96352"/>
    </w:p>
    <w:p>
      <w:pPr>
        <w:pStyle w:val="Heading5"/>
        <w:numPr>
          <w:ilvl w:val="4"/>
          <w:numId w:val="1"/>
        </w:numPr>
        <w:rPr/>
      </w:pPr>
      <w:bookmarkStart w:id="286" w:name="__RefHeading___Toc3971221_1067777946"/>
      <w:bookmarkStart w:id="287" w:name="_Toc118"/>
      <w:bookmarkEnd w:id="285"/>
      <w:bookmarkEnd w:id="286"/>
      <w:r>
        <w:rPr>
          <w:rtl w:val="true"/>
        </w:rPr>
        <w:t>با فرض ادعاى جهل</w:t>
      </w:r>
      <w:bookmarkEnd w:id="2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مشترى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ثمن را ندانستم، ملزم به بيان آن مى شود، زيرا جامع است بين بطلان بيع بر خلاف اصالة الصحّة و غير آن؛ پس اگر بيان كرد به نسيان، گذشت آنچه مربوط به آن است</w:t>
      </w:r>
      <w:r>
        <w:rPr>
          <w:rFonts w:eastAsia="IRNazanin" w:cs="IRNazanin"/>
          <w:color w:val="111111"/>
          <w:sz w:val="28"/>
          <w:szCs w:val="28"/>
          <w:rtl w:val="true"/>
          <w:lang w:bidi="fa-IR"/>
        </w:rPr>
        <w:t xml:space="preserve">. </w:t>
      </w:r>
      <w:bookmarkStart w:id="288" w:name="pg10275_96353"/>
    </w:p>
    <w:p>
      <w:pPr>
        <w:pStyle w:val="Heading3"/>
        <w:numPr>
          <w:ilvl w:val="2"/>
          <w:numId w:val="1"/>
        </w:numPr>
        <w:rPr/>
      </w:pPr>
      <w:bookmarkStart w:id="289" w:name="__RefHeading___Toc3971223_1067777946"/>
      <w:bookmarkStart w:id="290" w:name="_Toc119"/>
      <w:bookmarkEnd w:id="288"/>
      <w:bookmarkEnd w:id="289"/>
      <w:r>
        <w:rPr>
          <w:rtl w:val="true"/>
        </w:rPr>
        <w:t>فصل پنجم تنازع</w:t>
      </w:r>
      <w:bookmarkEnd w:id="290"/>
    </w:p>
    <w:p>
      <w:pPr>
        <w:pStyle w:val="Heading4"/>
        <w:numPr>
          <w:ilvl w:val="3"/>
          <w:numId w:val="1"/>
        </w:numPr>
        <w:rPr/>
      </w:pPr>
      <w:bookmarkStart w:id="291" w:name="__RefHeading___Toc3971225_1067777946"/>
      <w:bookmarkStart w:id="292" w:name="_Toc120"/>
      <w:bookmarkEnd w:id="291"/>
      <w:r>
        <w:rPr>
          <w:rtl w:val="true"/>
        </w:rPr>
        <w:t>اختلاف در قدر ثمن بين مشترى و شفيع</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اختلاف، در قدر ثمن بود بين مشترى و شفيع بعد از اتفاق در بيع و شراء، و بيّنه اى بود،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قول، قول مشترى با يمين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مشهور و موافق با اعرفيّت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ذو اليد و مالك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خصوصيّات مثمن از كيفيّت و كميّت در نفس و در معوّض بودن آن است، از شفيع كه اجنبى از اين معامله است، و موافق با 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بزنطى در اعتبار به قول صاحب سلعه است با اختلاف بين بايع و مشترى در زيادتى و نقصان ثمن، و بر حسب قاعدۀ تقديم قول مشترى در صورت عدم بينۀ شفيع كه خارج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اقامۀ هر دو بيّنه را، تقديم بيّنۀ خارج كه شفيع است موافق قاعده است اگر اجماع بر خلاف آن نباشد</w:t>
      </w:r>
      <w:r>
        <w:rPr>
          <w:rFonts w:eastAsia="IRNazanin" w:cs="IRNazanin"/>
          <w:color w:val="111111"/>
          <w:sz w:val="28"/>
          <w:szCs w:val="28"/>
          <w:rtl w:val="true"/>
          <w:lang w:bidi="fa-IR"/>
        </w:rPr>
        <w:t>.</w:t>
      </w:r>
    </w:p>
    <w:p>
      <w:pPr>
        <w:pStyle w:val="Heading4"/>
        <w:numPr>
          <w:ilvl w:val="3"/>
          <w:numId w:val="1"/>
        </w:numPr>
        <w:rPr/>
      </w:pPr>
      <w:bookmarkStart w:id="293" w:name="__RefHeading___Toc3971227_1067777946"/>
      <w:bookmarkStart w:id="294" w:name="_Toc121"/>
      <w:bookmarkEnd w:id="293"/>
      <w:r>
        <w:rPr>
          <w:rtl w:val="true"/>
        </w:rPr>
        <w:t>قبول شهادت بايع</w:t>
      </w:r>
      <w:bookmarkEnd w:id="294"/>
    </w:p>
    <w:p>
      <w:pPr>
        <w:pStyle w:val="BookText"/>
        <w:rPr/>
      </w:pPr>
      <w:r>
        <w:rPr>
          <w:rFonts w:ascii="Amiri" w:hAnsi="Amiri" w:eastAsia="Amiri" w:cs="Amiri"/>
          <w:color w:val="111111"/>
          <w:sz w:val="28"/>
          <w:sz w:val="28"/>
          <w:szCs w:val="28"/>
          <w:rtl w:val="true"/>
          <w:lang w:bidi="ar-SA"/>
        </w:rPr>
        <w:t>شهادت بايع در قلت و كثرت ثمن براى شفيع يا مشترى، اظهر قبول آن است با نبودن تهمت مانعه از قبول شهادت در موارد مخصوصه</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971229_1067777946"/>
      <w:bookmarkStart w:id="296" w:name="_Toc122"/>
      <w:bookmarkEnd w:id="295"/>
      <w:r>
        <w:rPr>
          <w:rtl w:val="true"/>
        </w:rPr>
        <w:t>اختلاف بين متبايعين در قدر ثمن</w:t>
      </w:r>
      <w:bookmarkEnd w:id="2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شد بين متبايعين در قدر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محتمل است در تقدير رجوع به </w:t>
      </w:r>
      <w:bookmarkStart w:id="297" w:name="pg10275_96354"/>
    </w:p>
    <w:p>
      <w:pPr>
        <w:pStyle w:val="BookText"/>
        <w:rPr/>
      </w:pPr>
      <w:bookmarkEnd w:id="297"/>
      <w:r>
        <w:rPr>
          <w:rFonts w:ascii="Amiri" w:hAnsi="Amiri" w:eastAsia="Amiri" w:cs="Amiri"/>
          <w:color w:val="111111"/>
          <w:sz w:val="28"/>
          <w:sz w:val="28"/>
          <w:szCs w:val="28"/>
          <w:rtl w:val="true"/>
          <w:lang w:bidi="ar-SA"/>
        </w:rPr>
        <w:t>تحالف با عدم بينه به جهت تداعى، اينكه هر كدام اقامۀ بينه كرد، حكم براى او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مقتضاى آنچه متقدّم شد در فرع سابق، تقديم بيّنۀ مشترى است زيرا قول او با عدم بيّنه،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 بين بقاى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بايع مقدّم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مشترى مقدّم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مشهور است، و لازمۀ آن تقديم بيّنۀ مشترى است با بقاى عين و تقديم قول بايع است با تلف آن؛ و اين قول بعيد نيست</w:t>
      </w:r>
      <w:r>
        <w:rPr>
          <w:rFonts w:eastAsia="IRNazanin" w:cs="IRNazanin"/>
          <w:color w:val="111111"/>
          <w:sz w:val="28"/>
          <w:szCs w:val="28"/>
          <w:rtl w:val="true"/>
          <w:lang w:bidi="fa-IR"/>
        </w:rPr>
        <w:t>.</w:t>
      </w:r>
    </w:p>
    <w:p>
      <w:pPr>
        <w:pStyle w:val="Heading4"/>
        <w:numPr>
          <w:ilvl w:val="3"/>
          <w:numId w:val="1"/>
        </w:numPr>
        <w:rPr/>
      </w:pPr>
      <w:bookmarkStart w:id="298" w:name="__RefHeading___Toc3971231_1067777946"/>
      <w:bookmarkStart w:id="299" w:name="_Toc123"/>
      <w:bookmarkEnd w:id="298"/>
      <w:r>
        <w:rPr>
          <w:rtl w:val="true"/>
        </w:rPr>
        <w:t>لازمۀ قضا براى هر كدام از شفيع و مشترى</w:t>
      </w:r>
      <w:bookmarkEnd w:id="299"/>
    </w:p>
    <w:p>
      <w:pPr>
        <w:pStyle w:val="BookText"/>
        <w:rPr/>
      </w:pPr>
      <w:r>
        <w:rPr>
          <w:rFonts w:ascii="IRNazanin" w:hAnsi="IRNazanin" w:eastAsia="IRNazanin"/>
          <w:color w:val="111111"/>
          <w:sz w:val="28"/>
          <w:sz w:val="28"/>
          <w:szCs w:val="28"/>
          <w:rtl w:val="true"/>
          <w:lang w:bidi="fa-IR"/>
        </w:rPr>
        <w:t xml:space="preserve">و در اختلاف شفيع و مشترى، قضا براى هر كدام بشود، ديگرى نمى تواند مخالفت ظاهرى نمايد ظاهراً، چنانچه نمى تواند تكليفاً و وضعاً مخالفت واقع نمايد مگر با تراضى و توافق هر دو؛ و در اين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موافقت حكم ظاهرى در تعيين ثمن يا توافق شفيع و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متملّك مى شود شفيع، به دفع موافق حكم ظاهراً و يا توافق و تراضى ظاهراً و واقعاً، چنانكه متملّك مى شود به دفع واقع معلوم نزد خودش واقعاً در صورت امن از تبعات آن در ظاهر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تصرّف در زيادتى با علم، بر هر متصرفى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اخذ كرد به ناقص واقعى، تصرّف در مأخوذ واقعاً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اختلاف و قضا، مربوط به اختلاف و قضا بين بايع و مشترى نيست و هر كدام حكم جداگانه در ظاهر و واقع دارد، بلى واقع ثمن در هر دو اختلاف، شىء واحد است</w:t>
      </w:r>
      <w:r>
        <w:rPr>
          <w:rFonts w:eastAsia="IRNazanin" w:cs="IRNazanin"/>
          <w:color w:val="111111"/>
          <w:sz w:val="28"/>
          <w:szCs w:val="28"/>
          <w:rtl w:val="true"/>
          <w:lang w:bidi="fa-IR"/>
        </w:rPr>
        <w:t>.</w:t>
      </w:r>
    </w:p>
    <w:p>
      <w:pPr>
        <w:pStyle w:val="Heading4"/>
        <w:numPr>
          <w:ilvl w:val="3"/>
          <w:numId w:val="1"/>
        </w:numPr>
        <w:rPr/>
      </w:pPr>
      <w:bookmarkStart w:id="300" w:name="__RefHeading___Toc3971233_1067777946"/>
      <w:bookmarkStart w:id="301" w:name="_Toc124"/>
      <w:bookmarkEnd w:id="300"/>
      <w:r>
        <w:rPr>
          <w:rtl w:val="true"/>
        </w:rPr>
        <w:t>اختلاف در قيمت ثمن بعد از تلف</w:t>
      </w:r>
      <w:bookmarkEnd w:id="3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جارى است آنچه ذكر شد در اختلاف در قدر ثمن از حيث مدّعى و منكر و وجود بيّنه و عدم آن بين شفيع و مشترى و بين بايع و مشترى، در اختلاف در قيمت ثمن بعد از تلف اگر از اعراض بوده، با اين زيادتى كه در اختلاف در قيمت تالف، ممكن است مقتضاى اصل، عدم اشتغال ذمۀ متملّك به اخذ، به زيادتى محتمله است اگر چه در </w:t>
      </w:r>
      <w:bookmarkStart w:id="302" w:name="pg10275_96355"/>
    </w:p>
    <w:p>
      <w:pPr>
        <w:pStyle w:val="BookText"/>
        <w:rPr/>
      </w:pPr>
      <w:bookmarkEnd w:id="302"/>
      <w:r>
        <w:rPr>
          <w:rFonts w:ascii="Amiri" w:hAnsi="Amiri" w:eastAsia="Amiri" w:cs="Amiri"/>
          <w:color w:val="111111"/>
          <w:sz w:val="28"/>
          <w:sz w:val="28"/>
          <w:szCs w:val="28"/>
          <w:rtl w:val="true"/>
          <w:lang w:bidi="ar-SA"/>
        </w:rPr>
        <w:t>نفس ثمن مجراى اصل نباشد و از اين جهت اختلافى در تشخيص منكر يا تأييدى باشد</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971235_1067777946"/>
      <w:bookmarkStart w:id="304" w:name="_Toc125"/>
      <w:bookmarkEnd w:id="303"/>
      <w:r>
        <w:rPr>
          <w:rtl w:val="true"/>
        </w:rPr>
        <w:t>اختلاف در غرس و بنا</w:t>
      </w:r>
      <w:bookmarkEnd w:id="304"/>
    </w:p>
    <w:p>
      <w:pPr>
        <w:pStyle w:val="BookText"/>
        <w:rPr/>
      </w:pPr>
      <w:r>
        <w:rPr>
          <w:rFonts w:ascii="IRNazanin" w:hAnsi="IRNazanin" w:eastAsia="IRNazanin"/>
          <w:color w:val="111111"/>
          <w:sz w:val="28"/>
          <w:sz w:val="28"/>
          <w:szCs w:val="28"/>
          <w:rtl w:val="true"/>
          <w:lang w:bidi="fa-IR"/>
        </w:rPr>
        <w:t xml:space="preserve">اگر اختلاف در غرس و بنا بين شفيع و مشترى شد، قول مشترى مقدّم است در ملك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داخل در متملَك از بايع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بيّنۀ شفيع بر دخول</w:t>
      </w:r>
      <w:r>
        <w:rPr>
          <w:rFonts w:eastAsia="IRNazanin" w:cs="IRNazanin"/>
          <w:color w:val="111111"/>
          <w:sz w:val="28"/>
          <w:szCs w:val="28"/>
          <w:rtl w:val="true"/>
          <w:lang w:bidi="fa-IR"/>
        </w:rPr>
        <w:t>.</w:t>
      </w:r>
    </w:p>
    <w:p>
      <w:pPr>
        <w:pStyle w:val="Heading4"/>
        <w:numPr>
          <w:ilvl w:val="3"/>
          <w:numId w:val="1"/>
        </w:numPr>
        <w:rPr/>
      </w:pPr>
      <w:bookmarkStart w:id="305" w:name="__RefHeading___Toc3971237_1067777946"/>
      <w:bookmarkStart w:id="306" w:name="_Toc126"/>
      <w:bookmarkEnd w:id="305"/>
      <w:r>
        <w:rPr>
          <w:rtl w:val="true"/>
        </w:rPr>
        <w:t>ادعاى بيع نصيب خود و انكار مشترى</w:t>
      </w:r>
      <w:bookmarkEnd w:id="3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ادعا كرد كه بيع كرد نصيب خود را به زيد، و زيد انكار نمود، پس اظهر عدم صحّت اخذ به شفعه است، به جهت عدم ثبوت آن؛ اگر چه اگر چنين معامله ايقاع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 ثمن به حاكم اگر اخذ نمايد، و اظهر عدم جواز اخذ است براى حاكم تا ثابت نباشد نزد او شراء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بايع و اجنبى حق اعتراض ندارند، لكن اين مطلب اعم از مقصود است كه تملّك به اخذ به شفعه باشد</w:t>
      </w:r>
      <w:r>
        <w:rPr>
          <w:rFonts w:eastAsia="IRNazanin" w:cs="IRNazanin"/>
          <w:color w:val="111111"/>
          <w:sz w:val="28"/>
          <w:szCs w:val="28"/>
          <w:rtl w:val="true"/>
          <w:lang w:bidi="fa-IR"/>
        </w:rPr>
        <w:t>.</w:t>
      </w:r>
    </w:p>
    <w:p>
      <w:pPr>
        <w:pStyle w:val="Heading4"/>
        <w:numPr>
          <w:ilvl w:val="3"/>
          <w:numId w:val="1"/>
        </w:numPr>
        <w:rPr/>
      </w:pPr>
      <w:bookmarkStart w:id="307" w:name="__RefHeading___Toc3971239_1067777946"/>
      <w:bookmarkStart w:id="308" w:name="_Toc127"/>
      <w:bookmarkEnd w:id="307"/>
      <w:r>
        <w:rPr>
          <w:rtl w:val="true"/>
        </w:rPr>
        <w:t>ادعاى تأخّر شراء مدّعى عليه</w:t>
      </w:r>
      <w:bookmarkEnd w:id="3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شريك، ادعا كرد شفعه را بر شريك خودش به اين سبب كه متأخّر بوده شراء مدعىٰ عليه، پس شريك، انكار تأخّر مذكور كرد، قول منكرِ تأخّر، مسموع است با يمين او بر عدم تحقّق شرط اخذ به شفعه و بر عدم استحقاق شفعه و بر عدم تأخّر شراء او</w:t>
      </w:r>
      <w:r>
        <w:rPr>
          <w:rFonts w:eastAsia="IRNazanin" w:cs="IRNazanin"/>
          <w:color w:val="111111"/>
          <w:sz w:val="28"/>
          <w:szCs w:val="28"/>
          <w:rtl w:val="true"/>
          <w:lang w:bidi="fa-IR"/>
        </w:rPr>
        <w:t>.</w:t>
      </w:r>
    </w:p>
    <w:p>
      <w:pPr>
        <w:pStyle w:val="Heading4"/>
        <w:numPr>
          <w:ilvl w:val="3"/>
          <w:numId w:val="1"/>
        </w:numPr>
        <w:rPr/>
      </w:pPr>
      <w:bookmarkStart w:id="309" w:name="__RefHeading___Toc3971241_1067777946"/>
      <w:bookmarkStart w:id="310" w:name="_Toc128"/>
      <w:bookmarkEnd w:id="309"/>
      <w:r>
        <w:rPr>
          <w:rtl w:val="true"/>
        </w:rPr>
        <w:t>ادعاى سبقت در ملك شقص توسط هر دو</w:t>
      </w:r>
      <w:bookmarkEnd w:id="3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هر كدام گفتند كه من سابقم در ملك شقص پس شفعه حق من است، آيا هر دو مدّعى هستند و با عدم بيّنه، حلف ايقاع مى نمايند براى طرف، و ملك، بين آنها به اشتراك بدون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دعوى واحد است‌؟ يا مرجع، دو دعوى است، و به مرجّحى يكى از آنها ترجيح داده مى شود و حكم براى او مى شود، و دعواى ديگر </w:t>
      </w:r>
      <w:bookmarkStart w:id="311" w:name="pg10275_96356"/>
    </w:p>
    <w:p>
      <w:pPr>
        <w:pStyle w:val="BookText"/>
        <w:rPr/>
      </w:pPr>
      <w:bookmarkEnd w:id="311"/>
      <w:r>
        <w:rPr>
          <w:rFonts w:ascii="IRNazanin" w:hAnsi="IRNazanin" w:eastAsia="IRNazanin"/>
          <w:color w:val="111111"/>
          <w:sz w:val="28"/>
          <w:sz w:val="28"/>
          <w:szCs w:val="28"/>
          <w:rtl w:val="true"/>
          <w:lang w:bidi="fa-IR"/>
        </w:rPr>
        <w:t xml:space="preserve">مسموع نمى شود بعد از نفى شفعۀ يك مدّعى، به حلف منكر آن، با عدم بيّنه؛ و اگر نكول از حلف كرد، مدّعى ايقاع حلف مى نمايد و حكم براى او مى شود؛ لكن با حلف، نفى شفعۀ مدّعى اول مى شود، و محل دعوى براى شفعۀ مدّعى دوم باقى است پس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دعواى او، منكر، ايقاع حلف نمايد و با نكول او مدّعى دوم ايقاع حلف نمايد و مستحق شفعه بشود و با اخذ، مالك هر دو شقص بشود؛ بلى با نكول و حلف مدّعى اول مستحق شفعه نمى شود، به جهت نفى آن در دعواى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تقدير وحدت دعوى ممكن است هر دو ايقاع حلف ننمايند، بلكه يكى نكول، و با آن، ديگرى بعد از نفى استحقاق اولى، ايقاع حلف و مستحق شفعه و ملك نصيبين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عدم بيّنه رأساً در هر تقدير، احتمال مالكيّت يكى دو نصيب را با اخذ به شفعه قائم است و فارق بين دو تقدير، مطّرد نيست</w:t>
      </w:r>
      <w:r>
        <w:rPr>
          <w:rFonts w:eastAsia="IRNazanin" w:cs="IRNazanin"/>
          <w:color w:val="111111"/>
          <w:sz w:val="28"/>
          <w:szCs w:val="28"/>
          <w:rtl w:val="true"/>
          <w:lang w:bidi="fa-IR"/>
        </w:rPr>
        <w:t>.</w:t>
      </w:r>
    </w:p>
    <w:p>
      <w:pPr>
        <w:pStyle w:val="Heading4"/>
        <w:numPr>
          <w:ilvl w:val="3"/>
          <w:numId w:val="1"/>
        </w:numPr>
        <w:rPr/>
      </w:pPr>
      <w:bookmarkStart w:id="312" w:name="__RefHeading___Toc3971243_1067777946"/>
      <w:bookmarkStart w:id="313" w:name="_Toc129"/>
      <w:bookmarkEnd w:id="312"/>
      <w:r>
        <w:rPr>
          <w:rtl w:val="true"/>
        </w:rPr>
        <w:t>صور مختلفۀ شهادت بيّنه در فرض اختلاف</w:t>
      </w:r>
      <w:bookmarkEnd w:id="313"/>
    </w:p>
    <w:p>
      <w:pPr>
        <w:pStyle w:val="BookText"/>
        <w:rPr/>
      </w:pPr>
      <w:r>
        <w:rPr>
          <w:rFonts w:ascii="IRNazanin" w:hAnsi="IRNazanin" w:eastAsia="IRNazanin"/>
          <w:color w:val="111111"/>
          <w:sz w:val="28"/>
          <w:sz w:val="28"/>
          <w:szCs w:val="28"/>
          <w:rtl w:val="true"/>
          <w:lang w:bidi="fa-IR"/>
        </w:rPr>
        <w:t>و شهادت بيّنه براى يكى از آنها به شراء مطلق، بى فائده است زيرا اعم از دخول شفعه و عدم است؛ بلى اگر شهادت داد بر تقدم بر ديگرى در ملك شقص، قضاوت براى مشهود له به شفعه مى شود در صورت عدم معارضه به بيّنۀ مماثله از ديگرى يا تعدّد دعوى به نحوى كه با انتهاى يكى، محلى براى ديگرى نماند و مسموع نباشد دعواى ديگرى چنانچه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اختلاف تحرير دعوى است در تعدّد و وحدت به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مدّعى عليه، عدم تقدم مدّعى باشد يا تقدم خودش، يا عدم تقدم مدّعى با تقدم خودش؛ و در اولى تعدّد دعوىٰ‌، و در دومى تداعى است، و تعارض بيّنتين در دومى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بيّنتين به وقوع ابتياع به نحو مطلق، بى اثر است؛ و در تاريخ معين يا به اقتران دو ابتياع، مُسقط هر دو و مورد تحالف است، مگر در صورت تقدم يك دعوى و انتهاى آن به نحوى كه محل براى دومى باشد و مسموع باشد تا به نهايت برسد چنانكه گذشت</w:t>
      </w:r>
      <w:r>
        <w:rPr>
          <w:rFonts w:eastAsia="IRNazanin" w:cs="IRNazanin"/>
          <w:color w:val="111111"/>
          <w:sz w:val="28"/>
          <w:szCs w:val="28"/>
          <w:rtl w:val="true"/>
          <w:lang w:bidi="fa-IR"/>
        </w:rPr>
        <w:t xml:space="preserve">. </w:t>
      </w:r>
      <w:bookmarkStart w:id="314" w:name="pg10275_96357"/>
    </w:p>
    <w:p>
      <w:pPr>
        <w:pStyle w:val="BookText"/>
        <w:rPr/>
      </w:pPr>
      <w:bookmarkEnd w:id="314"/>
      <w:r>
        <w:rPr>
          <w:rFonts w:ascii="IRNazanin" w:hAnsi="IRNazanin" w:eastAsia="IRNazanin"/>
          <w:color w:val="111111"/>
          <w:sz w:val="28"/>
          <w:sz w:val="28"/>
          <w:szCs w:val="28"/>
          <w:rtl w:val="true"/>
          <w:lang w:bidi="fa-IR"/>
        </w:rPr>
        <w:t>و هم چنين موجب تحالف است صورت تعارض شهادتين بر تقدم، در تقدير وحدت دعوى؛ و با تحالف، حكم به اشتراك بدون شفعه مى شود؛ و با وجود ميزان فصل، محل اشتباه كه موضوع قرعه است نمى شود بنا بر اظهر</w:t>
      </w:r>
      <w:r>
        <w:rPr>
          <w:rFonts w:eastAsia="IRNazanin" w:cs="IRNazanin"/>
          <w:color w:val="111111"/>
          <w:sz w:val="28"/>
          <w:szCs w:val="28"/>
          <w:rtl w:val="true"/>
          <w:lang w:bidi="fa-IR"/>
        </w:rPr>
        <w:t>.</w:t>
      </w:r>
    </w:p>
    <w:p>
      <w:pPr>
        <w:pStyle w:val="Heading4"/>
        <w:numPr>
          <w:ilvl w:val="3"/>
          <w:numId w:val="1"/>
        </w:numPr>
        <w:rPr/>
      </w:pPr>
      <w:bookmarkStart w:id="315" w:name="__RefHeading___Toc3971245_1067777946"/>
      <w:bookmarkStart w:id="316" w:name="_Toc130"/>
      <w:bookmarkEnd w:id="315"/>
      <w:r>
        <w:rPr>
          <w:rtl w:val="true"/>
        </w:rPr>
        <w:t>تخالف در ادعاى ملكيّت به بيع يا به ارث</w:t>
      </w:r>
      <w:bookmarkEnd w:id="31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شفيع ادعا كرد بر شريك فعلى، كه به ابتياع، مالك شده است پس حق شفعه براى او ثابت است، و شريك ادعا كرد كه به ارث منتقل شده است پس شفعه ثابت نيست، و هر دو اقامۀ بينه كردند، پس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است تعيّن قرعه به سبب تعارض بيّنۀ ابتياع و ارث بدون ترجيح؛ و از جماعتى از 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فاضل و شهيدين و كركى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بيّنۀ شفيع كه خارج است حكايت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جواب به نفى ابتياع، پس قول متأخّرين ثابت است، يا جواب شريك به تحقّق وراثت مملّكه، پس قول شيخ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تقديم بيّنۀ شفيع است، به جهت اعرفيّت ذو اليد به خصوصيّات آن، كه متملَك به ارث يا ابتياع شده است چنانچه گذشت، پس بيّنۀ خارج كه قول او مسموع نيست متقدّم است، پس مرجع، جواب به ارث نيست بلكه به تملّك ما فى اليد به سبب ارث؛ و اگر تعارض باشد به تداعى، وظيفه تحالف است نه قرعه، چنانكه گذشت در نظير اين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شفيع اقامه بيّنه كرد بر اينكه زيد بيع نموده به شريك، در زمان فوت مورّث يا بعد از فوت و قبل از اخذ شفيع به طور اتّصال، پس از جزئيات اقامۀ شفيع و شريك، بيّنه را يكى بر ابتياع و ديگرى بر وراثت است؛ و اقرار زيد به بيع، در حق ديگران مفيد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ادعاى شفيع، بيع زيد را به شريك با تصديق زيد او را، هيچ كدام حجيتى ندارند و حكم با بيّنۀ خارج يا تداعى است به نحو متقدّم</w:t>
      </w:r>
      <w:r>
        <w:rPr>
          <w:rFonts w:eastAsia="IRNazanin" w:cs="IRNazanin"/>
          <w:color w:val="111111"/>
          <w:sz w:val="28"/>
          <w:szCs w:val="28"/>
          <w:rtl w:val="true"/>
          <w:lang w:bidi="fa-IR"/>
        </w:rPr>
        <w:t xml:space="preserve">. </w:t>
      </w:r>
      <w:bookmarkStart w:id="317" w:name="pg10275_96358"/>
    </w:p>
    <w:p>
      <w:pPr>
        <w:pStyle w:val="Heading4"/>
        <w:numPr>
          <w:ilvl w:val="3"/>
          <w:numId w:val="1"/>
        </w:numPr>
        <w:rPr/>
      </w:pPr>
      <w:bookmarkStart w:id="318" w:name="__RefHeading___Toc3971247_1067777946"/>
      <w:bookmarkStart w:id="319" w:name="_Toc131"/>
      <w:bookmarkEnd w:id="317"/>
      <w:bookmarkEnd w:id="318"/>
      <w:r>
        <w:rPr>
          <w:rtl w:val="true"/>
        </w:rPr>
        <w:t>ادعاى وديعه بودن توسط شريك</w:t>
      </w:r>
      <w:bookmarkEnd w:id="319"/>
    </w:p>
    <w:p>
      <w:pPr>
        <w:pStyle w:val="BookText"/>
        <w:rPr/>
      </w:pPr>
      <w:r>
        <w:rPr>
          <w:rFonts w:ascii="IRNazanin" w:hAnsi="IRNazanin" w:eastAsia="IRNazanin"/>
          <w:color w:val="111111"/>
          <w:sz w:val="28"/>
          <w:sz w:val="28"/>
          <w:szCs w:val="28"/>
          <w:rtl w:val="true"/>
          <w:lang w:bidi="fa-IR"/>
        </w:rPr>
        <w:t>اگر شفيع، ادعاى مملوكيّت به شراء كرد و شريك، ادعاى وديعه بودن آن را كرد، در زمان ارادۀ اخذ به شفعه به نصوصيت و خصوصيّت، و هر دو اقامۀ بيّنه نمودند بر مدعاى خود، بيّنۀ شفيع مقدّم است، به جهت مسموعيت قول ذى اليد در زمان عدم 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تعيّن زمان ايداع به متأخّر از زمان ابتياع كه جمعش به ايداع بعد از شراء بايع از مشترى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جمع، 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بقاى حق شفعه موقوف به عدم انتفاى آن به عود به سوى ملك بايع است چنانچه در محلش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جميع فروع بايد ملاحظۀ استظهار جمع بين دو بيّنه بر دو دعوى يا ترجيح به ارجاع يكى به ديگرى بشود و به مقتضاى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به بيع و حق شفعه يا ايداع و انتفاى حق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اثر داده بشود</w:t>
      </w:r>
      <w:r>
        <w:rPr>
          <w:rFonts w:eastAsia="IRNazanin" w:cs="IRNazanin"/>
          <w:color w:val="111111"/>
          <w:sz w:val="28"/>
          <w:szCs w:val="28"/>
          <w:rtl w:val="true"/>
          <w:lang w:bidi="fa-IR"/>
        </w:rPr>
        <w:t>.</w:t>
      </w:r>
    </w:p>
    <w:p>
      <w:pPr>
        <w:pStyle w:val="Heading4"/>
        <w:numPr>
          <w:ilvl w:val="3"/>
          <w:numId w:val="1"/>
        </w:numPr>
        <w:rPr/>
      </w:pPr>
      <w:bookmarkStart w:id="320" w:name="__RefHeading___Toc3971249_1067777946"/>
      <w:bookmarkStart w:id="321" w:name="_Toc132"/>
      <w:bookmarkEnd w:id="320"/>
      <w:r>
        <w:rPr>
          <w:rtl w:val="true"/>
        </w:rPr>
        <w:t>مناقشه در محكى از تذكره و دروس در فرق</w:t>
      </w:r>
      <w:bookmarkEnd w:id="321"/>
    </w:p>
    <w:p>
      <w:pPr>
        <w:pStyle w:val="BookText"/>
        <w:rPr/>
      </w:pPr>
      <w:r>
        <w:rPr>
          <w:rFonts w:ascii="IRNazanin" w:hAnsi="IRNazanin" w:eastAsia="IRNazanin"/>
          <w:color w:val="111111"/>
          <w:sz w:val="28"/>
          <w:sz w:val="28"/>
          <w:szCs w:val="28"/>
          <w:rtl w:val="true"/>
          <w:lang w:bidi="fa-IR"/>
        </w:rPr>
        <w:t xml:space="preserve">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بين تصريح به ملك در بيّنۀ ايداع فقط و لزوم مكاتبۀ مودّع و ترجيح آن يا تصديق و سقوط شفعه و ترجيح بيّنۀ شفيع يا تكذيب و قضا به بيّنۀ شفيع، به خلاف تصريح به ملك در بيّنۀ ابتياع با اطلاق در بيّنۀ ايداع كه قضاى به بيّنۀ شفيع مى شود بدون مراسلۀ 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مناقشه است به اينكه مدار بر استظهار جمع يا ترجيح يكى از آنها است به نحو متقدّم، و تصريح به ملك، اثر ندارد با ظهور در آن، و صرف از ظهور، بدون قرينه نمى شود، و امكان جمع، ملزم به آن نيست زيرا در يك كلامِ يك متكلّم نيست</w:t>
      </w:r>
      <w:r>
        <w:rPr>
          <w:rFonts w:eastAsia="IRNazanin" w:cs="IRNazanin"/>
          <w:color w:val="111111"/>
          <w:sz w:val="28"/>
          <w:szCs w:val="28"/>
          <w:rtl w:val="true"/>
          <w:lang w:bidi="fa-IR"/>
        </w:rPr>
        <w:t>.</w:t>
      </w:r>
    </w:p>
    <w:p>
      <w:pPr>
        <w:pStyle w:val="Heading4"/>
        <w:numPr>
          <w:ilvl w:val="3"/>
          <w:numId w:val="1"/>
        </w:numPr>
        <w:rPr/>
      </w:pPr>
      <w:bookmarkStart w:id="322" w:name="__RefHeading___Toc3971251_1067777946"/>
      <w:bookmarkStart w:id="323" w:name="_Toc133"/>
      <w:bookmarkEnd w:id="322"/>
      <w:r>
        <w:rPr>
          <w:rtl w:val="true"/>
        </w:rPr>
        <w:t>تصادق بايع و مشترى بر غصبيت ثمن در بيع و لازمۀ آن</w:t>
      </w:r>
      <w:bookmarkEnd w:id="3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بايع و مشترى تصادق كردند بر غصبيّت ثمن در بيع و فساد آن، اثرى در غير حق آن دو نفر ندارد، و شفيع حق شفعه دارد در معامله كه حكم آن صحّت است</w:t>
      </w:r>
      <w:r>
        <w:rPr>
          <w:rFonts w:eastAsia="IRNazanin" w:cs="IRNazanin"/>
          <w:color w:val="111111"/>
          <w:sz w:val="28"/>
          <w:szCs w:val="28"/>
          <w:rtl w:val="true"/>
          <w:lang w:bidi="fa-IR"/>
        </w:rPr>
        <w:t>.</w:t>
      </w:r>
      <w:bookmarkStart w:id="324" w:name="pg10275_96359"/>
    </w:p>
    <w:p>
      <w:pPr>
        <w:pStyle w:val="BookText"/>
        <w:rPr/>
      </w:pPr>
      <w:bookmarkEnd w:id="324"/>
      <w:r>
        <w:rPr>
          <w:rFonts w:ascii="Amiri" w:hAnsi="Amiri" w:eastAsia="Amiri" w:cs="Amiri"/>
          <w:color w:val="111111"/>
          <w:sz w:val="28"/>
          <w:sz w:val="28"/>
          <w:szCs w:val="28"/>
          <w:rtl w:val="true"/>
          <w:lang w:bidi="ar-SA"/>
        </w:rPr>
        <w:t>و مشترى مى تواند اخذ نمايد ثمن را از شفيع و دفع به بايع نمايد تا مقاصه از شقص به آن سبب نمايد؛ بلكه بر او است اين عمل، زيرا حائل بين شقص و بايع، مشترى بوده است با جهل ايشان، و قبض ثمن براى خودش نمى تواند نمايد به حسب اقرار خودش نه براى مالك اصلى شقص</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971253_1067777946"/>
      <w:bookmarkStart w:id="326" w:name="_Toc134"/>
      <w:bookmarkEnd w:id="325"/>
      <w:r>
        <w:rPr>
          <w:rtl w:val="true"/>
        </w:rPr>
        <w:t>اقرار شفيع و مشترى بر غصبيت ثمن در بيع</w:t>
      </w:r>
      <w:bookmarkEnd w:id="326"/>
    </w:p>
    <w:p>
      <w:pPr>
        <w:pStyle w:val="BookText"/>
        <w:rPr/>
      </w:pPr>
      <w:r>
        <w:rPr>
          <w:rFonts w:ascii="IRNazanin" w:hAnsi="IRNazanin" w:eastAsia="IRNazanin"/>
          <w:color w:val="111111"/>
          <w:sz w:val="28"/>
          <w:sz w:val="28"/>
          <w:szCs w:val="28"/>
          <w:rtl w:val="true"/>
          <w:lang w:bidi="fa-IR"/>
        </w:rPr>
        <w:t>اگر شفيع و مشترى اقرار كردند به غصبيّت ثمن در بيع، نمى تواند اخذ به شفعه نمايد در بيعى كه مقِرّ به فساد آن است؛ بلكه اقرار شفيع كافى است اگر چه با اقرار خصوص مشترى يا خصوص بايع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را بعينه يا در بدل بايد به مقرّ له كه مغصوبٌ منه است مشترى 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بائع، منكر فساد است و مشترى مدّعى آن است، پس با شروط شراء اگر خريد از بايع به همان ثمن، مى تواند شفيع، اخذ به شفعه نمايد تا مشترى قبل از اخذ، مالك شقص باشد و بر بائع، رد ثمن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ايقاع شراء در خصوص مقام به صورت صلح موافق با احتياط است</w:t>
      </w:r>
      <w:r>
        <w:rPr>
          <w:rFonts w:eastAsia="IRNazanin" w:cs="IRNazanin"/>
          <w:color w:val="111111"/>
          <w:sz w:val="28"/>
          <w:szCs w:val="28"/>
          <w:rtl w:val="true"/>
          <w:lang w:bidi="fa-IR"/>
        </w:rPr>
        <w:t>.</w:t>
      </w:r>
    </w:p>
    <w:p>
      <w:pPr>
        <w:pStyle w:val="Heading4"/>
        <w:numPr>
          <w:ilvl w:val="3"/>
          <w:numId w:val="1"/>
        </w:numPr>
        <w:rPr/>
      </w:pPr>
      <w:bookmarkStart w:id="327" w:name="__RefHeading___Toc3971255_1067777946"/>
      <w:bookmarkStart w:id="328" w:name="_Toc135"/>
      <w:bookmarkEnd w:id="327"/>
      <w:r>
        <w:rPr>
          <w:rtl w:val="true"/>
        </w:rPr>
        <w:t>ادعاى شراء شقص بر ذو اليد بر آن</w:t>
      </w:r>
      <w:bookmarkEnd w:id="32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 كرد بر ذو اليد بر شقص، شراء آن را،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ام براى زيد، و زيد حاضر بود و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من است لكن به شراءِ از بائع، شريكِ مالك نشده ام، مشكل است ثبوت شفعه، زيرا دو فرد بيش ندارد و هر دو نفى آن را مى نمايند پس چگونه اقرار ذى اليد بر بايع نافذ مى 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اشكال مذكور، سابق است بر اشكال در شرطيت دفع ثمن در مالكيّت به اخذ، چون ممكن نيست دفع به مقِرّ و به مقَرّ له؛ و نيابت حاكم از يكى از ايشان بدون علم به مالكيّت، بى وجه است زيرا اشكال مذكور در نفوذ اين اقرار است به منشأ شفعه؛ و بر تقدير اغماض از آن، اگر گفته بشود به عدم اعتبار دفع در مالكيّت به اخذ، و كفايت اخذ در ملك، ممكن است نيابت حاكم در مقام دفع ثمن بعد از اخذ، لكن چون اخذ به </w:t>
      </w:r>
      <w:bookmarkStart w:id="329" w:name="pg10275_96360"/>
    </w:p>
    <w:p>
      <w:pPr>
        <w:pStyle w:val="BookText"/>
        <w:rPr/>
      </w:pPr>
      <w:bookmarkEnd w:id="329"/>
      <w:r>
        <w:rPr>
          <w:rFonts w:ascii="Amiri" w:hAnsi="Amiri" w:eastAsia="Amiri" w:cs="Amiri"/>
          <w:color w:val="111111"/>
          <w:sz w:val="28"/>
          <w:sz w:val="28"/>
          <w:szCs w:val="28"/>
          <w:rtl w:val="true"/>
          <w:lang w:bidi="ar-SA"/>
        </w:rPr>
        <w:t>عوض است براى مالكيّت خودش شقص را و مالكيّت يكى از دو عوض را، و هر دو نفى مالكيّت آن را مى نمايند و حاكم بدون علم يا حجّت، نيابت از مالك مردّد ندارد، و از اين جهت هم اشكال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غائب بود ذو اليد بر شقص، پس تا زمانى كه اضرار به حال شفيع، محقّق نشود صبر مى نمايند؛ و اين تأخير عذرى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فوريّت اخذ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حدى رسيد كه تأخير از آن مضر است به حال شفيع، محتمل است مراجعه به حاكم شرع بشود و او دفع ضرر به غير اضرار نمايد، يعنى بعد از اخذ به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ثمن به حاكم، انتزاع نمايد حاكم شقص را و دفع به شفيع نمايد، پس اگر حاضر شد غائب و تصديق كرد مدّعى را، ابقا مى شود عمل حاكم، و اگر تكذيب كرد و شفعه ثابت نبود رد هر كدام از شقص و ثمن به صاحب آن مى شود، و زيادتى ضرر يكى از طرفين به واسطۀ اين عمل حاكم، تدارك بشود</w:t>
      </w:r>
      <w:r>
        <w:rPr>
          <w:rFonts w:eastAsia="IRNazanin" w:cs="IRNazanin"/>
          <w:color w:val="111111"/>
          <w:sz w:val="28"/>
          <w:szCs w:val="28"/>
          <w:rtl w:val="true"/>
          <w:lang w:bidi="fa-IR"/>
        </w:rPr>
        <w:t>.</w:t>
      </w:r>
    </w:p>
    <w:p>
      <w:pPr>
        <w:pStyle w:val="Heading4"/>
        <w:numPr>
          <w:ilvl w:val="3"/>
          <w:numId w:val="1"/>
        </w:numPr>
        <w:rPr/>
      </w:pPr>
      <w:bookmarkStart w:id="330" w:name="__RefHeading___Toc3971257_1067777946"/>
      <w:bookmarkStart w:id="331" w:name="_Toc136"/>
      <w:bookmarkEnd w:id="330"/>
      <w:r>
        <w:rPr>
          <w:rtl w:val="true"/>
        </w:rPr>
        <w:t>ادعاى خريد براى طفل توسط مدّعى عليه</w:t>
      </w:r>
      <w:bookmarkEnd w:id="331"/>
    </w:p>
    <w:p>
      <w:pPr>
        <w:pStyle w:val="BookText"/>
        <w:rPr/>
      </w:pPr>
      <w:r>
        <w:rPr>
          <w:rFonts w:ascii="IRNazanin" w:hAnsi="IRNazanin" w:eastAsia="IRNazanin"/>
          <w:color w:val="111111"/>
          <w:sz w:val="28"/>
          <w:sz w:val="28"/>
          <w:szCs w:val="28"/>
          <w:rtl w:val="true"/>
          <w:lang w:bidi="fa-IR"/>
        </w:rPr>
        <w:t>و اگر مدّعىٰ عليه الشفعة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ام براى طفل، و ولايت بر او داشته، اظهر قيام ولىّ است مقام مولّىٰ عليه در اخذ ثمن براى اخذ شفيع به شفعه و نفوذ اخذ به شفعه و صحّت اقرار ولىّ است به مالكيّت مشترى له و استحقاق شفيع شفعه را</w:t>
      </w:r>
      <w:r>
        <w:rPr>
          <w:rFonts w:eastAsia="IRNazanin" w:cs="IRNazanin"/>
          <w:color w:val="111111"/>
          <w:sz w:val="28"/>
          <w:szCs w:val="28"/>
          <w:rtl w:val="true"/>
          <w:lang w:bidi="fa-IR"/>
        </w:rPr>
        <w:t>.</w:t>
      </w:r>
    </w:p>
    <w:p>
      <w:pPr>
        <w:pStyle w:val="Heading4"/>
        <w:numPr>
          <w:ilvl w:val="3"/>
          <w:numId w:val="1"/>
        </w:numPr>
        <w:rPr/>
      </w:pPr>
      <w:bookmarkStart w:id="332" w:name="__RefHeading___Toc3971259_1067777946"/>
      <w:bookmarkStart w:id="333" w:name="_Toc137"/>
      <w:bookmarkEnd w:id="332"/>
      <w:r>
        <w:rPr>
          <w:rtl w:val="true"/>
        </w:rPr>
        <w:t>اقرار مدعى عليه به شراء با اعتراف به مالكيّت غير</w:t>
      </w:r>
      <w:bookmarkEnd w:id="333"/>
    </w:p>
    <w:p>
      <w:pPr>
        <w:pStyle w:val="BookText"/>
        <w:rPr/>
      </w:pPr>
      <w:r>
        <w:rPr>
          <w:rFonts w:ascii="IRNazanin" w:hAnsi="IRNazanin" w:eastAsia="IRNazanin"/>
          <w:color w:val="111111"/>
          <w:sz w:val="28"/>
          <w:sz w:val="28"/>
          <w:szCs w:val="28"/>
          <w:rtl w:val="true"/>
          <w:lang w:bidi="fa-IR"/>
        </w:rPr>
        <w:t>اگر مدعىٰ عليه، اقرار به شراء كرد با اعتراف به مالكيّتِ غير،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قابل جمع بين دو اقرار بود عمل به آن مى شود به آنچه از سابق معلوم شده است، و جمع در كلام متكلم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تنزيل بر تعدّد ملكيّتهاى مترتّبه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قرينه؛ وگرنه شفعه ثابت نيست به جهت عدم نفوذ اقرار در ملكِ اقرارى غير</w:t>
      </w:r>
      <w:r>
        <w:rPr>
          <w:rFonts w:eastAsia="IRNazanin" w:cs="IRNazanin"/>
          <w:color w:val="111111"/>
          <w:sz w:val="28"/>
          <w:szCs w:val="28"/>
          <w:rtl w:val="true"/>
          <w:lang w:bidi="fa-IR"/>
        </w:rPr>
        <w:t>.</w:t>
      </w:r>
    </w:p>
    <w:p>
      <w:pPr>
        <w:pStyle w:val="Heading4"/>
        <w:numPr>
          <w:ilvl w:val="3"/>
          <w:numId w:val="1"/>
        </w:numPr>
        <w:rPr/>
      </w:pPr>
      <w:bookmarkStart w:id="334" w:name="__RefHeading___Toc3971261_1067777946"/>
      <w:bookmarkStart w:id="335" w:name="_Toc138"/>
      <w:bookmarkEnd w:id="334"/>
      <w:r>
        <w:rPr>
          <w:rtl w:val="true"/>
        </w:rPr>
        <w:t>انكار مالكيّت شفيع توسط مشترى</w:t>
      </w:r>
      <w:bookmarkEnd w:id="33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مشترى انكار كرد مالكيّت شفيع را و شفيع يد بر شقص نداشت، محتاج است</w:t>
      </w:r>
      <w:bookmarkStart w:id="336" w:name="pg10275_96361"/>
    </w:p>
    <w:p>
      <w:pPr>
        <w:pStyle w:val="BookText"/>
        <w:rPr/>
      </w:pPr>
      <w:bookmarkEnd w:id="336"/>
      <w:r>
        <w:rPr>
          <w:rFonts w:ascii="IRNazanin" w:hAnsi="IRNazanin" w:eastAsia="IRNazanin"/>
          <w:color w:val="111111"/>
          <w:sz w:val="28"/>
          <w:sz w:val="28"/>
          <w:szCs w:val="28"/>
          <w:rtl w:val="true"/>
          <w:lang w:bidi="fa-IR"/>
        </w:rPr>
        <w:t>در اثبات حق شفعه به بيّنه بر مالكيّت؛ و اگر يد دارد، اظهر عدم حاجت به بيّنه است؛ و احتياج به يمين، در صورت مجرد نفى مالكيّت شفيع در مقابل ادعاى مالكيّت مشترى آنچه را كه در يد شفيع است، موافق احتياط است</w:t>
      </w:r>
      <w:r>
        <w:rPr>
          <w:rFonts w:eastAsia="IRNazanin" w:cs="IRNazanin"/>
          <w:color w:val="111111"/>
          <w:sz w:val="28"/>
          <w:szCs w:val="28"/>
          <w:rtl w:val="true"/>
          <w:lang w:bidi="fa-IR"/>
        </w:rPr>
        <w:t>.</w:t>
      </w:r>
    </w:p>
    <w:p>
      <w:pPr>
        <w:pStyle w:val="Heading4"/>
        <w:numPr>
          <w:ilvl w:val="3"/>
          <w:numId w:val="1"/>
        </w:numPr>
        <w:rPr/>
      </w:pPr>
      <w:bookmarkStart w:id="337" w:name="__RefHeading___Toc3971263_1067777946"/>
      <w:bookmarkStart w:id="338" w:name="_Toc139"/>
      <w:bookmarkEnd w:id="337"/>
      <w:r>
        <w:rPr>
          <w:rtl w:val="true"/>
        </w:rPr>
        <w:t>ادعاى عفو يك يا چند نفر از ورثه و اختلاف در آن</w:t>
      </w:r>
      <w:bookmarkEnd w:id="33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ادعاى عفو از يكى از وارثين شفعه نمود پس شهادت داد بر آن، وارث ديگر، قبول نمى شود شهادتش در صورت عدم استقلال حقوق موروثه از واحد و رجوع حصّۀ عافى به غير عافى، به خلاف تقدير قول به استقلال و عدم رجوع؛ و در صورت سبق عفو بر شهادت يا اقتران هر دو در كلام واحد، اظهر قبول است</w:t>
      </w:r>
      <w:r>
        <w:rPr>
          <w:rFonts w:eastAsia="IRNazanin" w:cs="IRNazanin"/>
          <w:color w:val="111111"/>
          <w:sz w:val="28"/>
          <w:szCs w:val="28"/>
          <w:rtl w:val="true"/>
          <w:lang w:bidi="fa-IR"/>
        </w:rPr>
        <w:t>.</w:t>
      </w:r>
    </w:p>
    <w:p>
      <w:pPr>
        <w:pStyle w:val="Heading4"/>
        <w:numPr>
          <w:ilvl w:val="3"/>
          <w:numId w:val="1"/>
        </w:numPr>
        <w:rPr/>
      </w:pPr>
      <w:bookmarkStart w:id="339" w:name="__RefHeading___Toc3971265_1067777946"/>
      <w:bookmarkStart w:id="340" w:name="_Toc140"/>
      <w:bookmarkEnd w:id="339"/>
      <w:r>
        <w:rPr>
          <w:rtl w:val="true"/>
        </w:rPr>
        <w:t>ادعاى عفو دو وارث شفعه</w:t>
      </w:r>
      <w:bookmarkEnd w:id="340"/>
    </w:p>
    <w:p>
      <w:pPr>
        <w:pStyle w:val="BookText"/>
        <w:rPr/>
      </w:pPr>
      <w:r>
        <w:rPr>
          <w:rFonts w:ascii="IRNazanin" w:hAnsi="IRNazanin" w:eastAsia="IRNazanin"/>
          <w:color w:val="111111"/>
          <w:sz w:val="28"/>
          <w:sz w:val="28"/>
          <w:szCs w:val="28"/>
          <w:rtl w:val="true"/>
          <w:lang w:bidi="fa-IR"/>
        </w:rPr>
        <w:t>اگر مشترى ادعاى عفو بر دو وارث شفعه كرد پس انكار كردند و ايقاع حلف نمودند، شفعه ثابت است؛ و اگر يكى ايقاع حلف كرد در حصۀ او ثابت است، و با نكول ديگرى و تصديق حالف، او را به شهادت مسموعه، حق ديگرى هم ثابت مى شود، و با عدم تصديق، منتفى مى شود با حلف مشترى بعد از رد به او، و باقى است شفعه در حصۀ حالف بر عدم عفو بنا بر عدم ارتباط در حق موروث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تكذيب حالف، ناكل را، پس احلاف ناكل، حالف را بر عدم عفو از ناكل، مبنىّ بر رجوع حصّۀ عافى به غير عافى است و آن بر خلاف تعدّد و استقلال در حق موروث است؛ و بر تقدير استقلال، رد يمين به مشترى مى شود و اثبات مى شود عفو ناكل در حصۀ او در صورت تكذيب مذكور، چنانچه اثبات مى شود شفعه در حصۀ حالف به حلف او بر عدم عفو خودش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اينكه بعد از حلف يكى و تصديق او ناكل را اگر حالف عفو نمود، نمى تواند مشترى ايقاع حلف براى اسقاط شفعه نمايد به جهت استقلال مذكور؛ و در خصوص حصّۀ ناكل، تصديق و شهادت مسموعه براى ناكل، كافى در اثبات شفعه در حصّۀ او </w:t>
      </w:r>
      <w:bookmarkStart w:id="341" w:name="pg10275_96362"/>
    </w:p>
    <w:p>
      <w:pPr>
        <w:pStyle w:val="BookText"/>
        <w:rPr/>
      </w:pPr>
      <w:bookmarkEnd w:id="341"/>
      <w:r>
        <w:rPr>
          <w:rFonts w:ascii="Amiri" w:hAnsi="Amiri" w:eastAsia="Amiri" w:cs="Amiri"/>
          <w:color w:val="111111"/>
          <w:sz w:val="28"/>
          <w:sz w:val="28"/>
          <w:szCs w:val="28"/>
          <w:rtl w:val="true"/>
          <w:lang w:bidi="ar-SA"/>
        </w:rPr>
        <w:t xml:space="preserve">است و رد يمين به مشترى نمى شود بر عفو ناكل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با يمين او قضاى به عفو ناكل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اظهر</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971267_1067777946"/>
      <w:bookmarkStart w:id="343" w:name="_Toc141"/>
      <w:bookmarkEnd w:id="342"/>
      <w:r>
        <w:rPr>
          <w:rtl w:val="true"/>
        </w:rPr>
        <w:t>شهادت اجنبى به عفو يك نفر معيّن از دو وارث</w:t>
      </w:r>
      <w:bookmarkEnd w:id="343"/>
    </w:p>
    <w:p>
      <w:pPr>
        <w:pStyle w:val="BookText"/>
        <w:rPr/>
      </w:pPr>
      <w:r>
        <w:rPr>
          <w:rFonts w:ascii="IRNazanin" w:hAnsi="IRNazanin" w:eastAsia="IRNazanin"/>
          <w:color w:val="111111"/>
          <w:sz w:val="28"/>
          <w:sz w:val="28"/>
          <w:szCs w:val="28"/>
          <w:rtl w:val="true"/>
          <w:lang w:bidi="fa-IR"/>
        </w:rPr>
        <w:t xml:space="preserve">و اگر اجنبى شهادت داد به عفو يكىِ مخصوص از دو وارث به شهادت مقبوله، پس بطلان شفعه بعد از عفو ثابت با حلف مشترى، مبنىّ بر وحدت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لازمۀ وحدت بعد از عفو يكى و عدم حلف مشترى به عفو ديگرى، اختصاص غير عافى به جميع است بعد از اخذ به شفعه؛ به خلاف استقلال كه فقط در حصّۀ خودش مؤثّر است اخذ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تصديق عافى، ديگرى را در دعواى عدم حلف يا حلف ديگرى، نفى عفو و اثبات شفعه در حصّۀ غير عافى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داد اجنبى به عفو يكى از آنها، ديگرى بعد از حلف، جميع را اخذ مى نمايد؛ و اگر ديگرى عفو نمود، با حلف مشترى تمام مى شود</w:t>
      </w:r>
      <w:r>
        <w:rPr>
          <w:rFonts w:eastAsia="IRNazanin" w:cs="IRNazanin"/>
          <w:color w:val="111111"/>
          <w:sz w:val="28"/>
          <w:szCs w:val="28"/>
          <w:rtl w:val="true"/>
          <w:lang w:bidi="fa-IR"/>
        </w:rPr>
        <w:t>.</w:t>
      </w:r>
    </w:p>
    <w:p>
      <w:pPr>
        <w:pStyle w:val="Heading4"/>
        <w:numPr>
          <w:ilvl w:val="3"/>
          <w:numId w:val="1"/>
        </w:numPr>
        <w:rPr/>
      </w:pPr>
      <w:bookmarkStart w:id="344" w:name="__RefHeading___Toc3971269_1067777946"/>
      <w:bookmarkStart w:id="345" w:name="_Toc142"/>
      <w:bookmarkEnd w:id="344"/>
      <w:r>
        <w:rPr>
          <w:rtl w:val="true"/>
        </w:rPr>
        <w:t>اعتراف يكى از دو وارث به بطلان شراء</w:t>
      </w:r>
      <w:bookmarkEnd w:id="345"/>
    </w:p>
    <w:p>
      <w:pPr>
        <w:pStyle w:val="BookText"/>
        <w:rPr/>
      </w:pPr>
      <w:r>
        <w:rPr>
          <w:rFonts w:ascii="IRNazanin" w:hAnsi="IRNazanin" w:eastAsia="IRNazanin"/>
          <w:color w:val="111111"/>
          <w:sz w:val="28"/>
          <w:sz w:val="28"/>
          <w:szCs w:val="28"/>
          <w:rtl w:val="true"/>
          <w:lang w:bidi="fa-IR"/>
        </w:rPr>
        <w:t>اگر يكى از دو وارث، اعتراف به بطلان شراء نمود، نمى تواند اخذ به شفعه در حصّۀ خودش نمايد، و شفعه براى وارث ديگر كه معترف به فساد نيست مى باشد اما تمام شفعه يا حصّۀ خاصۀ خودش، مبنى بر وحدت و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است ادعاى غير فساد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 يا اتّهاب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آخذ و مشترى توافق بر شراء صحيح داشته باشند</w:t>
      </w:r>
      <w:r>
        <w:rPr>
          <w:rFonts w:eastAsia="IRNazanin" w:cs="IRNazanin"/>
          <w:color w:val="111111"/>
          <w:sz w:val="28"/>
          <w:szCs w:val="28"/>
          <w:rtl w:val="true"/>
          <w:lang w:bidi="fa-IR"/>
        </w:rPr>
        <w:t>.</w:t>
      </w:r>
    </w:p>
    <w:p>
      <w:pPr>
        <w:pStyle w:val="Heading4"/>
        <w:numPr>
          <w:ilvl w:val="3"/>
          <w:numId w:val="1"/>
        </w:numPr>
        <w:rPr/>
      </w:pPr>
      <w:bookmarkStart w:id="346" w:name="__RefHeading___Toc3971271_1067777946"/>
      <w:bookmarkStart w:id="347" w:name="_Toc143"/>
      <w:bookmarkEnd w:id="346"/>
      <w:r>
        <w:rPr>
          <w:rtl w:val="true"/>
        </w:rPr>
        <w:t>شهادت بايع بر عفو شفيع</w:t>
      </w:r>
      <w:bookmarkEnd w:id="3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بايع بر عفو شفيع، مثل شهادت اجنبى است و مقبول است در صورت قبض او ثمن را از مشترى؛ و هم چنين است قبل از قبض ثمن بنا بر عدم اضرار مطلق تهمت به قبول شهادت</w:t>
      </w:r>
      <w:r>
        <w:rPr>
          <w:rFonts w:eastAsia="IRNazanin" w:cs="IRNazanin"/>
          <w:color w:val="111111"/>
          <w:sz w:val="28"/>
          <w:szCs w:val="28"/>
          <w:rtl w:val="true"/>
          <w:lang w:bidi="fa-IR"/>
        </w:rPr>
        <w:t xml:space="preserve">. </w:t>
      </w:r>
      <w:bookmarkStart w:id="348" w:name="pg10275_96363"/>
    </w:p>
    <w:p>
      <w:pPr>
        <w:pStyle w:val="Heading4"/>
        <w:numPr>
          <w:ilvl w:val="3"/>
          <w:numId w:val="1"/>
        </w:numPr>
        <w:rPr/>
      </w:pPr>
      <w:bookmarkStart w:id="349" w:name="__RefHeading___Toc3971273_1067777946"/>
      <w:bookmarkStart w:id="350" w:name="_Toc144"/>
      <w:bookmarkEnd w:id="348"/>
      <w:bookmarkEnd w:id="349"/>
      <w:r>
        <w:rPr>
          <w:rtl w:val="true"/>
        </w:rPr>
        <w:t>طريق تملّك به شفعه</w:t>
      </w:r>
      <w:bookmarkEnd w:id="350"/>
    </w:p>
    <w:p>
      <w:pPr>
        <w:pStyle w:val="BookText"/>
        <w:rPr/>
      </w:pPr>
      <w:r>
        <w:rPr>
          <w:rFonts w:ascii="IRNazanin" w:hAnsi="IRNazanin" w:eastAsia="IRNazanin"/>
          <w:color w:val="111111"/>
          <w:sz w:val="28"/>
          <w:sz w:val="28"/>
          <w:szCs w:val="28"/>
          <w:rtl w:val="true"/>
          <w:lang w:bidi="fa-IR"/>
        </w:rPr>
        <w:t xml:space="preserve">طريق تملّك به شفعه،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تملّكتُه بالعوض المخصوص،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مفيد آن است با قصد انشاى معناى آن به لفظ مى باشد، نه مجرد مطالبه از مشترى كه گاهى براى استعلام حاضر بودن است براى اعطاى 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انشاى تملّك به عوض، به اخذ شقص و دفع ثمن به مشترى،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نيست حضور حاكم يا مشترى؛ اگر چه دفع به مشترى، شرط تأثير آن است در تملّك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 الصلاة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 علىٰ أعدائهم أجمعين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المقام في خامس محرم الحرام من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r>
        <w:rPr>
          <w:rFonts w:eastAsia="Amiri" w:cs="Amiri" w:ascii="Amiri" w:hAnsi="Amiri"/>
          <w:color w:val="111111"/>
          <w:sz w:val="28"/>
          <w:szCs w:val="28"/>
          <w:rtl w:val="true"/>
          <w:lang w:bidi="ar-SA"/>
        </w:rPr>
        <w:t xml:space="preserve">. </w:t>
      </w:r>
      <w:bookmarkStart w:id="351" w:name="pg10275_96364"/>
    </w:p>
    <w:p>
      <w:pPr>
        <w:pStyle w:val="Heading2"/>
        <w:numPr>
          <w:ilvl w:val="1"/>
          <w:numId w:val="1"/>
        </w:numPr>
        <w:rPr/>
      </w:pPr>
      <w:bookmarkStart w:id="352" w:name="__RefHeading___Toc3971275_1067777946"/>
      <w:bookmarkStart w:id="353" w:name="_Toc145"/>
      <w:bookmarkEnd w:id="351"/>
      <w:bookmarkEnd w:id="352"/>
      <w:r>
        <w:rPr>
          <w:rtl w:val="true"/>
        </w:rPr>
        <w:t>كتاب احياى موات</w:t>
      </w:r>
      <w:bookmarkEnd w:id="353"/>
    </w:p>
    <w:p>
      <w:pPr>
        <w:pStyle w:val="Heading3"/>
        <w:numPr>
          <w:ilvl w:val="2"/>
          <w:numId w:val="1"/>
        </w:numPr>
        <w:rPr/>
      </w:pPr>
      <w:bookmarkStart w:id="354" w:name="__RefHeading___Toc3971277_1067777946"/>
      <w:bookmarkStart w:id="355" w:name="_Toc146"/>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اقسام و احكام زمينها</w:t>
      </w:r>
    </w:p>
    <w:p>
      <w:pPr>
        <w:pStyle w:val="BookText"/>
        <w:rPr/>
      </w:pPr>
      <w:r>
        <w:rPr>
          <w:rFonts w:ascii="Amiri" w:hAnsi="Amiri" w:eastAsia="Amiri" w:cs="Amiri"/>
          <w:color w:val="111111"/>
          <w:sz w:val="28"/>
          <w:sz w:val="28"/>
          <w:szCs w:val="28"/>
          <w:rtl w:val="true"/>
          <w:lang w:bidi="ar-SA"/>
        </w:rPr>
        <w:t>شرايط تملّك موات به احيا</w:t>
      </w:r>
    </w:p>
    <w:p>
      <w:pPr>
        <w:pStyle w:val="BookText"/>
        <w:rPr/>
      </w:pPr>
      <w:r>
        <w:rPr>
          <w:rFonts w:ascii="Amiri" w:hAnsi="Amiri" w:eastAsia="Amiri" w:cs="Amiri"/>
          <w:color w:val="111111"/>
          <w:sz w:val="28"/>
          <w:sz w:val="28"/>
          <w:szCs w:val="28"/>
          <w:rtl w:val="true"/>
          <w:lang w:bidi="ar-SA"/>
        </w:rPr>
        <w:t>نحوه تحقق و صدق احيا</w:t>
      </w:r>
    </w:p>
    <w:p>
      <w:pPr>
        <w:pStyle w:val="BookText"/>
        <w:rPr/>
      </w:pPr>
      <w:r>
        <w:rPr>
          <w:rFonts w:ascii="Amiri" w:hAnsi="Amiri" w:eastAsia="Amiri" w:cs="Amiri"/>
          <w:color w:val="111111"/>
          <w:sz w:val="28"/>
          <w:sz w:val="28"/>
          <w:szCs w:val="28"/>
          <w:rtl w:val="true"/>
          <w:lang w:bidi="ar-SA"/>
        </w:rPr>
        <w:t>امور مشتركة المنافع</w:t>
      </w:r>
    </w:p>
    <w:p>
      <w:pPr>
        <w:pStyle w:val="BookText"/>
        <w:rPr/>
      </w:pPr>
      <w:r>
        <w:rPr>
          <w:rFonts w:ascii="Amiri" w:hAnsi="Amiri" w:eastAsia="Amiri" w:cs="Amiri"/>
          <w:color w:val="111111"/>
          <w:sz w:val="28"/>
          <w:sz w:val="28"/>
          <w:szCs w:val="28"/>
          <w:rtl w:val="true"/>
          <w:lang w:bidi="ar-SA"/>
        </w:rPr>
        <w:t>معادن مشتركه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مسأله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0275_96366"/>
      <w:bookmarkStart w:id="357" w:name="pg10275_96366"/>
      <w:bookmarkEnd w:id="357"/>
    </w:p>
    <w:p>
      <w:pPr>
        <w:pStyle w:val="Heading3"/>
        <w:numPr>
          <w:ilvl w:val="2"/>
          <w:numId w:val="1"/>
        </w:numPr>
        <w:rPr/>
      </w:pPr>
      <w:bookmarkStart w:id="358" w:name="pg10275_96366"/>
      <w:bookmarkStart w:id="359" w:name="__RefHeading___Toc3971279_1067777946"/>
      <w:bookmarkStart w:id="360" w:name="_Toc147"/>
      <w:bookmarkEnd w:id="358"/>
      <w:bookmarkEnd w:id="359"/>
      <w:r>
        <w:rPr>
          <w:rtl w:val="true"/>
        </w:rPr>
        <w:t>فصل اوّل اقسام و احكام زمينها</w:t>
      </w:r>
      <w:bookmarkEnd w:id="360"/>
    </w:p>
    <w:p>
      <w:pPr>
        <w:pStyle w:val="Heading4"/>
        <w:numPr>
          <w:ilvl w:val="3"/>
          <w:numId w:val="1"/>
        </w:numPr>
        <w:rPr/>
      </w:pPr>
      <w:bookmarkStart w:id="361" w:name="__RefHeading___Toc3971281_1067777946"/>
      <w:bookmarkStart w:id="362" w:name="_Toc148"/>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الأنبياء محمّد و علىٰ عترته سادة</w:t>
      </w:r>
    </w:p>
    <w:p>
      <w:pPr>
        <w:pStyle w:val="BookText"/>
        <w:rPr/>
      </w:pPr>
      <w:r>
        <w:rPr>
          <w:rFonts w:ascii="Amiri" w:hAnsi="Amiri" w:eastAsia="Amiri" w:cs="Amiri"/>
          <w:color w:val="111111"/>
          <w:sz w:val="28"/>
          <w:sz w:val="28"/>
          <w:szCs w:val="28"/>
          <w:rtl w:val="true"/>
          <w:lang w:bidi="ar-SA"/>
        </w:rPr>
        <w:t>الأوصياء و اللعن علىٰ أعدائهم أجمعين</w:t>
      </w:r>
    </w:p>
    <w:p>
      <w:pPr>
        <w:pStyle w:val="BookText"/>
        <w:rPr/>
      </w:pPr>
      <w:r>
        <w:rPr>
          <w:rFonts w:ascii="IRNazanin" w:hAnsi="IRNazanin" w:eastAsia="IRNazanin"/>
          <w:color w:val="111111"/>
          <w:sz w:val="28"/>
          <w:sz w:val="28"/>
          <w:szCs w:val="28"/>
          <w:rtl w:val="true"/>
          <w:lang w:bidi="fa-IR"/>
        </w:rPr>
        <w:t>آن چه از زمينها معمور است، مملوك صاحبان آنها است و تصرّف در آنها، در حكم تصرّف در ساير املاك مالكين است</w:t>
      </w:r>
      <w:r>
        <w:rPr>
          <w:rFonts w:eastAsia="IRNazanin" w:cs="IRNazanin"/>
          <w:color w:val="111111"/>
          <w:sz w:val="28"/>
          <w:szCs w:val="28"/>
          <w:rtl w:val="true"/>
          <w:lang w:bidi="fa-IR"/>
        </w:rPr>
        <w:t>.</w:t>
      </w:r>
    </w:p>
    <w:p>
      <w:pPr>
        <w:pStyle w:val="Heading4"/>
        <w:numPr>
          <w:ilvl w:val="3"/>
          <w:numId w:val="1"/>
        </w:numPr>
        <w:rPr/>
      </w:pPr>
      <w:bookmarkStart w:id="363" w:name="__RefHeading___Toc3971283_1067777946"/>
      <w:bookmarkStart w:id="364" w:name="_Toc149"/>
      <w:bookmarkEnd w:id="363"/>
      <w:r>
        <w:rPr>
          <w:rtl w:val="true"/>
        </w:rPr>
        <w:t>زمين موات</w:t>
      </w:r>
      <w:bookmarkEnd w:id="364"/>
    </w:p>
    <w:p>
      <w:pPr>
        <w:pStyle w:val="BookText"/>
        <w:rPr/>
      </w:pPr>
      <w:r>
        <w:rPr>
          <w:rFonts w:ascii="IRNazanin" w:hAnsi="IRNazanin" w:eastAsia="IRNazanin"/>
          <w:color w:val="111111"/>
          <w:sz w:val="28"/>
          <w:sz w:val="28"/>
          <w:szCs w:val="28"/>
          <w:rtl w:val="true"/>
          <w:lang w:bidi="fa-IR"/>
        </w:rPr>
        <w:t xml:space="preserve">و آن چه غير معمور و از موات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بالفعل در آن صورتى كه هست، قابل استفاده نيست مگر با علاجى از آن صورت اخراج شود، به واسطۀ اين كه نيزار است يا راهى به آب ندارد در صورت انحصار استفادۀ از آن به آب داشتن يا مسيل آب است يا آن كه پر سنگها و يا ريگها است و يا شوره زار است و به هر سببى كه بگويند از موات است و آباد نيست و با وضع فعلى بى فايده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انفال است و ملك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آن كه در بلاد اسلام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يا نه، و چه آن كه اصلاً معلوم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تفصيلاً يا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آن در ملك اشخاص، مانند بيابانها و دامنه هاى كوهها و امثال آنها، يا آن كه معلوم بوده عدم دخول در ملكيت اشخاص، يا آن كه بالعارض از انتفاع ساقط شده باشد و بالفعل خراب است لكن آثار عمران سابق در آنها باشد، و چه آن كه در اراضى مفتوح العنوه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عراق </w:t>
      </w:r>
      <w:r>
        <w:rPr>
          <w:rFonts w:eastAsia="IRNazanin" w:cs="IRNazanin"/>
          <w:color w:val="111111"/>
          <w:sz w:val="28"/>
          <w:szCs w:val="28"/>
          <w:rtl w:val="true"/>
          <w:lang w:bidi="fa-IR"/>
        </w:rPr>
        <w:t xml:space="preserve">- </w:t>
      </w:r>
      <w:bookmarkStart w:id="365" w:name="pg10275_96367"/>
    </w:p>
    <w:p>
      <w:pPr>
        <w:pStyle w:val="BookText"/>
        <w:rPr/>
      </w:pPr>
      <w:bookmarkEnd w:id="365"/>
      <w:r>
        <w:rPr>
          <w:rFonts w:ascii="Amiri" w:hAnsi="Amiri" w:eastAsia="Amiri" w:cs="Amiri"/>
          <w:color w:val="111111"/>
          <w:sz w:val="28"/>
          <w:sz w:val="28"/>
          <w:szCs w:val="28"/>
          <w:rtl w:val="true"/>
          <w:lang w:bidi="ar-SA"/>
        </w:rPr>
        <w:t>باشد، يا در غير آن، محيى مسلم يا مسالم يا حربى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 در آن به احيا، موقوف است جواز آن بر اذن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971285_1067777946"/>
      <w:bookmarkStart w:id="367" w:name="_Toc150"/>
      <w:bookmarkEnd w:id="366"/>
      <w:r>
        <w:rPr>
          <w:rtl w:val="true"/>
        </w:rPr>
        <w:t>موات اصلى</w:t>
      </w:r>
      <w:bookmarkEnd w:id="367"/>
    </w:p>
    <w:p>
      <w:pPr>
        <w:pStyle w:val="BookText"/>
        <w:rPr/>
      </w:pPr>
      <w:r>
        <w:rPr>
          <w:rFonts w:ascii="Amiri" w:hAnsi="Amiri" w:eastAsia="Amiri" w:cs="Amiri"/>
          <w:color w:val="111111"/>
          <w:sz w:val="28"/>
          <w:sz w:val="28"/>
          <w:szCs w:val="28"/>
          <w:rtl w:val="true"/>
          <w:lang w:bidi="ar-SA"/>
        </w:rPr>
        <w:t>و آن قسم كه از مواتِ اصلى باشد، جايز است احياى آنها در زمان غيبت، و احياكننده مالك آن مى شود با شروط آتيه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احياكننده خلاف است، و اظهر عدم اعتبار است چنان چه گذشت اگر چه متملّكات كفّار از اراضى، فى الجمله قابل تملك مسلمانان به اغتنام است؛ و حكم مفتوح العنوه مبنى بر عدم اعتبار اسلام است؛ و رضاى امام به احيا معلوم است در احياى كافر و مسلم، با فرق بين اين دو احيا چنان چه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ملاحظۀ اولويت معصوم به مملوكات ديگران</w:t>
      </w:r>
      <w:r>
        <w:rPr>
          <w:rFonts w:eastAsia="IRNazanin" w:cs="IRNazanin"/>
          <w:color w:val="111111"/>
          <w:sz w:val="28"/>
          <w:szCs w:val="28"/>
          <w:rtl w:val="true"/>
          <w:lang w:bidi="fa-IR"/>
        </w:rPr>
        <w:t>.</w:t>
      </w:r>
    </w:p>
    <w:p>
      <w:pPr>
        <w:pStyle w:val="Heading4"/>
        <w:numPr>
          <w:ilvl w:val="3"/>
          <w:numId w:val="1"/>
        </w:numPr>
        <w:rPr/>
      </w:pPr>
      <w:bookmarkStart w:id="368" w:name="__RefHeading___Toc3971287_1067777946"/>
      <w:bookmarkStart w:id="369" w:name="_Toc151"/>
      <w:bookmarkEnd w:id="368"/>
      <w:r>
        <w:rPr>
          <w:rtl w:val="true"/>
        </w:rPr>
        <w:t>موات بالعارض</w:t>
      </w:r>
      <w:bookmarkEnd w:id="369"/>
    </w:p>
    <w:p>
      <w:pPr>
        <w:pStyle w:val="BookText"/>
        <w:rPr/>
      </w:pPr>
      <w:r>
        <w:rPr>
          <w:rFonts w:ascii="IRNazanin" w:hAnsi="IRNazanin" w:eastAsia="IRNazanin"/>
          <w:color w:val="111111"/>
          <w:sz w:val="28"/>
          <w:sz w:val="28"/>
          <w:szCs w:val="28"/>
          <w:rtl w:val="true"/>
          <w:lang w:bidi="fa-IR"/>
        </w:rPr>
        <w:t xml:space="preserve">و موات بالعارض كه مالكِ معلوم و لو اجمالاً، ندارد اگر چه معلوم است كه سابقاً در ملك اشخاص بوده لكن به واسطۀ مرور زمان طولانى بر آن، بدون صاحب و مالك معلوم، به خرابى عين و زوال آثار قابل 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اسمى از مُلّاك سابقين آن نمانده باشد مثل قُرىٰ و بلاد خراب شده و قناتهاى پر شده از گل كه فقط اسمى از آنها مضبوط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هم از انفال و مملوك امام اصل، و در غيبت او به احياى مملوك مُحيى مى شود؛ و آن چه تابع آنها است در حال عمارت، تابع در ملكيت به احيا مى شود با تعمير آنها، مانند انهار و چاهها و قناتها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مالك اين قسم،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الحياة است لكن طريق تعيين و لو به اجمال ندارد، پس امر آن با حاكم شرع است؛ و او با يأس از تعيين، اصلحِ از فروختن يا اجاره دادن را عملى مى نمايد و عوض يا اجرت را در فقراى مؤمنين، يا در مصالح مؤمنين صرف مى نمايد؛ و با عدم آن، مشغول فحص مى شود؛ و </w:t>
      </w:r>
      <w:bookmarkStart w:id="370" w:name="pg10275_96368"/>
    </w:p>
    <w:p>
      <w:pPr>
        <w:pStyle w:val="BookText"/>
        <w:rPr/>
      </w:pPr>
      <w:bookmarkEnd w:id="370"/>
      <w:r>
        <w:rPr>
          <w:rFonts w:ascii="IRNazanin" w:hAnsi="IRNazanin" w:eastAsia="IRNazanin"/>
          <w:color w:val="111111"/>
          <w:sz w:val="28"/>
          <w:sz w:val="28"/>
          <w:szCs w:val="28"/>
          <w:rtl w:val="true"/>
          <w:lang w:bidi="fa-IR"/>
        </w:rPr>
        <w:t>در زمان فحص، قبل از تعيين يا يأس، با اجرت برگزار مى نمايد، و بعد از تعيين يا يأس، واضح است عمل در آنها، چنان 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قراينى واضح يا ثابت شد كه اهل آنها اعراض نموده اند و گذاشته اند براى ديگران، پس در حكم موات بالعارض است و جايز است تملك آنها به احيا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اعراض ثابت شد قبل از خرابى، پس احتياط در عمل به آن چه اصلح به نظر حاكم شرع است از تملك عين يا منفعت به عوض و تسليم عوض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صرف در فقرا يا ساير مصالح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موارد تشاحّ در تملك به احيا و تقارن قصد احيا در دو نفر مثلاً، احوط رجوع به حاكم شرع است در تعيين اصلح در نظر او يا با قرعه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971289_1067777946"/>
      <w:bookmarkStart w:id="372" w:name="_Toc152"/>
      <w:bookmarkEnd w:id="371"/>
      <w:r>
        <w:rPr>
          <w:rtl w:val="true"/>
        </w:rPr>
        <w:t>اراضى عامره موات از مفتوح العنوه</w:t>
      </w:r>
      <w:bookmarkEnd w:id="372"/>
    </w:p>
    <w:p>
      <w:pPr>
        <w:pStyle w:val="BookText"/>
        <w:rPr/>
      </w:pPr>
      <w:r>
        <w:rPr>
          <w:rFonts w:ascii="IRNazanin" w:hAnsi="IRNazanin" w:eastAsia="IRNazanin"/>
          <w:color w:val="111111"/>
          <w:sz w:val="28"/>
          <w:sz w:val="28"/>
          <w:szCs w:val="28"/>
          <w:rtl w:val="true"/>
          <w:lang w:bidi="fa-IR"/>
        </w:rPr>
        <w:t>آن چه عامر است از اراضى مفتوح العنوه در زمان فتح، ملك عموم مسلمين است، و مجموع مسلمين در هر زمانى از زمان فتح و ما بعد آن، مالك آنها مى باشند، و احدى از آنها، مالكِ شخصىِ مستقر نيست و احكام ملكيت مذكوره مرتب نيست، و احياى آنها موجب تملك شخصى مستقل نمى شود اگر چه به خرابى منتهى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موات در حال فتح، در ملكيت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و داخل در ملك عامه مسلمين نمى شود، و به احيا، داخل در ملك محيى مى شود به ترتيب متقدم؛ و با علم به عامر بودن يا عدمش در حال فتح يا ثبوت آن، حكم آن معلوم است، و با جهل، محكوم به ملكيّت ذو اليد كه مدعى آن است، مى شود با عامريت فعليّه پس كشف از موات بودن در حال فتح مى نمايد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 مقتضى استصحاب عدم عمران تا زمان فتح است كه مترتّب مى شود بر آن، بقاى مالكيّت امام اصل و جواز تملك غير به احيا اگر بالفعل از موات است و مشكوك است حال آن در زمان فتح؛ و همچنين اگر تبادل احوال شده بعد از فتح، و حال زمان فتح معلوم نباشد</w:t>
      </w:r>
      <w:r>
        <w:rPr>
          <w:rFonts w:eastAsia="IRNazanin" w:cs="IRNazanin"/>
          <w:color w:val="111111"/>
          <w:sz w:val="28"/>
          <w:szCs w:val="28"/>
          <w:rtl w:val="true"/>
          <w:lang w:bidi="fa-IR"/>
        </w:rPr>
        <w:t xml:space="preserve">. </w:t>
      </w:r>
      <w:bookmarkStart w:id="373" w:name="pg10275_96369"/>
    </w:p>
    <w:p>
      <w:pPr>
        <w:pStyle w:val="BookText"/>
        <w:rPr/>
      </w:pPr>
      <w:bookmarkEnd w:id="373"/>
      <w:r>
        <w:rPr>
          <w:rFonts w:ascii="Amiri" w:hAnsi="Amiri" w:eastAsia="Amiri" w:cs="Amiri"/>
          <w:color w:val="111111"/>
          <w:sz w:val="28"/>
          <w:sz w:val="28"/>
          <w:szCs w:val="28"/>
          <w:rtl w:val="true"/>
          <w:lang w:bidi="ar-SA"/>
        </w:rPr>
        <w:t>به خلاف عامرِ قبل الفتح كه متعقّب به خرابى بعد از فتح شده و وقت خرابى معلوم نباشد، كه مستصحب العمارة در وقت فتح است، و از غنايم و مملوك مسلمين است؛ و به خلاف صورت خراجى بودن زمين و با وجود قراين مفيدۀ وثوق به عمارت حال فتح</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971291_1067777946"/>
      <w:bookmarkStart w:id="375" w:name="_Toc153"/>
      <w:bookmarkEnd w:id="374"/>
      <w:r>
        <w:rPr>
          <w:rtl w:val="true"/>
        </w:rPr>
        <w:t>زمين بى صاحب و مالك</w:t>
      </w:r>
      <w:bookmarkEnd w:id="375"/>
    </w:p>
    <w:p>
      <w:pPr>
        <w:pStyle w:val="BookText"/>
        <w:rPr/>
      </w:pPr>
      <w:r>
        <w:rPr>
          <w:rFonts w:ascii="IRNazanin" w:hAnsi="IRNazanin" w:eastAsia="IRNazanin"/>
          <w:color w:val="111111"/>
          <w:sz w:val="28"/>
          <w:sz w:val="28"/>
          <w:szCs w:val="28"/>
          <w:rtl w:val="true"/>
          <w:lang w:bidi="fa-IR"/>
        </w:rPr>
        <w:t xml:space="preserve">و همچنان كه موات مطلقاً ملك امام است در بلاد اسلام يا كفر و از غنايم نيست، زمين بى صاحب و مالك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معمور و غير، در بلاد اسلام يا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مملوكه امام است، پس مفتوح العنوه كه مغتنم است، مالك دار است، نه آن چه ملك مسلم يا مسالم بر او جارى نشده باشد كه معمور آن ملك امام است، مثل مطلق موات</w:t>
      </w:r>
      <w:r>
        <w:rPr>
          <w:rFonts w:eastAsia="IRNazanin" w:cs="IRNazanin"/>
          <w:color w:val="111111"/>
          <w:sz w:val="28"/>
          <w:szCs w:val="28"/>
          <w:rtl w:val="true"/>
          <w:lang w:bidi="fa-IR"/>
        </w:rPr>
        <w:t>.</w:t>
      </w:r>
    </w:p>
    <w:p>
      <w:pPr>
        <w:pStyle w:val="Heading4"/>
        <w:numPr>
          <w:ilvl w:val="3"/>
          <w:numId w:val="1"/>
        </w:numPr>
        <w:rPr/>
      </w:pPr>
      <w:bookmarkStart w:id="376" w:name="__RefHeading___Toc3971293_1067777946"/>
      <w:bookmarkStart w:id="377" w:name="_Toc154"/>
      <w:bookmarkEnd w:id="376"/>
      <w:r>
        <w:rPr>
          <w:rtl w:val="true"/>
        </w:rPr>
        <w:t>خراب شدن اراضى معموره</w:t>
      </w:r>
      <w:bookmarkEnd w:id="377"/>
    </w:p>
    <w:p>
      <w:pPr>
        <w:pStyle w:val="BookText"/>
        <w:rPr/>
      </w:pPr>
      <w:r>
        <w:rPr>
          <w:rFonts w:ascii="IRNazanin" w:hAnsi="IRNazanin" w:eastAsia="IRNazanin"/>
          <w:color w:val="111111"/>
          <w:sz w:val="28"/>
          <w:sz w:val="28"/>
          <w:szCs w:val="28"/>
          <w:rtl w:val="true"/>
          <w:lang w:bidi="fa-IR"/>
        </w:rPr>
        <w:t xml:space="preserve">اگر آن چه مملوك و معمور بوده به خرابى منتهى شد و مالك آن معلوم بود، چه آن كه مسلم باشد يا كافر ذمى، پس با تحقق اِعراض گذشت حكم آن؛ و با عدم ثبوت آن، پس اگر منتفع است به آن در حال فعلى آن به ملاحظه نافعيّت آن براى ساير املاك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علوفه دوابّ او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براى تصدى ديگران به احياى آن به واسطۀ اكثريت منافع زمين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روى عذر يا بدون عذر تعطيل نمود آن را و هيچ انتفاعى بالفعل نداشت، پس بايد به او مراجعه شود در انتفاعات يا احيا و به اذن او عمل شود مخصوصاً در صورت معذوريّت از مباشرت، و تا ممكن است بدون اذن او يا ولىّ خاص او، عملى انجام داده نمى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هم ممكن نشد يا موافقت به غير تعطيل مطلق نشد و غرض عقلائىِ مشروع در آن نبود اگر چه با اين وضع به واسطۀ عدم تمكن، از اصلاح معذور باشد، يا آن كه به واسطۀ طروّ جنون يا موت يا صغير بودن وارث، ممكن نشد، دور نيست جايز </w:t>
      </w:r>
      <w:bookmarkStart w:id="378" w:name="pg10275_96370"/>
    </w:p>
    <w:p>
      <w:pPr>
        <w:pStyle w:val="BookText"/>
        <w:rPr/>
      </w:pPr>
      <w:bookmarkEnd w:id="378"/>
      <w:r>
        <w:rPr>
          <w:rFonts w:ascii="IRNazanin" w:hAnsi="IRNazanin" w:eastAsia="IRNazanin"/>
          <w:color w:val="111111"/>
          <w:sz w:val="28"/>
          <w:sz w:val="28"/>
          <w:szCs w:val="28"/>
          <w:rtl w:val="true"/>
          <w:lang w:bidi="fa-IR"/>
        </w:rPr>
        <w:t xml:space="preserve">باشد كه حاكم شرع مداخله در جمع بين حقوق نمايد و آن را به طور ايجار در معرض احيا و تعمير بياورد و نتيجه تملك به احيا و حفظ سلطنت حادثه و باقيۀ مالك را جمع نمايد، و اجرت اجاره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مدت طولانى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مالك، حفظ و به او ايصال نمايد با رعايت احتياط در اصل عمل و كيفيت آن و مدت مقررۀ براى آن و خصوصيت و كمّيت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عدول مؤمنين در صورت فقد حاكم در دسترس متصدين</w:t>
      </w:r>
      <w:r>
        <w:rPr>
          <w:rFonts w:eastAsia="IRNazanin" w:cs="IRNazanin"/>
          <w:color w:val="111111"/>
          <w:sz w:val="28"/>
          <w:szCs w:val="28"/>
          <w:rtl w:val="true"/>
          <w:lang w:bidi="fa-IR"/>
        </w:rPr>
        <w:t>.</w:t>
      </w:r>
    </w:p>
    <w:p>
      <w:pPr>
        <w:pStyle w:val="Heading4"/>
        <w:numPr>
          <w:ilvl w:val="3"/>
          <w:numId w:val="1"/>
        </w:numPr>
        <w:rPr/>
      </w:pPr>
      <w:bookmarkStart w:id="379" w:name="__RefHeading___Toc3971295_1067777946"/>
      <w:bookmarkStart w:id="380" w:name="_Toc155"/>
      <w:bookmarkEnd w:id="379"/>
      <w:r>
        <w:rPr>
          <w:rtl w:val="true"/>
        </w:rPr>
        <w:t>عدم فرق بين مملوك به احيا و غير آن</w:t>
      </w:r>
      <w:bookmarkEnd w:id="380"/>
    </w:p>
    <w:p>
      <w:pPr>
        <w:pStyle w:val="BookText"/>
        <w:rPr/>
      </w:pPr>
      <w:r>
        <w:rPr>
          <w:rFonts w:ascii="IRNazanin" w:hAnsi="IRNazanin" w:eastAsia="IRNazanin"/>
          <w:color w:val="111111"/>
          <w:sz w:val="28"/>
          <w:sz w:val="28"/>
          <w:szCs w:val="28"/>
          <w:rtl w:val="true"/>
          <w:lang w:bidi="fa-IR"/>
        </w:rPr>
        <w:t xml:space="preserve">و فرقى به حسب ظاهر بين مملوك به غير احيا و مملوك به آن نيست، زيرا احيا، سبب ملكيت مرسله است نه محدوده، و به احيا، زمين داخل در ساير متملكات محيى مى شود؛ پس احتمال جواز احياى غير، در صورت عروض خراب بر متملك به احياى بالخصوص، قوّت ندارد، خصوصاً در صورت عذر در تعطيل يا احتمال آن، و مخالف استصحاب ملك قبل از خراب است، بلكه مخالف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مشهور است؛ بلكه مقتضاى دليل فرق، عدم فرق است به جهت انتهاى اسباب ملك به احيا غالباً؛ و احتمال معموريت در اصل يا شراى از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 يا فرض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نفى بأس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بأس نيست حتى در مفتوح العنوه عامر در حال فتح كه به خراب باقى است در ملك مسلمين، و بايد در تصرّفات رعايت اذن مالك بشود به نحو متقدّم</w:t>
      </w:r>
      <w:r>
        <w:rPr>
          <w:rFonts w:eastAsia="IRNazanin" w:cs="IRNazanin"/>
          <w:color w:val="111111"/>
          <w:sz w:val="28"/>
          <w:szCs w:val="28"/>
          <w:rtl w:val="true"/>
          <w:lang w:bidi="fa-IR"/>
        </w:rPr>
        <w:t>.</w:t>
      </w:r>
    </w:p>
    <w:p>
      <w:pPr>
        <w:pStyle w:val="Heading4"/>
        <w:numPr>
          <w:ilvl w:val="3"/>
          <w:numId w:val="1"/>
        </w:numPr>
        <w:rPr/>
      </w:pPr>
      <w:bookmarkStart w:id="381" w:name="__RefHeading___Toc3971297_1067777946"/>
      <w:bookmarkStart w:id="382" w:name="_Toc156"/>
      <w:bookmarkEnd w:id="381"/>
      <w:r>
        <w:rPr>
          <w:rtl w:val="true"/>
        </w:rPr>
        <w:t>اثاث و اجزاى باقى مانده بعد از خراب</w:t>
      </w:r>
      <w:bookmarkEnd w:id="38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زمين مخروب، بعد از عمران، در حكم موات اصلى است و براى هر كسى تملك آن به احياى آن مشروع است، همچنين اجزاى باقيه از عمارت سابقه از قبيل اخشاب و نحو آنها، در حكم مباح اصلى است، نه مجهول المالك و براى هر كسى حيازت آنها به قصد تملك، مشروع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مباحات اصليۀ غير داخله در ملك مسلم يا مسالم، به حيازت به قصد تملك، مملوكِ حايز مى شود</w:t>
      </w:r>
      <w:r>
        <w:rPr>
          <w:rFonts w:eastAsia="IRNazanin" w:cs="IRNazanin"/>
          <w:color w:val="111111"/>
          <w:sz w:val="28"/>
          <w:szCs w:val="28"/>
          <w:rtl w:val="true"/>
          <w:lang w:bidi="fa-IR"/>
        </w:rPr>
        <w:t xml:space="preserve">. </w:t>
      </w:r>
      <w:bookmarkStart w:id="383" w:name="pg10275_96371"/>
    </w:p>
    <w:p>
      <w:pPr>
        <w:pStyle w:val="Heading4"/>
        <w:numPr>
          <w:ilvl w:val="3"/>
          <w:numId w:val="1"/>
        </w:numPr>
        <w:rPr/>
      </w:pPr>
      <w:bookmarkStart w:id="384" w:name="__RefHeading___Toc3971299_1067777946"/>
      <w:bookmarkStart w:id="385" w:name="_Toc157"/>
      <w:bookmarkEnd w:id="383"/>
      <w:bookmarkEnd w:id="384"/>
      <w:r>
        <w:rPr>
          <w:rtl w:val="true"/>
        </w:rPr>
        <w:t>خراب شدن زمين وقفى</w:t>
      </w:r>
      <w:bookmarkEnd w:id="385"/>
    </w:p>
    <w:p>
      <w:pPr>
        <w:pStyle w:val="BookText"/>
        <w:rPr/>
      </w:pPr>
      <w:r>
        <w:rPr>
          <w:rFonts w:ascii="IRNazanin" w:hAnsi="IRNazanin" w:eastAsia="IRNazanin"/>
          <w:color w:val="111111"/>
          <w:sz w:val="28"/>
          <w:sz w:val="28"/>
          <w:szCs w:val="28"/>
          <w:rtl w:val="true"/>
          <w:lang w:bidi="fa-IR"/>
        </w:rPr>
        <w:t xml:space="preserve">اگر زمين موقوفه خراب شد و از انتفاع افتاد و راه خصوصى براى تعمير آن نبود، پس اگر جهت وقف و موقوف عليهم، معلوم است و لو بالاجمال در محصور، مملوك به احيا نمى شود، بلكه ناظر اگر باشد يا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ناظر در وقف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مى نمايد و آن را ايجار براى تعمير براى منافع مقصوده مى دهد، و حاصل را بعد از وضع مؤونۀ تعمير و ما عداى اجرت، صرف در موقوف عليهم يا جهت وقف مى نمايد؛ و در صورت عدم امكان اين مطلب و اندراج مورد در موارد جواز بيع وقف، آن را بيع نموده و تبديل به وقفى ديگر با اتحاد در مصرف و موقوف عليهم مى نمايد؛ و در صورت عدم امكان آن، صرف ثمن در جهت معلومه و در موقوف عليهم به تمليك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خرابى به سبب موجب ضمان بعضى باشد، او را تضمين نموده و بدل را صرف در تعمير و اعاده عمارت سابقه مى نمايند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جهت و موقوف عليهم، معلوم نبود يا محصور نبود، پس اگر حاكم مداخله در ايجار و صرف اجرت در مصالح مؤمنين نمود، جايز است؛ و حكم مجهول المالك بر آن مترتب نمى شود تا فحص از مالك لازم باشد، به جهت حصول يأس از معرفت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تملّك به احيا مى شود مثل صورتى كه خرابى مذكور بر املاك اشخاص وارد شده باشد؟ خالى از اشكال نيست، بلكه احتياط، در ارجاع امر به حاكم شرع است و او به نظر خودش در آن عمل مى نمايد از بيع به احياكننده يا ايجار به او، و صرف ثمن يا اجرت در مصالح مؤمنين</w:t>
      </w:r>
      <w:r>
        <w:rPr>
          <w:rFonts w:eastAsia="IRNazanin" w:cs="IRNazanin"/>
          <w:color w:val="111111"/>
          <w:sz w:val="28"/>
          <w:szCs w:val="28"/>
          <w:rtl w:val="true"/>
          <w:lang w:bidi="fa-IR"/>
        </w:rPr>
        <w:t xml:space="preserve">. </w:t>
      </w:r>
      <w:bookmarkStart w:id="386" w:name="pg10275_96372"/>
    </w:p>
    <w:p>
      <w:pPr>
        <w:pStyle w:val="Heading3"/>
        <w:numPr>
          <w:ilvl w:val="2"/>
          <w:numId w:val="1"/>
        </w:numPr>
        <w:rPr/>
      </w:pPr>
      <w:bookmarkStart w:id="387" w:name="__RefHeading___Toc3971301_1067777946"/>
      <w:bookmarkStart w:id="388" w:name="_Toc158"/>
      <w:bookmarkEnd w:id="386"/>
      <w:bookmarkEnd w:id="387"/>
      <w:r>
        <w:rPr>
          <w:rtl w:val="true"/>
        </w:rPr>
        <w:t>فصل دوّم شرايط تملّك موات به احيا</w:t>
      </w:r>
      <w:bookmarkEnd w:id="388"/>
    </w:p>
    <w:p>
      <w:pPr>
        <w:pStyle w:val="Heading4"/>
        <w:numPr>
          <w:ilvl w:val="3"/>
          <w:numId w:val="1"/>
        </w:numPr>
        <w:rPr/>
      </w:pPr>
      <w:bookmarkStart w:id="389" w:name="__RefHeading___Toc3971303_1067777946"/>
      <w:bookmarkStart w:id="390" w:name="_Toc159"/>
      <w:bookmarkEnd w:id="389"/>
      <w:r>
        <w:rPr/>
        <w:t>1</w:t>
      </w:r>
      <w:r>
        <w:rPr>
          <w:rtl w:val="true"/>
        </w:rPr>
        <w:t xml:space="preserve">. </w:t>
      </w:r>
      <w:r>
        <w:rPr>
          <w:rtl w:val="true"/>
        </w:rPr>
        <w:t>نبودن زمين در يد مسلم يا مسالم</w:t>
      </w:r>
      <w:bookmarkEnd w:id="390"/>
    </w:p>
    <w:p>
      <w:pPr>
        <w:pStyle w:val="BookText"/>
        <w:rPr/>
      </w:pPr>
      <w:r>
        <w:rPr>
          <w:rFonts w:ascii="IRNazanin" w:hAnsi="IRNazanin" w:eastAsia="IRNazanin"/>
          <w:color w:val="111111"/>
          <w:sz w:val="28"/>
          <w:sz w:val="28"/>
          <w:szCs w:val="28"/>
          <w:rtl w:val="true"/>
          <w:lang w:bidi="fa-IR"/>
        </w:rPr>
        <w:t xml:space="preserve">معتبر است در تملك موات به احياى آن، اين كه در يد مسلم يا مسالم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كافر يا كسى كه به حكم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چه آن كه يد مالك باشد يا مستحِق، مثل يد تحجيركننده كه اولويت به تملك به احيا دارد، و گذشت حكم خرابى عارض بر مملوك؛ مگر آن كه معلوم باشد كه اثبات يد به مجرد غلبه و بلاسبب شرعى بوده است كه در اين تقدير يد كالعدم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احياى قصدى، كاشف نوعى از قصد تملك است، چه مباشرى باشد يا تسبيبى، مثل استيجار و توكيل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شد عدم قصد تملك رأساً، آيا مملّك است‌؟ محل تأمل است، منشأ آن عقلايى بودن سببيّت است و مقرِّر بودن شرع با اختلافى در موضوع؛ پس مقتضاى اصل با عدم وجدان شرط عرفى و عقلايى، عدم تملك است با عدم قصد تملك فضلاً از قصد عدم تملك</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91" w:name="__RefHeading___Toc3971305_1067777946"/>
      <w:bookmarkStart w:id="392" w:name="_Toc160"/>
      <w:bookmarkEnd w:id="391"/>
      <w:r>
        <w:rPr/>
        <w:t>2</w:t>
      </w:r>
      <w:r>
        <w:rPr>
          <w:rtl w:val="true"/>
        </w:rPr>
        <w:t xml:space="preserve">. </w:t>
      </w:r>
      <w:r>
        <w:rPr>
          <w:rtl w:val="true"/>
        </w:rPr>
        <w:t>نبودن از حريم عامر</w:t>
      </w:r>
      <w:bookmarkEnd w:id="392"/>
    </w:p>
    <w:p>
      <w:pPr>
        <w:pStyle w:val="Heading5"/>
        <w:numPr>
          <w:ilvl w:val="4"/>
          <w:numId w:val="1"/>
        </w:numPr>
        <w:rPr/>
      </w:pPr>
      <w:bookmarkStart w:id="393" w:name="__RefHeading___Toc3971307_1067777946"/>
      <w:bookmarkStart w:id="394" w:name="_Toc161"/>
      <w:bookmarkEnd w:id="393"/>
      <w:r>
        <w:rPr>
          <w:rtl w:val="true"/>
        </w:rPr>
        <w:t>اشاره</w:t>
      </w:r>
      <w:bookmarkEnd w:id="3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كه مقصود به احيا، حريمِ عامرِ مملوكِ غير نباشد، و آن مختلف است به حسب </w:t>
      </w:r>
      <w:bookmarkStart w:id="395" w:name="pg10275_96373"/>
    </w:p>
    <w:p>
      <w:pPr>
        <w:pStyle w:val="BookText"/>
        <w:rPr/>
      </w:pPr>
      <w:bookmarkEnd w:id="395"/>
      <w:r>
        <w:rPr>
          <w:rFonts w:ascii="IRNazanin" w:hAnsi="IRNazanin" w:eastAsia="IRNazanin"/>
          <w:color w:val="111111"/>
          <w:sz w:val="28"/>
          <w:sz w:val="28"/>
          <w:szCs w:val="28"/>
          <w:rtl w:val="true"/>
          <w:lang w:bidi="fa-IR"/>
        </w:rPr>
        <w:t>موارد به اختلاف املاك خاصه و به اختلاف بلاد و اصناف و وسايل مرسومۀ ازمنه براى انتفاعات كامله خاصه از املاك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مملوك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اشهر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 انتفاع براى خصوص مالك عامر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محكىّ از جماعتى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اذن آن مالك، تصرّف در مملوك يا مستحَق او، به تملّك آن به احيا،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احياى حريم غير، مستقلاً يا در ضمن احياى مجاور آن، موجب تملك حريم ملك غير كه محتاج اليه او است در انتفاع به ملك خاص خودش، نمى شود تا مبطل عمارت اولى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جوار او احياى مواتى اگر باشد و محتاج به حريم باشد و موجب تصرّف در حريم خاص غير باشد، بدون اذن او، مؤثر در تمليكِ مستتبعِ استحقاق حريم خاص نخواهد بود كه به آن سبب، صاحب ملك و حريم آن در مشقت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تصرّف در حريم عامر، در حكم تصرّف در عامر است، مگر به نحوى كه توسعه بلد است و مستلزم بُعد حريم است</w:t>
      </w:r>
      <w:r>
        <w:rPr>
          <w:rFonts w:eastAsia="IRNazanin" w:cs="IRNazanin"/>
          <w:color w:val="111111"/>
          <w:sz w:val="28"/>
          <w:szCs w:val="28"/>
          <w:rtl w:val="true"/>
          <w:lang w:bidi="fa-IR"/>
        </w:rPr>
        <w:t>.</w:t>
      </w:r>
    </w:p>
    <w:p>
      <w:pPr>
        <w:pStyle w:val="Heading5"/>
        <w:numPr>
          <w:ilvl w:val="4"/>
          <w:numId w:val="1"/>
        </w:numPr>
        <w:rPr/>
      </w:pPr>
      <w:bookmarkStart w:id="396" w:name="__RefHeading___Toc3971309_1067777946"/>
      <w:bookmarkStart w:id="397" w:name="_Toc162"/>
      <w:bookmarkEnd w:id="396"/>
      <w:r>
        <w:rPr>
          <w:rtl w:val="true"/>
        </w:rPr>
        <w:t>حريم خانه</w:t>
      </w:r>
      <w:bookmarkEnd w:id="397"/>
    </w:p>
    <w:p>
      <w:pPr>
        <w:pStyle w:val="BookText"/>
        <w:rPr/>
      </w:pPr>
      <w:r>
        <w:rPr>
          <w:rFonts w:ascii="IRNazanin" w:hAnsi="IRNazanin" w:eastAsia="IRNazanin"/>
          <w:color w:val="111111"/>
          <w:sz w:val="28"/>
          <w:sz w:val="28"/>
          <w:szCs w:val="28"/>
          <w:rtl w:val="true"/>
          <w:lang w:bidi="fa-IR"/>
        </w:rPr>
        <w:t xml:space="preserve">و حريم خانه اى كه احداث شده باشد در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موات بوده يا باقى بر اباحه اصليه بوده، آن مقدار از زمين است كه محل حاجت است نوعاً در انتفاع به آن خانه، از قبيل محل ريختن خاكهاى آن و كناسه آن و خاكستر آن و فاضلابهاى آن و برف اندازهاى آن و محل دخول و خروج از درب آن خانه؛ و به احياى زمين به خانه ساختن، اين مقدار مذكور از مرافق و حريم آن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نمى تواند آن مقدار را احيا نمايد و متملك بشود، يا تصرفى بدون اذن صاحب خانه نمايد</w:t>
      </w:r>
      <w:r>
        <w:rPr>
          <w:rFonts w:eastAsia="IRNazanin" w:cs="IRNazanin"/>
          <w:color w:val="111111"/>
          <w:sz w:val="28"/>
          <w:szCs w:val="28"/>
          <w:rtl w:val="true"/>
          <w:lang w:bidi="fa-IR"/>
        </w:rPr>
        <w:t>.</w:t>
      </w:r>
    </w:p>
    <w:p>
      <w:pPr>
        <w:pStyle w:val="Heading5"/>
        <w:numPr>
          <w:ilvl w:val="4"/>
          <w:numId w:val="1"/>
        </w:numPr>
        <w:rPr/>
      </w:pPr>
      <w:bookmarkStart w:id="398" w:name="__RefHeading___Toc3971311_1067777946"/>
      <w:bookmarkStart w:id="399" w:name="_Toc163"/>
      <w:bookmarkEnd w:id="398"/>
      <w:r>
        <w:rPr>
          <w:rtl w:val="true"/>
        </w:rPr>
        <w:t>حريم قريه</w:t>
      </w:r>
      <w:bookmarkEnd w:id="3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اينجا معلوم مى شود حد حريم قريه و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بنا شده در زمين 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bookmarkStart w:id="400" w:name="pg10275_96374"/>
    </w:p>
    <w:p>
      <w:pPr>
        <w:pStyle w:val="BookText"/>
        <w:rPr/>
      </w:pPr>
      <w:bookmarkEnd w:id="400"/>
      <w:r>
        <w:rPr>
          <w:rFonts w:ascii="IRNazanin" w:hAnsi="IRNazanin" w:eastAsia="IRNazanin"/>
          <w:color w:val="111111"/>
          <w:sz w:val="28"/>
          <w:sz w:val="28"/>
          <w:szCs w:val="28"/>
          <w:rtl w:val="true"/>
          <w:lang w:bidi="fa-IR"/>
        </w:rPr>
        <w:t>عبارت است از مجمع بيوت و مساكن كه محل حاجت آن جمعيت حريم آن است؛ و حريم مجموع، مجموع حريمها است كه اهل آن آبادى در رفع حوايج، محتاج به آن مقدار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مى شود بر مرافق شخصيه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هاى بين خانه ها، آن چه محتاج اليه آن جمعيت است از مقبره و چراگاه ها و حمام و مسجد و راهها به آباديهاى ديگر كه به حسب مكان خاص و زمان خاص محل احتياج آنها است، بايد رعايت شود آن حريم آبادى در وقت احياى آبادى ديگرى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در اصل، احداث در زمين مباح بالاصل شده بوده، پس تصرفات لاحقين در حريم تصرفات سابقين، در حكم تصرّف در نفس ساختمانهاى ايشان است و با مزاحمت بلكه بدون اذنِ مجموع، جايز نيست</w:t>
      </w:r>
      <w:r>
        <w:rPr>
          <w:rFonts w:eastAsia="IRNazanin" w:cs="IRNazanin"/>
          <w:color w:val="111111"/>
          <w:sz w:val="28"/>
          <w:szCs w:val="28"/>
          <w:rtl w:val="true"/>
          <w:lang w:bidi="fa-IR"/>
        </w:rPr>
        <w:t>.</w:t>
      </w:r>
    </w:p>
    <w:p>
      <w:pPr>
        <w:pStyle w:val="Heading5"/>
        <w:numPr>
          <w:ilvl w:val="4"/>
          <w:numId w:val="1"/>
        </w:numPr>
        <w:rPr/>
      </w:pPr>
      <w:bookmarkStart w:id="401" w:name="__RefHeading___Toc3971313_1067777946"/>
      <w:bookmarkStart w:id="402" w:name="_Toc164"/>
      <w:bookmarkEnd w:id="401"/>
      <w:r>
        <w:rPr>
          <w:rtl w:val="true"/>
        </w:rPr>
        <w:t>جواز احياى غير عامر و حريم براى هر شخصى</w:t>
      </w:r>
      <w:bookmarkEnd w:id="402"/>
    </w:p>
    <w:p>
      <w:pPr>
        <w:pStyle w:val="BookText"/>
        <w:rPr/>
      </w:pPr>
      <w:r>
        <w:rPr>
          <w:rFonts w:ascii="IRNazanin" w:hAnsi="IRNazanin" w:eastAsia="IRNazanin"/>
          <w:color w:val="111111"/>
          <w:sz w:val="28"/>
          <w:sz w:val="28"/>
          <w:szCs w:val="28"/>
          <w:rtl w:val="true"/>
          <w:lang w:bidi="fa-IR"/>
        </w:rPr>
        <w:t>و آن چه از عامر و حريم آن نيست و از موات است، هر كسى مى تواند به احياى آن، تملك نمايد آن را؛ و اهل عامر، اولويت لزوميه به احيا ندارند و مزيّتى بر ديگران ندارند</w:t>
      </w:r>
      <w:r>
        <w:rPr>
          <w:rFonts w:eastAsia="IRNazanin" w:cs="IRNazanin"/>
          <w:color w:val="111111"/>
          <w:sz w:val="28"/>
          <w:szCs w:val="28"/>
          <w:rtl w:val="true"/>
          <w:lang w:bidi="fa-IR"/>
        </w:rPr>
        <w:t>.</w:t>
      </w:r>
    </w:p>
    <w:p>
      <w:pPr>
        <w:pStyle w:val="Heading5"/>
        <w:numPr>
          <w:ilvl w:val="4"/>
          <w:numId w:val="1"/>
        </w:numPr>
        <w:rPr/>
      </w:pPr>
      <w:bookmarkStart w:id="403" w:name="__RefHeading___Toc3971315_1067777946"/>
      <w:bookmarkStart w:id="404" w:name="_Toc165"/>
      <w:bookmarkEnd w:id="403"/>
      <w:r>
        <w:rPr>
          <w:rtl w:val="true"/>
        </w:rPr>
        <w:t>حريم ديوار</w:t>
      </w:r>
      <w:bookmarkEnd w:id="404"/>
    </w:p>
    <w:p>
      <w:pPr>
        <w:pStyle w:val="BookText"/>
        <w:rPr/>
      </w:pPr>
      <w:r>
        <w:rPr>
          <w:rFonts w:ascii="IRNazanin" w:hAnsi="IRNazanin" w:eastAsia="IRNazanin"/>
          <w:color w:val="111111"/>
          <w:sz w:val="28"/>
          <w:sz w:val="28"/>
          <w:szCs w:val="28"/>
          <w:rtl w:val="true"/>
          <w:lang w:bidi="fa-IR"/>
        </w:rPr>
        <w:t xml:space="preserve">حريم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ديوار غير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احداث آن در زمين موات يا مباح شده است براى حفظ باغ و نحو آن، از طرفى كه احيا نشده، مقدار گذاشتن آلات و خاك و لوازم در احداث آن و در تعمير آن بعد از اشراف به انهدام به وسيله گِل كاريها و تهيه لوازم احداث يا اعاده تعمير آن است</w:t>
      </w:r>
      <w:r>
        <w:rPr>
          <w:rFonts w:eastAsia="IRNazanin" w:cs="IRNazanin"/>
          <w:color w:val="111111"/>
          <w:sz w:val="28"/>
          <w:szCs w:val="28"/>
          <w:rtl w:val="true"/>
          <w:lang w:bidi="fa-IR"/>
        </w:rPr>
        <w:t>.</w:t>
      </w:r>
    </w:p>
    <w:p>
      <w:pPr>
        <w:pStyle w:val="Heading5"/>
        <w:numPr>
          <w:ilvl w:val="4"/>
          <w:numId w:val="1"/>
        </w:numPr>
        <w:rPr/>
      </w:pPr>
      <w:bookmarkStart w:id="405" w:name="__RefHeading___Toc3971317_1067777946"/>
      <w:bookmarkStart w:id="406" w:name="_Toc166"/>
      <w:bookmarkEnd w:id="405"/>
      <w:r>
        <w:rPr>
          <w:rtl w:val="true"/>
        </w:rPr>
        <w:t>حريم راه</w:t>
      </w:r>
      <w:bookmarkEnd w:id="4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احداث شد طريقى كه محتاج اليه براى استطراق جماعتى بود در زمين مباح، نه در ما بين املاك، حريم آن با مشاحّه اهل آن پنج ذراع يا هفت ذراع است و در زايد بر اين مقدار مانعى از احياى زمين نيست نه در اين مقدار</w:t>
      </w:r>
      <w:r>
        <w:rPr>
          <w:rFonts w:eastAsia="IRNazanin" w:cs="IRNazanin"/>
          <w:color w:val="111111"/>
          <w:sz w:val="28"/>
          <w:szCs w:val="28"/>
          <w:rtl w:val="true"/>
          <w:lang w:bidi="fa-IR"/>
        </w:rPr>
        <w:t xml:space="preserve">. </w:t>
      </w:r>
      <w:bookmarkStart w:id="407" w:name="pg10275_96375"/>
    </w:p>
    <w:p>
      <w:pPr>
        <w:pStyle w:val="Heading5"/>
        <w:numPr>
          <w:ilvl w:val="4"/>
          <w:numId w:val="1"/>
        </w:numPr>
        <w:rPr/>
      </w:pPr>
      <w:bookmarkStart w:id="408" w:name="__RefHeading___Toc3971319_1067777946"/>
      <w:bookmarkStart w:id="409" w:name="_Toc167"/>
      <w:bookmarkEnd w:id="407"/>
      <w:bookmarkEnd w:id="408"/>
      <w:r>
        <w:rPr>
          <w:rtl w:val="true"/>
        </w:rPr>
        <w:t xml:space="preserve">مراد از طريق مبتكر در كلام فاضلين </w:t>
      </w:r>
      <w:r>
        <w:rPr>
          <w:rtl w:val="true"/>
        </w:rPr>
        <w:t xml:space="preserve">- </w:t>
      </w:r>
      <w:r>
        <w:rPr>
          <w:rtl w:val="true"/>
        </w:rPr>
        <w:t>قدس سرهما</w:t>
      </w:r>
      <w:bookmarkEnd w:id="409"/>
    </w:p>
    <w:p>
      <w:pPr>
        <w:pStyle w:val="BookText"/>
        <w:rPr/>
      </w:pPr>
      <w:r>
        <w:rPr>
          <w:rFonts w:ascii="IRNazanin" w:hAnsi="IRNazanin" w:eastAsia="IRNazanin"/>
          <w:color w:val="111111"/>
          <w:sz w:val="28"/>
          <w:sz w:val="28"/>
          <w:szCs w:val="28"/>
          <w:rtl w:val="true"/>
          <w:lang w:bidi="fa-IR"/>
        </w:rPr>
        <w:t xml:space="preserve">و شايد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مثل فاضلَين اين باشد كه احداث طريق به حسب اقتضاى خاص، قبل از احياى طرفين آن به مثل ساختمان و نحو آن باشد كه اختلاف در مقدار آن و آن چه ابقا مى شود و آن چه اخراج مى شود و ادخال در احياى بعد مى شود واقع شود؛ و حكم عكس هم معلوم مى شود كه بعد از احيا، بازنمايند طريقى محتاج اليه و مزاحم با محيىٰ يا حريم آن كه با تحديد طريق، رفع نزاع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تأخر احداث يا توسعه طريق، رضاى صاحب عامر و حريم، مؤثر است؛ و در صورت تقدم طريق، رضاى محيى به ضيق طريق، مفيد نيست و جايز نيست مگر با توسعه از جانب ديگر و با رضاى صاحب عامر و حريم از جانب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ارادۀ اين صورت است قول شرايع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فالثانى يتباعد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مبتكر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مسلك خصوصى است به خانه هاى كوچه مثلاً كه از مرافق و حريم آن خانه ها محسوب است و غالباً به كمتر از اين مقدار، رفع حاجت در آنها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 روايت و اقوال در حد بين پنج و هفت، پس محمول است بر تخيير معقول بين اقل و اكثر؛ به هر كدام توافق مختلفين شد جايز است اختيار آن؛ و چون شخص مخالف نيست از جانب اهل استطراق، پس دور نيست مداخلۀ حاكم از طرف آنها با طرف خاص ديگر انجام بگيرد، و او ملاحظه اصلح و غير اصلح مى نمايد در توافق با طرف ديگر، پس اختيار مى نمايد اقل ضرراً يا اقل متضرراً؛ و با دَوَران، مخير مى شود و با طرف در يك حدّ سازش مى نمايد، مثل ساير موارد تشاحّ و تنازع</w:t>
      </w:r>
      <w:r>
        <w:rPr>
          <w:rFonts w:eastAsia="IRNazanin" w:cs="IRNazanin"/>
          <w:color w:val="111111"/>
          <w:sz w:val="28"/>
          <w:szCs w:val="28"/>
          <w:rtl w:val="true"/>
          <w:lang w:bidi="fa-IR"/>
        </w:rPr>
        <w:t>.</w:t>
      </w:r>
    </w:p>
    <w:p>
      <w:pPr>
        <w:pStyle w:val="Heading5"/>
        <w:numPr>
          <w:ilvl w:val="4"/>
          <w:numId w:val="1"/>
        </w:numPr>
        <w:rPr/>
      </w:pPr>
      <w:bookmarkStart w:id="410" w:name="__RefHeading___Toc3971321_1067777946"/>
      <w:bookmarkStart w:id="411" w:name="_Toc168"/>
      <w:bookmarkEnd w:id="410"/>
      <w:r>
        <w:rPr>
          <w:rtl w:val="true"/>
        </w:rPr>
        <w:t>انقطاع استطراق</w:t>
      </w:r>
      <w:bookmarkEnd w:id="4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منقطع شد استطراق مناسب با طريق، به واسطۀ وجود مانع مبنى بر دوام يا وجود طريق اسهل و اقصر مبنى بر دوام، حرمت طريق زايل مى شود و احياى آن براى ساير عمارتها موجب تملك است</w:t>
      </w:r>
      <w:r>
        <w:rPr>
          <w:rFonts w:eastAsia="IRNazanin" w:cs="IRNazanin"/>
          <w:color w:val="111111"/>
          <w:sz w:val="28"/>
          <w:szCs w:val="28"/>
          <w:rtl w:val="true"/>
          <w:lang w:bidi="fa-IR"/>
        </w:rPr>
        <w:t xml:space="preserve">. </w:t>
      </w:r>
      <w:bookmarkStart w:id="412" w:name="pg10275_96376"/>
    </w:p>
    <w:p>
      <w:pPr>
        <w:pStyle w:val="Heading5"/>
        <w:numPr>
          <w:ilvl w:val="4"/>
          <w:numId w:val="1"/>
        </w:numPr>
        <w:rPr/>
      </w:pPr>
      <w:bookmarkStart w:id="413" w:name="__RefHeading___Toc3971323_1067777946"/>
      <w:bookmarkStart w:id="414" w:name="_Toc169"/>
      <w:bookmarkEnd w:id="412"/>
      <w:bookmarkEnd w:id="413"/>
      <w:r>
        <w:rPr>
          <w:rtl w:val="true"/>
        </w:rPr>
        <w:t>حريم نهرها و قناتها</w:t>
      </w:r>
      <w:bookmarkEnd w:id="414"/>
    </w:p>
    <w:p>
      <w:pPr>
        <w:pStyle w:val="BookText"/>
        <w:rPr/>
      </w:pPr>
      <w:r>
        <w:rPr>
          <w:rFonts w:ascii="IRNazanin" w:hAnsi="IRNazanin" w:eastAsia="IRNazanin"/>
          <w:color w:val="111111"/>
          <w:sz w:val="28"/>
          <w:sz w:val="28"/>
          <w:szCs w:val="28"/>
          <w:rtl w:val="true"/>
          <w:lang w:bidi="fa-IR"/>
        </w:rPr>
        <w:t xml:space="preserve">حريم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نهر يا قنات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ريختن خاكها و گِلهاى آن براى احداث يا تعمير و اصلاح آن است و مقدار عبور در طرفين آن براى انتفاع يا اصلاح و اجراى آب است در احداث يا ابقاى آن به قدر مناسب و معتاد و محتاج اليه در نهرهاى خاص</w:t>
      </w:r>
      <w:r>
        <w:rPr>
          <w:rFonts w:eastAsia="IRNazanin" w:cs="IRNazanin"/>
          <w:color w:val="111111"/>
          <w:sz w:val="28"/>
          <w:szCs w:val="28"/>
          <w:rtl w:val="true"/>
          <w:lang w:bidi="fa-IR"/>
        </w:rPr>
        <w:t>.</w:t>
      </w:r>
    </w:p>
    <w:p>
      <w:pPr>
        <w:pStyle w:val="Heading5"/>
        <w:numPr>
          <w:ilvl w:val="4"/>
          <w:numId w:val="1"/>
        </w:numPr>
        <w:rPr/>
      </w:pPr>
      <w:bookmarkStart w:id="415" w:name="__RefHeading___Toc3971325_1067777946"/>
      <w:bookmarkStart w:id="416" w:name="_Toc170"/>
      <w:bookmarkEnd w:id="415"/>
      <w:r>
        <w:rPr>
          <w:rtl w:val="true"/>
        </w:rPr>
        <w:t>تنازع بين صاحب آب نهر و صاحب زمين اطراف</w:t>
      </w:r>
      <w:bookmarkEnd w:id="416"/>
    </w:p>
    <w:p>
      <w:pPr>
        <w:pStyle w:val="BookText"/>
        <w:rPr/>
      </w:pPr>
      <w:r>
        <w:rPr>
          <w:rFonts w:ascii="IRNazanin" w:hAnsi="IRNazanin" w:eastAsia="IRNazanin"/>
          <w:color w:val="111111"/>
          <w:sz w:val="28"/>
          <w:sz w:val="28"/>
          <w:szCs w:val="28"/>
          <w:rtl w:val="true"/>
          <w:lang w:bidi="fa-IR"/>
        </w:rPr>
        <w:t xml:space="preserve">اگر تنازع شد بين صاحب آب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صاحب زمين آن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زمين اطراف، و صاحب نهر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احياى سابق، مالك نهر و حريم آن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زمين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املاك متجاوره هستند و در آنها حريم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نيست، تقديم قول صاحب نهر، به واسطۀ غلبه حريم در انهار و استحقاق مستحق آب نهر، حريم نهر را از طرفين، پس قول او موافق ظاهر است، و يد بر صاحب حريم، يد بر حريم است و از اين جهت يد مشترك است، تا اثبات نمايد صاحب زمين، لازم عدم استحقاق حريم را</w:t>
      </w:r>
      <w:r>
        <w:rPr>
          <w:rFonts w:eastAsia="IRNazanin" w:cs="IRNazanin"/>
          <w:color w:val="111111"/>
          <w:sz w:val="28"/>
          <w:szCs w:val="28"/>
          <w:rtl w:val="true"/>
          <w:lang w:bidi="fa-IR"/>
        </w:rPr>
        <w:t>.</w:t>
      </w:r>
    </w:p>
    <w:p>
      <w:pPr>
        <w:pStyle w:val="Heading5"/>
        <w:numPr>
          <w:ilvl w:val="4"/>
          <w:numId w:val="1"/>
        </w:numPr>
        <w:rPr/>
      </w:pPr>
      <w:bookmarkStart w:id="417" w:name="__RefHeading___Toc3971327_1067777946"/>
      <w:bookmarkStart w:id="418" w:name="_Toc171"/>
      <w:bookmarkEnd w:id="417"/>
      <w:r>
        <w:rPr>
          <w:rtl w:val="true"/>
        </w:rPr>
        <w:t>حريم چاه</w:t>
      </w:r>
      <w:bookmarkEnd w:id="418"/>
    </w:p>
    <w:p>
      <w:pPr>
        <w:pStyle w:val="BookText"/>
        <w:rPr/>
      </w:pPr>
      <w:r>
        <w:rPr>
          <w:rFonts w:ascii="IRNazanin" w:hAnsi="IRNazanin" w:eastAsia="IRNazanin"/>
          <w:color w:val="111111"/>
          <w:sz w:val="28"/>
          <w:sz w:val="28"/>
          <w:szCs w:val="28"/>
          <w:rtl w:val="true"/>
          <w:lang w:bidi="fa-IR"/>
        </w:rPr>
        <w:t>حريم چاه در موات از اراضى، مقدار عدم اضرار دومى به اولى است به نحوى كه موجب نقصان آب اولى بشود؛ و در موقع شك، عمل به احتياط يقين به عدم اضرار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در چاه براى استقاء جهت شرب شتر و گوسفند، چهل ذراع؛ و چاه حفر شده براى سقى زرع، شصت ذراع؛ و براى قنات و چشمه در زمين سست، هزار ذراع، و زمين با صلابت، پانصد ذراع است؛ پس در موقع شك، عمل به تحديد ثابت مى شود، يا احتياط متقدّم رعايت مى شود، يا آن كه عالم، به يقين عمل مى نمايد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مقدار، براى رعايت عدم اضرار از تحت الارض است بين دو چاه مثلاً؛ و اما فوق الأرض پس آن مقدارى است كه توقف دارد انتفاع به چاه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مساحت اطراف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براى مثل محتاج اليه در سقى و موضع وقوف نازح آب و </w:t>
      </w:r>
      <w:bookmarkStart w:id="419" w:name="pg10275_96377"/>
    </w:p>
    <w:p>
      <w:pPr>
        <w:pStyle w:val="BookText"/>
        <w:rPr/>
      </w:pPr>
      <w:bookmarkEnd w:id="419"/>
      <w:r>
        <w:rPr>
          <w:rFonts w:ascii="IRNazanin" w:hAnsi="IRNazanin" w:eastAsia="IRNazanin"/>
          <w:color w:val="111111"/>
          <w:sz w:val="28"/>
          <w:sz w:val="28"/>
          <w:szCs w:val="28"/>
          <w:rtl w:val="true"/>
          <w:lang w:bidi="fa-IR"/>
        </w:rPr>
        <w:t xml:space="preserve">موضع دولاب و مكان تردّد بهايم و انعام و جاى ريختن آب در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حوض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ريختن خاك و گل براى احداث يا اصلاح چاه در اطراف، كه در چاهها و اندازه انتفاعات خاصّه، مختلف مى شود؛ و آن به حسب عادت، كمتر از حد مذكور است در روايات و داخل در ضمن اين تحديد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مذكور، بالنسبه به احداث بئر ديگرى است و براى منع از احياى به زرع و نحو آن كه موجب نقصان آب چاه نمى شود، نيست، و احياى به زرع، مانعى ندارد با فرض حريم براى انتفاعات خاصه چاه كه ذكر شد براى موقف نازح و مجمع آب و ريختن گل از چاه؛ پس دو حريم براى لحاظ دو حيثيّت است، يعنى حيثيّت انتفاع و حيثيت رفع نقص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حريم در مبتكر در موات است نه در معمور در املاك</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971329_1067777946"/>
      <w:bookmarkStart w:id="421" w:name="_Toc172"/>
      <w:bookmarkEnd w:id="420"/>
      <w:r>
        <w:rPr>
          <w:rtl w:val="true"/>
        </w:rPr>
        <w:t>حصول و ترتّب ضرر</w:t>
      </w:r>
      <w:bookmarkEnd w:id="421"/>
    </w:p>
    <w:p>
      <w:pPr>
        <w:pStyle w:val="BookText"/>
        <w:rPr/>
      </w:pPr>
      <w:r>
        <w:rPr>
          <w:rFonts w:ascii="IRNazanin" w:hAnsi="IRNazanin" w:eastAsia="IRNazanin"/>
          <w:color w:val="111111"/>
          <w:sz w:val="28"/>
          <w:sz w:val="28"/>
          <w:szCs w:val="28"/>
          <w:rtl w:val="true"/>
          <w:lang w:bidi="fa-IR"/>
        </w:rPr>
        <w:t>و تضرر حاصل به ترك حريم، مشترك است در املاك مگر آن چه ثابت بشود به اسباب موجبۀ استحقاق، يا توافق طرفين در استحقاق طريق يا طريقى خاص در اصل تملك صاحب آن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تصرّف در ملك، موجب تضرر جار باشد، اقوى عدم جواز و تحقق ضمان تالف است، مقصود اضرار باشد يا مجرد رفع حاجت؛ مگر آن كه ترتب ضرر، نادر و اتفاقى و با ضمايم نه مجرد فعل جار باشد در ملك خودش كه اسناد اتلاف و اضرار حقيقتاً به متصرف در ملك داده نشود در عرف</w:t>
      </w:r>
      <w:r>
        <w:rPr>
          <w:rFonts w:eastAsia="IRNazanin" w:cs="IRNazanin"/>
          <w:color w:val="111111"/>
          <w:sz w:val="28"/>
          <w:szCs w:val="28"/>
          <w:rtl w:val="true"/>
          <w:lang w:bidi="fa-IR"/>
        </w:rPr>
        <w:t>.</w:t>
      </w:r>
    </w:p>
    <w:p>
      <w:pPr>
        <w:pStyle w:val="Heading5"/>
        <w:numPr>
          <w:ilvl w:val="4"/>
          <w:numId w:val="1"/>
        </w:numPr>
        <w:rPr/>
      </w:pPr>
      <w:bookmarkStart w:id="422" w:name="__RefHeading___Toc3971331_1067777946"/>
      <w:bookmarkStart w:id="423" w:name="_Toc173"/>
      <w:bookmarkEnd w:id="422"/>
      <w:r>
        <w:rPr>
          <w:rtl w:val="true"/>
        </w:rPr>
        <w:t>حريم شاخه هاى درخت</w:t>
      </w:r>
      <w:bookmarkEnd w:id="423"/>
    </w:p>
    <w:p>
      <w:pPr>
        <w:pStyle w:val="BookText"/>
        <w:rPr/>
      </w:pPr>
      <w:r>
        <w:rPr>
          <w:rFonts w:ascii="IRNazanin" w:hAnsi="IRNazanin" w:eastAsia="IRNazanin"/>
          <w:color w:val="111111"/>
          <w:sz w:val="28"/>
          <w:sz w:val="28"/>
          <w:szCs w:val="28"/>
          <w:rtl w:val="true"/>
          <w:lang w:bidi="fa-IR"/>
        </w:rPr>
        <w:t>اگر احيا كرد زمينى را و در كنار آن، درختى غرس نمود كه مستعدّ است براى بروز شاخه هاى آن درخت در زمين مباحى تا مقدارى، ديگرى نمى تواند احياى آن مقدار نمايد و لو قبل از بروز شاخه هاى آن درخت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اگر باغى را فروخت و استثنا نمود درختى را، تا امتداد بعيد از شاخه ها </w:t>
      </w:r>
      <w:bookmarkStart w:id="424" w:name="pg10275_96378"/>
    </w:p>
    <w:p>
      <w:pPr>
        <w:pStyle w:val="BookText"/>
        <w:rPr/>
      </w:pPr>
      <w:bookmarkEnd w:id="424"/>
      <w:r>
        <w:rPr>
          <w:rFonts w:ascii="IRNazanin" w:hAnsi="IRNazanin" w:eastAsia="IRNazanin"/>
          <w:color w:val="111111"/>
          <w:sz w:val="28"/>
          <w:sz w:val="28"/>
          <w:szCs w:val="28"/>
          <w:rtl w:val="true"/>
          <w:lang w:bidi="fa-IR"/>
        </w:rPr>
        <w:t>حريم آن درخت و مستحَق، مالك درخت خواهد بود، پس استحقاق هواى آن قدر و دخول و خروج در آن قدر را دارد</w:t>
      </w:r>
      <w:r>
        <w:rPr>
          <w:rFonts w:eastAsia="IRNazanin" w:cs="IRNazanin"/>
          <w:color w:val="111111"/>
          <w:sz w:val="28"/>
          <w:szCs w:val="28"/>
          <w:rtl w:val="true"/>
          <w:lang w:bidi="fa-IR"/>
        </w:rPr>
        <w:t>.</w:t>
      </w:r>
    </w:p>
    <w:p>
      <w:pPr>
        <w:pStyle w:val="Heading4"/>
        <w:numPr>
          <w:ilvl w:val="3"/>
          <w:numId w:val="1"/>
        </w:numPr>
        <w:rPr/>
      </w:pPr>
      <w:bookmarkStart w:id="425" w:name="__RefHeading___Toc3971333_1067777946"/>
      <w:bookmarkStart w:id="426" w:name="_Toc174"/>
      <w:bookmarkEnd w:id="425"/>
      <w:r>
        <w:rPr/>
        <w:t>3</w:t>
      </w:r>
      <w:r>
        <w:rPr>
          <w:rtl w:val="true"/>
        </w:rPr>
        <w:t xml:space="preserve">. </w:t>
      </w:r>
      <w:r>
        <w:rPr>
          <w:rtl w:val="true"/>
        </w:rPr>
        <w:t>نبودن از مشاهد و معابد</w:t>
      </w:r>
      <w:bookmarkEnd w:id="426"/>
    </w:p>
    <w:p>
      <w:pPr>
        <w:pStyle w:val="BookText"/>
        <w:rPr/>
      </w:pPr>
      <w:r>
        <w:rPr>
          <w:rFonts w:ascii="IRNazanin" w:hAnsi="IRNazanin" w:eastAsia="IRNazanin"/>
          <w:color w:val="111111"/>
          <w:sz w:val="28"/>
          <w:sz w:val="28"/>
          <w:szCs w:val="28"/>
          <w:rtl w:val="true"/>
          <w:lang w:bidi="fa-IR"/>
        </w:rPr>
        <w:t xml:space="preserve">از جمله شروط تملك به احيا، عدم مشعريّت و معبديّت شرعيه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و مشاهد مشرفه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مشاهد محترمۀ معلوم الاصل، چه مزاحمت با اهل آن عبادات و زيارات باشد يا نه، چنان چه از واضحات و مرتكزات مسلمين و طايفه محقّه است</w:t>
      </w:r>
      <w:r>
        <w:rPr>
          <w:rFonts w:eastAsia="IRNazanin" w:cs="IRNazanin"/>
          <w:color w:val="111111"/>
          <w:sz w:val="28"/>
          <w:szCs w:val="28"/>
          <w:rtl w:val="true"/>
          <w:lang w:bidi="fa-IR"/>
        </w:rPr>
        <w:t>.</w:t>
      </w:r>
    </w:p>
    <w:p>
      <w:pPr>
        <w:pStyle w:val="Heading4"/>
        <w:numPr>
          <w:ilvl w:val="3"/>
          <w:numId w:val="1"/>
        </w:numPr>
        <w:rPr/>
      </w:pPr>
      <w:bookmarkStart w:id="427" w:name="__RefHeading___Toc3971335_1067777946"/>
      <w:bookmarkStart w:id="428" w:name="_Toc175"/>
      <w:bookmarkEnd w:id="427"/>
      <w:r>
        <w:rPr/>
        <w:t>4</w:t>
      </w:r>
      <w:r>
        <w:rPr>
          <w:rtl w:val="true"/>
        </w:rPr>
        <w:t xml:space="preserve">. </w:t>
      </w:r>
      <w:r>
        <w:rPr>
          <w:rtl w:val="true"/>
        </w:rPr>
        <w:t>نبودن از موارد اقطاع امام اصل</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جمله شروط، اين است كه مقصود به احيا، مورد اقطاع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اگر چه خالى از تحجير باشد، اگر چه مستفاد از اقطاع، تمليك نباشد، بلكه اختصاص و احقيّت به تملك به احيا باشد، نمى تواند بعد از اقطاع، ديگرى متملك به احيا بشود و ابطال اقطاع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جارى است در تعطيل طرف اقطاع، مورد را به عدم احيا، آن چه مذكور است در تعطيل بعد از تحجير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مؤدى به موات شدن بشود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429" w:name="__RefHeading___Toc3971337_1067777946"/>
      <w:bookmarkStart w:id="430" w:name="_Toc176"/>
      <w:bookmarkEnd w:id="429"/>
      <w:r>
        <w:rPr/>
        <w:t>5</w:t>
      </w:r>
      <w:r>
        <w:rPr>
          <w:rtl w:val="true"/>
        </w:rPr>
        <w:t xml:space="preserve">. </w:t>
      </w:r>
      <w:r>
        <w:rPr>
          <w:rtl w:val="true"/>
        </w:rPr>
        <w:t>عدم مسبوقيّت به تحجير و علامتگذارى غير</w:t>
      </w:r>
      <w:bookmarkEnd w:id="430"/>
    </w:p>
    <w:p>
      <w:pPr>
        <w:pStyle w:val="Heading5"/>
        <w:numPr>
          <w:ilvl w:val="4"/>
          <w:numId w:val="1"/>
        </w:numPr>
        <w:rPr/>
      </w:pPr>
      <w:bookmarkStart w:id="431" w:name="__RefHeading___Toc3971339_1067777946"/>
      <w:bookmarkStart w:id="432" w:name="_Toc177"/>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و از شروط تملك به احياى موات، اين است كه مسبوق به تحجيرِ غير نباشد به علامت گذارى به نصب مرز و ديوارگذارى و نحو اينها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معروف، ثبوت اولويت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تملك به احيا، و اين كه خود آن، </w:t>
      </w:r>
      <w:bookmarkStart w:id="433" w:name="pg10275_96379"/>
    </w:p>
    <w:p>
      <w:pPr>
        <w:pStyle w:val="BookText"/>
        <w:rPr/>
      </w:pPr>
      <w:bookmarkEnd w:id="433"/>
      <w:r>
        <w:rPr>
          <w:rFonts w:ascii="IRNazanin" w:hAnsi="IRNazanin" w:eastAsia="IRNazanin"/>
          <w:color w:val="111111"/>
          <w:sz w:val="28"/>
          <w:sz w:val="28"/>
          <w:szCs w:val="28"/>
          <w:rtl w:val="true"/>
          <w:lang w:bidi="fa-IR"/>
        </w:rPr>
        <w:t>احيا و مملّك نيست و احكام ملكيت ارض مرتب نمى شود، پس جايز نيست بيع و نحو آن از معاوضات؛ و چون اولى به احيا است، مى تواند منع نمايد مريد احياى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معروف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تحجيرشدۀ غير، اگر احيا شد مفيد ملكيّت نمى شود، بلكه نقل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عدم صدق احيا بر تحجير مگر در مواردى كه تحجير از مراتب احيا و شروع در آن باشد، پس اگر اجماع، تمام نباشد، عدم حصول تملك به احيا بعد از تحجيرِ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زايد بر آثم بودن محيى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تأمل نيست</w:t>
      </w:r>
      <w:r>
        <w:rPr>
          <w:rFonts w:eastAsia="IRNazanin" w:cs="IRNazanin"/>
          <w:color w:val="111111"/>
          <w:sz w:val="28"/>
          <w:szCs w:val="28"/>
          <w:rtl w:val="true"/>
          <w:lang w:bidi="fa-IR"/>
        </w:rPr>
        <w:t>.</w:t>
      </w:r>
    </w:p>
    <w:p>
      <w:pPr>
        <w:pStyle w:val="Heading5"/>
        <w:numPr>
          <w:ilvl w:val="4"/>
          <w:numId w:val="1"/>
        </w:numPr>
        <w:rPr/>
      </w:pPr>
      <w:bookmarkStart w:id="434" w:name="__RefHeading___Toc3971341_1067777946"/>
      <w:bookmarkStart w:id="435" w:name="_Toc178"/>
      <w:bookmarkEnd w:id="434"/>
      <w:r>
        <w:rPr>
          <w:rtl w:val="true"/>
        </w:rPr>
        <w:t>اهمال محجّر در احيا</w:t>
      </w:r>
      <w:bookmarkEnd w:id="435"/>
    </w:p>
    <w:p>
      <w:pPr>
        <w:pStyle w:val="BookText"/>
        <w:rPr/>
      </w:pPr>
      <w:r>
        <w:rPr>
          <w:rFonts w:ascii="IRNazanin" w:hAnsi="IRNazanin" w:eastAsia="IRNazanin"/>
          <w:color w:val="111111"/>
          <w:sz w:val="28"/>
          <w:sz w:val="28"/>
          <w:szCs w:val="28"/>
          <w:rtl w:val="true"/>
          <w:lang w:bidi="fa-IR"/>
        </w:rPr>
        <w:t>پس اگر محجّر اهمال در احيا نمود، حاكم مخير مى نمايد او را بين احياى فعلى يا رفع يد، در صورت عدم عذر مشروع در تأخير احيا؛ و بعد از رفع يد، به غير واگذار مى نمايد احيا را؛ و اگر رفع يد نكرد و احيا هم نكرد، حاكم رفع يد او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مضروبه منوط به نظر حاكم است كه با ملاحظه ساير محتاجين چقدر امهال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تسليط حاكم، غير را، احياى غير، مملكِ او است</w:t>
      </w:r>
      <w:r>
        <w:rPr>
          <w:rFonts w:eastAsia="IRNazanin" w:cs="IRNazanin"/>
          <w:color w:val="111111"/>
          <w:sz w:val="28"/>
          <w:szCs w:val="28"/>
          <w:rtl w:val="true"/>
          <w:lang w:bidi="fa-IR"/>
        </w:rPr>
        <w:t>.</w:t>
      </w:r>
    </w:p>
    <w:p>
      <w:pPr>
        <w:pStyle w:val="Heading4"/>
        <w:numPr>
          <w:ilvl w:val="3"/>
          <w:numId w:val="1"/>
        </w:numPr>
        <w:rPr/>
      </w:pPr>
      <w:bookmarkStart w:id="436" w:name="__RefHeading___Toc3971343_1067777946"/>
      <w:bookmarkStart w:id="437" w:name="_Toc179"/>
      <w:bookmarkEnd w:id="436"/>
      <w:r>
        <w:rPr/>
        <w:t>6</w:t>
      </w:r>
      <w:r>
        <w:rPr>
          <w:rtl w:val="true"/>
        </w:rPr>
        <w:t xml:space="preserve">. </w:t>
      </w:r>
      <w:r>
        <w:rPr>
          <w:rtl w:val="true"/>
        </w:rPr>
        <w:t>نبودن از قرقگاه نبى يا وصىّ او</w:t>
      </w:r>
      <w:bookmarkEnd w:id="437"/>
    </w:p>
    <w:p>
      <w:pPr>
        <w:pStyle w:val="BookText"/>
        <w:rPr/>
      </w:pPr>
      <w:r>
        <w:rPr>
          <w:rFonts w:ascii="IRNazanin" w:hAnsi="IRNazanin" w:eastAsia="IRNazanin"/>
          <w:color w:val="111111"/>
          <w:sz w:val="28"/>
          <w:sz w:val="28"/>
          <w:szCs w:val="28"/>
          <w:rtl w:val="true"/>
          <w:lang w:bidi="fa-IR"/>
        </w:rPr>
        <w:t xml:space="preserve">و از جمله شروط تملك به احيا، عدم دخول زمين در قرقگاه نبى يا وصى او است، چون نبىّ يا امام اصل مى تواند تخصيص بدهد بعض موات و بعض مشتركات از كلاء و مرعىٰ را به خودش يا ديگرى يا جهت خاصه؛ پس تصرّف غير و تعرض به احيا و به عمل مضاد با عمل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اذن او و نقض تخصيص او است و مؤثر در تملك متصرف مذكور نمى شود، و ديگرى حق تخصيص به خود يا ديگران را ندارد مگر موجبات ديگر تخصيص محقق بشود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تخصيص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مشتركات و مختص به معصوم از موات، به منزله احياى عموم در موات است؛ پس احياى عموم در موات، در غير مورد </w:t>
      </w:r>
    </w:p>
    <w:p>
      <w:pPr>
        <w:pStyle w:val="BookText"/>
        <w:rPr/>
      </w:pPr>
      <w:r>
        <w:rPr>
          <w:rFonts w:ascii="Amiri" w:hAnsi="Amiri" w:eastAsia="Amiri" w:cs="Amiri"/>
          <w:color w:val="111111"/>
          <w:sz w:val="28"/>
          <w:sz w:val="28"/>
          <w:szCs w:val="28"/>
          <w:rtl w:val="true"/>
          <w:lang w:bidi="ar-SA"/>
        </w:rPr>
        <w:t>تخصيص معصوم و در غير مورد احياى غير است در افاده تملك به احيا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تخصيص غير معصوم به جعل حِمىٰ براى خود يا ديگرى، مثل احياى او بدون اذن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قرقگاه براى مصلحتى بوده و آن مصلحت زايل شده بدون توقع عود، اختصاص زايل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 مى تواند صرف در اصلح نمايد يا برمى گردد بر اصل قبل از تخصص‌؟ ثانى اقرب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اين شرط، و شرط عدم اقطاع، در عصر عدم بسط يد معصوم، از ابتلاء خارج است مگر در تقدير عموم ولايت فقيه به امثال مذكورات</w:t>
      </w:r>
      <w:r>
        <w:rPr>
          <w:rFonts w:eastAsia="IRNazanin" w:cs="IRNazanin"/>
          <w:color w:val="111111"/>
          <w:sz w:val="28"/>
          <w:szCs w:val="28"/>
          <w:rtl w:val="true"/>
          <w:lang w:bidi="fa-IR"/>
        </w:rPr>
        <w:t xml:space="preserve">. </w:t>
      </w:r>
      <w:bookmarkStart w:id="438" w:name="pg10275_96381"/>
    </w:p>
    <w:p>
      <w:pPr>
        <w:pStyle w:val="Heading3"/>
        <w:numPr>
          <w:ilvl w:val="2"/>
          <w:numId w:val="1"/>
        </w:numPr>
        <w:rPr/>
      </w:pPr>
      <w:bookmarkStart w:id="439" w:name="__RefHeading___Toc3971345_1067777946"/>
      <w:bookmarkStart w:id="440" w:name="_Toc180"/>
      <w:bookmarkEnd w:id="438"/>
      <w:bookmarkEnd w:id="439"/>
      <w:r>
        <w:rPr>
          <w:rtl w:val="true"/>
        </w:rPr>
        <w:t>فصل سوّم نحوه تحقق و صدق احيا</w:t>
      </w:r>
      <w:bookmarkEnd w:id="440"/>
    </w:p>
    <w:p>
      <w:pPr>
        <w:pStyle w:val="Heading4"/>
        <w:numPr>
          <w:ilvl w:val="3"/>
          <w:numId w:val="1"/>
        </w:numPr>
        <w:rPr/>
      </w:pPr>
      <w:bookmarkStart w:id="441" w:name="__RefHeading___Toc3971347_1067777946"/>
      <w:bookmarkStart w:id="442" w:name="_Toc181"/>
      <w:bookmarkEnd w:id="441"/>
      <w:r>
        <w:rPr>
          <w:rtl w:val="true"/>
        </w:rPr>
        <w:t>مقدّميّت تحجير</w:t>
      </w:r>
      <w:bookmarkEnd w:id="442"/>
    </w:p>
    <w:p>
      <w:pPr>
        <w:pStyle w:val="BookText"/>
        <w:rPr/>
      </w:pPr>
      <w:r>
        <w:rPr>
          <w:rFonts w:ascii="IRNazanin" w:hAnsi="IRNazanin" w:eastAsia="IRNazanin"/>
          <w:color w:val="111111"/>
          <w:sz w:val="28"/>
          <w:sz w:val="28"/>
          <w:szCs w:val="28"/>
          <w:rtl w:val="true"/>
          <w:lang w:bidi="fa-IR"/>
        </w:rPr>
        <w:t>تحجير مقدمۀ احيا است و علامت گذارى براى احياى مقصود است، و آن هم مختلف است به اختلاف احياى مقصود و مناسب و مقدور صاحب تحجير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استحقاق اولويت به تملك به سبب احياى متأخر خواهد بود در زمينهاى موات كه در آن حال از املاك امام است</w:t>
      </w:r>
      <w:r>
        <w:rPr>
          <w:rFonts w:eastAsia="IRNazanin" w:cs="IRNazanin"/>
          <w:color w:val="111111"/>
          <w:sz w:val="28"/>
          <w:szCs w:val="28"/>
          <w:rtl w:val="true"/>
          <w:lang w:bidi="fa-IR"/>
        </w:rPr>
        <w:t>.</w:t>
      </w:r>
    </w:p>
    <w:p>
      <w:pPr>
        <w:pStyle w:val="Heading4"/>
        <w:numPr>
          <w:ilvl w:val="3"/>
          <w:numId w:val="1"/>
        </w:numPr>
        <w:rPr/>
      </w:pPr>
      <w:bookmarkStart w:id="443" w:name="__RefHeading___Toc3971349_1067777946"/>
      <w:bookmarkStart w:id="444" w:name="_Toc182"/>
      <w:bookmarkEnd w:id="443"/>
      <w:r>
        <w:rPr>
          <w:rtl w:val="true"/>
        </w:rPr>
        <w:t>مملّكيّت احيا و ميزان صدق آن</w:t>
      </w:r>
      <w:bookmarkEnd w:id="4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تحجير و آن چه به منزلۀ آن است، تملك فعلى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اخراج زمين است از تعطيل و عدم امكان انتفاع فعلى به منافع مقصوده عقلاء در جهتى از جهات عقلائيه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فعلى حاصل مى شود براى احياكننده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آن مختلف است در عرف عقلاء به اختلاف مقصود از اشيايى كه مورد انتفاع عقلاء است از خانه و مزرعه و حمّام و دكان و نحو اينها؛ لكن آن چه با آن، احيا و تملك فعلى حاصل مى شود، جامع بين اين گونه اشيا است و با قصد يكى و صرف در ديگرى يا بناى مشترك بين آنها و تعيين متأخر از بنا، احياى عرفى صدق مى نمايد، اگر چه تعطيل از انتفاع فعلى بشود بعد از امكان انتفاع در جهتى از مقاصد ممكنه عقلائيه به حسب حال احياكننده از حيث ضعف و قوّت و بلد احيا و محل خاص احيا، كه با تعطيل از انتفاع فعلى مختلف است حكم آن به حسب وجود عذر و عدم آن و طول </w:t>
      </w:r>
      <w:bookmarkStart w:id="445" w:name="pg10275_96382"/>
    </w:p>
    <w:p>
      <w:pPr>
        <w:pStyle w:val="BookText"/>
        <w:rPr/>
      </w:pPr>
      <w:bookmarkEnd w:id="445"/>
      <w:r>
        <w:rPr>
          <w:rFonts w:ascii="IRNazanin" w:hAnsi="IRNazanin" w:eastAsia="IRNazanin"/>
          <w:color w:val="111111"/>
          <w:sz w:val="28"/>
          <w:sz w:val="28"/>
          <w:szCs w:val="28"/>
          <w:rtl w:val="true"/>
          <w:lang w:bidi="fa-IR"/>
        </w:rPr>
        <w:t>زمان تعطيل و عدم آن و رغبت و حاجت ديگران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اين صور شايد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مداخلۀ حاكم شرع و اجاره دادن براى يكى از امور انتفاعيه با اختيار فسخ براى خودش در زمان رفع عذر آن مُحيى كه تسليم او نمايد براى انتفاع مقصود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ما به الاحياء، با مرجعيّت وحيده عرف در آن و اختلاف آن در زمان و مكان و مقصود به احيا و مصروف در مورد انتفاع با فرق بين امكان انتفاع كه از موات بودن با آن خارج مى شود و تملك فعلى حاصل مى شود و فعليت انتفاع كه با عدم آن از ملكيت خارج نمى شود، در اين مقام لزوم ندارد</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971351_1067777946"/>
      <w:bookmarkStart w:id="447" w:name="_Toc183"/>
      <w:bookmarkEnd w:id="446"/>
      <w:r>
        <w:rPr>
          <w:rtl w:val="true"/>
        </w:rPr>
        <w:t>ثبوت و عدم ثبوت اولويّت به وسيلۀ تحجير</w:t>
      </w:r>
      <w:bookmarkEnd w:id="447"/>
    </w:p>
    <w:p>
      <w:pPr>
        <w:pStyle w:val="BookText"/>
        <w:rPr/>
      </w:pPr>
      <w:r>
        <w:rPr>
          <w:rFonts w:ascii="IRNazanin" w:hAnsi="IRNazanin" w:eastAsia="IRNazanin"/>
          <w:color w:val="111111"/>
          <w:sz w:val="28"/>
          <w:sz w:val="28"/>
          <w:szCs w:val="28"/>
          <w:rtl w:val="true"/>
          <w:lang w:bidi="fa-IR"/>
        </w:rPr>
        <w:t xml:space="preserve">و همچنين تحجير، كه مختلف مى شود به اختلاف خصوصيات احياى مقصود از كسى كه قادر بر احيا نباشد به حسب حال و شأن تحجيركننده، مفيد اولويّت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احياى غير در اين صورت مفيد مالكيّت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تحجير زايد بر تمكّن از احيا در مقدار زيادتى مى تواند فى الجمله، غير، متصدى احيا يا تحجير بشود با عدم نزاع در خصوصيات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مفيد اولويت است، مى تواند صاحب او مانع از احياى غير بشود، و اگر غير، احيا نمايد مفيد ملكيّت او نيست بلكه غاصب حق مكانى است</w:t>
      </w:r>
      <w:r>
        <w:rPr>
          <w:rFonts w:eastAsia="IRNazanin" w:cs="IRNazanin"/>
          <w:color w:val="111111"/>
          <w:sz w:val="28"/>
          <w:szCs w:val="28"/>
          <w:rtl w:val="true"/>
          <w:lang w:bidi="fa-IR"/>
        </w:rPr>
        <w:t>.</w:t>
      </w:r>
    </w:p>
    <w:p>
      <w:pPr>
        <w:pStyle w:val="Heading4"/>
        <w:numPr>
          <w:ilvl w:val="3"/>
          <w:numId w:val="1"/>
        </w:numPr>
        <w:rPr/>
      </w:pPr>
      <w:bookmarkStart w:id="448" w:name="__RefHeading___Toc3971353_1067777946"/>
      <w:bookmarkStart w:id="449" w:name="_Toc184"/>
      <w:bookmarkEnd w:id="448"/>
      <w:r>
        <w:rPr>
          <w:rtl w:val="true"/>
        </w:rPr>
        <w:t>انتقال تحجير</w:t>
      </w:r>
      <w:bookmarkEnd w:id="449"/>
    </w:p>
    <w:p>
      <w:pPr>
        <w:pStyle w:val="BookText"/>
        <w:rPr/>
      </w:pPr>
      <w:r>
        <w:rPr>
          <w:rFonts w:ascii="Amiri" w:hAnsi="Amiri" w:eastAsia="Amiri" w:cs="Amiri"/>
          <w:color w:val="111111"/>
          <w:sz w:val="28"/>
          <w:sz w:val="28"/>
          <w:szCs w:val="28"/>
          <w:rtl w:val="true"/>
          <w:lang w:bidi="ar-SA"/>
        </w:rPr>
        <w:t>و تحجير غير مستحَق، قابل نقل به غير به صلح و نحو آن نيست؛ به خلاف تحجير موجب استحقاق و اولويت، كه قابل نقل به غير است به صلح و نحو آن قبل از احيا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971355_1067777946"/>
      <w:bookmarkStart w:id="451" w:name="_Toc185"/>
      <w:bookmarkEnd w:id="450"/>
      <w:r>
        <w:rPr>
          <w:rtl w:val="true"/>
        </w:rPr>
        <w:t>عدم لزوم قصد خصوصيت در احيا</w:t>
      </w:r>
      <w:bookmarkEnd w:id="4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احيا قصد خصوصيت لازم نيست، بلكه ايجاد مشترك بين دو امر براى تعيين و انتفاع بعد از عمارت، مفيد تملك است در صورت قابليت براى هر يك از دو انتفاع، و عدول قصدى از خصوصيتى به غير، مانعى ندارد</w:t>
      </w:r>
      <w:r>
        <w:rPr>
          <w:rFonts w:eastAsia="Amiri" w:cs="Amiri" w:ascii="Amiri" w:hAnsi="Amiri"/>
          <w:color w:val="111111"/>
          <w:sz w:val="28"/>
          <w:szCs w:val="28"/>
          <w:rtl w:val="true"/>
          <w:lang w:bidi="ar-SA"/>
        </w:rPr>
        <w:t xml:space="preserve">. </w:t>
      </w:r>
      <w:bookmarkStart w:id="452" w:name="pg10275_96383"/>
    </w:p>
    <w:p>
      <w:pPr>
        <w:pStyle w:val="Heading4"/>
        <w:numPr>
          <w:ilvl w:val="3"/>
          <w:numId w:val="1"/>
        </w:numPr>
        <w:rPr/>
      </w:pPr>
      <w:bookmarkStart w:id="453" w:name="__RefHeading___Toc3971357_1067777946"/>
      <w:bookmarkStart w:id="454" w:name="_Toc186"/>
      <w:bookmarkEnd w:id="452"/>
      <w:bookmarkEnd w:id="453"/>
      <w:r>
        <w:rPr>
          <w:rtl w:val="true"/>
        </w:rPr>
        <w:t>اناطۀ تعيين حدود تحجير و احيا آن به قصد احيا</w:t>
      </w:r>
      <w:bookmarkEnd w:id="454"/>
    </w:p>
    <w:p>
      <w:pPr>
        <w:pStyle w:val="BookText"/>
        <w:rPr/>
      </w:pPr>
      <w:r>
        <w:rPr>
          <w:rFonts w:ascii="IRNazanin" w:hAnsi="IRNazanin" w:eastAsia="IRNazanin"/>
          <w:color w:val="111111"/>
          <w:sz w:val="28"/>
          <w:sz w:val="28"/>
          <w:szCs w:val="28"/>
          <w:rtl w:val="true"/>
          <w:lang w:bidi="fa-IR"/>
        </w:rPr>
        <w:t>هر كدام از تحجير حق آور و احياى ملك آور، تعيين حدود آنها منوط بحدود مقصود از احيا است و بايد مناسب احياى واقعى مقصود باشد؛ و در مشترك بين محتاج به زايد و غير آن، متيقَّن، مستحَق يا مملوك مى شود، و در غير متيقن، محتاج به اثبات حق يا ملك و وسعت آنها است اگر چه از طريق بيان و قصد تحجيركننده با مناسبت مقصود و امكان آن باشد</w:t>
      </w:r>
      <w:r>
        <w:rPr>
          <w:rFonts w:eastAsia="IRNazanin" w:cs="IRNazanin"/>
          <w:color w:val="111111"/>
          <w:sz w:val="28"/>
          <w:szCs w:val="28"/>
          <w:rtl w:val="true"/>
          <w:lang w:bidi="fa-IR"/>
        </w:rPr>
        <w:t>.</w:t>
      </w:r>
    </w:p>
    <w:p>
      <w:pPr>
        <w:pStyle w:val="Heading4"/>
        <w:numPr>
          <w:ilvl w:val="3"/>
          <w:numId w:val="1"/>
        </w:numPr>
        <w:rPr/>
      </w:pPr>
      <w:bookmarkStart w:id="455" w:name="__RefHeading___Toc3971359_1067777946"/>
      <w:bookmarkStart w:id="456" w:name="_Toc187"/>
      <w:bookmarkEnd w:id="455"/>
      <w:r>
        <w:rPr>
          <w:rtl w:val="true"/>
        </w:rPr>
        <w:t>عدم لزوم مباشرت</w:t>
      </w:r>
      <w:bookmarkEnd w:id="456"/>
    </w:p>
    <w:p>
      <w:pPr>
        <w:pStyle w:val="BookText"/>
        <w:rPr/>
      </w:pPr>
      <w:r>
        <w:rPr>
          <w:rFonts w:ascii="IRNazanin" w:hAnsi="IRNazanin" w:eastAsia="IRNazanin"/>
          <w:color w:val="111111"/>
          <w:sz w:val="28"/>
          <w:sz w:val="28"/>
          <w:szCs w:val="28"/>
          <w:rtl w:val="true"/>
          <w:lang w:bidi="fa-IR"/>
        </w:rPr>
        <w:t>در هيچ كدام از تحجير و احيا، مباشرت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حق يا ملك، مقصود به تحجير يا احيا يا هر دو است نه وكيل و اجير و مأذون در عمل براى غير به اجرتى يا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تنازع، قول فاعل با قصد مقدم است</w:t>
      </w:r>
      <w:r>
        <w:rPr>
          <w:rFonts w:eastAsia="IRNazanin" w:cs="IRNazanin"/>
          <w:color w:val="111111"/>
          <w:sz w:val="28"/>
          <w:szCs w:val="28"/>
          <w:rtl w:val="true"/>
          <w:lang w:bidi="fa-IR"/>
        </w:rPr>
        <w:t>.</w:t>
      </w:r>
    </w:p>
    <w:p>
      <w:pPr>
        <w:pStyle w:val="Heading4"/>
        <w:numPr>
          <w:ilvl w:val="3"/>
          <w:numId w:val="1"/>
        </w:numPr>
        <w:rPr/>
      </w:pPr>
      <w:bookmarkStart w:id="457" w:name="__RefHeading___Toc3971361_1067777946"/>
      <w:bookmarkStart w:id="458" w:name="_Toc188"/>
      <w:bookmarkEnd w:id="457"/>
      <w:r>
        <w:rPr>
          <w:rtl w:val="true"/>
        </w:rPr>
        <w:t>از بين رفتن علامت تحجير</w:t>
      </w:r>
      <w:bookmarkEnd w:id="458"/>
    </w:p>
    <w:p>
      <w:pPr>
        <w:pStyle w:val="BookText"/>
        <w:rPr/>
      </w:pPr>
      <w:r>
        <w:rPr>
          <w:rFonts w:ascii="IRNazanin" w:hAnsi="IRNazanin" w:eastAsia="IRNazanin"/>
          <w:color w:val="111111"/>
          <w:sz w:val="28"/>
          <w:sz w:val="28"/>
          <w:szCs w:val="28"/>
          <w:rtl w:val="true"/>
          <w:lang w:bidi="fa-IR"/>
        </w:rPr>
        <w:t>اظهر اين است كه مجرد زوال علامتها براى تحجير، موجب زوال حق صاحب آن نمى شود؛ بلكه با قصدِ اعراض، زايل مى شود، كه مزيل است اگر چه قبل از زوال علامت باشد؛ به خلاف ازاله به قصد تجديد يا با بردن باد و سيل و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بعد از احيا، زمين مملوك مى شود اگر چه اثر احيا معدوم شود، تا وقتى كه عرفاً زمين داخل در موات مختصّه به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يا آن كه مجهول المالك بشود، يا آن كه مالك، ممتنع از تعمير آن باشد با شروط مداخله حاكم و مداخله او كه تحقق احيا به نظر او موكول مى شود</w:t>
      </w:r>
      <w:r>
        <w:rPr>
          <w:rFonts w:eastAsia="IRNazanin" w:cs="IRNazanin"/>
          <w:color w:val="111111"/>
          <w:sz w:val="28"/>
          <w:szCs w:val="28"/>
          <w:rtl w:val="true"/>
          <w:lang w:bidi="fa-IR"/>
        </w:rPr>
        <w:t>.</w:t>
      </w:r>
    </w:p>
    <w:p>
      <w:pPr>
        <w:pStyle w:val="Heading4"/>
        <w:numPr>
          <w:ilvl w:val="3"/>
          <w:numId w:val="1"/>
        </w:numPr>
        <w:rPr/>
      </w:pPr>
      <w:bookmarkStart w:id="459" w:name="__RefHeading___Toc3971363_1067777946"/>
      <w:bookmarkStart w:id="460" w:name="_Toc189"/>
      <w:bookmarkEnd w:id="459"/>
      <w:r>
        <w:rPr>
          <w:rtl w:val="true"/>
        </w:rPr>
        <w:t>اهمال و تعطيل زمين توسط محجّر</w:t>
      </w:r>
      <w:bookmarkEnd w:id="4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محجّر تعطيل زمين و اهمال تعمير آن نيست، مگر با عذرى مثل ترقب اسباب و آلات تعمير كه مناسب است؛ و مجرد فقرِ مطلق، عذر نيست؛ پس در صورت طول </w:t>
      </w:r>
      <w:bookmarkStart w:id="461" w:name="pg10275_96384"/>
    </w:p>
    <w:p>
      <w:pPr>
        <w:pStyle w:val="BookText"/>
        <w:rPr/>
      </w:pPr>
      <w:bookmarkEnd w:id="461"/>
      <w:r>
        <w:rPr>
          <w:rFonts w:ascii="IRNazanin" w:hAnsi="IRNazanin" w:eastAsia="IRNazanin"/>
          <w:color w:val="111111"/>
          <w:sz w:val="28"/>
          <w:sz w:val="28"/>
          <w:szCs w:val="28"/>
          <w:rtl w:val="true"/>
          <w:lang w:bidi="fa-IR"/>
        </w:rPr>
        <w:t>مدت اهمال و تعطيل بعد از تحجير، حاكم مداخله مى نمايد و او را الزام به تعمير يا رفع يد مى نمايد براى تعمير غير كه حاضر است براى تعمير، و اگر صلاح ديد مى تواند تأجيل تا سه سال نمايد؛ و در غير اين صورت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حاكم نباشد در دسترس طالب احياى زمين، عدول مؤمنين انجام مى دهند عمل حاكم را</w:t>
      </w:r>
      <w:r>
        <w:rPr>
          <w:rFonts w:eastAsia="IRNazanin" w:cs="IRNazanin"/>
          <w:color w:val="111111"/>
          <w:sz w:val="28"/>
          <w:szCs w:val="28"/>
          <w:rtl w:val="true"/>
          <w:lang w:bidi="fa-IR"/>
        </w:rPr>
        <w:t>.</w:t>
      </w:r>
    </w:p>
    <w:p>
      <w:pPr>
        <w:pStyle w:val="Heading4"/>
        <w:numPr>
          <w:ilvl w:val="3"/>
          <w:numId w:val="1"/>
        </w:numPr>
        <w:rPr/>
      </w:pPr>
      <w:bookmarkStart w:id="462" w:name="__RefHeading___Toc3971365_1067777946"/>
      <w:bookmarkStart w:id="463" w:name="_Toc190"/>
      <w:bookmarkEnd w:id="462"/>
      <w:r>
        <w:rPr>
          <w:rtl w:val="true"/>
        </w:rPr>
        <w:t>اناطۀ مملّكيّت تحجير به امكان احيا</w:t>
      </w:r>
      <w:bookmarkEnd w:id="463"/>
    </w:p>
    <w:p>
      <w:pPr>
        <w:pStyle w:val="BookText"/>
        <w:rPr/>
      </w:pPr>
      <w:r>
        <w:rPr>
          <w:rFonts w:ascii="IRNazanin" w:hAnsi="IRNazanin" w:eastAsia="IRNazanin"/>
          <w:color w:val="111111"/>
          <w:sz w:val="28"/>
          <w:sz w:val="28"/>
          <w:szCs w:val="28"/>
          <w:rtl w:val="true"/>
          <w:lang w:bidi="fa-IR"/>
        </w:rPr>
        <w:t>تحجير شخصى كه متمكن از احيا نيست اثرى ندارد؛ و همچنين اگر متمكن باشد تا حدى و تحجير در بيش از آن نمايد، در مقدار زايد بى اثر است و غير مى تواند آن را داخل در تحجير خودش و پس از آن احيا نمايد؛ و اگر اختلافى پيش آمد در تمكن و حدّ آن، نظر حاكم متبع است</w:t>
      </w:r>
      <w:r>
        <w:rPr>
          <w:rFonts w:eastAsia="IRNazanin" w:cs="IRNazanin"/>
          <w:color w:val="111111"/>
          <w:sz w:val="28"/>
          <w:szCs w:val="28"/>
          <w:rtl w:val="true"/>
          <w:lang w:bidi="fa-IR"/>
        </w:rPr>
        <w:t>.</w:t>
      </w:r>
    </w:p>
    <w:p>
      <w:pPr>
        <w:pStyle w:val="Heading4"/>
        <w:numPr>
          <w:ilvl w:val="3"/>
          <w:numId w:val="1"/>
        </w:numPr>
        <w:rPr/>
      </w:pPr>
      <w:bookmarkStart w:id="464" w:name="__RefHeading___Toc3971367_1067777946"/>
      <w:bookmarkStart w:id="465" w:name="_Toc191"/>
      <w:bookmarkEnd w:id="464"/>
      <w:r>
        <w:rPr>
          <w:rtl w:val="true"/>
        </w:rPr>
        <w:t>اناطۀ تحقق احيا به رساندن زمين به حدّ قابليّت فعلى</w:t>
      </w:r>
      <w:bookmarkEnd w:id="46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احياى مفيد ملك، رسانيدن زمين به حد قابليت انتفاع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ازاله موانع كه لازم است در همه احياها، و ايجاد خصوصيات خاصه به هر كدام از مزرعه و خانه و بستان و قنات و چاه به طورى كه صدق يكى از اين عناوين نمايد و مقصود احياكننده باشد و مناسب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تملك حاصل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در خانه آمادگى براى فعليت سكنى باشد، و براى فعليت زرع در مزرعه و غرس درخت در بستان و كشيدن آب از چاه و جريان آب از چشمه ها در قنات و مهيا كردن زمين براى آمدن آب از شط مثلاً به سوى زمين نهر و اجراى آب براى امكان انتفاع در هر يك از مزرعه و بستان كه آب باران كافى براى آنها نيست لازم است در احياى قبل از فعليت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امورى است كه عرف مرجع است در آنها كه به چه چيز محتاج است در وجود و صدق يا در كمال مسمى به آن 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قبل از وصول بصدق يكى از عناوين در عرف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تحجير مشترك است در افادۀ اولويت به تملّك به احيا، و احياى مملّك محقق نمى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تفصيل در صدق عناوين مذكوره، مربوط به فقه نيست و مرجع در آنها اهل خبره از عرف مطلعين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اختلاف و عدم مرجّح، مرجع،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در بعضى از موارد، اختلاف بى ثمر است چون اولويت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ثمره شرعيه داشته باشد</w:t>
      </w:r>
      <w:r>
        <w:rPr>
          <w:rFonts w:eastAsia="IRNazanin" w:cs="IRNazanin"/>
          <w:color w:val="111111"/>
          <w:sz w:val="28"/>
          <w:szCs w:val="28"/>
          <w:rtl w:val="true"/>
          <w:lang w:bidi="fa-IR"/>
        </w:rPr>
        <w:t xml:space="preserve">. </w:t>
      </w:r>
      <w:bookmarkStart w:id="466" w:name="pg10275_96386"/>
    </w:p>
    <w:p>
      <w:pPr>
        <w:pStyle w:val="Heading3"/>
        <w:numPr>
          <w:ilvl w:val="2"/>
          <w:numId w:val="1"/>
        </w:numPr>
        <w:rPr/>
      </w:pPr>
      <w:bookmarkStart w:id="467" w:name="__RefHeading___Toc3971369_1067777946"/>
      <w:bookmarkStart w:id="468" w:name="_Toc192"/>
      <w:bookmarkEnd w:id="466"/>
      <w:bookmarkEnd w:id="467"/>
      <w:r>
        <w:rPr>
          <w:rtl w:val="true"/>
        </w:rPr>
        <w:t>فصل چهارم امور مشتركة المنافع</w:t>
      </w:r>
      <w:bookmarkEnd w:id="468"/>
    </w:p>
    <w:p>
      <w:pPr>
        <w:pStyle w:val="Heading4"/>
        <w:numPr>
          <w:ilvl w:val="3"/>
          <w:numId w:val="1"/>
        </w:numPr>
        <w:rPr/>
      </w:pPr>
      <w:bookmarkStart w:id="469" w:name="__RefHeading___Toc3971371_1067777946"/>
      <w:bookmarkStart w:id="470" w:name="_Toc193"/>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مثل طرق و مساجد و تكايا و مشاهد و مقابر و مدارس علوم و مرابط و مساكن عموم</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971373_1067777946"/>
      <w:bookmarkStart w:id="472" w:name="_Toc194"/>
      <w:bookmarkEnd w:id="471"/>
      <w:r>
        <w:rPr/>
        <w:t>1</w:t>
      </w:r>
      <w:r>
        <w:rPr>
          <w:rtl w:val="true"/>
        </w:rPr>
        <w:t xml:space="preserve">. </w:t>
      </w:r>
      <w:r>
        <w:rPr>
          <w:rtl w:val="true"/>
        </w:rPr>
        <w:t>طُرُق و احكام آن</w:t>
      </w:r>
      <w:bookmarkEnd w:id="472"/>
    </w:p>
    <w:p>
      <w:pPr>
        <w:pStyle w:val="Heading5"/>
        <w:numPr>
          <w:ilvl w:val="4"/>
          <w:numId w:val="1"/>
        </w:numPr>
        <w:rPr/>
      </w:pPr>
      <w:bookmarkStart w:id="473" w:name="__RefHeading___Toc3971375_1067777946"/>
      <w:bookmarkStart w:id="474" w:name="_Toc195"/>
      <w:bookmarkEnd w:id="473"/>
      <w:r>
        <w:rPr>
          <w:rtl w:val="true"/>
        </w:rPr>
        <w:t>اشتراك عموم در طرق</w:t>
      </w:r>
      <w:bookmarkEnd w:id="474"/>
    </w:p>
    <w:p>
      <w:pPr>
        <w:pStyle w:val="BookText"/>
        <w:rPr/>
      </w:pPr>
      <w:r>
        <w:rPr>
          <w:rFonts w:ascii="IRNazanin" w:hAnsi="IRNazanin" w:eastAsia="IRNazanin"/>
          <w:color w:val="111111"/>
          <w:sz w:val="28"/>
          <w:sz w:val="28"/>
          <w:szCs w:val="28"/>
          <w:rtl w:val="true"/>
          <w:lang w:bidi="fa-IR"/>
        </w:rPr>
        <w:t>در طرق، همه شريكند در استطراق و آن چه لوازم استطراق است يا از عوارض غالبه آن است، مثل وقوف براى بار بستن و گذاشتن، يا نشستن در كنار براى رفع خستگى مشى، يا گذاشتن و بستن دوابّ و مركوبات در محل مناسب از آنها، و مكث لازم براى حمل بارها و دوابّ براى كسى كه درب خانۀ او متصل به جادّه است</w:t>
      </w:r>
      <w:r>
        <w:rPr>
          <w:rFonts w:eastAsia="IRNazanin" w:cs="IRNazanin"/>
          <w:color w:val="111111"/>
          <w:sz w:val="28"/>
          <w:szCs w:val="28"/>
          <w:rtl w:val="true"/>
          <w:lang w:bidi="fa-IR"/>
        </w:rPr>
        <w:t>.</w:t>
      </w:r>
    </w:p>
    <w:p>
      <w:pPr>
        <w:pStyle w:val="Heading5"/>
        <w:numPr>
          <w:ilvl w:val="4"/>
          <w:numId w:val="1"/>
        </w:numPr>
        <w:rPr/>
      </w:pPr>
      <w:bookmarkStart w:id="475" w:name="__RefHeading___Toc3971377_1067777946"/>
      <w:bookmarkStart w:id="476" w:name="_Toc196"/>
      <w:bookmarkEnd w:id="475"/>
      <w:r>
        <w:rPr>
          <w:rtl w:val="true"/>
        </w:rPr>
        <w:t>ميزان تصرّف در طرق</w:t>
      </w:r>
      <w:bookmarkEnd w:id="4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ارتفاقات ديگر اگر مزاحم با استطراقِ غير نباشد، اظهر جواز انتفاع به آنها است؛ و آن چه از آنها از لوازم استطراق است، استطراق، تقدم بر آنها ندارد، مگر آن كه يكى در كنار جاده ممكن است و ديگرى ممكن نيست پس در آن عكس نشود؛ و در آن چه جايز است حق منع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مثل جلوس براى بيع در مزاحمت استطراق و لوازم آن تقدم دارد</w:t>
      </w:r>
      <w:r>
        <w:rPr>
          <w:rFonts w:eastAsia="IRNazanin" w:cs="IRNazanin"/>
          <w:color w:val="111111"/>
          <w:sz w:val="28"/>
          <w:szCs w:val="28"/>
          <w:rtl w:val="true"/>
          <w:lang w:bidi="fa-IR"/>
        </w:rPr>
        <w:t xml:space="preserve">. </w:t>
      </w:r>
      <w:bookmarkStart w:id="477" w:name="pg10275_96387"/>
    </w:p>
    <w:p>
      <w:pPr>
        <w:pStyle w:val="Heading5"/>
        <w:numPr>
          <w:ilvl w:val="4"/>
          <w:numId w:val="1"/>
        </w:numPr>
        <w:rPr/>
      </w:pPr>
      <w:bookmarkStart w:id="478" w:name="__RefHeading___Toc3971379_1067777946"/>
      <w:bookmarkStart w:id="479" w:name="_Toc197"/>
      <w:bookmarkEnd w:id="477"/>
      <w:bookmarkEnd w:id="478"/>
      <w:r>
        <w:rPr>
          <w:rtl w:val="true"/>
        </w:rPr>
        <w:t>گذاردن رحل و تأثير آن در جواز عود به محل</w:t>
      </w:r>
      <w:bookmarkEnd w:id="479"/>
    </w:p>
    <w:p>
      <w:pPr>
        <w:pStyle w:val="BookText"/>
        <w:rPr/>
      </w:pPr>
      <w:r>
        <w:rPr>
          <w:rFonts w:ascii="IRNazanin" w:hAnsi="IRNazanin" w:eastAsia="IRNazanin"/>
          <w:color w:val="111111"/>
          <w:sz w:val="28"/>
          <w:sz w:val="28"/>
          <w:szCs w:val="28"/>
          <w:rtl w:val="true"/>
          <w:lang w:bidi="fa-IR"/>
        </w:rPr>
        <w:t>و از جلوس جايز در طريق اگر قيام نمود و رفت، حقى در آن مكان ندارد اگر چه حاجتش استيفا نشده است در صورتى كه رحل خود را نگذاشته باشد؛ پس بعد از رفتن او اگر ديگرى جلوس جايز را در آن موضع اختيار نمود، نمى تواند پس از برگشتن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رحل و بساط خود را در آن محل گذاشته و براى حاجتى معتاد مثلاً رفته است با نيت عود، پس شبهه نيست كه مزاحمت با صاحب رحل، ايذا و ظلم محرّم است در همه مشتركات؛ لكن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احكام غصب در صورت مزاحمت و رفع يد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نمى شود بنا بر اظهر؛ و محل به اشتراك اصلى خودش باقى است، چه آن كه به ظلم ظالمى رفع يد يا رحل او بشود يا با وزيدن باد يا جريان سيل، رحل او ازاله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از سبق، مجرّد اولويت لزوميّه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مانع غير است تكليفاً از رفع يد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حقى قابل صلح و نقل و مورد احكام غصب</w:t>
      </w:r>
      <w:r>
        <w:rPr>
          <w:rFonts w:eastAsia="IRNazanin" w:cs="IRNazanin"/>
          <w:color w:val="111111"/>
          <w:sz w:val="28"/>
          <w:szCs w:val="28"/>
          <w:rtl w:val="true"/>
          <w:lang w:bidi="fa-IR"/>
        </w:rPr>
        <w:t>.</w:t>
      </w:r>
    </w:p>
    <w:p>
      <w:pPr>
        <w:pStyle w:val="Heading5"/>
        <w:numPr>
          <w:ilvl w:val="4"/>
          <w:numId w:val="1"/>
        </w:numPr>
        <w:rPr/>
      </w:pPr>
      <w:bookmarkStart w:id="480" w:name="__RefHeading___Toc3971381_1067777946"/>
      <w:bookmarkStart w:id="481" w:name="_Toc198"/>
      <w:bookmarkEnd w:id="480"/>
      <w:r>
        <w:rPr>
          <w:rtl w:val="true"/>
        </w:rPr>
        <w:t>نصب سايه بان و امثال آن در جاده</w:t>
      </w:r>
      <w:bookmarkEnd w:id="481"/>
    </w:p>
    <w:p>
      <w:pPr>
        <w:pStyle w:val="BookText"/>
        <w:rPr/>
      </w:pPr>
      <w:r>
        <w:rPr>
          <w:rFonts w:ascii="Amiri" w:hAnsi="Amiri" w:eastAsia="Amiri" w:cs="Amiri"/>
          <w:color w:val="111111"/>
          <w:sz w:val="28"/>
          <w:sz w:val="28"/>
          <w:szCs w:val="28"/>
          <w:rtl w:val="true"/>
          <w:lang w:bidi="ar-SA"/>
        </w:rPr>
        <w:t>و جواز تظليل و تسقيف و بناى دكّه براى جالس در طريق، تابع جواز جلوس و مقيد به عدم اضرار به عابرين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چه ذكر شد، طريق و مسجد و امثال آن مشتركند در اين كه انتفاع اصلى مقصود در آنها ثابت است كه استطراق و عبادت يا نماز است، و ارتفاقهاى غير اصلى، منوط به عدم اضرار به منتفعين در اصل است</w:t>
      </w:r>
      <w:r>
        <w:rPr>
          <w:rFonts w:eastAsia="IRNazanin" w:cs="IRNazanin"/>
          <w:color w:val="111111"/>
          <w:sz w:val="28"/>
          <w:szCs w:val="28"/>
          <w:rtl w:val="true"/>
          <w:lang w:bidi="fa-IR"/>
        </w:rPr>
        <w:t>.</w:t>
      </w:r>
    </w:p>
    <w:p>
      <w:pPr>
        <w:pStyle w:val="Heading5"/>
        <w:numPr>
          <w:ilvl w:val="4"/>
          <w:numId w:val="1"/>
        </w:numPr>
        <w:rPr/>
      </w:pPr>
      <w:bookmarkStart w:id="482" w:name="__RefHeading___Toc3971383_1067777946"/>
      <w:bookmarkStart w:id="483" w:name="_Toc199"/>
      <w:bookmarkEnd w:id="482"/>
      <w:r>
        <w:rPr>
          <w:rtl w:val="true"/>
        </w:rPr>
        <w:t>اناطۀ جواز تصرّف به عدم معلوميّت ضرر</w:t>
      </w:r>
      <w:bookmarkEnd w:id="4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جواز تصرفات ديگر ثابت است تا آن كه اضرار، فعلى و معلوم باشد نسبت به منتفع به اصل يا آن كه جايز نيست مگر با علم به عدم اضرار؟ و ثمره در صورت عدم </w:t>
      </w:r>
      <w:bookmarkStart w:id="484" w:name="pg10275_96388"/>
    </w:p>
    <w:p>
      <w:pPr>
        <w:pStyle w:val="BookText"/>
        <w:rPr/>
      </w:pPr>
      <w:bookmarkEnd w:id="484"/>
      <w:r>
        <w:rPr>
          <w:rFonts w:ascii="Amiri" w:hAnsi="Amiri" w:eastAsia="Amiri" w:cs="Amiri"/>
          <w:color w:val="111111"/>
          <w:sz w:val="28"/>
          <w:sz w:val="28"/>
          <w:szCs w:val="28"/>
          <w:rtl w:val="true"/>
          <w:lang w:bidi="ar-SA"/>
        </w:rPr>
        <w:t>امكان رفع يد بدون فاصله زمانيه معتدّ بها به مجرد علم به مزاحمت،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 اقرب به وضع سيره است، با آن كه علم به حرام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لازم حرمت و مفروض اين است كه غير تحريم، ثابت نيست در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در تصرفات غير اصليه بين جلوس براى بيع و شراء و لوازم آن و ساير تصرفات مقابله با انتفاع اصلى مقصود در طرق يا مساجد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فرقى بين صورت قصد دوام در آن تصرّف غير اصلى و صورت اتفاقى بودن آن نيست</w:t>
      </w:r>
      <w:r>
        <w:rPr>
          <w:rFonts w:eastAsia="IRNazanin" w:cs="IRNazanin"/>
          <w:color w:val="111111"/>
          <w:sz w:val="28"/>
          <w:szCs w:val="28"/>
          <w:rtl w:val="true"/>
          <w:lang w:bidi="fa-IR"/>
        </w:rPr>
        <w:t>.</w:t>
      </w:r>
    </w:p>
    <w:p>
      <w:pPr>
        <w:pStyle w:val="Heading5"/>
        <w:numPr>
          <w:ilvl w:val="4"/>
          <w:numId w:val="1"/>
        </w:numPr>
        <w:rPr/>
      </w:pPr>
      <w:bookmarkStart w:id="485" w:name="__RefHeading___Toc3971385_1067777946"/>
      <w:bookmarkStart w:id="486" w:name="_Toc200"/>
      <w:bookmarkEnd w:id="485"/>
      <w:r>
        <w:rPr>
          <w:rtl w:val="true"/>
        </w:rPr>
        <w:t>تصرّفاتى كه مصلحت طريق در آنها باشد</w:t>
      </w:r>
      <w:bookmarkEnd w:id="486"/>
    </w:p>
    <w:p>
      <w:pPr>
        <w:pStyle w:val="BookText"/>
        <w:rPr/>
      </w:pPr>
      <w:r>
        <w:rPr>
          <w:rFonts w:ascii="Amiri" w:hAnsi="Amiri" w:eastAsia="Amiri" w:cs="Amiri"/>
          <w:color w:val="111111"/>
          <w:sz w:val="28"/>
          <w:sz w:val="28"/>
          <w:szCs w:val="28"/>
          <w:rtl w:val="true"/>
          <w:lang w:bidi="ar-SA"/>
        </w:rPr>
        <w:t xml:space="preserve">و تصرفاتى كه مصلحت طريق در آنها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فرش كردن مناسب و ازالۀ موانع و حفر بالوعه به نحو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از آنها نيست</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3971387_1067777946"/>
      <w:bookmarkStart w:id="488" w:name="_Toc201"/>
      <w:bookmarkEnd w:id="487"/>
      <w:r>
        <w:rPr>
          <w:rtl w:val="true"/>
        </w:rPr>
        <w:t>عدم جواز تحجير براى تملّك در مشتركات</w:t>
      </w:r>
      <w:bookmarkEnd w:id="488"/>
    </w:p>
    <w:p>
      <w:pPr>
        <w:pStyle w:val="BookText"/>
        <w:rPr/>
      </w:pPr>
      <w:r>
        <w:rPr>
          <w:rFonts w:ascii="IRNazanin" w:hAnsi="IRNazanin" w:eastAsia="IRNazanin"/>
          <w:color w:val="111111"/>
          <w:sz w:val="28"/>
          <w:sz w:val="28"/>
          <w:szCs w:val="28"/>
          <w:rtl w:val="true"/>
          <w:lang w:bidi="fa-IR"/>
        </w:rPr>
        <w:t>و تحجير براى تملك به احيا و احيا به قصد تملك، در هيچ كدام از مشتركات جايز نيست، بلكه احياى مناسب در آنها براى مسلمين و هر كه به حكم آنها است در جهات مقصوده حاصل شده است و همه مشترك در انتفاع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اقطاع جايز نيست براى سلطان، نسبت به شخص يا جماعتى؛ اگر چه سلطان معصوم، فعل او محمول بر صحيح مى شود</w:t>
      </w:r>
      <w:r>
        <w:rPr>
          <w:rFonts w:eastAsia="IRNazanin" w:cs="IRNazanin"/>
          <w:color w:val="111111"/>
          <w:sz w:val="28"/>
          <w:szCs w:val="28"/>
          <w:rtl w:val="true"/>
          <w:lang w:bidi="fa-IR"/>
        </w:rPr>
        <w:t>.</w:t>
      </w:r>
    </w:p>
    <w:p>
      <w:pPr>
        <w:pStyle w:val="Heading5"/>
        <w:numPr>
          <w:ilvl w:val="4"/>
          <w:numId w:val="1"/>
        </w:numPr>
        <w:rPr/>
      </w:pPr>
      <w:bookmarkStart w:id="489" w:name="__RefHeading___Toc3971389_1067777946"/>
      <w:bookmarkStart w:id="490" w:name="_Toc202"/>
      <w:bookmarkEnd w:id="489"/>
      <w:r>
        <w:rPr>
          <w:rtl w:val="true"/>
        </w:rPr>
        <w:t>سبقت دو نفر در انتفاع مشتركات</w:t>
      </w:r>
      <w:bookmarkEnd w:id="49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با هم سبقت گرفتند، ظاهراً انتفاع ثالث جايز نيست؛ و در صورتى كه صلح ممكن است اگر چه به تنصيف موضع يا تمام در دو روز يا با ارضاى يكى ديگرى را، انجام داده مى شود؛ و اگر انجام نشد، عدول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فقد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ترجيح مشروعى رفع نزاع مى نمايند مثل احوجيّت يكى يا انفعيّت شغل او براى عموم يا اقليت مقدار متصرفۀ از طريق عموم كه شارع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عنوان اين فرع در غير اين مقام از مباحات اصليه انسب است</w:t>
      </w:r>
      <w:r>
        <w:rPr>
          <w:rFonts w:eastAsia="IRNazanin" w:cs="IRNazanin"/>
          <w:color w:val="111111"/>
          <w:sz w:val="28"/>
          <w:szCs w:val="28"/>
          <w:rtl w:val="true"/>
          <w:lang w:bidi="fa-IR"/>
        </w:rPr>
        <w:t xml:space="preserve">. </w:t>
      </w:r>
      <w:bookmarkStart w:id="491" w:name="pg10275_96389"/>
    </w:p>
    <w:p>
      <w:pPr>
        <w:pStyle w:val="BookText"/>
        <w:rPr/>
      </w:pPr>
      <w:bookmarkEnd w:id="491"/>
      <w:r>
        <w:rPr>
          <w:rFonts w:ascii="IRNazanin" w:hAnsi="IRNazanin" w:eastAsia="IRNazanin"/>
          <w:color w:val="111111"/>
          <w:sz w:val="28"/>
          <w:sz w:val="28"/>
          <w:szCs w:val="28"/>
          <w:rtl w:val="true"/>
          <w:lang w:bidi="fa-IR"/>
        </w:rPr>
        <w:t>اگر خريد خانه اى را كه در حدود معينۀ آن مقدارى از طريق بوده، احوط براى مشترى، ردّ زيادتى است به اصل آن كه طريق است، چه آن كه بايع تفاوت از ثمن را رد نمايد يا نه</w:t>
      </w:r>
      <w:r>
        <w:rPr>
          <w:rFonts w:eastAsia="IRNazanin" w:cs="IRNazanin"/>
          <w:color w:val="111111"/>
          <w:sz w:val="28"/>
          <w:szCs w:val="28"/>
          <w:rtl w:val="true"/>
          <w:lang w:bidi="fa-IR"/>
        </w:rPr>
        <w:t>.</w:t>
      </w:r>
    </w:p>
    <w:p>
      <w:pPr>
        <w:pStyle w:val="Heading5"/>
        <w:numPr>
          <w:ilvl w:val="4"/>
          <w:numId w:val="1"/>
        </w:numPr>
        <w:rPr/>
      </w:pPr>
      <w:bookmarkStart w:id="492" w:name="__RefHeading___Toc3971391_1067777946"/>
      <w:bookmarkStart w:id="493" w:name="_Toc203"/>
      <w:bookmarkEnd w:id="492"/>
      <w:r>
        <w:rPr>
          <w:rtl w:val="true"/>
        </w:rPr>
        <w:t>تصرّف در فضاى طرق</w:t>
      </w:r>
      <w:bookmarkEnd w:id="493"/>
    </w:p>
    <w:p>
      <w:pPr>
        <w:pStyle w:val="BookText"/>
        <w:rPr/>
      </w:pPr>
      <w:r>
        <w:rPr>
          <w:rFonts w:ascii="IRNazanin" w:hAnsi="IRNazanin" w:eastAsia="IRNazanin"/>
          <w:color w:val="111111"/>
          <w:sz w:val="28"/>
          <w:sz w:val="28"/>
          <w:szCs w:val="28"/>
          <w:rtl w:val="true"/>
          <w:lang w:bidi="fa-IR"/>
        </w:rPr>
        <w:t>و اما تصرّف در فضا به مثل اخراج روشن</w:t>
      </w:r>
      <w:r>
        <w:rPr>
          <w:rStyle w:val="FootnoteAnchor"/>
          <w:rtl w:val="true"/>
        </w:rPr>
        <w:footnoteReference w:id="6"/>
      </w:r>
      <w:r>
        <w:rPr>
          <w:rFonts w:ascii="IRNazanin" w:hAnsi="IRNazanin" w:eastAsia="IRNazanin"/>
          <w:color w:val="111111"/>
          <w:sz w:val="28"/>
          <w:sz w:val="28"/>
          <w:szCs w:val="28"/>
          <w:rtl w:val="true"/>
          <w:lang w:bidi="fa-IR"/>
        </w:rPr>
        <w:t>و جناح و ساباط</w:t>
      </w:r>
      <w:r>
        <w:rPr>
          <w:rStyle w:val="FootnoteAnchor"/>
          <w:rtl w:val="true"/>
        </w:rPr>
        <w:footnoteReference w:id="7"/>
      </w:r>
      <w:r>
        <w:rPr>
          <w:rFonts w:ascii="Amiri" w:hAnsi="Amiri" w:eastAsia="Amiri" w:cs="Amiri"/>
          <w:color w:val="111111"/>
          <w:sz w:val="28"/>
          <w:sz w:val="28"/>
          <w:szCs w:val="28"/>
          <w:rtl w:val="true"/>
          <w:lang w:bidi="ar-SA"/>
        </w:rPr>
        <w:t>و فتح باب و نصب ميزاب</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نحوى كه در كتاب صلح مذكور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در صورت عدم اضرار به مارّه و عدم تصرّف در حائط مقابل خانه متصرِف</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3971393_1067777946"/>
      <w:bookmarkStart w:id="495" w:name="_Toc204"/>
      <w:bookmarkEnd w:id="494"/>
      <w:r>
        <w:rPr>
          <w:rtl w:val="true"/>
        </w:rPr>
        <w:t>راه اختصاصى</w:t>
      </w:r>
      <w:bookmarkEnd w:id="495"/>
    </w:p>
    <w:p>
      <w:pPr>
        <w:pStyle w:val="BookText"/>
        <w:rPr/>
      </w:pPr>
      <w:r>
        <w:rPr>
          <w:rFonts w:ascii="Amiri" w:hAnsi="Amiri" w:eastAsia="Amiri" w:cs="Amiri"/>
          <w:color w:val="111111"/>
          <w:sz w:val="28"/>
          <w:sz w:val="28"/>
          <w:szCs w:val="28"/>
          <w:rtl w:val="true"/>
          <w:lang w:bidi="ar-SA"/>
        </w:rPr>
        <w:t>و اما طريق غير نافذ</w:t>
      </w:r>
      <w:r>
        <w:rPr>
          <w:rStyle w:val="FootnoteAnchor"/>
          <w:rtl w:val="true"/>
        </w:rPr>
        <w:footnoteReference w:id="9"/>
      </w:r>
      <w:r>
        <w:rPr>
          <w:rFonts w:ascii="IRNazanin" w:hAnsi="IRNazanin" w:eastAsia="IRNazanin"/>
          <w:color w:val="111111"/>
          <w:sz w:val="28"/>
          <w:sz w:val="28"/>
          <w:szCs w:val="28"/>
          <w:rtl w:val="true"/>
          <w:lang w:bidi="fa-IR"/>
        </w:rPr>
        <w:t>كه از آن به طريقى يا مباحى ديگر سلوك نمى شود و از سه طرف محاط به خانه يا ديوار است پس مملوك صاحبان آن است كه در اين طريق از خانه ايشان دربى باز مى شود؛ و هيچ كدام از صاحبان بدون اذن بقيّه تصرّف در آن نمى توانند بنمايند، و همچنين در فضاى آن اگر چه تصرّف مضرّ به مارّه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وقت خواستند بين خودشان تقسيم مى نمايند و حصه اصليۀ خود را هر كسى داخل در خانه خود مى نمايد با رضايت 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جواز تصرّف غير مضرّ به مارّه تا وقتى يكى از اهل طريق منع نمايد، خالى از وجه نيست؛ به خلاف طريق نافذ كه آن چه شرعاً جايز است كسى حق منع از آن را ندارد</w:t>
      </w:r>
      <w:r>
        <w:rPr>
          <w:rFonts w:eastAsia="IRNazanin" w:cs="IRNazanin"/>
          <w:color w:val="111111"/>
          <w:sz w:val="28"/>
          <w:szCs w:val="28"/>
          <w:rtl w:val="true"/>
          <w:lang w:bidi="fa-IR"/>
        </w:rPr>
        <w:t>.</w:t>
      </w:r>
    </w:p>
    <w:p>
      <w:pPr>
        <w:pStyle w:val="Heading5"/>
        <w:numPr>
          <w:ilvl w:val="4"/>
          <w:numId w:val="1"/>
        </w:numPr>
        <w:rPr/>
      </w:pPr>
      <w:bookmarkStart w:id="496" w:name="__RefHeading___Toc3971395_1067777946"/>
      <w:bookmarkStart w:id="497" w:name="_Toc205"/>
      <w:bookmarkEnd w:id="496"/>
      <w:r>
        <w:rPr>
          <w:rtl w:val="true"/>
        </w:rPr>
        <w:t>نحوۀ اشتراك در راه غير نافذ</w:t>
      </w:r>
      <w:bookmarkEnd w:id="49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اين است كه طريق غير نافذ، مشترك است بين صاحبان آن به ترتيب ديوارهاى </w:t>
      </w:r>
      <w:bookmarkStart w:id="498" w:name="pg10275_96390"/>
    </w:p>
    <w:p>
      <w:pPr>
        <w:pStyle w:val="BookText"/>
        <w:rPr/>
      </w:pPr>
      <w:bookmarkEnd w:id="498"/>
      <w:r>
        <w:rPr>
          <w:rFonts w:ascii="IRNazanin" w:hAnsi="IRNazanin" w:eastAsia="IRNazanin"/>
          <w:color w:val="111111"/>
          <w:sz w:val="28"/>
          <w:sz w:val="28"/>
          <w:szCs w:val="28"/>
          <w:rtl w:val="true"/>
          <w:lang w:bidi="fa-IR"/>
        </w:rPr>
        <w:t>خانه ها؛ پس كسى در اعلى از ديوار خانه خود حق ندارد؛ و اعلى در ادنى حق دارد؛ و صاحب هر خانه مى تواند فتح باب از ديوار خودش از هر جا اگر چه متعدد باشد بنمايد</w:t>
      </w:r>
      <w:r>
        <w:rPr>
          <w:rFonts w:eastAsia="IRNazanin" w:cs="IRNazanin"/>
          <w:color w:val="111111"/>
          <w:sz w:val="28"/>
          <w:szCs w:val="28"/>
          <w:rtl w:val="true"/>
          <w:lang w:bidi="fa-IR"/>
        </w:rPr>
        <w:t>.</w:t>
      </w:r>
    </w:p>
    <w:p>
      <w:pPr>
        <w:pStyle w:val="Heading5"/>
        <w:numPr>
          <w:ilvl w:val="4"/>
          <w:numId w:val="1"/>
        </w:numPr>
        <w:rPr/>
      </w:pPr>
      <w:bookmarkStart w:id="499" w:name="__RefHeading___Toc3971397_1067777946"/>
      <w:bookmarkStart w:id="500" w:name="_Toc206"/>
      <w:bookmarkEnd w:id="499"/>
      <w:r>
        <w:rPr>
          <w:rtl w:val="true"/>
        </w:rPr>
        <w:t>اناطۀ فتح باب به اذن همه به خلاف پنجره</w:t>
      </w:r>
      <w:bookmarkEnd w:id="500"/>
    </w:p>
    <w:p>
      <w:pPr>
        <w:pStyle w:val="BookText"/>
        <w:rPr/>
      </w:pPr>
      <w:r>
        <w:rPr>
          <w:rFonts w:ascii="IRNazanin" w:hAnsi="IRNazanin" w:eastAsia="IRNazanin"/>
          <w:color w:val="111111"/>
          <w:sz w:val="28"/>
          <w:sz w:val="28"/>
          <w:szCs w:val="28"/>
          <w:rtl w:val="true"/>
          <w:lang w:bidi="fa-IR"/>
        </w:rPr>
        <w:t>كسى كه ديوار او به طريق غير نافذ باشد و دربى در آن نداشته باشد نمى تواند فتح بابى براى استطراق در آن طريق نمايد مگر با اذن همه اهل آن طريق و صاحبان دروب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مى تواند فتح شباك و دريچه و روزنه در آن طريق نمايد براى استضائه و جريان هوا و نحو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پايين و به جاى درب باشد و لكن استطراق از آن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تصرّف در ديوار مملوك خودش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اهل طريق غير نافذ تا آخر ديوار خانه خودش مى تواند تصرّف نمايد به تصرفات معتاده غير مزاحمه با ديگران، بدون استيذان از ديگران و بدون رعايت مساوات با تصرفات ديگران، چه آن كه مربوط به خودش يا متعلقين و مهمانهاى خودش باشد، و همچنين بازگذاشتن درِ آن در وقت ادخال يا اخراج از خانه، بدون فرق بين صورت وجود صغير و مولّى عليه در صاحبان طريق يا نه</w:t>
      </w:r>
      <w:r>
        <w:rPr>
          <w:rFonts w:eastAsia="IRNazanin" w:cs="IRNazanin"/>
          <w:color w:val="111111"/>
          <w:sz w:val="28"/>
          <w:szCs w:val="28"/>
          <w:rtl w:val="true"/>
          <w:lang w:bidi="fa-IR"/>
        </w:rPr>
        <w:t>.</w:t>
      </w:r>
    </w:p>
    <w:p>
      <w:pPr>
        <w:pStyle w:val="Heading5"/>
        <w:numPr>
          <w:ilvl w:val="4"/>
          <w:numId w:val="1"/>
        </w:numPr>
        <w:rPr/>
      </w:pPr>
      <w:bookmarkStart w:id="501" w:name="__RefHeading___Toc3971399_1067777946"/>
      <w:bookmarkStart w:id="502" w:name="_Toc207"/>
      <w:bookmarkEnd w:id="501"/>
      <w:r>
        <w:rPr>
          <w:rtl w:val="true"/>
        </w:rPr>
        <w:t>نحوۀ محقق شدن راه عمومى</w:t>
      </w:r>
      <w:bookmarkEnd w:id="502"/>
    </w:p>
    <w:p>
      <w:pPr>
        <w:pStyle w:val="BookText"/>
        <w:rPr/>
      </w:pPr>
      <w:r>
        <w:rPr>
          <w:rFonts w:ascii="Amiri" w:hAnsi="Amiri" w:eastAsia="Amiri" w:cs="Amiri"/>
          <w:color w:val="111111"/>
          <w:sz w:val="28"/>
          <w:sz w:val="28"/>
          <w:szCs w:val="28"/>
          <w:rtl w:val="true"/>
          <w:lang w:bidi="ar-SA"/>
        </w:rPr>
        <w:t>شارع عام و طريق نافذ تحقق آن به طرقى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اين كه قوافل و مسافرين از طريقى در موات استطراق نمايند مرّات عديده به طورى كه گفته شود راه اين مقصد همين است و عملاً براى اين جهت احيا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شخصى از ملك شخصى خودش راهى باز نمايد براى مقصدى براى عموم مردم و بعضى از آن راه سلوك نمايند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جماعتى در ضمن احياى قريه اى از موات، مسلكى را نافذ در آن </w:t>
      </w:r>
    </w:p>
    <w:p>
      <w:pPr>
        <w:pStyle w:val="BookText"/>
        <w:rPr/>
      </w:pPr>
      <w:r>
        <w:rPr>
          <w:rFonts w:ascii="Amiri" w:hAnsi="Amiri" w:eastAsia="Amiri" w:cs="Amiri"/>
          <w:color w:val="111111"/>
          <w:sz w:val="28"/>
          <w:sz w:val="28"/>
          <w:szCs w:val="28"/>
          <w:rtl w:val="true"/>
          <w:lang w:bidi="ar-SA"/>
        </w:rPr>
        <w:t>معين نمايند كه معبر بين خانه هاى آن قريه باشد و مفتوح باشد از 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 عام اگر واقع بين املاك اشخاص بود، حريم ندارد؛ پس موات واقع بين املاك اشخاص اگر محلّ استطراق شد و شارع شد، توسيع آن بر كسى نيست اگر چه كمتر از محل حاجت عابرين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اگر محدود به موات از دو طرف يا يك طرف باشد، حريم براى آن ثابت است و ديگران نمى توانند احيا نمايند براى خودشان مواتى را در طرفين يا يك طرف به حدى كه باقى براى شارع، كمتر از هفت ذراع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احتياج فعلى به بيش از هفت ذراع باشد، مى توانند عابرين، تصرّف براى شارع در طرفين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موات يا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و ديگران نمى توانند متصرَّفِ براى شارع را احيا براى اغراض شخصيه خودشان نمايند؛ بلكه توسعه شارع، به منزله احداث شارع در موات است كه براى احتياج عابرين جايز است با تصدى حاكم يا عدول مؤمنين در صورت فقد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بر آمدن اين مطلب از مردم به حسب دعوت حاجت و ضرورت و جريان امر آنها به استطراق ازيد در صورتى كه به محذور ديگرى منتهى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است بر اين، اين كه اگر ملك شخصى در بين موات به قدر چهار ذراع مثلاً بود و آن را تسبيل براى طريق بودن نمود، ديگران نمى توانند طرفين آن را احيا نمايند تا حدّى كه براى طريق، كمتر از هفت ذراع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موات در يك طرف فقط باشد، حريم در آن طرف خواهد بود به نحو مذكور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دو طرف باشد و لكن شخصى سبقت گرفت و يك طرف را براى تملك احيا نمود، حريم در طرف ديگر متعين و منحصر مى شود اگر در ابتداى طريق باشد؛ و اما در اثناى طريق پس اگر مستلزم صعوبت عبور بر عابرين باشد به سبب انحناى جاده از استقامت، محتمل است كه احياى از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مستلزم انحراف عابرين و قوافل است و وقوع در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نباشد مگر آن كه توقع حاجت به ازيد و انتهاى </w:t>
      </w:r>
      <w:bookmarkStart w:id="503" w:name="pg10275_96392"/>
    </w:p>
    <w:p>
      <w:pPr>
        <w:pStyle w:val="BookText"/>
        <w:rPr/>
      </w:pPr>
      <w:bookmarkEnd w:id="503"/>
      <w:r>
        <w:rPr>
          <w:rFonts w:ascii="IRNazanin" w:hAnsi="IRNazanin" w:eastAsia="IRNazanin"/>
          <w:color w:val="111111"/>
          <w:sz w:val="28"/>
          <w:sz w:val="28"/>
          <w:szCs w:val="28"/>
          <w:rtl w:val="true"/>
          <w:lang w:bidi="fa-IR"/>
        </w:rPr>
        <w:t>به نزاع مترقب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استطراق، ممتنع يا ممنوع شد به سببى كه مرجوّ الزوال نباشد و طريق معطل شد در موات قبل از استطراق، برمى گردد به اصل و جايز است تملك آن به احيا؛ و در مسبَّل حكم موقوف متعذر المنفعة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عرض طريق از هفت ذراع ازيد باشد، پس در مسبَّل، تصرّف در زايد جايز نيست؛ و در غير آن، در صورت احتياج به زايد ايضاً ناقص نمى شود به احياى ديگران، و در صورت عدم احتياج و توقع آن، اظهر جواز تملك به احياى خصوص مقدار زايد از حاجت و از هفت ذراع است</w:t>
      </w:r>
      <w:r>
        <w:rPr>
          <w:rFonts w:eastAsia="IRNazanin" w:cs="IRNazanin"/>
          <w:color w:val="111111"/>
          <w:sz w:val="28"/>
          <w:szCs w:val="28"/>
          <w:rtl w:val="true"/>
          <w:lang w:bidi="fa-IR"/>
        </w:rPr>
        <w:t>.</w:t>
      </w:r>
    </w:p>
    <w:p>
      <w:pPr>
        <w:pStyle w:val="Heading4"/>
        <w:numPr>
          <w:ilvl w:val="3"/>
          <w:numId w:val="1"/>
        </w:numPr>
        <w:rPr/>
      </w:pPr>
      <w:bookmarkStart w:id="504" w:name="__RefHeading___Toc3971401_1067777946"/>
      <w:bookmarkStart w:id="505" w:name="_Toc208"/>
      <w:bookmarkEnd w:id="504"/>
      <w:r>
        <w:rPr/>
        <w:t>2</w:t>
      </w:r>
      <w:r>
        <w:rPr>
          <w:rtl w:val="true"/>
        </w:rPr>
        <w:t xml:space="preserve">. </w:t>
      </w:r>
      <w:r>
        <w:rPr>
          <w:rtl w:val="true"/>
        </w:rPr>
        <w:t>مساجد و احكام آن</w:t>
      </w:r>
      <w:bookmarkEnd w:id="505"/>
    </w:p>
    <w:p>
      <w:pPr>
        <w:pStyle w:val="Heading5"/>
        <w:numPr>
          <w:ilvl w:val="4"/>
          <w:numId w:val="1"/>
        </w:numPr>
        <w:rPr/>
      </w:pPr>
      <w:bookmarkStart w:id="506" w:name="__RefHeading___Toc3971403_1067777946"/>
      <w:bookmarkStart w:id="507" w:name="_Toc209"/>
      <w:bookmarkEnd w:id="506"/>
      <w:r>
        <w:rPr>
          <w:rtl w:val="true"/>
        </w:rPr>
        <w:t>سبقت در اخذ مكان در مسجد</w:t>
      </w:r>
      <w:bookmarkEnd w:id="507"/>
    </w:p>
    <w:p>
      <w:pPr>
        <w:pStyle w:val="BookText"/>
        <w:rPr/>
      </w:pPr>
      <w:r>
        <w:rPr>
          <w:rFonts w:ascii="IRNazanin" w:hAnsi="IRNazanin" w:eastAsia="IRNazanin"/>
          <w:color w:val="111111"/>
          <w:sz w:val="28"/>
          <w:sz w:val="28"/>
          <w:szCs w:val="28"/>
          <w:rtl w:val="true"/>
          <w:lang w:bidi="fa-IR"/>
        </w:rPr>
        <w:t xml:space="preserve">در مسجد، همه مسلمانان شريكند در انتفاع به آن؛ و اگر يك مسلمانى سبقت گرفت به سوى مكانى از آن، احق به آن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باقى است، براى هر امرى مشروع باشد</w:t>
      </w:r>
      <w:r>
        <w:rPr>
          <w:rFonts w:eastAsia="IRNazanin" w:cs="IRNazanin"/>
          <w:color w:val="111111"/>
          <w:sz w:val="28"/>
          <w:szCs w:val="28"/>
          <w:rtl w:val="true"/>
          <w:lang w:bidi="fa-IR"/>
        </w:rPr>
        <w:t>.</w:t>
      </w:r>
    </w:p>
    <w:p>
      <w:pPr>
        <w:pStyle w:val="Heading5"/>
        <w:numPr>
          <w:ilvl w:val="4"/>
          <w:numId w:val="1"/>
        </w:numPr>
        <w:rPr/>
      </w:pPr>
      <w:bookmarkStart w:id="508" w:name="__RefHeading___Toc3971405_1067777946"/>
      <w:bookmarkStart w:id="509" w:name="_Toc210"/>
      <w:bookmarkEnd w:id="508"/>
      <w:r>
        <w:rPr>
          <w:rtl w:val="true"/>
        </w:rPr>
        <w:t>لزوم عدم مزاحمت با نماز، قرائت قرآن و تدريس</w:t>
      </w:r>
      <w:bookmarkEnd w:id="509"/>
    </w:p>
    <w:p>
      <w:pPr>
        <w:pStyle w:val="BookText"/>
        <w:rPr/>
      </w:pPr>
      <w:r>
        <w:rPr>
          <w:rFonts w:ascii="IRNazanin" w:hAnsi="IRNazanin" w:eastAsia="IRNazanin"/>
          <w:color w:val="111111"/>
          <w:sz w:val="28"/>
          <w:sz w:val="28"/>
          <w:szCs w:val="28"/>
          <w:rtl w:val="true"/>
          <w:lang w:bidi="fa-IR"/>
        </w:rPr>
        <w:t>بلى مزاحمت با متعبدين به نماز يا قرائت قرآن يا تدريس علوم دينيه و مقدمات آنها و ساير عبادات نمى تواند نمايد؛ چنان كه متعبدين، با نماز مزاحمت نمى توانند نمايند در صورت عدم امكان جمع بنا بر احوط؛ و مصلّين به نحو انفراد، با جماعت مزاحمت ننمايند بنا بر اولى و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اينها در صورت عدم تحقق عنوان ثانوى به نحوى كه واضح و آشكار باشد نزد طرفين، با متولى امين با صحت توليت، يا حاكم شرع در صورت نبودن ما سبق</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3971407_1067777946"/>
      <w:bookmarkStart w:id="511" w:name="_Toc211"/>
      <w:bookmarkEnd w:id="510"/>
      <w:r>
        <w:rPr>
          <w:rtl w:val="true"/>
        </w:rPr>
        <w:t>رفع يد از مكان در مسجد</w:t>
      </w:r>
      <w:bookmarkEnd w:id="5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رفع يد كرد از آن مقام يا آن كه قبل از اتمام مقصود خارج شد و رحلى </w:t>
      </w:r>
      <w:bookmarkStart w:id="512" w:name="pg10275_96393"/>
    </w:p>
    <w:p>
      <w:pPr>
        <w:pStyle w:val="BookText"/>
        <w:rPr/>
      </w:pPr>
      <w:bookmarkEnd w:id="512"/>
      <w:r>
        <w:rPr>
          <w:rFonts w:ascii="IRNazanin" w:hAnsi="IRNazanin" w:eastAsia="IRNazanin"/>
          <w:color w:val="111111"/>
          <w:sz w:val="28"/>
          <w:sz w:val="28"/>
          <w:szCs w:val="28"/>
          <w:rtl w:val="true"/>
          <w:lang w:bidi="fa-IR"/>
        </w:rPr>
        <w:t xml:space="preserve">نگذاشت، حق او منتفى است اگر چه با نيّت عود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رحلى گذاشت و رفتن او براى لوازم بقاى مثل تطهير بود، حق او باقيست با عدم طول زمان مفارقت؛ و در صورت طول زمان و بقاى رحل براى حفظ نوبت ديگر در جماعت، احوط بقاى حق او است نسبت به ديگران تا زمان انعقاد جماعت يا خلل در صف به واسطۀ فرجۀ در محل رحل او، و در اين صورت ديگرى مى تواند با رفع رحل، تصرّف صلاتى و جماعتى در آن محل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ذكر شد كه احوط است، خالى از وجه مستند به صدق سبق نيست</w:t>
      </w:r>
      <w:r>
        <w:rPr>
          <w:rFonts w:eastAsia="IRNazanin" w:cs="IRNazanin"/>
          <w:color w:val="111111"/>
          <w:sz w:val="28"/>
          <w:szCs w:val="28"/>
          <w:rtl w:val="true"/>
          <w:lang w:bidi="fa-IR"/>
        </w:rPr>
        <w:t>.</w:t>
      </w:r>
    </w:p>
    <w:p>
      <w:pPr>
        <w:pStyle w:val="Heading5"/>
        <w:numPr>
          <w:ilvl w:val="4"/>
          <w:numId w:val="1"/>
        </w:numPr>
        <w:rPr/>
      </w:pPr>
      <w:bookmarkStart w:id="513" w:name="__RefHeading___Toc3971409_1067777946"/>
      <w:bookmarkStart w:id="514" w:name="_Toc212"/>
      <w:bookmarkEnd w:id="513"/>
      <w:r>
        <w:rPr>
          <w:rtl w:val="true"/>
        </w:rPr>
        <w:t>تصرّف در مكان ديگرى با رسيدن وقت نماز</w:t>
      </w:r>
      <w:bookmarkEnd w:id="514"/>
    </w:p>
    <w:p>
      <w:pPr>
        <w:pStyle w:val="BookText"/>
        <w:rPr/>
      </w:pPr>
      <w:r>
        <w:rPr>
          <w:rFonts w:ascii="IRNazanin" w:hAnsi="IRNazanin" w:eastAsia="IRNazanin"/>
          <w:color w:val="111111"/>
          <w:sz w:val="28"/>
          <w:sz w:val="28"/>
          <w:szCs w:val="28"/>
          <w:rtl w:val="true"/>
          <w:lang w:bidi="fa-IR"/>
        </w:rPr>
        <w:t xml:space="preserve">و اظهر مراعىٰ بودن بقاى حق، به رجوع قبل از صلات است در وقت صلات؛ و اما ما بين وقت رفتن او و وقت صلات، اظهر عدم بقاى حق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تصرّف در آن مكان نمايد بدون هيچ مانعى است، و تصرّف در رحل، موجب ضمان و اشكال نيست، زيرا لازمۀ وضع رحل در زمان نبودن او تعريض رحل به رفع موقّت يا غير موقّت است، بلى رعايت مى نمايد اقرب به رضاى صاحب آن از رفع يا نماز در آن را در تصرفى كه جايز است؛ و اما بعد از تحقق صلات، پس متعين، رفع است براى مصلّى ديگر</w:t>
      </w:r>
      <w:r>
        <w:rPr>
          <w:rFonts w:eastAsia="IRNazanin" w:cs="IRNazanin"/>
          <w:color w:val="111111"/>
          <w:sz w:val="28"/>
          <w:szCs w:val="28"/>
          <w:rtl w:val="true"/>
          <w:lang w:bidi="fa-IR"/>
        </w:rPr>
        <w:t>.</w:t>
      </w:r>
    </w:p>
    <w:p>
      <w:pPr>
        <w:pStyle w:val="Heading5"/>
        <w:numPr>
          <w:ilvl w:val="4"/>
          <w:numId w:val="1"/>
        </w:numPr>
        <w:rPr/>
      </w:pPr>
      <w:bookmarkStart w:id="515" w:name="__RefHeading___Toc3971411_1067777946"/>
      <w:bookmarkStart w:id="516" w:name="_Toc213"/>
      <w:bookmarkEnd w:id="515"/>
      <w:r>
        <w:rPr>
          <w:rtl w:val="true"/>
        </w:rPr>
        <w:t>آن چه با آن حق سبق يا بقاى آن حادث مى شود</w:t>
      </w:r>
      <w:bookmarkEnd w:id="516"/>
    </w:p>
    <w:p>
      <w:pPr>
        <w:pStyle w:val="BookText"/>
        <w:rPr/>
      </w:pPr>
      <w:r>
        <w:rPr>
          <w:rFonts w:ascii="IRNazanin" w:hAnsi="IRNazanin" w:eastAsia="IRNazanin"/>
          <w:color w:val="111111"/>
          <w:sz w:val="28"/>
          <w:sz w:val="28"/>
          <w:szCs w:val="28"/>
          <w:rtl w:val="true"/>
          <w:lang w:bidi="fa-IR"/>
        </w:rPr>
        <w:t>و آيا آن چه در بقاى حق كافى است از رحل، در حدوث سبق به آن مكان كافى است اگر چه قليلى از اشيا باشد از منديل يا تربت با علامت اختصاص‌؟ راجح دومى است</w:t>
      </w:r>
      <w:r>
        <w:rPr>
          <w:rFonts w:eastAsia="IRNazanin" w:cs="IRNazanin"/>
          <w:color w:val="111111"/>
          <w:sz w:val="28"/>
          <w:szCs w:val="28"/>
          <w:rtl w:val="true"/>
          <w:lang w:bidi="fa-IR"/>
        </w:rPr>
        <w:t>.</w:t>
      </w:r>
    </w:p>
    <w:p>
      <w:pPr>
        <w:pStyle w:val="Heading5"/>
        <w:numPr>
          <w:ilvl w:val="4"/>
          <w:numId w:val="1"/>
        </w:numPr>
        <w:rPr/>
      </w:pPr>
      <w:bookmarkStart w:id="517" w:name="__RefHeading___Toc3971413_1067777946"/>
      <w:bookmarkStart w:id="518" w:name="_Toc214"/>
      <w:bookmarkEnd w:id="517"/>
      <w:r>
        <w:rPr>
          <w:rtl w:val="true"/>
        </w:rPr>
        <w:t>توكيل در اخذ مكان در مسجد</w:t>
      </w:r>
      <w:bookmarkEnd w:id="51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دور نيست قابليت اين مطلب براى توكيل و استنابت و عدم لزوم مباشرت به تحقق كون در مكانى از مسجد</w:t>
      </w:r>
      <w:r>
        <w:rPr>
          <w:rFonts w:eastAsia="Amiri" w:cs="Amiri" w:ascii="Amiri" w:hAnsi="Amiri"/>
          <w:color w:val="111111"/>
          <w:sz w:val="28"/>
          <w:szCs w:val="28"/>
          <w:rtl w:val="true"/>
          <w:lang w:bidi="ar-SA"/>
        </w:rPr>
        <w:t xml:space="preserve">. </w:t>
      </w:r>
      <w:bookmarkStart w:id="519" w:name="pg10275_96394"/>
    </w:p>
    <w:p>
      <w:pPr>
        <w:pStyle w:val="Heading5"/>
        <w:numPr>
          <w:ilvl w:val="4"/>
          <w:numId w:val="1"/>
        </w:numPr>
        <w:rPr/>
      </w:pPr>
      <w:bookmarkStart w:id="520" w:name="__RefHeading___Toc3971415_1067777946"/>
      <w:bookmarkStart w:id="521" w:name="_Toc215"/>
      <w:bookmarkEnd w:id="519"/>
      <w:bookmarkEnd w:id="520"/>
      <w:r>
        <w:rPr>
          <w:rtl w:val="true"/>
        </w:rPr>
        <w:t>عدم بطلان نماز با اخذ حق ديگرى</w:t>
      </w:r>
      <w:bookmarkEnd w:id="521"/>
    </w:p>
    <w:p>
      <w:pPr>
        <w:pStyle w:val="BookText"/>
        <w:rPr/>
      </w:pPr>
      <w:r>
        <w:rPr>
          <w:rFonts w:ascii="Amiri" w:hAnsi="Amiri" w:eastAsia="Amiri" w:cs="Amiri"/>
          <w:color w:val="111111"/>
          <w:sz w:val="28"/>
          <w:sz w:val="28"/>
          <w:szCs w:val="28"/>
          <w:rtl w:val="true"/>
          <w:lang w:bidi="ar-SA"/>
        </w:rPr>
        <w:t>و در هر صورت، اولويت، غايت او حصول اثم است در مزاحمت، نه بطلان صلات مزاحم، زيرا حق در اين مقام مثل حق تحجير قابل صلح و نقل نيست</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3971417_1067777946"/>
      <w:bookmarkStart w:id="523" w:name="_Toc216"/>
      <w:bookmarkEnd w:id="522"/>
      <w:r>
        <w:rPr>
          <w:rtl w:val="true"/>
        </w:rPr>
        <w:t>سبقت دو نفر در اخذ مكان</w:t>
      </w:r>
      <w:bookmarkEnd w:id="523"/>
    </w:p>
    <w:p>
      <w:pPr>
        <w:pStyle w:val="BookText"/>
        <w:rPr/>
      </w:pPr>
      <w:r>
        <w:rPr>
          <w:rFonts w:ascii="IRNazanin" w:hAnsi="IRNazanin" w:eastAsia="IRNazanin"/>
          <w:color w:val="111111"/>
          <w:sz w:val="28"/>
          <w:sz w:val="28"/>
          <w:szCs w:val="28"/>
          <w:rtl w:val="true"/>
          <w:lang w:bidi="fa-IR"/>
        </w:rPr>
        <w:t>و اگر استباق كردند دو نفر در مكانى، پس مثل استباق در طريق، براى ثالث نيست جواز تصرّف؛ و بين دو نفر مصالحه مى شود و لو به تخصيص هر يك به صلاتى عاجله و آجله متعينۀ با رحل مثلاً، يا تحصيل مى نمايد يكى رضاى ديگرى را، يا عدول مؤمنين ترجيح مشروعى مى دهند مثل تخصيص در صف اول به اهل فضل و نزديكى به مكبّر نسبت به ثقيل السمع و نحو اينها</w:t>
      </w:r>
      <w:r>
        <w:rPr>
          <w:rFonts w:eastAsia="IRNazanin" w:cs="IRNazanin"/>
          <w:color w:val="111111"/>
          <w:sz w:val="28"/>
          <w:szCs w:val="28"/>
          <w:rtl w:val="true"/>
          <w:lang w:bidi="fa-IR"/>
        </w:rPr>
        <w:t>.</w:t>
      </w:r>
    </w:p>
    <w:p>
      <w:pPr>
        <w:pStyle w:val="Heading4"/>
        <w:numPr>
          <w:ilvl w:val="3"/>
          <w:numId w:val="1"/>
        </w:numPr>
        <w:rPr/>
      </w:pPr>
      <w:bookmarkStart w:id="524" w:name="__RefHeading___Toc3971419_1067777946"/>
      <w:bookmarkStart w:id="525" w:name="_Toc217"/>
      <w:bookmarkEnd w:id="524"/>
      <w:r>
        <w:rPr/>
        <w:t>3</w:t>
      </w:r>
      <w:r>
        <w:rPr>
          <w:rtl w:val="true"/>
        </w:rPr>
        <w:t xml:space="preserve">. </w:t>
      </w:r>
      <w:r>
        <w:rPr>
          <w:rtl w:val="true"/>
        </w:rPr>
        <w:t>مشاهد مشرّفه</w:t>
      </w:r>
      <w:bookmarkEnd w:id="525"/>
    </w:p>
    <w:p>
      <w:pPr>
        <w:pStyle w:val="Heading5"/>
        <w:numPr>
          <w:ilvl w:val="4"/>
          <w:numId w:val="1"/>
        </w:numPr>
        <w:rPr/>
      </w:pPr>
      <w:bookmarkStart w:id="526" w:name="__RefHeading___Toc3971421_1067777946"/>
      <w:bookmarkStart w:id="527" w:name="_Toc218"/>
      <w:bookmarkEnd w:id="526"/>
      <w:r>
        <w:rPr>
          <w:rtl w:val="true"/>
        </w:rPr>
        <w:t>اشتراك مشاهد مشرّفه با مساجد در حكم سبق</w:t>
      </w:r>
      <w:bookmarkEnd w:id="527"/>
    </w:p>
    <w:p>
      <w:pPr>
        <w:pStyle w:val="BookText"/>
        <w:rPr/>
      </w:pPr>
      <w:r>
        <w:rPr>
          <w:rFonts w:ascii="Amiri" w:hAnsi="Amiri" w:eastAsia="Amiri" w:cs="Amiri"/>
          <w:color w:val="111111"/>
          <w:sz w:val="28"/>
          <w:sz w:val="28"/>
          <w:szCs w:val="28"/>
          <w:rtl w:val="true"/>
          <w:lang w:bidi="ar-SA"/>
        </w:rPr>
        <w:t xml:space="preserve">مشاهد مشرفه ائمۀ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اولاد و مختصين به ايشان مانند مساجد، مشترك بين مسلمين مى باشند؛ و سابق، احق به مكان است براى زيارات و عبادات در آن مكان؛ و تقدم زيارت بر عبادتى كه داخل زيارت نباشد دور نيست، يعنى اولويت زاير بر متعبد به غير زيارت در سبق و احكام آن دور نيست؛ و احوط عدم مزاحمت است، زيرا ممكن است اشتغال به عبادتى براى اهداى ثواب آن به صاحب آن مشهد باشد و اين ملحق به زيارت است؛ و زيارت در مشهد، مثل نماز در مسجد است در اولويت از غير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بين مجاور و غير نيست، اگر چه اولىٰ براى مجاور، تخليۀ مكان براى زوّار است؛ بلكه در صورتى كه معلوم باشد كه مسافر، وقتى و موضعى ديگر ندارد به خلاف مجاور، موافق احتياط است تخليۀ مذكوره</w:t>
      </w:r>
      <w:r>
        <w:rPr>
          <w:rFonts w:eastAsia="IRNazanin" w:cs="IRNazanin"/>
          <w:color w:val="111111"/>
          <w:sz w:val="28"/>
          <w:szCs w:val="28"/>
          <w:rtl w:val="true"/>
          <w:lang w:bidi="fa-IR"/>
        </w:rPr>
        <w:t xml:space="preserve">. </w:t>
      </w:r>
      <w:bookmarkStart w:id="528" w:name="pg10275_96395"/>
    </w:p>
    <w:p>
      <w:pPr>
        <w:pStyle w:val="Heading4"/>
        <w:numPr>
          <w:ilvl w:val="3"/>
          <w:numId w:val="1"/>
        </w:numPr>
        <w:rPr/>
      </w:pPr>
      <w:bookmarkStart w:id="529" w:name="__RefHeading___Toc3971423_1067777946"/>
      <w:bookmarkStart w:id="530" w:name="_Toc219"/>
      <w:bookmarkEnd w:id="528"/>
      <w:bookmarkEnd w:id="529"/>
      <w:r>
        <w:rPr/>
        <w:t>4</w:t>
      </w:r>
      <w:r>
        <w:rPr>
          <w:rtl w:val="true"/>
        </w:rPr>
        <w:t xml:space="preserve">. </w:t>
      </w:r>
      <w:r>
        <w:rPr>
          <w:rtl w:val="true"/>
        </w:rPr>
        <w:t>مدارس علوم، و مساكن موقوفۀ بر فقرا و زوّار</w:t>
      </w:r>
      <w:bookmarkEnd w:id="530"/>
    </w:p>
    <w:p>
      <w:pPr>
        <w:pStyle w:val="Heading5"/>
        <w:numPr>
          <w:ilvl w:val="4"/>
          <w:numId w:val="1"/>
        </w:numPr>
        <w:rPr/>
      </w:pPr>
      <w:bookmarkStart w:id="531" w:name="__RefHeading___Toc3971425_1067777946"/>
      <w:bookmarkStart w:id="532" w:name="_Toc220"/>
      <w:bookmarkEnd w:id="531"/>
      <w:r>
        <w:rPr>
          <w:rtl w:val="true"/>
        </w:rPr>
        <w:t>حق سبق در مدارس و امثال آن</w:t>
      </w:r>
      <w:bookmarkEnd w:id="532"/>
    </w:p>
    <w:p>
      <w:pPr>
        <w:pStyle w:val="BookText"/>
        <w:rPr/>
      </w:pPr>
      <w:r>
        <w:rPr>
          <w:rFonts w:ascii="IRNazanin" w:hAnsi="IRNazanin" w:eastAsia="IRNazanin"/>
          <w:color w:val="111111"/>
          <w:sz w:val="28"/>
          <w:sz w:val="28"/>
          <w:szCs w:val="28"/>
          <w:rtl w:val="true"/>
          <w:lang w:bidi="fa-IR"/>
        </w:rPr>
        <w:t xml:space="preserve">كسى كه ساكن مدرسه يا مسكن مذكور شد و داراى شروط استحقاق و جواز سكنى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از محصلين بود در مدرسه و از زوار يا فقرا بود در مرابط و مساكن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است به سبب سبق به سكنى در آن، از ديگرى كه واجد شروط باشد حتّى موافقت ناظر در صورت شرطيت؛ پس اگر ناظر، موافق سكناى يكى از دو نفر بود و خصوص يكى از آنها سبقت گرفت، اولويت براى او حاصل است نه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حق باقى است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است در او شروط مرعيّه در وقف از قبيل اشتغال به علم يا به علم خاص يا مدت توقف</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3971427_1067777946"/>
      <w:bookmarkStart w:id="534" w:name="_Toc221"/>
      <w:bookmarkEnd w:id="533"/>
      <w:r>
        <w:rPr>
          <w:rtl w:val="true"/>
        </w:rPr>
        <w:t>خارج شدن و بقا و عدم بقاى حق</w:t>
      </w:r>
      <w:bookmarkEnd w:id="534"/>
    </w:p>
    <w:p>
      <w:pPr>
        <w:pStyle w:val="BookText"/>
        <w:rPr/>
      </w:pPr>
      <w:r>
        <w:rPr>
          <w:rFonts w:ascii="IRNazanin" w:hAnsi="IRNazanin" w:eastAsia="IRNazanin"/>
          <w:color w:val="111111"/>
          <w:sz w:val="28"/>
          <w:sz w:val="28"/>
          <w:szCs w:val="28"/>
          <w:rtl w:val="true"/>
          <w:lang w:bidi="fa-IR"/>
        </w:rPr>
        <w:t xml:space="preserve">و با بيرون رفتن او براى حوايج متعارفه غالبه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شراى چيزى از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باطل نمى شود در صورتى كه رحل او در آن مكان باشد؛ و در غير اين صورت بقاى حق او مشكل است، مگر آن كه معتاد باشد خروج زمان عادى براى حوايج عاديه بدون رحل به جهت جامعيت مكان لوازم را و عدم حاجت به 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بقاى رحل، اگر طول بكشد زمان مفارقت و غير عادى باشد و عرفيت نداشته باشد اهليت او براى آن محل، اظهر بطلان حق او است، اگر چه در وقت رفتن قصد عود داشته اگر چه بدانند كه بدون اختيار در محل ديگرى حبس شده است مگر آن كه عذرى كه محقق است در ايام قليله اى باشد كه آن هم از موارد ابتلاء نوع اهل بيوت مشتركه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بطلان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 كه واجد شرط است جايز است سكناى آن مكان با شروط آن اگر چه از شروط، موافقت ناظر آن وقف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معلوم شد كه به قصد اعراض رفته است، اظهر بطلان حق است اگر چه رحل </w:t>
      </w:r>
      <w:bookmarkStart w:id="535" w:name="pg10275_96396"/>
    </w:p>
    <w:p>
      <w:pPr>
        <w:pStyle w:val="BookText"/>
        <w:rPr/>
      </w:pPr>
      <w:bookmarkEnd w:id="535"/>
      <w:r>
        <w:rPr>
          <w:rFonts w:ascii="IRNazanin" w:hAnsi="IRNazanin" w:eastAsia="IRNazanin"/>
          <w:color w:val="111111"/>
          <w:sz w:val="28"/>
          <w:sz w:val="28"/>
          <w:szCs w:val="28"/>
          <w:rtl w:val="true"/>
          <w:lang w:bidi="fa-IR"/>
        </w:rPr>
        <w:t>او باقى باشد، زيرا محلى براى علامت گذارى نيست؛ و رحل او اگر معلوم نشود اعراض از آن يا تفويض به اهل آن مكان، امانت است تا زمان رد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ترجيح يكى از متخاصمين كه واجد شرط هستند و هيچ كدام سبقت نگرفته است، رجوع به ناظر مى شود و به تعيين او رفع نزاع مى شود</w:t>
      </w:r>
      <w:r>
        <w:rPr>
          <w:rFonts w:eastAsia="IRNazanin" w:cs="IRNazanin"/>
          <w:color w:val="111111"/>
          <w:sz w:val="28"/>
          <w:szCs w:val="28"/>
          <w:rtl w:val="true"/>
          <w:lang w:bidi="fa-IR"/>
        </w:rPr>
        <w:t>.</w:t>
      </w:r>
    </w:p>
    <w:p>
      <w:pPr>
        <w:pStyle w:val="Heading5"/>
        <w:numPr>
          <w:ilvl w:val="4"/>
          <w:numId w:val="1"/>
        </w:numPr>
        <w:rPr/>
      </w:pPr>
      <w:bookmarkStart w:id="536" w:name="__RefHeading___Toc3971429_1067777946"/>
      <w:bookmarkStart w:id="537" w:name="_Toc222"/>
      <w:bookmarkEnd w:id="536"/>
      <w:r>
        <w:rPr>
          <w:rtl w:val="true"/>
        </w:rPr>
        <w:t>نزاع در ادّعاى سبق</w:t>
      </w:r>
      <w:bookmarkEnd w:id="537"/>
    </w:p>
    <w:p>
      <w:pPr>
        <w:pStyle w:val="BookText"/>
        <w:rPr/>
      </w:pPr>
      <w:r>
        <w:rPr>
          <w:rFonts w:ascii="IRNazanin" w:hAnsi="IRNazanin" w:eastAsia="IRNazanin"/>
          <w:color w:val="111111"/>
          <w:sz w:val="28"/>
          <w:sz w:val="28"/>
          <w:szCs w:val="28"/>
          <w:rtl w:val="true"/>
          <w:lang w:bidi="fa-IR"/>
        </w:rPr>
        <w:t>و اگر در ادّعاى سبق، نزاع داشتند ترجيح به تصديق ناظر وقف كه ذو اليد بوده است بى وجه نيست؛ و در صورت عدم او يا عدم تصديق، با قضاوت حاكم با موازين شرعيه يا امر او به صلح ممكن، رفع نزاع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وجود ناظر و احتمال اناطه تصرفات به اذن ناظر خاص در وقف، استيذان از ناظر،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مسوّغ سكنى، سبق واجد شروط بود، پس سابق، حق منع مزاحم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عادت در موضع، جارى بر انفراد ساكن در هر بيتى است، يا آن كه قرار وقف بر آن معلوم است، حق منع از مساكنۀ غير دارد؛ وگرنه ديگرى كه واجد شروط است مى تواند داخل بشود براى مساكنه به نحو اجتماع بدون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واقف، تعيين انفراد يا اجتماع يا عددى در اجتماع نمايد، متّبع تعيين او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ناظر اگر اذن او لازم باشد به حسب قرار واقف، بلكه متّبع بودن صلاحديد ناظر و امر و نهى او اگر چه منصوب از حاكم براى اصلاح و دفع فساد و منازعات و اضرار به وقف باشد، در غير معلوم العدم، بى وجه نيست</w:t>
      </w:r>
      <w:r>
        <w:rPr>
          <w:rFonts w:eastAsia="IRNazanin" w:cs="IRNazanin"/>
          <w:color w:val="111111"/>
          <w:sz w:val="28"/>
          <w:szCs w:val="28"/>
          <w:rtl w:val="true"/>
          <w:lang w:bidi="fa-IR"/>
        </w:rPr>
        <w:t xml:space="preserve">. </w:t>
      </w:r>
      <w:bookmarkStart w:id="538" w:name="pg10275_96397"/>
    </w:p>
    <w:p>
      <w:pPr>
        <w:pStyle w:val="Heading3"/>
        <w:numPr>
          <w:ilvl w:val="2"/>
          <w:numId w:val="1"/>
        </w:numPr>
        <w:rPr/>
      </w:pPr>
      <w:bookmarkStart w:id="539" w:name="__RefHeading___Toc3971431_1067777946"/>
      <w:bookmarkStart w:id="540" w:name="_Toc223"/>
      <w:bookmarkEnd w:id="538"/>
      <w:bookmarkEnd w:id="539"/>
      <w:r>
        <w:rPr>
          <w:rtl w:val="true"/>
        </w:rPr>
        <w:t>فصل پنجم معادن مشتركه</w:t>
      </w:r>
      <w:bookmarkEnd w:id="540"/>
    </w:p>
    <w:p>
      <w:pPr>
        <w:pStyle w:val="Heading4"/>
        <w:numPr>
          <w:ilvl w:val="3"/>
          <w:numId w:val="1"/>
        </w:numPr>
        <w:rPr/>
      </w:pPr>
      <w:bookmarkStart w:id="541" w:name="__RefHeading___Toc3971433_1067777946"/>
      <w:bookmarkStart w:id="542" w:name="_Toc224"/>
      <w:bookmarkEnd w:id="541"/>
      <w:r>
        <w:rPr/>
        <w:t>1</w:t>
      </w:r>
      <w:r>
        <w:rPr>
          <w:rtl w:val="true"/>
        </w:rPr>
        <w:t xml:space="preserve">. </w:t>
      </w:r>
      <w:r>
        <w:rPr>
          <w:rtl w:val="true"/>
        </w:rPr>
        <w:t>معادن ظاهره</w:t>
      </w:r>
      <w:bookmarkEnd w:id="542"/>
    </w:p>
    <w:p>
      <w:pPr>
        <w:pStyle w:val="Heading5"/>
        <w:numPr>
          <w:ilvl w:val="4"/>
          <w:numId w:val="1"/>
        </w:numPr>
        <w:rPr/>
      </w:pPr>
      <w:bookmarkStart w:id="543" w:name="__RefHeading___Toc3971435_1067777946"/>
      <w:bookmarkStart w:id="544" w:name="_Toc225"/>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معدن ظاهر، از مشتركات بين مردم، و باقى بر اباحۀ اصليه است، و همه در آنها مساوى هستند؛ و سابق اَولىٰ به اخذ مقدار حاجت او است؛ و منع غير و مضارّة جايز نيست؛ و در صورت تسابق، حاكم رفع نزاع به صلح يا ترجيح يا تبعيض عينى يا زمانى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 به وسايل استخراج از باطن زمين است مثل نمك و نفط ظاهر در روى زمين و قير و كبريت و موميا و كحل و نحو اينها؛ و زمين آنها به احيا، مملوك نمى شوند بلكه احيا در زمين آنها محقق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عمل سلطان در نزد اماميّه به جهت عصمت او، محمول بر اصح است؛ پس بحث از اقطاع او و تخصيص او و نايب خاص او، بى ثمر است</w:t>
      </w:r>
      <w:r>
        <w:rPr>
          <w:rFonts w:eastAsia="IRNazanin" w:cs="IRNazanin"/>
          <w:color w:val="111111"/>
          <w:sz w:val="28"/>
          <w:szCs w:val="28"/>
          <w:rtl w:val="true"/>
          <w:lang w:bidi="fa-IR"/>
        </w:rPr>
        <w:t>.</w:t>
      </w:r>
    </w:p>
    <w:p>
      <w:pPr>
        <w:pStyle w:val="Heading5"/>
        <w:numPr>
          <w:ilvl w:val="4"/>
          <w:numId w:val="1"/>
        </w:numPr>
        <w:rPr/>
      </w:pPr>
      <w:bookmarkStart w:id="545" w:name="__RefHeading___Toc3971437_1067777946"/>
      <w:bookmarkStart w:id="546" w:name="_Toc226"/>
      <w:bookmarkEnd w:id="545"/>
      <w:r>
        <w:rPr>
          <w:rtl w:val="true"/>
        </w:rPr>
        <w:t>محدودۀ اختيارات نايب عام</w:t>
      </w:r>
      <w:bookmarkEnd w:id="5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نايب عام در غيبت، ولايت عامه ثابت نيست؛ پس نمى تواند تخصيص به بعض دهد مگر در تشاحّ و تنازع كه مذكور شد با وصول نوبت به رفع حاكم يا عدول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فقد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در صورت زيادتى مأخوذ سابق، بر حاجت او يا احتياج شديد ديگران به طورى كه به همه نمى رسد در وقت حاجت يا وصول كمى به </w:t>
      </w:r>
      <w:bookmarkStart w:id="547" w:name="pg10275_96398"/>
    </w:p>
    <w:p>
      <w:pPr>
        <w:pStyle w:val="BookText"/>
        <w:rPr/>
      </w:pPr>
      <w:bookmarkEnd w:id="547"/>
      <w:r>
        <w:rPr>
          <w:rFonts w:ascii="Amiri" w:hAnsi="Amiri" w:eastAsia="Amiri" w:cs="Amiri"/>
          <w:color w:val="111111"/>
          <w:sz w:val="28"/>
          <w:sz w:val="28"/>
          <w:szCs w:val="28"/>
          <w:rtl w:val="true"/>
          <w:lang w:bidi="ar-SA"/>
        </w:rPr>
        <w:t>هر يك در وقت حاجت او، امر رفع نزاع واقع يا متوقَع و اصلاح فساد محقَق يا متوقَع به رجوع حاكم شرع امين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 نفر مثلاً تمانع كردند در استباق در معادن، پس اخذ مملك در ظاهره و عمل و احياى مملك در باطنه در هيچ كدام محقق نشده است، زيرا سبق،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 آنها بدون مجوّز، مانع ديگرى شد از سبق يا از آن چه بر آن سبقت گرفته و هنوز عملى انجام نداده، آثم است، و لكن به اخذ و حيازت يا عمل بنا بر اظهر مالك مى شود؛ پس مملّك خصوص محلَّل از سبب نيست؛ و رفع نزاع در سبق هر كدام يا در عمل بعد از سبق، به توسط حاكم مى شود كه با تبعيض مكانى اگر قابل بشود يا زمانى به حسب نوبتِ كار و محل معدن يا 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آن را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تشاحّ نمايد، و همچنين عدول در صورت نبودن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اگر قهر و ظلم، بعد از اخذ و حيازت يا عمل مملك شد به اخذ غير سابق و تناول او، اظهر غاصبيت او است تمام مأخوذ و مملوك سابق را، نه آن كه شريك باشد</w:t>
      </w:r>
      <w:r>
        <w:rPr>
          <w:rFonts w:eastAsia="IRNazanin" w:cs="IRNazanin"/>
          <w:color w:val="111111"/>
          <w:sz w:val="28"/>
          <w:szCs w:val="28"/>
          <w:rtl w:val="true"/>
          <w:lang w:bidi="fa-IR"/>
        </w:rPr>
        <w:t>.</w:t>
      </w:r>
    </w:p>
    <w:p>
      <w:pPr>
        <w:pStyle w:val="Heading5"/>
        <w:numPr>
          <w:ilvl w:val="4"/>
          <w:numId w:val="1"/>
        </w:numPr>
        <w:rPr/>
      </w:pPr>
      <w:bookmarkStart w:id="548" w:name="__RefHeading___Toc3971439_1067777946"/>
      <w:bookmarkStart w:id="549" w:name="_Toc227"/>
      <w:bookmarkEnd w:id="548"/>
      <w:r>
        <w:rPr>
          <w:rtl w:val="true"/>
        </w:rPr>
        <w:t>سبقت و تسابق در معادن ظاهره</w:t>
      </w:r>
      <w:bookmarkEnd w:id="5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چه در معادن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چه به عمل اظهاركننده محتاج نباشد، مثل كحل و ملح و قير و سنگ آسياب و موميا و گِلهاى مختلف با خاصيت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مى شود، اين است كه سابق، مقدم است تكليفاً؛ و با تسابق با عدم گنجايش مكان، پس صلح به تبعيض زمانى مى نمايند؛ و اگر نشد، حاكم با اقراع، تخصيص به يكى مى دهد بنا بر اظهر از عموم قرعه به غير متعيّن واقعى مجهول، و مأخوذ مطلقاً ملك آخذ مى شود؛ لكن چون امر معادن ظاهره مردّد است بين اين كه از انفال باشند و مخصوص به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كه از مشتركات باشد مثل آب و مرعىٰ كه همه مردم در آن شريكند و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منسوب به اكثر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مذكور مروى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پس در غير متيقَّن كه اخذ براى حاجت باشد اگر چه به تكسّب ضرورى يا تجارت ضروريه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غير </w:t>
      </w:r>
      <w:bookmarkStart w:id="550" w:name="pg10275_96399"/>
    </w:p>
    <w:p>
      <w:pPr>
        <w:pStyle w:val="BookText"/>
        <w:rPr/>
      </w:pPr>
      <w:bookmarkEnd w:id="550"/>
      <w:r>
        <w:rPr>
          <w:rFonts w:ascii="IRNazanin" w:hAnsi="IRNazanin" w:eastAsia="IRNazanin"/>
          <w:color w:val="111111"/>
          <w:sz w:val="28"/>
          <w:sz w:val="28"/>
          <w:szCs w:val="28"/>
          <w:rtl w:val="true"/>
          <w:lang w:bidi="fa-IR"/>
        </w:rPr>
        <w:t>عبارت از تجارت براى مجرد مزيد انتفاع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احتياط بشود و با اذن حاكم كه نايب عام امام است در مال احتمالى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تساوى همه، گاهى محتاج به مداخله حاكم مى شود به مثل اين كه هر كدام چند روزى براى حاجت يك ماه مأخوذ بدارد</w:t>
      </w:r>
      <w:r>
        <w:rPr>
          <w:rFonts w:eastAsia="IRNazanin" w:cs="IRNazanin"/>
          <w:color w:val="111111"/>
          <w:sz w:val="28"/>
          <w:szCs w:val="28"/>
          <w:rtl w:val="true"/>
          <w:lang w:bidi="fa-IR"/>
        </w:rPr>
        <w:t>.</w:t>
      </w:r>
    </w:p>
    <w:p>
      <w:pPr>
        <w:pStyle w:val="Heading4"/>
        <w:numPr>
          <w:ilvl w:val="3"/>
          <w:numId w:val="1"/>
        </w:numPr>
        <w:rPr/>
      </w:pPr>
      <w:bookmarkStart w:id="551" w:name="__RefHeading___Toc3971441_1067777946"/>
      <w:bookmarkStart w:id="552" w:name="_Toc228"/>
      <w:bookmarkEnd w:id="551"/>
      <w:r>
        <w:rPr/>
        <w:t>2</w:t>
      </w:r>
      <w:r>
        <w:rPr>
          <w:rtl w:val="true"/>
        </w:rPr>
        <w:t xml:space="preserve">. </w:t>
      </w:r>
      <w:r>
        <w:rPr>
          <w:rtl w:val="true"/>
        </w:rPr>
        <w:t>معادن باطنه</w:t>
      </w:r>
      <w:bookmarkEnd w:id="552"/>
    </w:p>
    <w:p>
      <w:pPr>
        <w:pStyle w:val="Heading5"/>
        <w:numPr>
          <w:ilvl w:val="4"/>
          <w:numId w:val="1"/>
        </w:numPr>
        <w:rPr/>
      </w:pPr>
      <w:bookmarkStart w:id="553" w:name="__RefHeading___Toc3971443_1067777946"/>
      <w:bookmarkStart w:id="554" w:name="_Toc229"/>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و اما معادن باطنه مثل ذهب و فضّه و ساير جواهر در باطن زمين كه به علاج، استخراج به ظاهر مى شود پس آيا مملوكِ امام است يا تابع زمين است‌؟ پس در موات، ملك امام است و احياكننده به استخراج، مالك مى شود، و در معموره، مالكِ زمين، مالك آن است و استخراج، اظهار مملوك او است‌؟</w:t>
      </w:r>
    </w:p>
    <w:p>
      <w:pPr>
        <w:pStyle w:val="BookText"/>
        <w:rPr/>
      </w:pPr>
      <w:r>
        <w:rPr>
          <w:rFonts w:ascii="IRNazanin" w:hAnsi="IRNazanin" w:eastAsia="IRNazanin"/>
          <w:color w:val="111111"/>
          <w:sz w:val="28"/>
          <w:sz w:val="28"/>
          <w:szCs w:val="28"/>
          <w:rtl w:val="true"/>
          <w:lang w:bidi="fa-IR"/>
        </w:rPr>
        <w:t>و فرق در زايد بر حاجت است كه مورد رعايت احتياط است؛ و اما مقدار حاجت از مال احتمالى امام، پس مثل مال يقينى او است كه مورد قطع به رضاى او است در تصرفات همه مردم يا خصوص اهل ايمان</w:t>
      </w:r>
      <w:r>
        <w:rPr>
          <w:rFonts w:eastAsia="IRNazanin" w:cs="IRNazanin"/>
          <w:color w:val="111111"/>
          <w:sz w:val="28"/>
          <w:szCs w:val="28"/>
          <w:rtl w:val="true"/>
          <w:lang w:bidi="fa-IR"/>
        </w:rPr>
        <w:t>.</w:t>
      </w:r>
    </w:p>
    <w:p>
      <w:pPr>
        <w:pStyle w:val="Heading5"/>
        <w:numPr>
          <w:ilvl w:val="4"/>
          <w:numId w:val="1"/>
        </w:numPr>
        <w:rPr/>
      </w:pPr>
      <w:bookmarkStart w:id="555" w:name="__RefHeading___Toc3971445_1067777946"/>
      <w:bookmarkStart w:id="556" w:name="_Toc230"/>
      <w:bookmarkEnd w:id="555"/>
      <w:r>
        <w:rPr>
          <w:rtl w:val="true"/>
        </w:rPr>
        <w:t>تفارق معادن ظاهره و باطنه</w:t>
      </w:r>
      <w:bookmarkEnd w:id="556"/>
    </w:p>
    <w:p>
      <w:pPr>
        <w:pStyle w:val="BookText"/>
        <w:rPr/>
      </w:pPr>
      <w:r>
        <w:rPr>
          <w:rFonts w:ascii="IRNazanin" w:hAnsi="IRNazanin" w:eastAsia="IRNazanin"/>
          <w:color w:val="111111"/>
          <w:sz w:val="28"/>
          <w:sz w:val="28"/>
          <w:szCs w:val="28"/>
          <w:rtl w:val="true"/>
          <w:lang w:bidi="fa-IR"/>
        </w:rPr>
        <w:t xml:space="preserve">پس دَوَران در معادن ظاهره بين ملك همه مردم است و ملك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و دَوَران در معادن باطنه بين ملك امام و ملك مالك زمين است در صورت اخراج آن با انفاقات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قول متأخرين، معادن ظاهره به حيازت، مملوك اختصاصى مى شوند، و باطنه به احيا و علاج، مملوك محيى به قصد تملك در مباح و موات مى شوند؛ لكن خلافى بودن اين مسأله به نحو متقدم با اتفاقى بودن خمس در معادن، جمع نمى شود، از اين جهت قول خلاف مشهور به شذوذ محمول است، يا بر ولايت مطلقۀ عامۀ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است مثل آن چه گفته مى شود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كلّها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مشهور، اقرب است، و اللّٰه العالم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مذكور شد، براى تملك شخص است معدن را به حيازت يا احيا، در مقابل ملك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عموم آن در جميع زمينها پس تابع شروط تملك به احيا و </w:t>
      </w:r>
      <w:bookmarkStart w:id="557" w:name="pg10275_96400"/>
    </w:p>
    <w:p>
      <w:pPr>
        <w:pStyle w:val="BookText"/>
        <w:rPr/>
      </w:pPr>
      <w:bookmarkEnd w:id="557"/>
      <w:r>
        <w:rPr>
          <w:rFonts w:ascii="IRNazanin" w:hAnsi="IRNazanin" w:eastAsia="IRNazanin"/>
          <w:color w:val="111111"/>
          <w:sz w:val="28"/>
          <w:sz w:val="28"/>
          <w:szCs w:val="28"/>
          <w:rtl w:val="true"/>
          <w:lang w:bidi="fa-IR"/>
        </w:rPr>
        <w:t>حيازت است پس متيقن آن، موات و زمين مملوك شخصى است و نحو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در باطنه، كه از جهت عدم احيا به استخراج، موات باشد مطلقاً و مملوك امام اصل باشد مطلقاً و به احياى به استخراج، مملوك محيى و مستخرج باشد مطلقاً اگر چه گفته بشود كه بايد مالك زمين احيا و استخراج نمايد، و اين لزوم، تكليفاً مسلّم است؛ لكن حاجتى به اين بيان نيست، زيرا با احياى زمينِ مشتمل بر معدن، معدن تابع است اگر دليلى بر خلاف نباشد، و بدون آن، خود معدن، حفر آن مصداق احياى موات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به اين كه امام اصل، ملك اختصاصى او نيست موافق با شهرت جزميه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دعواى عدم خلاف بين متعرضين در مملوكيت معادن باطنه به احيا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سيرۀ مذكوره در آن، و نسبت تساوى مردم در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عامۀ متأخرين و نسبت به مشهور در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مذهب اكثر در آن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ايجاب اين مطالب، يقين به حكم در زايد بر حاجت را، تأمل است؛ پس در موهِن بودن اينها روايات اختصاص به امام را، تأمل است؛ با بُعد روايات اختصاص، از تقيه، به خلاف عدم ردع از عمومات احيا و نحو آنها؛ و با ذهاب جماعتى از متقدمين مثل كلينى و على بن ابراهيم و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سلّار و حلّى فى الجمله بلكه منسوب به اكثر علماى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اقربيّت در قواعد و موافقت با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عدم تعدى از نظر نايبِ غيبت است در زايد بر حاجت از معادن ظاهره و باطنه در موات، و در معموره از مخصوصه و مفتوح العنوه</w:t>
      </w:r>
      <w:r>
        <w:rPr>
          <w:rFonts w:eastAsia="IRNazanin" w:cs="IRNazanin"/>
          <w:color w:val="111111"/>
          <w:sz w:val="28"/>
          <w:szCs w:val="28"/>
          <w:rtl w:val="true"/>
          <w:lang w:bidi="fa-IR"/>
        </w:rPr>
        <w:t>.</w:t>
      </w:r>
    </w:p>
    <w:p>
      <w:pPr>
        <w:pStyle w:val="Heading4"/>
        <w:numPr>
          <w:ilvl w:val="3"/>
          <w:numId w:val="1"/>
        </w:numPr>
        <w:rPr/>
      </w:pPr>
      <w:bookmarkStart w:id="558" w:name="__RefHeading___Toc3971447_1067777946"/>
      <w:bookmarkStart w:id="559" w:name="_Toc231"/>
      <w:bookmarkEnd w:id="558"/>
      <w:r>
        <w:rPr/>
        <w:t>3</w:t>
      </w:r>
      <w:r>
        <w:rPr>
          <w:rtl w:val="true"/>
        </w:rPr>
        <w:t xml:space="preserve">. </w:t>
      </w:r>
      <w:r>
        <w:rPr>
          <w:rtl w:val="true"/>
        </w:rPr>
        <w:t>آبها</w:t>
      </w:r>
      <w:bookmarkEnd w:id="559"/>
    </w:p>
    <w:p>
      <w:pPr>
        <w:pStyle w:val="Heading5"/>
        <w:numPr>
          <w:ilvl w:val="4"/>
          <w:numId w:val="1"/>
        </w:numPr>
        <w:rPr/>
      </w:pPr>
      <w:bookmarkStart w:id="560" w:name="__RefHeading___Toc3971449_1067777946"/>
      <w:bookmarkStart w:id="561" w:name="_Toc232"/>
      <w:bookmarkEnd w:id="560"/>
      <w:r>
        <w:rPr>
          <w:rtl w:val="true"/>
        </w:rPr>
        <w:t>اشتراك در آب و آتش و گياه</w:t>
      </w:r>
      <w:bookmarkEnd w:id="5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خروج آبها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معادن ظاهره و باطنه؛ و حكم آنها </w:t>
      </w:r>
      <w:bookmarkStart w:id="562" w:name="pg10275_96401"/>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مذكور مى شود به مقتضاى سيره قطعيه، و مرتكزات دينيه، و نقل اجماع بلكه ضرورت، موافق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اشتراك مردم در آب و آتش و گياه، و عموم دليل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خارها و هيزمها و گياههاى غير مختصه است كه همه مردم در آنها متساوى هستند، در مثل شُطوط و نهرهاى بزرگ مثل دجله و فرات و نيل يا كوچكهايى كه از چشمه ها و سيلها و مانند اينها جارى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حسب سيرۀ مستمره، مورد اشتراك و تساوى همه هستند و در حكم ملك همه هستند، و به حيازت، مملوك اختصاصىِ حايز مى شود، و با آن حيازت شده در هر ظرفى باشد معامله املاك اختصاصيه مى نمايد چه كم باشد و به قدر حاجت باشد يا زايد؛ و در موارد تزاحم در حيازت، رفع نزاع با مداخلۀ حاكم شرع مى نمايند</w:t>
      </w:r>
      <w:r>
        <w:rPr>
          <w:rFonts w:eastAsia="IRNazanin" w:cs="IRNazanin"/>
          <w:color w:val="111111"/>
          <w:sz w:val="28"/>
          <w:szCs w:val="28"/>
          <w:rtl w:val="true"/>
          <w:lang w:bidi="fa-IR"/>
        </w:rPr>
        <w:t>.</w:t>
      </w:r>
    </w:p>
    <w:p>
      <w:pPr>
        <w:pStyle w:val="Heading5"/>
        <w:numPr>
          <w:ilvl w:val="4"/>
          <w:numId w:val="1"/>
        </w:numPr>
        <w:rPr/>
      </w:pPr>
      <w:bookmarkStart w:id="563" w:name="__RefHeading___Toc3971451_1067777946"/>
      <w:bookmarkStart w:id="564" w:name="_Toc233"/>
      <w:bookmarkEnd w:id="563"/>
      <w:r>
        <w:rPr>
          <w:rtl w:val="true"/>
        </w:rPr>
        <w:t>حفر چشمه و قنات و امثال آن</w:t>
      </w:r>
      <w:bookmarkEnd w:id="564"/>
    </w:p>
    <w:p>
      <w:pPr>
        <w:pStyle w:val="BookText"/>
        <w:rPr/>
      </w:pPr>
      <w:r>
        <w:rPr>
          <w:rFonts w:ascii="IRNazanin" w:hAnsi="IRNazanin" w:eastAsia="IRNazanin"/>
          <w:color w:val="111111"/>
          <w:sz w:val="28"/>
          <w:sz w:val="28"/>
          <w:szCs w:val="28"/>
          <w:rtl w:val="true"/>
          <w:lang w:bidi="fa-IR"/>
        </w:rPr>
        <w:t xml:space="preserve">و آن چه از چشمه ها و چاهها و قناتها كه شخصى در ملك اختصاصى خودش يا در مباحى يا در موات، به قصد تملك آب، حفر نمايد، پس مملوك حفركننده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بلوغ آب، اگر قبلاً مالك نبوده؛ چنان چه مختص به آب مى شود به حفر قبل از بلوغ مثل تحجير در مباح و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آب معامله ملك شخصى مى نمايد؛ چنان كه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خلافاً 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متعدد باشند، حفركننده، به نسبت عمل، مالك آب مى شوند به نحو اشتراك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يكى يا جماعتى به جنب شطى احداث نهرى كردند، مالك آب جارى در آن نهر مى شوند به نسبت عمل ايشان در آن نهر و به نسبت مالكيّت نهر خاص، بدون اختلاف به سبب كمى و زيادى حاجت بعضى در صرف نسبت به ديگرى</w:t>
      </w:r>
      <w:r>
        <w:rPr>
          <w:rFonts w:eastAsia="IRNazanin" w:cs="IRNazanin"/>
          <w:color w:val="111111"/>
          <w:sz w:val="28"/>
          <w:szCs w:val="28"/>
          <w:rtl w:val="true"/>
          <w:lang w:bidi="fa-IR"/>
        </w:rPr>
        <w:t>.</w:t>
      </w:r>
    </w:p>
    <w:p>
      <w:pPr>
        <w:pStyle w:val="Heading5"/>
        <w:numPr>
          <w:ilvl w:val="4"/>
          <w:numId w:val="1"/>
        </w:numPr>
        <w:rPr/>
      </w:pPr>
      <w:bookmarkStart w:id="565" w:name="__RefHeading___Toc3971453_1067777946"/>
      <w:bookmarkStart w:id="566" w:name="_Toc234"/>
      <w:bookmarkEnd w:id="565"/>
      <w:r>
        <w:rPr>
          <w:rtl w:val="true"/>
        </w:rPr>
        <w:t>حفر در مباح يا موات به قصد موقت</w:t>
      </w:r>
      <w:bookmarkEnd w:id="56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مباح يا موات حفر كردند به قصد انتفاع مادام النزول نه به قصد تملك پس </w:t>
      </w:r>
      <w:bookmarkStart w:id="567" w:name="pg10275_96402"/>
    </w:p>
    <w:p>
      <w:pPr>
        <w:pStyle w:val="BookText"/>
        <w:rPr/>
      </w:pPr>
      <w:bookmarkEnd w:id="567"/>
      <w:r>
        <w:rPr>
          <w:rFonts w:ascii="IRNazanin" w:hAnsi="IRNazanin" w:eastAsia="IRNazanin"/>
          <w:color w:val="111111"/>
          <w:sz w:val="28"/>
          <w:sz w:val="28"/>
          <w:szCs w:val="28"/>
          <w:rtl w:val="true"/>
          <w:lang w:bidi="fa-IR"/>
        </w:rPr>
        <w:t>احيا و تحجير براى احياى محقَّق نمى شود، بلكه به سبب سبق، احق از ديگرى مى شوند مادام كه هستند؛ و بعد از مفارقت اعراضيّه، شريك با ديگران هستند، حتّى اگر رجوع كردند عود آنها با ابتداى ديگران مساوى است، و سابق، براى او جايز نيست منع ديگران از زايد بر حاجت خودش در صورت عدم مزاحمت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حفر كردند در مباح يا موات و آب ظاهر نشد، تا زمان ظهور آن تحجير است و اولىٰ به تملك آب به حفر باقى مى شوند</w:t>
      </w:r>
      <w:r>
        <w:rPr>
          <w:rFonts w:eastAsia="IRNazanin" w:cs="IRNazanin"/>
          <w:color w:val="111111"/>
          <w:sz w:val="28"/>
          <w:szCs w:val="28"/>
          <w:rtl w:val="true"/>
          <w:lang w:bidi="fa-IR"/>
        </w:rPr>
        <w:t>.</w:t>
      </w:r>
    </w:p>
    <w:p>
      <w:pPr>
        <w:pStyle w:val="Heading5"/>
        <w:numPr>
          <w:ilvl w:val="4"/>
          <w:numId w:val="1"/>
        </w:numPr>
        <w:rPr/>
      </w:pPr>
      <w:bookmarkStart w:id="568" w:name="__RefHeading___Toc3971455_1067777946"/>
      <w:bookmarkStart w:id="569" w:name="_Toc235"/>
      <w:bookmarkEnd w:id="568"/>
      <w:r>
        <w:rPr>
          <w:rtl w:val="true"/>
        </w:rPr>
        <w:t>تقسيم آب مشترك</w:t>
      </w:r>
      <w:bookmarkEnd w:id="569"/>
    </w:p>
    <w:p>
      <w:pPr>
        <w:pStyle w:val="BookText"/>
        <w:rPr/>
      </w:pPr>
      <w:r>
        <w:rPr>
          <w:rFonts w:ascii="IRNazanin" w:hAnsi="IRNazanin" w:eastAsia="IRNazanin"/>
          <w:color w:val="111111"/>
          <w:sz w:val="28"/>
          <w:sz w:val="28"/>
          <w:szCs w:val="28"/>
          <w:rtl w:val="true"/>
          <w:lang w:bidi="fa-IR"/>
        </w:rPr>
        <w:t>و اگر نهر مشترك بين جماعتى باشد به سبب متقدم و نحو آن، پس اگر وافى به حوايج همه شد يا آن كه وافى نشد لكن توافق در تقسيم به حسب نوبتهاى مختلفه داشتند، عملى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تقدير آب مملوك به نسبت ملك آنها به تحديدى غير قابل زياده و نقصان از ملك هر كدام در صورت اتفاق يا اختلاف، مى نمايند و به اين طريق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كه سوراخهاى متساوى در سنگى يا چوبى مستوى قرار دهند و آن را در محل مستوى از سر آن نهر مستقر نمايند و آب را به حسب نسبت ملك از آن سوراخهاى معينه به وسيله لوله ها جارى به طرف ملك خودشان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 به هر كدام از مهايات و تقسيم به حسب نوبتهاى معينه كه ممكن است براى صاحب دو ثُلث، دو روز و براى صاحب يك ثلث، يك روز باشد، و تقسيم اجزاى آب به حسب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تمانع به يكى از اينها اجبار شود يا مصالحه به حسب آن چه خواستند از مشروع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قرارداد به مصالحه با عقد لازمى ديگر يا شرط نتيجه در عقد لازمى ديگر انجام گيرد، اظهر عدم جواز رجوع است قبل از استيفاى بعضى نوبت را يا در اثناى آن در تقسيم اجزا يا در مهايات يا نحو اينها كه فرض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فرض جواز رجوع در اثناى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بعد از استيفاى يكى مثلاً نوبت خود </w:t>
      </w:r>
      <w:bookmarkStart w:id="570" w:name="pg10275_96403"/>
    </w:p>
    <w:p>
      <w:pPr>
        <w:pStyle w:val="BookText"/>
        <w:rPr/>
      </w:pPr>
      <w:bookmarkEnd w:id="570"/>
      <w:r>
        <w:rPr>
          <w:rFonts w:ascii="IRNazanin" w:hAnsi="IRNazanin" w:eastAsia="IRNazanin"/>
          <w:color w:val="111111"/>
          <w:sz w:val="28"/>
          <w:sz w:val="28"/>
          <w:szCs w:val="28"/>
          <w:rtl w:val="true"/>
          <w:lang w:bidi="fa-IR"/>
        </w:rPr>
        <w:t xml:space="preserve">را و قبل از استيفاى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مستوفى تا وقت وصول نوبت به خودش خارج است از شركا، و ديگران عمل را بر طبق رضاى خودشان انجام مى دهند، و بعد از وصول نوبت به مستوفى اول، رضاى همه لازم است در عمل چنان چه مقتضاى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من الحين است؛ پس نوبت به اجرة المثل به مثل يا قيمت وقتى مى رسد كه فسخ من الاصل باشد و آن بدون مقتضى است</w:t>
      </w:r>
      <w:r>
        <w:rPr>
          <w:rFonts w:eastAsia="IRNazanin" w:cs="IRNazanin"/>
          <w:color w:val="111111"/>
          <w:sz w:val="28"/>
          <w:szCs w:val="28"/>
          <w:rtl w:val="true"/>
          <w:lang w:bidi="fa-IR"/>
        </w:rPr>
        <w:t>.</w:t>
      </w:r>
    </w:p>
    <w:p>
      <w:pPr>
        <w:pStyle w:val="Heading5"/>
        <w:numPr>
          <w:ilvl w:val="4"/>
          <w:numId w:val="1"/>
        </w:numPr>
        <w:rPr/>
      </w:pPr>
      <w:bookmarkStart w:id="571" w:name="__RefHeading___Toc3971457_1067777946"/>
      <w:bookmarkStart w:id="572" w:name="_Toc236"/>
      <w:bookmarkEnd w:id="571"/>
      <w:r>
        <w:rPr>
          <w:rtl w:val="true"/>
        </w:rPr>
        <w:t>آب وارد در نهر به سبب طغيان</w:t>
      </w:r>
      <w:bookmarkEnd w:id="572"/>
    </w:p>
    <w:p>
      <w:pPr>
        <w:pStyle w:val="BookText"/>
        <w:rPr/>
      </w:pPr>
      <w:r>
        <w:rPr>
          <w:rFonts w:ascii="IRNazanin" w:hAnsi="IRNazanin" w:eastAsia="IRNazanin"/>
          <w:color w:val="111111"/>
          <w:sz w:val="28"/>
          <w:sz w:val="28"/>
          <w:szCs w:val="28"/>
          <w:rtl w:val="true"/>
          <w:lang w:bidi="fa-IR"/>
        </w:rPr>
        <w:t>اگر آب به سبب طغيان، داخل نهرى شد، پس با عدم صدق يد و استيلاء مثل توليد طايرى در ملك انسان است؛ و با صدق استيلاء تسبيبى مثل دام گذارى براى اصطياد مملوك مالك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صورت كثرت آب به سبب طغيان نه اصل جريان آب در مقدار زايد بر مترقّب</w:t>
      </w:r>
      <w:r>
        <w:rPr>
          <w:rFonts w:eastAsia="IRNazanin" w:cs="IRNazanin"/>
          <w:color w:val="111111"/>
          <w:sz w:val="28"/>
          <w:szCs w:val="28"/>
          <w:rtl w:val="true"/>
          <w:lang w:bidi="fa-IR"/>
        </w:rPr>
        <w:t>.</w:t>
      </w:r>
    </w:p>
    <w:p>
      <w:pPr>
        <w:pStyle w:val="Heading5"/>
        <w:numPr>
          <w:ilvl w:val="4"/>
          <w:numId w:val="1"/>
        </w:numPr>
        <w:rPr/>
      </w:pPr>
      <w:bookmarkStart w:id="573" w:name="__RefHeading___Toc3971459_1067777946"/>
      <w:bookmarkStart w:id="574" w:name="_Toc237"/>
      <w:bookmarkEnd w:id="573"/>
      <w:r>
        <w:rPr>
          <w:rtl w:val="true"/>
        </w:rPr>
        <w:t>تنازع در اخذ آب از نهر</w:t>
      </w:r>
      <w:bookmarkEnd w:id="574"/>
    </w:p>
    <w:p>
      <w:pPr>
        <w:pStyle w:val="BookText"/>
        <w:rPr/>
      </w:pPr>
      <w:r>
        <w:rPr>
          <w:rFonts w:ascii="IRNazanin" w:hAnsi="IRNazanin" w:eastAsia="IRNazanin"/>
          <w:color w:val="111111"/>
          <w:sz w:val="28"/>
          <w:sz w:val="28"/>
          <w:szCs w:val="28"/>
          <w:rtl w:val="true"/>
          <w:lang w:bidi="fa-IR"/>
        </w:rPr>
        <w:t>اگر املاك اشخاصى، مشروب از آب مباحى به توسط نهر منشعب از آن آب مى شوند پس آب به همه نرسيد و تنازع شد، مقدم در احياى به سبقى كه كاشف از سبق استحقاق مشروب شدن از آن آب را باشد، اَولىٰ به تقديم است؛ و اگر مقدم معلوم نشد و تقدم ثابت نشد، به اقرب به محل انشعاب آب از آن مباح داده مى شود به حسب احتياج او، پس از آن به متصل به آن تا به آخر آن اراضى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مروى در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مشهور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در نخل تا ساق، و در شجر تا قدم، و در زرع تا شراك، حبس مى نمايد به ترتيب مسطور، پس ارسال به اسفل مى نمايد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اختلاف اراضى در انخفاض و علوّ، رعايت حاجت در آنها مى شود به سبب خروج از متعارف منصوص، يا آن كه منصوص در آنها تقدير مى شود و به قدرى سقى مى شود كه اگر مستوى بود تا قدم بود مثلاً؛ و على اىٍّ محتاج به تشخيص </w:t>
      </w:r>
      <w:bookmarkStart w:id="575" w:name="pg10275_96404"/>
    </w:p>
    <w:p>
      <w:pPr>
        <w:pStyle w:val="BookText"/>
        <w:rPr/>
      </w:pPr>
      <w:bookmarkEnd w:id="575"/>
      <w:r>
        <w:rPr>
          <w:rFonts w:ascii="IRNazanin" w:hAnsi="IRNazanin" w:eastAsia="IRNazanin"/>
          <w:color w:val="111111"/>
          <w:sz w:val="28"/>
          <w:sz w:val="28"/>
          <w:szCs w:val="28"/>
          <w:rtl w:val="true"/>
          <w:lang w:bidi="fa-IR"/>
        </w:rPr>
        <w:t>اهل خبره و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صورت انحدار همۀ اراضى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اختلاف به اشتمال زرع و شجر مثلاً، عبرت به زايد است احتياجاً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تساوى در طرفين رأس نهر، توافق به قسمت يا مهايات مى نمايند؛ و اگر نشد يا نكردند، تقديم با قرعه مى شود و خارج از قرعه، به قدر استحقاق خودش كه مختلف است به حسب زرع و نخل و شجر، سقى مى نمايد و بقيه را به شريك مساوى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سعه و ضيق دو زمين، اينجا اثر ندارد زيرا استحقاق از آب بر حسب استحقاق نهر است، نه بر حسب زمين مشروب به آن آب 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نهر و آب آن مباح است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همه بر حسب حاجت، مشروب است و با قرعه، فقط مقدّم معيّن مى شود و بعد از رفع حاجتِ مقدّم، به مؤخّر داده مى شود</w:t>
      </w:r>
      <w:r>
        <w:rPr>
          <w:rFonts w:eastAsia="IRNazanin" w:cs="IRNazanin"/>
          <w:color w:val="111111"/>
          <w:sz w:val="28"/>
          <w:szCs w:val="28"/>
          <w:rtl w:val="true"/>
          <w:lang w:bidi="fa-IR"/>
        </w:rPr>
        <w:t>.</w:t>
      </w:r>
    </w:p>
    <w:p>
      <w:pPr>
        <w:pStyle w:val="Heading5"/>
        <w:numPr>
          <w:ilvl w:val="4"/>
          <w:numId w:val="1"/>
        </w:numPr>
        <w:rPr/>
      </w:pPr>
      <w:bookmarkStart w:id="576" w:name="__RefHeading___Toc3971461_1067777946"/>
      <w:bookmarkStart w:id="577" w:name="_Toc238"/>
      <w:bookmarkEnd w:id="576"/>
      <w:r>
        <w:rPr>
          <w:rtl w:val="true"/>
        </w:rPr>
        <w:t>ساخت آسياب بر نهر متعلق به جماعتى</w:t>
      </w:r>
      <w:bookmarkEnd w:id="577"/>
    </w:p>
    <w:p>
      <w:pPr>
        <w:pStyle w:val="BookText"/>
        <w:rPr/>
      </w:pPr>
      <w:r>
        <w:rPr>
          <w:rFonts w:ascii="IRNazanin" w:hAnsi="IRNazanin" w:eastAsia="IRNazanin"/>
          <w:color w:val="111111"/>
          <w:sz w:val="28"/>
          <w:sz w:val="28"/>
          <w:szCs w:val="28"/>
          <w:rtl w:val="true"/>
          <w:lang w:bidi="fa-IR"/>
        </w:rPr>
        <w:t>اگر كسى خواست در ملك خودش يا در موات، بناى آسيابى مجدّد بر نهر مربوط به جماعتى به نحو اباحه يا تملك، نمايد، پس با رضاى همۀ صاحبان اراضى مشروبه بحثى نيست؛ و با عدم توافق، چون متأخّر است در بناى ملك يا احياى آن، متأخر در استحقاق از مباح است؛ و اگر نهر و آبش مملوك سابقين باشد، صاحب آسياب حقّى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آسيابهاى متعدّد، حكم آنها حكم اراضى مشروبۀ متعدده است از حيث علوّ و سفل و محاذات، در خصوصيات مذكوره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آسياب مجدّد است، احياى مجدّد؛ پس مختلف است در صورت مباح بودن آب نهر، و متأخر مى شود از همه و مملوك بودن آن پس حقى ندارد و بايد استيذان از همه نمايد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آن كه اگر آخرى فارغ شد و اوّلى باز محتاج شد، حق اوّلى است نه احياى مجدّد در صورتى كه مملوكيّت نهر و آب آن براى جماعت سابقه در احيا باشد اگر چه محلّ مجدّد، اقرب از بقيه به اصل انشعاب آب باشد</w:t>
      </w:r>
      <w:r>
        <w:rPr>
          <w:rFonts w:eastAsia="IRNazanin" w:cs="IRNazanin"/>
          <w:color w:val="111111"/>
          <w:sz w:val="28"/>
          <w:szCs w:val="28"/>
          <w:rtl w:val="true"/>
          <w:lang w:bidi="fa-IR"/>
        </w:rPr>
        <w:t xml:space="preserve">. </w:t>
      </w:r>
      <w:bookmarkStart w:id="578" w:name="pg10275_96405"/>
    </w:p>
    <w:p>
      <w:pPr>
        <w:pStyle w:val="Heading5"/>
        <w:numPr>
          <w:ilvl w:val="4"/>
          <w:numId w:val="1"/>
        </w:numPr>
        <w:rPr/>
      </w:pPr>
      <w:bookmarkStart w:id="579" w:name="__RefHeading___Toc3971463_1067777946"/>
      <w:bookmarkStart w:id="580" w:name="_Toc239"/>
      <w:bookmarkEnd w:id="578"/>
      <w:bookmarkEnd w:id="579"/>
      <w:r>
        <w:rPr>
          <w:rtl w:val="true"/>
        </w:rPr>
        <w:t>مؤونۀ اصلاح و تعمير نهر</w:t>
      </w:r>
      <w:bookmarkEnd w:id="580"/>
    </w:p>
    <w:p>
      <w:pPr>
        <w:pStyle w:val="BookText"/>
        <w:rPr/>
      </w:pPr>
      <w:r>
        <w:rPr>
          <w:rFonts w:ascii="IRNazanin" w:hAnsi="IRNazanin" w:eastAsia="IRNazanin"/>
          <w:color w:val="111111"/>
          <w:sz w:val="28"/>
          <w:sz w:val="28"/>
          <w:szCs w:val="28"/>
          <w:rtl w:val="true"/>
          <w:lang w:bidi="fa-IR"/>
        </w:rPr>
        <w:t>و در صورت خرابى عارض نهر و احتياج به اصلاح، پس اصلاح و مؤونۀ آن بر كسانى است كه شركا در آن هستند از محل خرابى فما بعد، نه كسانى كه مجارى آب آنها از اين نهر، مقدم بر محل تخريب و اصلاح است؛ لكن اظهر شركت است مطلقاً حتى در خرابيهاى متأخر از محل اوّلى در نهر مملوك، و لذا عود به اوّلى مى نمايد بعد از آخرى، و مقتضاى شركت مطلقه همين است، و كسى حق منع از تعمير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اجبار متأخرها يا همه بر تعمير مانع از فساد نهر، احتمالى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اجبار حاكم، بر تعمير، يا تعمير ديگران با اذن حاكم، و اخراج مؤونۀ فعليّه از منافع مختصّه بعديّه به منتفعين يا همه، به تقسيط يا بيع و صلح و نحو اينها يا اجاره يا قسمت ممكنه؛ و اين احتمال خالى از رجحان نيست</w:t>
      </w:r>
      <w:r>
        <w:rPr>
          <w:rFonts w:eastAsia="IRNazanin" w:cs="IRNazanin"/>
          <w:color w:val="111111"/>
          <w:sz w:val="28"/>
          <w:szCs w:val="28"/>
          <w:rtl w:val="true"/>
          <w:lang w:bidi="fa-IR"/>
        </w:rPr>
        <w:t xml:space="preserve">. </w:t>
      </w:r>
      <w:bookmarkStart w:id="581" w:name="pg10275_96406"/>
    </w:p>
    <w:p>
      <w:pPr>
        <w:pStyle w:val="Heading3"/>
        <w:numPr>
          <w:ilvl w:val="2"/>
          <w:numId w:val="1"/>
        </w:numPr>
        <w:rPr/>
      </w:pPr>
      <w:bookmarkStart w:id="582" w:name="__RefHeading___Toc3971465_1067777946"/>
      <w:bookmarkStart w:id="583" w:name="_Toc240"/>
      <w:bookmarkEnd w:id="581"/>
      <w:bookmarkEnd w:id="582"/>
      <w:r>
        <w:rPr>
          <w:rtl w:val="true"/>
        </w:rPr>
        <w:t>فصل ششم چند مسأله</w:t>
      </w:r>
      <w:bookmarkEnd w:id="583"/>
    </w:p>
    <w:p>
      <w:pPr>
        <w:pStyle w:val="Heading4"/>
        <w:numPr>
          <w:ilvl w:val="3"/>
          <w:numId w:val="1"/>
        </w:numPr>
        <w:rPr/>
      </w:pPr>
      <w:bookmarkStart w:id="584" w:name="__RefHeading___Toc3971467_1067777946"/>
      <w:bookmarkStart w:id="585" w:name="_Toc241"/>
      <w:bookmarkEnd w:id="584"/>
      <w:r>
        <w:rPr>
          <w:rtl w:val="true"/>
        </w:rPr>
        <w:t>حكم زمين موات در كنار نمك زار</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جنب مُملحة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 نمك دار است، و آن از معادن ظاهره است، و حكم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باشد از موات به طورى كه اگر آب در آن اجرا شود نمك مى شود، زمين مذكور، به احياى آن براى اين جهت، مملوك محيى مى شود؛ و به شروع در احيا، كه تحجير است، احق مى شود به تملّك به احيا؛ و اقطاع آن زمين از جانب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جهت يا ساير جهات، واقع در مملوك شخص شريف خود ايشان است</w:t>
      </w:r>
      <w:r>
        <w:rPr>
          <w:rFonts w:eastAsia="IRNazanin" w:cs="IRNazanin"/>
          <w:color w:val="111111"/>
          <w:sz w:val="28"/>
          <w:szCs w:val="28"/>
          <w:rtl w:val="true"/>
          <w:lang w:bidi="fa-IR"/>
        </w:rPr>
        <w:t>.</w:t>
      </w:r>
    </w:p>
    <w:p>
      <w:pPr>
        <w:pStyle w:val="Heading4"/>
        <w:numPr>
          <w:ilvl w:val="3"/>
          <w:numId w:val="1"/>
        </w:numPr>
        <w:rPr/>
      </w:pPr>
      <w:bookmarkStart w:id="586" w:name="__RefHeading___Toc3971469_1067777946"/>
      <w:bookmarkStart w:id="587" w:name="_Toc242"/>
      <w:bookmarkEnd w:id="586"/>
      <w:r>
        <w:rPr>
          <w:rtl w:val="true"/>
        </w:rPr>
        <w:t>مملكيّت احيا در معادن باطنه</w:t>
      </w:r>
      <w:bookmarkEnd w:id="5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احياى معادن باطنه در اراضى مباحه يا موات، مملّك آن است و شروع تحجير است؛ و تمام تملّك و احيا، به بلوغ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شروع، اهمال در اتمام كرد بدون عذر، حاكم شرع اجبار بر اتمام يا رفع يد مى نمايد؛ و اگر عذرى اظهار نمود يا دانست، امهال مى شود تا زمان ارتفاع عذر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معدن باطن، متملك به احيا مى شود، حريم آن هم مملوك مالك معدن مى شود؛ و آن، مواضع حاجت صاحب معدن است به آن براى وقوف كاركنان و رفت و آمد به آن محلّ و جاى دوابّ براى حمل و نقل و محل ريختن خاك آن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استثناى حريم، مانعى از حفر ديگرى براى همان معدن نيست، با اتّساع آن و اختصاص هر كدام به حريم خود</w:t>
      </w:r>
      <w:r>
        <w:rPr>
          <w:rFonts w:eastAsia="IRNazanin" w:cs="IRNazanin"/>
          <w:color w:val="111111"/>
          <w:sz w:val="28"/>
          <w:szCs w:val="28"/>
          <w:rtl w:val="true"/>
          <w:lang w:bidi="fa-IR"/>
        </w:rPr>
        <w:t xml:space="preserve">. </w:t>
      </w:r>
      <w:bookmarkStart w:id="588" w:name="pg10275_96407"/>
    </w:p>
    <w:p>
      <w:pPr>
        <w:pStyle w:val="Heading4"/>
        <w:numPr>
          <w:ilvl w:val="3"/>
          <w:numId w:val="1"/>
        </w:numPr>
        <w:rPr/>
      </w:pPr>
      <w:bookmarkStart w:id="589" w:name="__RefHeading___Toc3971471_1067777946"/>
      <w:bookmarkStart w:id="590" w:name="_Toc243"/>
      <w:bookmarkEnd w:id="588"/>
      <w:bookmarkEnd w:id="589"/>
      <w:r>
        <w:rPr>
          <w:rtl w:val="true"/>
        </w:rPr>
        <w:t>پيدا شدن معدن باطنى در زمين موات</w:t>
      </w:r>
      <w:bookmarkEnd w:id="590"/>
    </w:p>
    <w:p>
      <w:pPr>
        <w:pStyle w:val="Heading5"/>
        <w:numPr>
          <w:ilvl w:val="4"/>
          <w:numId w:val="1"/>
        </w:numPr>
        <w:rPr/>
      </w:pPr>
      <w:bookmarkStart w:id="591" w:name="__RefHeading___Toc3971473_1067777946"/>
      <w:bookmarkStart w:id="592" w:name="_Toc244"/>
      <w:bookmarkEnd w:id="591"/>
      <w:r>
        <w:rPr>
          <w:rtl w:val="true"/>
        </w:rPr>
        <w:t>اشاره</w:t>
      </w:r>
      <w:bookmarkEnd w:id="5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احيا نمود زمينى را از موات و در آن، معدنى باطنى ظاهر شد، مالك معدن مى شود مثل احيا براى همين جهت، و عدم خصوصيّت و عدم علم به آن، فارق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به شراء يا غير آن، زمينى را مالك شد و به سبب حفر براى اغراضى، معدنى باطنى در آن، ظاهر شد، استخراج مملوكِ تبعىِ خود كرده است و معدن باطن، ملكِ استخراج كننده به نحو مشروع است و بر او است خمس آن</w:t>
      </w:r>
      <w:r>
        <w:rPr>
          <w:rFonts w:eastAsia="IRNazanin" w:cs="IRNazanin"/>
          <w:color w:val="111111"/>
          <w:sz w:val="28"/>
          <w:szCs w:val="28"/>
          <w:rtl w:val="true"/>
          <w:lang w:bidi="fa-IR"/>
        </w:rPr>
        <w:t>.</w:t>
      </w:r>
    </w:p>
    <w:p>
      <w:pPr>
        <w:pStyle w:val="Heading5"/>
        <w:numPr>
          <w:ilvl w:val="4"/>
          <w:numId w:val="1"/>
        </w:numPr>
        <w:rPr/>
      </w:pPr>
      <w:bookmarkStart w:id="593" w:name="__RefHeading___Toc3971475_1067777946"/>
      <w:bookmarkStart w:id="594" w:name="_Toc245"/>
      <w:bookmarkEnd w:id="593"/>
      <w:r>
        <w:rPr>
          <w:rtl w:val="true"/>
        </w:rPr>
        <w:t>پيدا شدن گنج</w:t>
      </w:r>
      <w:bookmarkEnd w:id="594"/>
    </w:p>
    <w:p>
      <w:pPr>
        <w:pStyle w:val="BookText"/>
        <w:rPr/>
      </w:pPr>
      <w:r>
        <w:rPr>
          <w:rFonts w:ascii="IRNazanin" w:hAnsi="IRNazanin" w:eastAsia="IRNazanin"/>
          <w:color w:val="111111"/>
          <w:sz w:val="28"/>
          <w:sz w:val="28"/>
          <w:szCs w:val="28"/>
          <w:rtl w:val="true"/>
          <w:lang w:bidi="fa-IR"/>
        </w:rPr>
        <w:t>و همچنين كنزى كه در آن اثر اسلام نيست اگر ظاهر شد در ملك شخصى، مال او است و بر او است خمس؛ و اگر در آن اثر اسلام است لقطه است</w:t>
      </w:r>
      <w:r>
        <w:rPr>
          <w:rFonts w:eastAsia="IRNazanin" w:cs="IRNazanin"/>
          <w:color w:val="111111"/>
          <w:sz w:val="28"/>
          <w:szCs w:val="28"/>
          <w:rtl w:val="true"/>
          <w:lang w:bidi="fa-IR"/>
        </w:rPr>
        <w:t>.</w:t>
      </w:r>
    </w:p>
    <w:p>
      <w:pPr>
        <w:pStyle w:val="Heading5"/>
        <w:numPr>
          <w:ilvl w:val="4"/>
          <w:numId w:val="1"/>
        </w:numPr>
        <w:rPr/>
      </w:pPr>
      <w:bookmarkStart w:id="595" w:name="__RefHeading___Toc3971477_1067777946"/>
      <w:bookmarkStart w:id="596" w:name="_Toc246"/>
      <w:bookmarkEnd w:id="595"/>
      <w:r>
        <w:rPr>
          <w:rtl w:val="true"/>
        </w:rPr>
        <w:t>مالك معدن باطن در موات و مفتوح العنوه</w:t>
      </w:r>
      <w:bookmarkEnd w:id="596"/>
    </w:p>
    <w:p>
      <w:pPr>
        <w:pStyle w:val="BookText"/>
        <w:rPr/>
      </w:pPr>
      <w:r>
        <w:rPr>
          <w:rFonts w:ascii="IRNazanin" w:hAnsi="IRNazanin" w:eastAsia="IRNazanin"/>
          <w:color w:val="111111"/>
          <w:sz w:val="28"/>
          <w:sz w:val="28"/>
          <w:szCs w:val="28"/>
          <w:rtl w:val="true"/>
          <w:lang w:bidi="fa-IR"/>
        </w:rPr>
        <w:t xml:space="preserve">و آن چه از معدن باطن در موات است، ملك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در مفتوح العنوه است ملك مسلمين است مادام كه به احياى مشروع، مملوك محيى نشده باشد به تبع زمينى كه مملوك به احياى او است يا زمينى كه مملوك به تبع آثار مى شود، كه معدنِ باطن، ملكِ مستخرِج به نحو مشروع است و بر او است خمس آن؛ لكن احتياط غير متروك در معدن باطن در مفتوح العنوه مراجعه به حاكم شرع است كه رعايت مصلحت مسلمين با او است</w:t>
      </w:r>
      <w:r>
        <w:rPr>
          <w:rFonts w:eastAsia="IRNazanin" w:cs="IRNazanin"/>
          <w:color w:val="111111"/>
          <w:sz w:val="28"/>
          <w:szCs w:val="28"/>
          <w:rtl w:val="true"/>
          <w:lang w:bidi="fa-IR"/>
        </w:rPr>
        <w:t>.</w:t>
      </w:r>
    </w:p>
    <w:p>
      <w:pPr>
        <w:pStyle w:val="Heading5"/>
        <w:numPr>
          <w:ilvl w:val="4"/>
          <w:numId w:val="1"/>
        </w:numPr>
        <w:rPr/>
      </w:pPr>
      <w:bookmarkStart w:id="597" w:name="__RefHeading___Toc3971479_1067777946"/>
      <w:bookmarkStart w:id="598" w:name="_Toc247"/>
      <w:bookmarkEnd w:id="597"/>
      <w:r>
        <w:rPr>
          <w:rtl w:val="true"/>
        </w:rPr>
        <w:t>چاه حفر شده در مفتوح العنوه يا موقوفه</w:t>
      </w:r>
      <w:bookmarkEnd w:id="598"/>
    </w:p>
    <w:p>
      <w:pPr>
        <w:pStyle w:val="BookText"/>
        <w:rPr/>
      </w:pPr>
      <w:r>
        <w:rPr>
          <w:rFonts w:ascii="IRNazanin" w:hAnsi="IRNazanin" w:eastAsia="IRNazanin"/>
          <w:color w:val="111111"/>
          <w:sz w:val="28"/>
          <w:sz w:val="28"/>
          <w:szCs w:val="28"/>
          <w:rtl w:val="true"/>
          <w:lang w:bidi="fa-IR"/>
        </w:rPr>
        <w:t>و همچنين است حكم بئر حفر شده در مفتوح العنوه؛ مگر آن كه از انتفاع به زمين باشد كه مجوّز انتفاع به تبع آثار در آن باشد، و حق منع از زايد بر حاجت با عدم مزاحمت ندارد بنا بر احوط</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چاه حفر شده در موقوفه مسلمين، ملك موقوف عليهم است نه حافر، و تسويغ تصرفات حافر با ناظر وقف است يا حاكم شرع در صورت عدم ناظر</w:t>
      </w:r>
      <w:r>
        <w:rPr>
          <w:rFonts w:eastAsia="IRNazanin" w:cs="IRNazanin"/>
          <w:color w:val="111111"/>
          <w:sz w:val="28"/>
          <w:szCs w:val="28"/>
          <w:rtl w:val="true"/>
          <w:lang w:bidi="fa-IR"/>
        </w:rPr>
        <w:t xml:space="preserve">. </w:t>
      </w:r>
      <w:bookmarkStart w:id="599" w:name="pg10275_96408"/>
    </w:p>
    <w:p>
      <w:pPr>
        <w:pStyle w:val="Heading5"/>
        <w:numPr>
          <w:ilvl w:val="4"/>
          <w:numId w:val="1"/>
        </w:numPr>
        <w:rPr/>
      </w:pPr>
      <w:bookmarkStart w:id="600" w:name="__RefHeading___Toc3971481_1067777946"/>
      <w:bookmarkStart w:id="601" w:name="_Toc248"/>
      <w:bookmarkEnd w:id="599"/>
      <w:bookmarkEnd w:id="600"/>
      <w:r>
        <w:rPr>
          <w:rtl w:val="true"/>
        </w:rPr>
        <w:t>ظهور معدن در غير بلد اسلام</w:t>
      </w:r>
      <w:bookmarkEnd w:id="601"/>
    </w:p>
    <w:p>
      <w:pPr>
        <w:pStyle w:val="BookText"/>
        <w:rPr/>
      </w:pPr>
      <w:r>
        <w:rPr>
          <w:rFonts w:ascii="IRNazanin" w:hAnsi="IRNazanin" w:eastAsia="IRNazanin"/>
          <w:color w:val="111111"/>
          <w:sz w:val="28"/>
          <w:sz w:val="28"/>
          <w:szCs w:val="28"/>
          <w:rtl w:val="true"/>
          <w:lang w:bidi="fa-IR"/>
        </w:rPr>
        <w:t>اگر حفر نمود در غير بلد اسلام، زمينى را پس در آن معدنى ظاهر شد، كسى كه به حفر، مالك زمين و معدن مى شد، پس از آن فتح نمودند مسلمانها آن زمين را، اظهر اين است كه معدن، ملك غانمين است و از غنايم است نه آن كه مثل زمين، ملك مسلمين عموماً بوده باشد</w:t>
      </w:r>
      <w:r>
        <w:rPr>
          <w:rFonts w:eastAsia="IRNazanin" w:cs="IRNazanin"/>
          <w:color w:val="111111"/>
          <w:sz w:val="28"/>
          <w:szCs w:val="28"/>
          <w:rtl w:val="true"/>
          <w:lang w:bidi="fa-IR"/>
        </w:rPr>
        <w:t>.</w:t>
      </w:r>
    </w:p>
    <w:p>
      <w:pPr>
        <w:pStyle w:val="Heading4"/>
        <w:numPr>
          <w:ilvl w:val="3"/>
          <w:numId w:val="1"/>
        </w:numPr>
        <w:rPr/>
      </w:pPr>
      <w:bookmarkStart w:id="602" w:name="__RefHeading___Toc3971483_1067777946"/>
      <w:bookmarkStart w:id="603" w:name="_Toc249"/>
      <w:bookmarkEnd w:id="602"/>
      <w:r>
        <w:rPr>
          <w:rtl w:val="true"/>
        </w:rPr>
        <w:t>جعاله در معدن باطنى</w:t>
      </w:r>
      <w:bookmarkEnd w:id="6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 معدن باطنى بگويد به شخصى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در آن نما براى اخراج و تصفيه، هر چه حاصل شد نصف آن براى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جعاله صحيح است نه به نحو اجاره، مگر به نحو صلح مفيدِ مفادِ اجاره باشد با ذكر مدّت و اشتمال بر ضميمۀ معلومه يا شرط نتيجه در ضمن عقد لازم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نما و هر چه خارج شد مال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در عمل و تملك حاصل است؛ پس اگر رجوع كرد از تملك مأذون، اظهر عدم استحقاق اجرت عمل است كه به خيال عدم جواز رجوع به جا آورده شده است</w:t>
      </w:r>
      <w:r>
        <w:rPr>
          <w:rFonts w:eastAsia="IRNazanin" w:cs="IRNazanin"/>
          <w:color w:val="111111"/>
          <w:sz w:val="28"/>
          <w:szCs w:val="28"/>
          <w:rtl w:val="true"/>
          <w:lang w:bidi="fa-IR"/>
        </w:rPr>
        <w:t>.</w:t>
      </w:r>
    </w:p>
    <w:p>
      <w:pPr>
        <w:pStyle w:val="Heading4"/>
        <w:numPr>
          <w:ilvl w:val="3"/>
          <w:numId w:val="1"/>
        </w:numPr>
        <w:rPr/>
      </w:pPr>
      <w:bookmarkStart w:id="604" w:name="__RefHeading___Toc3971485_1067777946"/>
      <w:bookmarkStart w:id="605" w:name="_Toc250"/>
      <w:bookmarkEnd w:id="604"/>
      <w:r>
        <w:rPr>
          <w:rtl w:val="true"/>
        </w:rPr>
        <w:t>عدم جواز منع صاحب آسياب سابق توسط مالك نهر</w:t>
      </w:r>
      <w:bookmarkEnd w:id="60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نهر نمى تواند منع نمايد صاحب آسياب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مشروب از اين نهر بوده و در اصل، مالكهاى نهر و آسياب مغاير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قطع نمايد از آسياب براى اضرار به صاحب آن در صورتى كه ثابت بشود كه وضع آسياب و مشروب بودن از آن نهر از روى استحقاق شرعى بوده است؛ و اگر نه پس با بيّنۀ صاحب آسياب، ترجيح قول او در تنازع داده مى شود؛ و با عدم آن، قول صاحب نهر مسموع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w:t>
      </w:r>
    </w:p>
    <w:p>
      <w:pPr>
        <w:pStyle w:val="BookText"/>
        <w:rPr/>
      </w:pPr>
      <w:r>
        <w:rPr>
          <w:rFonts w:ascii="Amiri" w:hAnsi="Amiri" w:eastAsia="Amiri" w:cs="Amiri"/>
          <w:color w:val="111111"/>
          <w:sz w:val="28"/>
          <w:sz w:val="28"/>
          <w:szCs w:val="28"/>
          <w:rtl w:val="true"/>
          <w:lang w:bidi="ar-SA"/>
        </w:rPr>
        <w:t xml:space="preserve">بلغ المقام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الصيام من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على مهاجرها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السلام، بيد العبد محمّد تقى بن محمود عفى عنهما</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10275_96410"/>
      <w:bookmarkStart w:id="607" w:name="pg10275_96410"/>
      <w:bookmarkEnd w:id="607"/>
    </w:p>
    <w:p>
      <w:pPr>
        <w:pStyle w:val="Heading2"/>
        <w:numPr>
          <w:ilvl w:val="1"/>
          <w:numId w:val="1"/>
        </w:numPr>
        <w:rPr/>
      </w:pPr>
      <w:bookmarkStart w:id="608" w:name="pg10275_96410"/>
      <w:bookmarkStart w:id="609" w:name="__RefHeading___Toc3971487_1067777946"/>
      <w:bookmarkStart w:id="610" w:name="_Toc251"/>
      <w:bookmarkEnd w:id="608"/>
      <w:bookmarkEnd w:id="609"/>
      <w:r>
        <w:rPr>
          <w:rtl w:val="true"/>
        </w:rPr>
        <w:t>كتاب لقطه</w:t>
      </w:r>
      <w:bookmarkEnd w:id="610"/>
    </w:p>
    <w:p>
      <w:pPr>
        <w:pStyle w:val="Heading3"/>
        <w:numPr>
          <w:ilvl w:val="2"/>
          <w:numId w:val="1"/>
        </w:numPr>
        <w:rPr/>
      </w:pPr>
      <w:bookmarkStart w:id="611" w:name="__RefHeading___Toc3971489_1067777946"/>
      <w:bookmarkStart w:id="612" w:name="_Toc252"/>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انسان لقيط</w:t>
      </w:r>
    </w:p>
    <w:p>
      <w:pPr>
        <w:pStyle w:val="BookText"/>
        <w:rPr/>
      </w:pPr>
      <w:r>
        <w:rPr>
          <w:rFonts w:ascii="Amiri" w:hAnsi="Amiri" w:eastAsia="Amiri" w:cs="Amiri"/>
          <w:color w:val="111111"/>
          <w:sz w:val="28"/>
          <w:sz w:val="28"/>
          <w:szCs w:val="28"/>
          <w:rtl w:val="true"/>
          <w:lang w:bidi="ar-SA"/>
        </w:rPr>
        <w:t>حيوان لقيط</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لقطه به معناى اخص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0275_96412"/>
      <w:bookmarkStart w:id="614" w:name="pg10275_96412"/>
      <w:bookmarkEnd w:id="614"/>
    </w:p>
    <w:p>
      <w:pPr>
        <w:pStyle w:val="Heading3"/>
        <w:numPr>
          <w:ilvl w:val="2"/>
          <w:numId w:val="1"/>
        </w:numPr>
        <w:rPr/>
      </w:pPr>
      <w:bookmarkStart w:id="615" w:name="pg10275_96412"/>
      <w:bookmarkStart w:id="616" w:name="__RefHeading___Toc3971491_1067777946"/>
      <w:bookmarkStart w:id="617" w:name="_Toc253"/>
      <w:bookmarkEnd w:id="615"/>
      <w:bookmarkEnd w:id="616"/>
      <w:r>
        <w:rPr>
          <w:rtl w:val="true"/>
        </w:rPr>
        <w:t>فصل اول انسان لقيط</w:t>
      </w:r>
      <w:bookmarkEnd w:id="617"/>
    </w:p>
    <w:p>
      <w:pPr>
        <w:pStyle w:val="Heading4"/>
        <w:numPr>
          <w:ilvl w:val="3"/>
          <w:numId w:val="1"/>
        </w:numPr>
        <w:rPr/>
      </w:pPr>
      <w:bookmarkStart w:id="618" w:name="__RefHeading___Toc3971493_1067777946"/>
      <w:bookmarkStart w:id="619" w:name="_Toc254"/>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620" w:name="__RefHeading___Toc3971495_1067777946"/>
      <w:bookmarkStart w:id="621" w:name="_Toc255"/>
      <w:bookmarkEnd w:id="620"/>
      <w:r>
        <w:rPr>
          <w:rtl w:val="true"/>
        </w:rPr>
        <w:t>انواع لقطه</w:t>
      </w:r>
      <w:bookmarkEnd w:id="621"/>
    </w:p>
    <w:p>
      <w:pPr>
        <w:pStyle w:val="Heading5"/>
        <w:numPr>
          <w:ilvl w:val="4"/>
          <w:numId w:val="1"/>
        </w:numPr>
        <w:rPr/>
      </w:pPr>
      <w:bookmarkStart w:id="622" w:name="__RefHeading___Toc3971497_1067777946"/>
      <w:bookmarkStart w:id="623" w:name="_Toc256"/>
      <w:bookmarkEnd w:id="622"/>
      <w:r>
        <w:rPr>
          <w:rtl w:val="true"/>
        </w:rPr>
        <w:t>اشاره</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قاف و سكون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 پيدا شده؛ و آن انسان يا حيوان يا غير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لقيط و ملقوط و منبوذ به آن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مقاصدى است</w:t>
      </w:r>
      <w:r>
        <w:rPr>
          <w:rFonts w:eastAsia="IRNazanin" w:cs="IRNazanin"/>
          <w:color w:val="111111"/>
          <w:sz w:val="28"/>
          <w:szCs w:val="28"/>
          <w:rtl w:val="true"/>
          <w:lang w:bidi="fa-IR"/>
        </w:rPr>
        <w:t>:</w:t>
      </w:r>
    </w:p>
    <w:p>
      <w:pPr>
        <w:pStyle w:val="Heading5"/>
        <w:numPr>
          <w:ilvl w:val="4"/>
          <w:numId w:val="1"/>
        </w:numPr>
        <w:rPr/>
      </w:pPr>
      <w:bookmarkStart w:id="624" w:name="__RefHeading___Toc3971499_1067777946"/>
      <w:bookmarkStart w:id="625" w:name="_Toc257"/>
      <w:bookmarkEnd w:id="624"/>
      <w:r>
        <w:rPr/>
        <w:t>1</w:t>
      </w:r>
      <w:r>
        <w:rPr>
          <w:rtl w:val="true"/>
        </w:rPr>
        <w:t xml:space="preserve">. </w:t>
      </w:r>
      <w:r>
        <w:rPr>
          <w:rtl w:val="true"/>
        </w:rPr>
        <w:t>لقيط</w:t>
      </w:r>
      <w:bookmarkEnd w:id="625"/>
    </w:p>
    <w:p>
      <w:pPr>
        <w:pStyle w:val="Heading6"/>
        <w:numPr>
          <w:ilvl w:val="5"/>
          <w:numId w:val="1"/>
        </w:numPr>
        <w:rPr/>
      </w:pPr>
      <w:bookmarkStart w:id="626" w:name="__RefHeading___Toc3971501_1067777946"/>
      <w:bookmarkStart w:id="627" w:name="_Toc258"/>
      <w:bookmarkEnd w:id="626"/>
      <w:r>
        <w:rPr>
          <w:rtl w:val="true"/>
        </w:rPr>
        <w:t>بچۀ گمشده</w:t>
      </w:r>
      <w:bookmarkEnd w:id="627"/>
    </w:p>
    <w:p>
      <w:pPr>
        <w:pStyle w:val="BookText"/>
        <w:rPr/>
      </w:pPr>
      <w:r>
        <w:rPr>
          <w:rFonts w:ascii="IRNazanin" w:hAnsi="IRNazanin" w:eastAsia="IRNazanin"/>
          <w:color w:val="111111"/>
          <w:sz w:val="28"/>
          <w:sz w:val="28"/>
          <w:szCs w:val="28"/>
          <w:rtl w:val="true"/>
          <w:lang w:bidi="fa-IR"/>
        </w:rPr>
        <w:t>و آن بچۀ گمشده بدون كفالت كنندۀ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به پسر ندارد، بلكه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غير مملوك خواهد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جارى است احكام آتيه در غير مميّز از آن، و جارى نيست در عاقل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جريان در طفل مميز، كلام است، و اظهر جريان استصحاب احكامِ قبل از تمييز است با محفوظيت صدق نقض و ابقاى در عرف، چنان 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متقدمين و متأخرين است</w:t>
      </w:r>
      <w:r>
        <w:rPr>
          <w:rFonts w:eastAsia="IRNazanin" w:cs="IRNazanin"/>
          <w:color w:val="111111"/>
          <w:sz w:val="28"/>
          <w:szCs w:val="28"/>
          <w:rtl w:val="true"/>
          <w:lang w:bidi="fa-IR"/>
        </w:rPr>
        <w:t>.</w:t>
      </w:r>
    </w:p>
    <w:p>
      <w:pPr>
        <w:pStyle w:val="Heading6"/>
        <w:numPr>
          <w:ilvl w:val="5"/>
          <w:numId w:val="1"/>
        </w:numPr>
        <w:rPr/>
      </w:pPr>
      <w:bookmarkStart w:id="628" w:name="__RefHeading___Toc3971503_1067777946"/>
      <w:bookmarkStart w:id="629" w:name="_Toc259"/>
      <w:bookmarkEnd w:id="628"/>
      <w:r>
        <w:rPr>
          <w:rtl w:val="true"/>
        </w:rPr>
        <w:t>مراد از كافل</w:t>
      </w:r>
      <w:bookmarkEnd w:id="62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عدم كافل، انقطاع از كافل معلوم است با صدق ضايع بالفعل، پس در </w:t>
      </w:r>
      <w:bookmarkStart w:id="630" w:name="pg10275_96413"/>
    </w:p>
    <w:p>
      <w:pPr>
        <w:pStyle w:val="BookText"/>
        <w:rPr/>
      </w:pPr>
      <w:bookmarkEnd w:id="630"/>
      <w:r>
        <w:rPr>
          <w:rFonts w:ascii="IRNazanin" w:hAnsi="IRNazanin" w:eastAsia="IRNazanin"/>
          <w:color w:val="111111"/>
          <w:sz w:val="28"/>
          <w:sz w:val="28"/>
          <w:szCs w:val="28"/>
          <w:rtl w:val="true"/>
          <w:lang w:bidi="fa-IR"/>
        </w:rPr>
        <w:t xml:space="preserve">معروف النسب و معروف الاهل جارى نيست با آن كه فعلاً ضايع از كافل خود است؛ و مقصود اخراج ملتقط نيست بلكه كلام در ابتداى التقاط و احكام آن است؛ بلكه ضايع مطلق نيست آن كه در يد 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با غلط بودن التقاط؛ پس كفالت معلوم النسب با كفيل شرعى خاص يا عام است، و كفالت 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با ملتقِط دوم بعد از طرح ملتقِط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اقرب عبارات در دلالت بر مقصود، عبارت محكيه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و انتفاى اب يا جدّ يا ملتقِط است</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3971505_1067777946"/>
      <w:bookmarkStart w:id="632" w:name="_Toc260"/>
      <w:bookmarkEnd w:id="631"/>
      <w:r>
        <w:rPr>
          <w:rtl w:val="true"/>
        </w:rPr>
        <w:t>التقاط مملوك</w:t>
      </w:r>
      <w:bookmarkEnd w:id="632"/>
    </w:p>
    <w:p>
      <w:pPr>
        <w:pStyle w:val="BookText"/>
        <w:rPr/>
      </w:pPr>
      <w:r>
        <w:rPr>
          <w:rFonts w:ascii="IRNazanin" w:hAnsi="IRNazanin" w:eastAsia="IRNazanin"/>
          <w:color w:val="111111"/>
          <w:sz w:val="28"/>
          <w:sz w:val="28"/>
          <w:szCs w:val="28"/>
          <w:rtl w:val="true"/>
          <w:lang w:bidi="fa-IR"/>
        </w:rPr>
        <w:t xml:space="preserve">اگر التقاط كرد مملوكى را كه امارۀ بر مملوكيت در او است، مرد باشد يا زن، صغير باشد يا كبير، با صدق ضايع بودن، التقاط او جايز است و بر ملتقِط است حفظ او و ايصال به صاحب او، و جايز نيست تملك او اگر چه بعد از تعريف باشد، و اين در صغير ضايع مملوك، احتياط است؛ و در صورت عدم ظفر به مالك بعد از تعريف، بر او است ايصال به حاكم شرع و مطالبۀ انفاق محقق سابق، از او، از محلّى كه صلاح بداند، و بر او است عمل به وظيفه در باره حفظ و ايصال مملوك به مالك، و كيفيت آن يا غير آن در صورت عدم امكان ايصال، با صلاحديد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 كه مملوك در يد ملتقِط است، اگر اباق يا ضياع او واقع شد، بدون تفريط ضامن نيست، چون امين است شرعاً؛ و با تفريط ضامن است، مانند ساير امانات؛ و اگر اختلاف شد در تفريط، قول امين مقدم است تا بيّنۀ بر تفريط قائم بشود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طريقى براى وصول نمودن نفقه از مالك يا حاكم نبود و راهى براى بقا در 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انفاق او به اميد وصول يا با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مى تواند بيع نمايد مملوك مذكور را در عوض نفقه سابقه، و احتياط در استيذان حاكم است با فرض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در تبعيض در بيع است با اندفاع ضرر با آن به اميد وصول به مالك و استيفاى نفقه از او، پس هر جزء از مملوك بيع مى شود بايد مطابق با نفقه تقسيط شده بر آن جزء باشد؛ و </w:t>
      </w:r>
      <w:bookmarkStart w:id="633" w:name="pg10275_96414"/>
    </w:p>
    <w:p>
      <w:pPr>
        <w:pStyle w:val="BookText"/>
        <w:rPr/>
      </w:pPr>
      <w:bookmarkEnd w:id="633"/>
      <w:r>
        <w:rPr>
          <w:rFonts w:ascii="IRNazanin" w:hAnsi="IRNazanin" w:eastAsia="IRNazanin"/>
          <w:color w:val="111111"/>
          <w:sz w:val="28"/>
          <w:sz w:val="28"/>
          <w:szCs w:val="28"/>
          <w:rtl w:val="true"/>
          <w:lang w:bidi="fa-IR"/>
        </w:rPr>
        <w:t xml:space="preserve">اگر انفاق كرد تا تمام قيمت، بيع تمام براى تمام نفقه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صورت مورد تعرّض خبر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انفاق كرد تا نصف قيمت و بعد عاجز شد از تمام نفقه، بيع مى نمايد نصف را تا نصف نفقه بر مشترى باشد، و شروع در انفاق مطابق با نصف ديگر قيمت مى نمايد مثل اول تا به مالك برسد يا آن را هم بيع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بالنسبه به نفقه آينده اگر عاجز باشد و متبرع نباشد پس احتياط در مراجعه به حاكم شرع است تا آن كه عمل به وظيفه نمايد و اگر صلاح ديد و طريقى ديگر نبود بيع بعض يا تمام نمايد و ثمن را حفظ براى مالك نمايد</w:t>
      </w:r>
      <w:r>
        <w:rPr>
          <w:rFonts w:eastAsia="IRNazanin" w:cs="IRNazanin"/>
          <w:color w:val="111111"/>
          <w:sz w:val="28"/>
          <w:szCs w:val="28"/>
          <w:rtl w:val="true"/>
          <w:lang w:bidi="fa-IR"/>
        </w:rPr>
        <w:t>.</w:t>
      </w:r>
    </w:p>
    <w:p>
      <w:pPr>
        <w:pStyle w:val="Heading5"/>
        <w:numPr>
          <w:ilvl w:val="4"/>
          <w:numId w:val="1"/>
        </w:numPr>
        <w:rPr/>
      </w:pPr>
      <w:bookmarkStart w:id="634" w:name="__RefHeading___Toc3971507_1067777946"/>
      <w:bookmarkStart w:id="635" w:name="_Toc261"/>
      <w:bookmarkEnd w:id="634"/>
      <w:r>
        <w:rPr/>
        <w:t>2</w:t>
      </w:r>
      <w:r>
        <w:rPr>
          <w:rtl w:val="true"/>
        </w:rPr>
        <w:t xml:space="preserve">. </w:t>
      </w:r>
      <w:r>
        <w:rPr>
          <w:rtl w:val="true"/>
        </w:rPr>
        <w:t>ملتقِط</w:t>
      </w:r>
      <w:bookmarkEnd w:id="635"/>
    </w:p>
    <w:p>
      <w:pPr>
        <w:pStyle w:val="Heading6"/>
        <w:numPr>
          <w:ilvl w:val="5"/>
          <w:numId w:val="1"/>
        </w:numPr>
        <w:rPr/>
      </w:pPr>
      <w:bookmarkStart w:id="636" w:name="__RefHeading___Toc3971509_1067777946"/>
      <w:bookmarkStart w:id="637" w:name="_Toc262"/>
      <w:bookmarkEnd w:id="636"/>
      <w:r>
        <w:rPr>
          <w:rtl w:val="true"/>
        </w:rPr>
        <w:t>شرايط معتبر در تأثير التقاط</w:t>
      </w:r>
      <w:bookmarkEnd w:id="637"/>
    </w:p>
    <w:p>
      <w:pPr>
        <w:pStyle w:val="BookText"/>
        <w:rPr/>
      </w:pPr>
      <w:r>
        <w:rPr>
          <w:rFonts w:ascii="IRNazanin" w:hAnsi="IRNazanin" w:eastAsia="IRNazanin"/>
          <w:color w:val="111111"/>
          <w:sz w:val="28"/>
          <w:sz w:val="28"/>
          <w:szCs w:val="28"/>
          <w:rtl w:val="true"/>
          <w:lang w:bidi="fa-IR"/>
        </w:rPr>
        <w:t xml:space="preserve">معتبر است در تأثير 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متعلق به لقيط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و 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اثرى ندارد التقاط صبىّ در شرع اگر چه مميّز و مراهق باشد؛ و همچنين التقاط مجنون مطبق يا ادوارى در حال جنون، پس اگر اخذ نمود در حال جنون، ديگرى مى تواند از او اخذ نمايد و احكام التقاط بر اخذ ديگرى كه واجد شروط است مرتّب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التقاط مملوك بنفسه نه با اذن مالك، بى اثر است به سبب مانعيّت اشتغال به خدمت مولى، از انفاق و تعريف و نحو اينها؛ و با اذن مالك، جايز و صحيح و مؤثر است مثل مباشرت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اجازۀ مالك، كشف از صحت التقاط و تأثير در احكام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اذن مالك يا اجازۀ او مملوك را، نايب است در التقاط و در ترتيب اثر بر آن و استقلال ندارد، مانند ساير تصرفات مملوك؛ و رجوع از اذن يا اجازه، مانند رجوع از التقاط است بلكه از آن باب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اقسام مملوك از قنّ و مدبّر و مكاتب اگر چه بعض او تحرير شده است مگر با تشريك در 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مهايات در مبعَّض در نوبۀ مالك كه اذن يا اجازه داده مانند غير مبعّض است بنا بر اظهر با عدم رجوع در زمان التقاط از مهايات</w:t>
      </w:r>
      <w:r>
        <w:rPr>
          <w:rFonts w:eastAsia="IRNazanin" w:cs="IRNazanin"/>
          <w:color w:val="111111"/>
          <w:sz w:val="28"/>
          <w:szCs w:val="28"/>
          <w:rtl w:val="true"/>
          <w:lang w:bidi="fa-IR"/>
        </w:rPr>
        <w:t xml:space="preserve">. </w:t>
      </w:r>
      <w:bookmarkStart w:id="638" w:name="pg10275_96415"/>
    </w:p>
    <w:p>
      <w:pPr>
        <w:pStyle w:val="BookText"/>
        <w:rPr/>
      </w:pPr>
      <w:bookmarkEnd w:id="638"/>
      <w:r>
        <w:rPr>
          <w:rFonts w:ascii="IRNazanin" w:hAnsi="IRNazanin" w:eastAsia="IRNazanin"/>
          <w:color w:val="111111"/>
          <w:sz w:val="28"/>
          <w:sz w:val="28"/>
          <w:szCs w:val="28"/>
          <w:rtl w:val="true"/>
          <w:lang w:bidi="fa-IR"/>
        </w:rPr>
        <w:t>و انقاذ از مهلكه و نحو آن بر همه واجب است حتى مملوك، و اثبات التقاط و احكام او نمى كند، و براى ديگران اخذ از او به التقاط، جايز است و مثبِت احكام التقاط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در التقاط سفيه، احتياج به موافقت حاكم است در آن چه تصرّف در اموال و حقوق باشد بدون اضافه به مال نفس، چه آن كه معتبر نباشد عدالت در التقاط و آثار آن يا آن كه محفوظ باشد در سفيه در غير ماليات</w:t>
      </w:r>
      <w:r>
        <w:rPr>
          <w:rFonts w:eastAsia="IRNazanin" w:cs="IRNazanin"/>
          <w:color w:val="111111"/>
          <w:sz w:val="28"/>
          <w:szCs w:val="28"/>
          <w:rtl w:val="true"/>
          <w:lang w:bidi="fa-IR"/>
        </w:rPr>
        <w:t>.</w:t>
      </w:r>
    </w:p>
    <w:p>
      <w:pPr>
        <w:pStyle w:val="Heading6"/>
        <w:numPr>
          <w:ilvl w:val="5"/>
          <w:numId w:val="1"/>
        </w:numPr>
        <w:rPr/>
      </w:pPr>
      <w:bookmarkStart w:id="639" w:name="__RefHeading___Toc3971511_1067777946"/>
      <w:bookmarkStart w:id="640" w:name="_Toc263"/>
      <w:bookmarkEnd w:id="639"/>
      <w:r>
        <w:rPr>
          <w:rtl w:val="true"/>
        </w:rPr>
        <w:t>اعتبار يا عدم اعتبار اسلام در ملتقط</w:t>
      </w:r>
      <w:bookmarkEnd w:id="640"/>
    </w:p>
    <w:p>
      <w:pPr>
        <w:pStyle w:val="BookText"/>
        <w:rPr/>
      </w:pPr>
      <w:r>
        <w:rPr>
          <w:rFonts w:ascii="IRNazanin" w:hAnsi="IRNazanin" w:eastAsia="IRNazanin"/>
          <w:color w:val="111111"/>
          <w:sz w:val="28"/>
          <w:sz w:val="28"/>
          <w:szCs w:val="28"/>
          <w:rtl w:val="true"/>
          <w:lang w:bidi="fa-IR"/>
        </w:rPr>
        <w:t xml:space="preserve">آيا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ملتقِط نسبت به لقيطِ محكوم به اسلام چنان چه معروف است، يا نه چنان چه مقتضاى اطلاقات است‌؟ اجود تفصيل است بين اندفاع ضرر و ضرورت به التقاط مسلم پس جايز نيست و صحيح نيست التقاط غير و لازم است اخذ مسلم از غير، و صورت عدم اندفاع ضرر و ضرورت مگر با التقاط غير مسلم پس جايز است نسبت به آثارى كه بر له اسلام و مسلم است و جايز و مؤثّر نيست نسبت به آثارى كه بر عليه اسلام و مسلم است؛ و در مراتب غير اسلام، رعايت مى شود ترتيب بين اقرب به اسلام و ابعد از شرك، مثل ترتيب بين اسلام و كفر؛ و هم چنين در التقاط كافر، لقيط محكوم به كفر يا غير محكوم به اسلام را، رعايت ترتيب لازم است بنا بر احوط؛ و باقى مى ماند در اطلاقات، التقاط مسلم، كافر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ذكر شد مستند به مرتكزات دينيّه است در تقييد اطلاقات و در عمل به آنها در مورد متقدّم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مناسبت در ثبوت و اثبات، جايز نيست بنا بر اظهر التقاط غير عارف، ولد عارف را، به خلاف التقاط فاسق، ولد عادل يا فاسق را، به جهت اداى دوم به عدم جواز التقاط نوعاً به خلاف اولى، و براى آن چه در ترك التقاط فاسق است از مضارّ و مفاسد ترك التقاط لقيط رأساً به خلاف اختلاف مذهب كه مضرت آن قابل انكار يا جبران نيست؛ پس انتزاع از يد غير عارف، لازم است بر حاكم مقتدر به خلاف انتزاع از يد فاسق كه محمول بر ندب با وجود شرايط و عدم موانع است</w:t>
      </w:r>
      <w:r>
        <w:rPr>
          <w:rFonts w:eastAsia="IRNazanin" w:cs="IRNazanin"/>
          <w:color w:val="111111"/>
          <w:sz w:val="28"/>
          <w:szCs w:val="28"/>
          <w:rtl w:val="true"/>
          <w:lang w:bidi="fa-IR"/>
        </w:rPr>
        <w:t xml:space="preserve">. </w:t>
      </w:r>
      <w:bookmarkStart w:id="641" w:name="pg10275_96416"/>
    </w:p>
    <w:p>
      <w:pPr>
        <w:pStyle w:val="BookText"/>
        <w:rPr/>
      </w:pPr>
      <w:bookmarkEnd w:id="641"/>
      <w:r>
        <w:rPr>
          <w:rFonts w:ascii="IRNazanin" w:hAnsi="IRNazanin" w:eastAsia="IRNazanin"/>
          <w:color w:val="111111"/>
          <w:sz w:val="28"/>
          <w:sz w:val="28"/>
          <w:szCs w:val="28"/>
          <w:rtl w:val="true"/>
          <w:lang w:bidi="fa-IR"/>
        </w:rPr>
        <w:t>بلكه اخذ از يد ملتقط، جايز و نافذ است اگر التقاط او بى اثر و غير جايز و غير نافذ باشد به سبب مخالفت در مذهب يا غير آن، و اختصاص به حاكم ندارد و جايز است براى هر قادر كه موافق در مذهب باشد و واجد شروط التقاط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فاسق اگر به سبب خصوصيت او و خصوصيت لقيط به نحوى بود كه بقاى لقيط در يد او مخوف بود دور نيست مداخله حاكم پس اگر صلاح ديد انتزاع از يد او مطلقاً يا در خصوص حال سفر يا در خصوص موارد مخوفه از زمان 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يا لازم باشد بر حاكم انتزاع لقيط از يد 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لقيط ندارد</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971513_1067777946"/>
      <w:bookmarkStart w:id="643" w:name="_Toc264"/>
      <w:bookmarkEnd w:id="642"/>
      <w:r>
        <w:rPr>
          <w:rtl w:val="true"/>
        </w:rPr>
        <w:t>نفقۀ لقيط بدون مال و متبرّع</w:t>
      </w:r>
      <w:bookmarkEnd w:id="643"/>
    </w:p>
    <w:p>
      <w:pPr>
        <w:pStyle w:val="BookText"/>
        <w:rPr/>
      </w:pPr>
      <w:r>
        <w:rPr>
          <w:rFonts w:ascii="IRNazanin" w:hAnsi="IRNazanin" w:eastAsia="IRNazanin"/>
          <w:color w:val="111111"/>
          <w:sz w:val="28"/>
          <w:sz w:val="28"/>
          <w:szCs w:val="28"/>
          <w:rtl w:val="true"/>
          <w:lang w:bidi="fa-IR"/>
        </w:rPr>
        <w:t>و اگر براى لقيط مالى نبود و راهى براى انفاق بر او نبود و متبرّعى هم نبود حاكم مداخله در انفاق بر او از بيت المال كه معدّ براى مصالح اسلام و مسلمين است مى نمايد چه آن كه سلطان باشد يا نايب زمان غيبت؛ و اگر از اين طريق هم ممكن نشد انفاق بر او، پس ملتقط و غير او، مشترك در لزوم انفاق بر لقيط مى باشند به نحو وجوب كفايى، با فرق بين وجود محلى براى استقراض براى ظفر به محلّ ثابت براى طفل از مال خودش يا متبرع ديگر و عدم وجود آن؛ و بالجمله بايد ضايع و غير محفوظ بدون نفقه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انفاق به نيت رجوع باشد به محلى كه اداى مربوط به او است پس متوقف بر عدم متبرع يا تبرّع است اگر چه طريق تبرع، استعانت به مسلمين باشد و اجتماع آنها در انفاق اگر چه به تناوب يا جمع كردن مال باشد، و مثل نيت رجوع است عدم نيّت تبرّع؛ و احوط براى دفع منازعات ممكنه، استيذان از حاكم است در صورت عدم تعين طريق انفاق در طريق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احتساب از سهم غارمين جارى است آن چه در همه ديون مضطرين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جارى است مذكورات در مملوك در صورت عدم امكان تكسّب او براى تمام نفقۀ خودش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644" w:name="pg10275_96417"/>
    </w:p>
    <w:p>
      <w:pPr>
        <w:pStyle w:val="Heading5"/>
        <w:numPr>
          <w:ilvl w:val="4"/>
          <w:numId w:val="1"/>
        </w:numPr>
        <w:rPr/>
      </w:pPr>
      <w:bookmarkStart w:id="645" w:name="__RefHeading___Toc3971515_1067777946"/>
      <w:bookmarkStart w:id="646" w:name="_Toc265"/>
      <w:bookmarkEnd w:id="644"/>
      <w:bookmarkEnd w:id="645"/>
      <w:r>
        <w:rPr/>
        <w:t>3</w:t>
      </w:r>
      <w:r>
        <w:rPr>
          <w:rtl w:val="true"/>
        </w:rPr>
        <w:t xml:space="preserve">. </w:t>
      </w:r>
      <w:r>
        <w:rPr>
          <w:rtl w:val="true"/>
        </w:rPr>
        <w:t>احكام التقاط</w:t>
      </w:r>
      <w:bookmarkEnd w:id="646"/>
    </w:p>
    <w:p>
      <w:pPr>
        <w:pStyle w:val="Heading6"/>
        <w:numPr>
          <w:ilvl w:val="5"/>
          <w:numId w:val="1"/>
        </w:numPr>
        <w:rPr/>
      </w:pPr>
      <w:bookmarkStart w:id="647" w:name="__RefHeading___Toc3971517_1067777946"/>
      <w:bookmarkStart w:id="648" w:name="_Toc266"/>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و در آن مسائلى است</w:t>
      </w:r>
      <w:r>
        <w:rPr>
          <w:rFonts w:eastAsia="IRNazanin" w:cs="IRNazanin"/>
          <w:color w:val="111111"/>
          <w:sz w:val="28"/>
          <w:szCs w:val="28"/>
          <w:rtl w:val="true"/>
          <w:lang w:bidi="fa-IR"/>
        </w:rPr>
        <w:t>:</w:t>
      </w:r>
    </w:p>
    <w:p>
      <w:pPr>
        <w:pStyle w:val="Heading6"/>
        <w:numPr>
          <w:ilvl w:val="5"/>
          <w:numId w:val="1"/>
        </w:numPr>
        <w:rPr/>
      </w:pPr>
      <w:bookmarkStart w:id="649" w:name="__RefHeading___Toc3971519_1067777946"/>
      <w:bookmarkStart w:id="650" w:name="_Toc267"/>
      <w:bookmarkEnd w:id="649"/>
      <w:r>
        <w:rPr>
          <w:rtl w:val="true"/>
        </w:rPr>
        <w:t>وجوب اخذ لقيط</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وجوب اخذ لقيط است به نحو كفايت؛ و دور نيست در صورت توقف حفظ از تلف بر اخذ و نحو آن از تسليم به امينى ديگر يا حاكم شرع كه ولىّ است در اين گونه مصالح و همچنين در صورت خوف تلف نفس، و در غير اين صورت پس جز استحباب عينىِ احسان و معاونت برّ و تقوى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بقاى حفظ مثل حدوث آن به مجرّد اخذ است در حكم</w:t>
      </w:r>
      <w:r>
        <w:rPr>
          <w:rFonts w:eastAsia="IRNazanin" w:cs="IRNazanin"/>
          <w:color w:val="111111"/>
          <w:sz w:val="28"/>
          <w:szCs w:val="28"/>
          <w:rtl w:val="true"/>
          <w:lang w:bidi="fa-IR"/>
        </w:rPr>
        <w:t>.</w:t>
      </w:r>
    </w:p>
    <w:p>
      <w:pPr>
        <w:pStyle w:val="Heading6"/>
        <w:numPr>
          <w:ilvl w:val="5"/>
          <w:numId w:val="1"/>
        </w:numPr>
        <w:rPr/>
      </w:pPr>
      <w:bookmarkStart w:id="651" w:name="__RefHeading___Toc3971521_1067777946"/>
      <w:bookmarkStart w:id="652" w:name="_Toc268"/>
      <w:bookmarkEnd w:id="651"/>
      <w:r>
        <w:rPr>
          <w:rtl w:val="true"/>
        </w:rPr>
        <w:t>آن چه در يد لقيط است</w:t>
      </w:r>
      <w:bookmarkEnd w:id="6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با لقيط در يد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جامه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ملكيت او است در صورت استيلاء و تصرّف مالكانه او در آنها بدون منازعى با او، اگر چه دور نيست فرق بين مميز و غير آن در سعه و ضيق آن چه در دايره ملكيت او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خيمه اى پيدا بشود وسيع و ارتباطى به او نداشته جز آن كه در آنجا پيدا شده؛ بلكه احتمال مالكيّت عرفيه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تمليك مالك عاقلى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داده شود تا حكم به ملكيت به استيلاء و تصرّف بشود؛ بلكه در جميع امورى كه با لقيط است بايد در استيلاء او و تصرّف او امارۀ ظنّيه، به مالكيّت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كبير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حكم به ملكيت بشود، و ممكن است آن امارات، استفاده از قراين موجوده حاليه يا مقاليه يا كتبيه باشند؛ وگرنه به مجرد امكان، حكم به ملكيت نمى شود، و مساوات يد لقيط با يد كبير عاقل، ثابت نيست</w:t>
      </w:r>
      <w:r>
        <w:rPr>
          <w:rFonts w:eastAsia="IRNazanin" w:cs="IRNazanin"/>
          <w:color w:val="111111"/>
          <w:sz w:val="28"/>
          <w:szCs w:val="28"/>
          <w:rtl w:val="true"/>
          <w:lang w:bidi="fa-IR"/>
        </w:rPr>
        <w:t>.</w:t>
      </w:r>
    </w:p>
    <w:p>
      <w:pPr>
        <w:pStyle w:val="Heading6"/>
        <w:numPr>
          <w:ilvl w:val="5"/>
          <w:numId w:val="1"/>
        </w:numPr>
        <w:rPr/>
      </w:pPr>
      <w:bookmarkStart w:id="653" w:name="__RefHeading___Toc3971523_1067777946"/>
      <w:bookmarkStart w:id="654" w:name="_Toc269"/>
      <w:bookmarkEnd w:id="653"/>
      <w:r>
        <w:rPr>
          <w:rtl w:val="true"/>
        </w:rPr>
        <w:t>نفقۀ لقيط</w:t>
      </w:r>
      <w:bookmarkEnd w:id="65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نفقۀ لقيط از مال خود او است در صورتى كه باشد، مثل آن چه را حكم ملكيت او محقق بشود يا آن كه از جمله موقوفات و موصىٰ به براى لقطا و امثال آنها باشد يا آن كه </w:t>
      </w:r>
      <w:bookmarkStart w:id="655" w:name="pg10275_96418"/>
    </w:p>
    <w:p>
      <w:pPr>
        <w:pStyle w:val="BookText"/>
        <w:rPr/>
      </w:pPr>
      <w:bookmarkEnd w:id="655"/>
      <w:r>
        <w:rPr>
          <w:rFonts w:ascii="IRNazanin" w:hAnsi="IRNazanin" w:eastAsia="IRNazanin"/>
          <w:color w:val="111111"/>
          <w:sz w:val="28"/>
          <w:sz w:val="28"/>
          <w:szCs w:val="28"/>
          <w:rtl w:val="true"/>
          <w:lang w:bidi="fa-IR"/>
        </w:rPr>
        <w:t xml:space="preserve">موهوب براى آنها باشد با شروط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جمله، قبول حاكم در وقت مناسب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مالى براى او نباشد و متبرعى نباشد به حاكم مراجعه در انفاق بر او از بيت المال يا استقراض با محل مترقّب مى شود</w:t>
      </w:r>
      <w:r>
        <w:rPr>
          <w:rFonts w:eastAsia="IRNazanin" w:cs="IRNazanin"/>
          <w:color w:val="111111"/>
          <w:sz w:val="28"/>
          <w:szCs w:val="28"/>
          <w:rtl w:val="true"/>
          <w:lang w:bidi="fa-IR"/>
        </w:rPr>
        <w:t>.</w:t>
      </w:r>
    </w:p>
    <w:p>
      <w:pPr>
        <w:pStyle w:val="Heading6"/>
        <w:numPr>
          <w:ilvl w:val="5"/>
          <w:numId w:val="1"/>
        </w:numPr>
        <w:rPr/>
      </w:pPr>
      <w:bookmarkStart w:id="656" w:name="__RefHeading___Toc3971525_1067777946"/>
      <w:bookmarkStart w:id="657" w:name="_Toc270"/>
      <w:bookmarkEnd w:id="656"/>
      <w:r>
        <w:rPr>
          <w:rtl w:val="true"/>
        </w:rPr>
        <w:t>اشهاد در اخذ لقيط</w:t>
      </w:r>
      <w:bookmarkEnd w:id="6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احوط در اخذ لقيط اشهاد است با احتمال وقوع در خطر مخالفت در نسب و آزادى در دست فاسق يا معسر؛ و وجوب اشهاد به قول مطلق، ثابت نيست؛ و اشهاد مستحب يا لازم، تعلق مى گيرد به لقيط و آن چه با او است و به حكم مالكيّت او است</w:t>
      </w:r>
      <w:r>
        <w:rPr>
          <w:rFonts w:eastAsia="IRNazanin" w:cs="IRNazanin"/>
          <w:color w:val="111111"/>
          <w:sz w:val="28"/>
          <w:szCs w:val="28"/>
          <w:rtl w:val="true"/>
          <w:lang w:bidi="fa-IR"/>
        </w:rPr>
        <w:t>.</w:t>
      </w:r>
    </w:p>
    <w:p>
      <w:pPr>
        <w:pStyle w:val="Heading6"/>
        <w:numPr>
          <w:ilvl w:val="5"/>
          <w:numId w:val="1"/>
        </w:numPr>
        <w:rPr/>
      </w:pPr>
      <w:bookmarkStart w:id="658" w:name="__RefHeading___Toc3971527_1067777946"/>
      <w:bookmarkStart w:id="659" w:name="_Toc271"/>
      <w:bookmarkEnd w:id="658"/>
      <w:r>
        <w:rPr>
          <w:rtl w:val="true"/>
        </w:rPr>
        <w:t>استيذان از حاكم شرع در انفاق بر لقيط</w:t>
      </w:r>
      <w:bookmarkEnd w:id="6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لقيط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ملتقط در انفاق بر او از آن مال، محتاج به اذن حاكم كه ولىّ شرعى عام است مى باشد و با اذن و رعايت خصوصيات در مأذون مى تواند مباشرت حضانت و تربيت از آن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انفاق قبل از استيذانِ ممكن نمود از مال لقيط، ضامن مال او است؛ و در صورت تعذّر استيذان تا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باشد و انفاق ضرورى باشد و از عدول مؤمنين هم استيذان ننمايد و ممكن نباشد ضامن نيست، بلكه لازم است مبادرت به انفاق 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منفق راه اثبات و ثبوت عدالت و ايمان براى او ممكن الحصول است</w:t>
      </w:r>
      <w:r>
        <w:rPr>
          <w:rFonts w:eastAsia="IRNazanin" w:cs="IRNazanin"/>
          <w:color w:val="111111"/>
          <w:sz w:val="28"/>
          <w:szCs w:val="28"/>
          <w:rtl w:val="true"/>
          <w:lang w:bidi="fa-IR"/>
        </w:rPr>
        <w:t>.</w:t>
      </w:r>
    </w:p>
    <w:p>
      <w:pPr>
        <w:pStyle w:val="Heading6"/>
        <w:numPr>
          <w:ilvl w:val="5"/>
          <w:numId w:val="1"/>
        </w:numPr>
        <w:rPr/>
      </w:pPr>
      <w:bookmarkStart w:id="660" w:name="__RefHeading___Toc3971529_1067777946"/>
      <w:bookmarkStart w:id="661" w:name="_Toc272"/>
      <w:bookmarkEnd w:id="660"/>
      <w:r>
        <w:rPr>
          <w:rtl w:val="true"/>
        </w:rPr>
        <w:t>حكم به اسلامِ لقيط</w:t>
      </w:r>
      <w:bookmarkEnd w:id="6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ملقوط در دار الإسلام كه محل نفوذ حكم حاكم مسلمان است، حكم به اسلام او مى شود اگر چه در تسلط كفّار واقع بشود در صورتى كه مسلمانى مستوطن در آنجا باشد كه ممكن باشد تولد ملقوط از او، بلكه اعتبار به مظنّۀ تولد از مسلمان بلكه احتمال عقلايى غير جزافى آن است؛ و اگر در آنجا مسلمانى نباشد كه قابل تولد ملقوط از او باشد و فعلاً دار الكفر و دار الحرب است، حكم به رقّيت ملقوط مى شود، زيرا اسلام مباشرى از صبىّ اثر ندارد اگر چه مميز بلكه مراهق باشد و بعض آثار بر</w:t>
      </w:r>
      <w:bookmarkStart w:id="662" w:name="pg10275_96419"/>
    </w:p>
    <w:p>
      <w:pPr>
        <w:pStyle w:val="BookText"/>
        <w:rPr/>
      </w:pPr>
      <w:bookmarkEnd w:id="662"/>
      <w:r>
        <w:rPr>
          <w:rFonts w:ascii="IRNazanin" w:hAnsi="IRNazanin" w:eastAsia="IRNazanin"/>
          <w:color w:val="111111"/>
          <w:sz w:val="28"/>
          <w:sz w:val="28"/>
          <w:szCs w:val="28"/>
          <w:rtl w:val="true"/>
          <w:lang w:bidi="fa-IR"/>
        </w:rPr>
        <w:t xml:space="preserve">اسلام او مرتّب باشد، و اسلام تبعى محل ندارد به جهت فقدان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تزويج مسلمان با كتابية كه ولد آنها محكوم به اسلام مى شود، يا اسلام اَب در حال حمل بودن فرزند يا انفصال او كه محكوم به اسلام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مراهق قاطع به اسلام شد و مسلمان شد به شهادتين، احوط حفظ او است از اضلال ابوين و غير آنها به نحو مقدور ميسور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مسلمين، و مجانين آنها در حال بلوغ، محكوم به اسلام مى شوند؛ و هم چنين است اسلام جدّ و جده از طرف اب يا ام، كه موجب اسلام ولد تابع مى شود در صورت عدم حيلولت اقرب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طفلى كه به انفراد از پدر و مادر خودش در سبى و اسارت مسلمانى واقع بشود محكوم به اسلام به تبعيت سابى است، به خلاف صورتى كه با او در حال سبى، يكى از ابوين و كافر بوده باشد كه تبعيت سابى بى اثر است</w:t>
      </w:r>
      <w:r>
        <w:rPr>
          <w:rFonts w:eastAsia="IRNazanin" w:cs="IRNazanin"/>
          <w:color w:val="111111"/>
          <w:sz w:val="28"/>
          <w:szCs w:val="28"/>
          <w:rtl w:val="true"/>
          <w:lang w:bidi="fa-IR"/>
        </w:rPr>
        <w:t>.</w:t>
      </w:r>
    </w:p>
    <w:p>
      <w:pPr>
        <w:pStyle w:val="Heading6"/>
        <w:numPr>
          <w:ilvl w:val="5"/>
          <w:numId w:val="1"/>
        </w:numPr>
        <w:rPr/>
      </w:pPr>
      <w:bookmarkStart w:id="663" w:name="__RefHeading___Toc3971531_1067777946"/>
      <w:bookmarkStart w:id="664" w:name="_Toc273"/>
      <w:bookmarkEnd w:id="663"/>
      <w:r>
        <w:rPr>
          <w:rtl w:val="true"/>
        </w:rPr>
        <w:t>عاقلۀ لقيط</w:t>
      </w:r>
      <w:bookmarkEnd w:id="6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عاقلۀ لقيط، امام اصل است در صورت عدم ظهور نسب او و عدم تولّى او در حال كِبَر كسى را كه ضامن جريره او باشد؛ پس ميراث او براى امام است؛ و بر امام است ديه خطاى او يا عمد در حالِ صِغَر؛ و در شبيه عمد، ديه از مال او است كه مأخوذ و متروك در بيت مال امام مى شود در صورتى كه بعد از بلوغ، جنايت واقع شود؛ چنان چه در عمد او قصاص و در خطاى محض او ديه بر امام اصل است كه وارث او است در صورت عدم تولّى كسى كه ضامن جريره او باشد، به نحوى كه در سعه و ضيق ضمان عاقله مذكور و مقرّر كرده اند</w:t>
      </w:r>
      <w:r>
        <w:rPr>
          <w:rFonts w:eastAsia="IRNazanin" w:cs="IRNazanin"/>
          <w:color w:val="111111"/>
          <w:sz w:val="28"/>
          <w:szCs w:val="28"/>
          <w:rtl w:val="true"/>
          <w:lang w:bidi="fa-IR"/>
        </w:rPr>
        <w:t>.</w:t>
      </w:r>
    </w:p>
    <w:p>
      <w:pPr>
        <w:pStyle w:val="Heading6"/>
        <w:numPr>
          <w:ilvl w:val="5"/>
          <w:numId w:val="1"/>
        </w:numPr>
        <w:rPr/>
      </w:pPr>
      <w:bookmarkStart w:id="665" w:name="__RefHeading___Toc3971533_1067777946"/>
      <w:bookmarkStart w:id="666" w:name="_Toc274"/>
      <w:bookmarkEnd w:id="665"/>
      <w:r>
        <w:rPr>
          <w:rtl w:val="true"/>
        </w:rPr>
        <w:t>جنايت بر لقيط صغير</w:t>
      </w:r>
      <w:bookmarkEnd w:id="66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 صغرِ لقيط اگر بر او جنايتى شد، پس جنايت بر نفس خطايى موجب ضمان ديه براى امام اصل است، و قصاص بر جانى است در جنايت عمديه به نحوى كه </w:t>
      </w:r>
    </w:p>
    <w:p>
      <w:pPr>
        <w:pStyle w:val="BookText"/>
        <w:rPr/>
      </w:pPr>
      <w:r>
        <w:rPr>
          <w:rFonts w:ascii="IRNazanin" w:hAnsi="IRNazanin" w:eastAsia="IRNazanin"/>
          <w:color w:val="111111"/>
          <w:sz w:val="28"/>
          <w:sz w:val="28"/>
          <w:szCs w:val="28"/>
          <w:rtl w:val="true"/>
          <w:lang w:bidi="fa-IR"/>
        </w:rPr>
        <w:t xml:space="preserve">قصاص در عمد غير ثابت است با شروط آن، چنان چه عفو بر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رضاى مجنى عليه در غير مقام، و ولىّ او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جنايت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 صغر مجنى عليه پس تأخير تا زمان بلوغ فى الجمله احوط است، و در بعضى از موارد در تأخير، تفويت حق است و تعجيل استيفاى ولىّ ديه را در جنايت خطايى با غبطۀ صغير و استيفاى قصاص در عمد احوط است؛ و تشخيص اقرب به احتياط در حقوق، با امام اصل و نايب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مى تواند ولىّ‌، تبديل قصاص به مال بدل از آن با تراضى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ولىّ حاكم، اخذ ارش نمود در عمد پس صبى لقيط بعد از بلوغ، مطالبۀ قصاص نمود، اظهر سقوط حق است به تملك ارش مأخوذ، نه آن كه بدل حيلوله بوده است؛ و هم چنين ولىّ مجنون اگر اخذ ديۀ طرف در عمد نموده است مطالبه قصاص بعد از افاقه ندارد، چنان چه در جنون ادوارى تأخير و انتظار افاقه براى اعمال حق قصاص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مذكوره كه ثابت است براى ولىّ شرعى لقيط، ثابت نيست براى ملتقط كه فقط ولايت بر حضانت و تربيت دارد؛ اما تصرّف در اموال او پس مربوط به حاكم شرع است، بلى در صورت تعذر، عدول مؤمنين به جاى او منشأ اثر مى 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مذكور شد در دار الاسلام و دار الكفر نسبت به اسلام حكمى و كفر است، امّا حريّت لقيط پس اناطه به دار ندارد؛ پس اگر التقاط در دار الحرب بود و مسلمانى مستوطن آنجا نبود كه ممكن باشد تولّد از او پس محكوم به كفر است، و محكوم به حريت است مگر آن كه به نفس استيلاء محكوم به رقّيت بشود؛ و قبل از استيلاء، به سبب حريت حكميه، تمام احكام حرّ بر او مرتب است، پس مالك مال مى شود؛ و اتلاف مال او موجب تغريم است؛ و ميراث او براى بيت مال امام است؛ و اگر مملوكى او را بكُشد مقتول مى شود؛ بلكه اگر حرّى او را به قتل رساند كشته مى شود؛ و در نكاح با او معاملۀ احرار مى شود؛ و مجرد احتمال رقّيت مانع از اجراى اين احكام نمى شود، </w:t>
      </w:r>
      <w:bookmarkStart w:id="667" w:name="pg10275_96421"/>
    </w:p>
    <w:p>
      <w:pPr>
        <w:pStyle w:val="BookText"/>
        <w:rPr/>
      </w:pPr>
      <w:bookmarkEnd w:id="667"/>
      <w:r>
        <w:rPr>
          <w:rFonts w:ascii="IRNazanin" w:hAnsi="IRNazanin" w:eastAsia="IRNazanin"/>
          <w:color w:val="111111"/>
          <w:sz w:val="28"/>
          <w:sz w:val="28"/>
          <w:szCs w:val="28"/>
          <w:rtl w:val="true"/>
          <w:lang w:bidi="fa-IR"/>
        </w:rPr>
        <w:t>و ديه يا ارش خطاى او بر بيت مال امام كه وارث است مى باشد؛ و اگر كشف خطأ در حكم به حرّيت شد لوازم آن بر بيت المال كه معدّ براى مصالح است مى باشد</w:t>
      </w:r>
      <w:r>
        <w:rPr>
          <w:rFonts w:eastAsia="IRNazanin" w:cs="IRNazanin"/>
          <w:color w:val="111111"/>
          <w:sz w:val="28"/>
          <w:szCs w:val="28"/>
          <w:rtl w:val="true"/>
          <w:lang w:bidi="fa-IR"/>
        </w:rPr>
        <w:t>.</w:t>
      </w:r>
    </w:p>
    <w:p>
      <w:pPr>
        <w:pStyle w:val="Heading6"/>
        <w:numPr>
          <w:ilvl w:val="5"/>
          <w:numId w:val="1"/>
        </w:numPr>
        <w:rPr/>
      </w:pPr>
      <w:bookmarkStart w:id="668" w:name="__RefHeading___Toc3971535_1067777946"/>
      <w:bookmarkStart w:id="669" w:name="_Toc275"/>
      <w:bookmarkEnd w:id="668"/>
      <w:r>
        <w:rPr>
          <w:rtl w:val="true"/>
        </w:rPr>
        <w:t>قذف لقيط بالغ</w:t>
      </w:r>
      <w:bookmarkEnd w:id="66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لقيط بالغ شد پس او را قذف نمود شخصى كه قذف او موجب حدّ بر او است، حدّ بر او جارى مى شود؛ مگر آن كه ادّعاى رقّيت مقذوف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حرّيت مقذوف، شرط حدّ بر قاذف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دو قول است براى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جماعتى تابع هر قولى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انتفاى شبهه به سبب حكم شرعى به حريّت لقيط اقرب است، و دعواى غير ثابته با حرمت قذف مسلمان اگر موجب شبهه باشد لازم دارد تعطيل حدود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قصاص ثابت است اگر حرّى قطع نمود دست لقيط را و ادّعاى رقيّت او را نمود، چنان چه در نفس گذشت نسبت به احتمال رقيّت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قاذف براى اثبات نصف حدّ بر خودش ادّعاى رقيت نمود پس با حكم شرعى به حريت لو لا القذف شبهه بى 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لقيط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و غير بالغ است، قذف او موجب حد نيست، بلكه بايد مقذوف بالغ و عاقل و مسلمان و آزاد باشد</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3971537_1067777946"/>
      <w:bookmarkStart w:id="671" w:name="_Toc276"/>
      <w:bookmarkEnd w:id="670"/>
      <w:r>
        <w:rPr>
          <w:rtl w:val="true"/>
        </w:rPr>
        <w:t>قبول اقرار لقيط بعد از بلوغ و رشد</w:t>
      </w:r>
      <w:bookmarkEnd w:id="67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لقيط و غير او از مجهول النسب، بعد از اتصاف به بلوغ و عقل و رشد، قبول مى شود اقرار او به رقيّت خاصه در صورت عدم معلوميت حرّيت او و عدم ادّعاى حريّت قبل از اقرار مذكور، و در امور غير متعلقه به حقوق غير پس مأخوذ به اقرار مى شود، اگر چه در صورت عدم اقرار محكوم بود در ظاهر شرع به حريّت، بلكه مانعى از قبول اقرار در آن چه بر او است نيست اگر اقرار مسبوق به ادّعاى حريّت باشد كه بر طبق اصل است چنان 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72" w:name="pg10275_96422"/>
    </w:p>
    <w:p>
      <w:pPr>
        <w:pStyle w:val="BookText"/>
        <w:rPr/>
      </w:pPr>
      <w:bookmarkEnd w:id="672"/>
      <w:r>
        <w:rPr>
          <w:rFonts w:ascii="IRNazanin" w:hAnsi="IRNazanin" w:eastAsia="IRNazanin"/>
          <w:color w:val="111111"/>
          <w:sz w:val="28"/>
          <w:sz w:val="28"/>
          <w:szCs w:val="28"/>
          <w:rtl w:val="true"/>
          <w:lang w:bidi="fa-IR"/>
        </w:rPr>
        <w:t xml:space="preserve">و هم چنين اگر اقرار به رقّيت براى شخصى نمود و آن شخص انكار كرد پس از آن اقرار كرد به رقّيت براى شخصى ديگر، قبول اقرار دوم با بقا بر التزام حاصل به اقرار اول در أصل رقّيت و امكان تنبّه و صدق در اقرار دوم، قبول آن خالى از وجه نيست، چنان 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لقيط قبل از اقرار به رقّيت، تصرفى متعلق به غير، واقع نمود به نحوى كه اگر رقيت نباشد نافذ است، پس اگر رقيت او با بيّنه ثابت بشود، تصرّف فضولى و به حكم آن خواهد بود؛ و اگر به اقرار متصرف ثابت بشود، پس آن چه حق غير است به سبب اقرار ابطال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لقيط زن بود و نكاح نمود با شوهرى پس از آن زوجه اقرار به رقيت نمود، ابطال نكاح در زمان حكم به حريّت نمى شود، و سيّد مقَرّ له مستحق اقل الامرين از مسمّى و مهر المثل مى شود يا اقل از مسمّى و عُشر يا نصف عشر مى شود بنا بر آن چه در نكاح مذكور شده است؛ و اگر مهر تسليم شده بوده با استحقاق، ديگر سيد مقَرّ له مستحق مطالبه آن نيست؛ و اولاد، محكوم به حريت مى شود؛ و عده كه حق زوج است سه قرء است نه دو قرء، و عدّۀ وفات چهار ماه و ده روز است بنا بر آن كه حق زوج باشد</w:t>
      </w:r>
      <w:r>
        <w:rPr>
          <w:rFonts w:eastAsia="IRNazanin" w:cs="IRNazanin"/>
          <w:color w:val="111111"/>
          <w:sz w:val="28"/>
          <w:szCs w:val="28"/>
          <w:rtl w:val="true"/>
          <w:lang w:bidi="fa-IR"/>
        </w:rPr>
        <w:t>.</w:t>
      </w:r>
    </w:p>
    <w:p>
      <w:pPr>
        <w:pStyle w:val="Heading6"/>
        <w:numPr>
          <w:ilvl w:val="5"/>
          <w:numId w:val="1"/>
        </w:numPr>
        <w:rPr/>
      </w:pPr>
      <w:bookmarkStart w:id="673" w:name="__RefHeading___Toc3971539_1067777946"/>
      <w:bookmarkStart w:id="674" w:name="_Toc277"/>
      <w:bookmarkEnd w:id="673"/>
      <w:r>
        <w:rPr>
          <w:rtl w:val="true"/>
        </w:rPr>
        <w:t>ادّعاى بنوّت لقيط</w:t>
      </w:r>
      <w:bookmarkEnd w:id="67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 نمود شخصى بنوّت لقيط را با امكان آن، پس با بيّنه ثابت مى شود و تمام احكام آن مرتب مى شود؛ و اگر بيّنه نباشد احكام متعلقه به حقوق غير، مرتب نمى شود، و نسب ثابت مى شود بالنسبة به آثارى كه مربوط به حق غير نيست، خواه مدّعى حرّ باشد، يا عبد مسلمان باشد يا كافر، و احتمال لزوم تصديق لقيط بعد از بلوغ و رشد نسبت به ثبوت نسب در اب به ابوّت بلكه در امّ به امومت جارى است و تحقيق آن در كتاب اقرار است، به خلاف احكام مربوطه به اقرار كه ربطى به غير مقِرّ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ثابت شدن بنوّت مطلقاً به سبب اقرار يا با تصديق بعد از بلوغ و رشد در صورت </w:t>
      </w:r>
      <w:bookmarkStart w:id="675" w:name="pg10275_96423"/>
    </w:p>
    <w:p>
      <w:pPr>
        <w:pStyle w:val="BookText"/>
        <w:rPr/>
      </w:pPr>
      <w:bookmarkEnd w:id="675"/>
      <w:r>
        <w:rPr>
          <w:rFonts w:ascii="IRNazanin" w:hAnsi="IRNazanin" w:eastAsia="IRNazanin"/>
          <w:color w:val="111111"/>
          <w:sz w:val="28"/>
          <w:sz w:val="28"/>
          <w:szCs w:val="28"/>
          <w:rtl w:val="true"/>
          <w:lang w:bidi="fa-IR"/>
        </w:rPr>
        <w:t xml:space="preserve">كفر مدّعى بنوّت يا قيام بيّنه بر بنوّت، موجب حكم به رقّيت عن كفرٍ و كفر ولد نيست در صورت محكوميّت به حرّيت و اسلام با نبودن بنوّت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كه در دار الاسلام پيدا شده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نسب ثابت، ملازم با يكى از آن دو نيست مگر آن كه مدّعى بنوّت او مسلمان باشد و حكم به كفر و رقيّت به تبع دار الكفر و استرقاق بوده، پس ممكن است با ثبوت نسب با مسلمان محكوم به اسلام و حرّيت باشد بلكه خالى از وجه نيست</w:t>
      </w:r>
      <w:r>
        <w:rPr>
          <w:rFonts w:eastAsia="IRNazanin" w:cs="IRNazanin"/>
          <w:color w:val="111111"/>
          <w:sz w:val="28"/>
          <w:szCs w:val="28"/>
          <w:rtl w:val="true"/>
          <w:lang w:bidi="fa-IR"/>
        </w:rPr>
        <w:t>.</w:t>
      </w:r>
    </w:p>
    <w:p>
      <w:pPr>
        <w:pStyle w:val="Heading5"/>
        <w:numPr>
          <w:ilvl w:val="4"/>
          <w:numId w:val="1"/>
        </w:numPr>
        <w:rPr/>
      </w:pPr>
      <w:bookmarkStart w:id="676" w:name="__RefHeading___Toc3971541_1067777946"/>
      <w:bookmarkStart w:id="677" w:name="_Toc278"/>
      <w:bookmarkEnd w:id="676"/>
      <w:r>
        <w:rPr/>
        <w:t>4</w:t>
      </w:r>
      <w:r>
        <w:rPr>
          <w:rtl w:val="true"/>
        </w:rPr>
        <w:t xml:space="preserve">. </w:t>
      </w:r>
      <w:r>
        <w:rPr>
          <w:rtl w:val="true"/>
        </w:rPr>
        <w:t>احكام نزاع</w:t>
      </w:r>
      <w:bookmarkEnd w:id="677"/>
    </w:p>
    <w:p>
      <w:pPr>
        <w:pStyle w:val="Heading6"/>
        <w:numPr>
          <w:ilvl w:val="5"/>
          <w:numId w:val="1"/>
        </w:numPr>
        <w:rPr/>
      </w:pPr>
      <w:bookmarkStart w:id="678" w:name="__RefHeading___Toc3971543_1067777946"/>
      <w:bookmarkStart w:id="679" w:name="_Toc279"/>
      <w:bookmarkEnd w:id="678"/>
      <w:r>
        <w:rPr>
          <w:rtl w:val="true"/>
        </w:rPr>
        <w:t>اختلاف لقيط و ملتقط در انفاق و قدر آن</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لقيط و ملتقط اختلاف كردند در انفاق و قدر آن، قول ملتقِط با يمين او مقدم است در آن چه متجاوز از معروف و ضرورت عاديه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ولايت ملتقط بر لقيط، ثابت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 تعذر حاكم، و عدول مؤمنين بعد از آن، و اقتضاى ضرورت، ثبوت ولايت را براى ملتقط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احوط اشهاد است با تمكن از آن در انفاق و در قدر آن و در رجوع از مال لقيط و در قدر آن؛ بلكه اگر ممكن شد استيذان متقدّم در رجوع و وقت آن و مقدار آن، ترك اين احتياط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هذا پس قول ملتقط بايد مطابق ميزان شرعى در جواز انفاق و قدر آن و شروط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جمله استيذان با امكان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رعايت مذكور، قول او با يمين او مقدّم است مانند ساير اُمنا، مثل وصىّ و قيّم شرعى؛ و هم چنين در دعواى زيادتى بر معروف نوعى به ادّعاى حاجت شخصيه و ضرورت شخصيه غير نوعيه اگر واضح نباشد تفريط او در حدّ انفاق</w:t>
      </w:r>
      <w:r>
        <w:rPr>
          <w:rFonts w:eastAsia="IRNazanin" w:cs="IRNazanin"/>
          <w:color w:val="111111"/>
          <w:sz w:val="28"/>
          <w:szCs w:val="28"/>
          <w:rtl w:val="true"/>
          <w:lang w:bidi="fa-IR"/>
        </w:rPr>
        <w:t>.</w:t>
      </w:r>
    </w:p>
    <w:p>
      <w:pPr>
        <w:pStyle w:val="Heading6"/>
        <w:numPr>
          <w:ilvl w:val="5"/>
          <w:numId w:val="1"/>
        </w:numPr>
        <w:rPr/>
      </w:pPr>
      <w:bookmarkStart w:id="680" w:name="__RefHeading___Toc3971545_1067777946"/>
      <w:bookmarkStart w:id="681" w:name="_Toc280"/>
      <w:bookmarkEnd w:id="680"/>
      <w:r>
        <w:rPr>
          <w:rtl w:val="true"/>
        </w:rPr>
        <w:t>عدم ضمان ملتقِط و امين بودن وى</w:t>
      </w:r>
      <w:bookmarkEnd w:id="68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عدم ضمان ملتقط است ماليّت عين منازع فيها را در صورت ادّعاى لقيط، عين </w:t>
      </w:r>
      <w:bookmarkStart w:id="682" w:name="pg10275_96424"/>
    </w:p>
    <w:p>
      <w:pPr>
        <w:pStyle w:val="BookText"/>
        <w:rPr/>
      </w:pPr>
      <w:bookmarkEnd w:id="682"/>
      <w:r>
        <w:rPr>
          <w:rFonts w:ascii="IRNazanin" w:hAnsi="IRNazanin" w:eastAsia="IRNazanin"/>
          <w:color w:val="111111"/>
          <w:sz w:val="28"/>
          <w:sz w:val="28"/>
          <w:szCs w:val="28"/>
          <w:rtl w:val="true"/>
          <w:lang w:bidi="fa-IR"/>
        </w:rPr>
        <w:t xml:space="preserve">را و ادّعاى ملتقط، صرف در انفاق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انفاق ماليت مورد اتفاق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تقديم قول ملتقط با يمين او در عين كه ماليّت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ملتقِط كه امين است، با شروط متقدّمه، در اصل انفاق و قدر آن و احتياج به زيادتى در آن، مقدم است با يمين او، چه آن كه لقيط، مالى داشته يا نه، و چه انفاق از مال خود ملتقط به نيّت رجوع يا تبديل فعلى بوده يا از مال لقيط، و چه آن كه ادّعاى تبرع ملتقط از طرف لقيط بشود يا نه، و اللّٰه العالم</w:t>
      </w:r>
      <w:r>
        <w:rPr>
          <w:rFonts w:eastAsia="IRNazanin" w:cs="IRNazanin"/>
          <w:color w:val="111111"/>
          <w:sz w:val="28"/>
          <w:szCs w:val="28"/>
          <w:rtl w:val="true"/>
          <w:lang w:bidi="fa-IR"/>
        </w:rPr>
        <w:t>.</w:t>
      </w:r>
    </w:p>
    <w:p>
      <w:pPr>
        <w:pStyle w:val="Heading6"/>
        <w:numPr>
          <w:ilvl w:val="5"/>
          <w:numId w:val="1"/>
        </w:numPr>
        <w:rPr/>
      </w:pPr>
      <w:bookmarkStart w:id="683" w:name="__RefHeading___Toc3971547_1067777946"/>
      <w:bookmarkStart w:id="684" w:name="_Toc281"/>
      <w:bookmarkEnd w:id="683"/>
      <w:r>
        <w:rPr>
          <w:rtl w:val="true"/>
        </w:rPr>
        <w:t>تنازع دو ملتقط</w:t>
      </w:r>
      <w:bookmarkEnd w:id="6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ملتقط تنازع كردند با تساوى در شروط التقاط، اظهر اشتراك است در حضانت و تربيت و لوازم آنها؛ و اگر توافق در لوازم اشتراك نشد به مناسبت تضرر يكى از آنها يا تضرر طفل، متّجه تعيين شخص واحد با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ولىّ لقيط، حاكم شرع است پس احوط ايكال امر تشريك يا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قرعه يا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حاكم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حضانت و تربيت و انفاق و محل آن و قدر آن، به او مراجعه و با اذن او عمل و ترك و كيفيت آنها را تطبيق نمايند، اگر چه ثابت بشود كه حق حضانت و تربيت و تكفل امور، حق تعيينى ثابت براى ملتقط و بر ملتقط است در انفراد و اشتراك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رعايت آن چه مذكور شد از استيذان حاكم شرع، فرقى بين صورت موسر بودن هر دو يا يكى و حاضر بودن هر دو يا يكى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بين صورتى كه يكى از دو ملتقط كافر باشد در صورت محكوميت لقيط به كفر، مثل آن كه التقاط در دار الكفر خالى از مسلمان باشد، و چون حربى و به حكم آن نباشد اگر استرقاق او به استيلاء به التقاط، محل نداشته باشد و بقاءً محكوم به كفر باشد به جهت عدم استرقاق؛ وگرنه با استرقاق و محلّ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تغليب اسلام و تبعيت سابى مسلم و اختصاص او به حضانت، ثابت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ترجيح به صفات به حسب اعتبارات و ظنّيات با اناطۀ به نظر حاكم، بى محلّ‌ </w:t>
      </w:r>
      <w:bookmarkStart w:id="685" w:name="pg10275_96425"/>
    </w:p>
    <w:p>
      <w:pPr>
        <w:pStyle w:val="BookText"/>
        <w:rPr/>
      </w:pPr>
      <w:bookmarkEnd w:id="685"/>
      <w:r>
        <w:rPr>
          <w:rFonts w:ascii="Amiri" w:hAnsi="Amiri" w:eastAsia="Amiri" w:cs="Amiri"/>
          <w:color w:val="111111"/>
          <w:sz w:val="28"/>
          <w:sz w:val="28"/>
          <w:szCs w:val="28"/>
          <w:rtl w:val="true"/>
          <w:lang w:bidi="ar-SA"/>
        </w:rPr>
        <w:t>است بلكه حاكم، رعايت احتياطات را در ترجيحات مى نمايد و از صلاح لقيط خارج نمى شود و اذن در خروج نمى دهد</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971549_1067777946"/>
      <w:bookmarkStart w:id="687" w:name="_Toc282"/>
      <w:bookmarkEnd w:id="686"/>
      <w:r>
        <w:rPr>
          <w:rtl w:val="true"/>
        </w:rPr>
        <w:t>فرضِ بودن لقيط در يد يكى از متنازعين</w:t>
      </w:r>
      <w:bookmarkEnd w:id="687"/>
    </w:p>
    <w:p>
      <w:pPr>
        <w:pStyle w:val="BookText"/>
        <w:rPr/>
      </w:pPr>
      <w:r>
        <w:rPr>
          <w:rFonts w:ascii="IRNazanin" w:hAnsi="IRNazanin" w:eastAsia="IRNazanin"/>
          <w:color w:val="111111"/>
          <w:sz w:val="28"/>
          <w:sz w:val="28"/>
          <w:szCs w:val="28"/>
          <w:rtl w:val="true"/>
          <w:lang w:bidi="fa-IR"/>
        </w:rPr>
        <w:t xml:space="preserve">اگر در يد يكى از متنازعين باشد پس اظهر تقديم معلوم الالتقاط است كه صاحب يد فعليه باشد؛ و تقديم بيّنه غير ذى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وجهِ مستند به اين كه ذو اليد به حكم منكر است نيست، به خلاف صورت تساوى در يد كه محل اقراع است؛ با مراجعۀ به حاكم بنا بر احوط در همه مذكورات و غير اينها چنان چه گذشت</w:t>
      </w:r>
      <w:r>
        <w:rPr>
          <w:rFonts w:eastAsia="IRNazanin" w:cs="IRNazanin"/>
          <w:color w:val="111111"/>
          <w:sz w:val="28"/>
          <w:szCs w:val="28"/>
          <w:rtl w:val="true"/>
          <w:lang w:bidi="fa-IR"/>
        </w:rPr>
        <w:t>.</w:t>
      </w:r>
    </w:p>
    <w:p>
      <w:pPr>
        <w:pStyle w:val="Heading6"/>
        <w:numPr>
          <w:ilvl w:val="5"/>
          <w:numId w:val="1"/>
        </w:numPr>
        <w:rPr/>
      </w:pPr>
      <w:bookmarkStart w:id="688" w:name="__RefHeading___Toc3971551_1067777946"/>
      <w:bookmarkStart w:id="689" w:name="_Toc283"/>
      <w:bookmarkEnd w:id="688"/>
      <w:r>
        <w:rPr>
          <w:rtl w:val="true"/>
        </w:rPr>
        <w:t xml:space="preserve">كلام </w:t>
      </w:r>
      <w:r>
        <w:rPr>
          <w:rtl w:val="true"/>
        </w:rPr>
        <w:t>«</w:t>
      </w:r>
      <w:r>
        <w:rPr>
          <w:rtl w:val="true"/>
        </w:rPr>
        <w:t>تحرير</w:t>
      </w:r>
      <w:r>
        <w:rPr>
          <w:rtl w:val="true"/>
        </w:rPr>
        <w:t xml:space="preserve">» </w:t>
      </w:r>
      <w:r>
        <w:rPr>
          <w:rtl w:val="true"/>
        </w:rPr>
        <w:t>در مقام</w:t>
      </w:r>
      <w:bookmarkEnd w:id="689"/>
    </w:p>
    <w:p>
      <w:pPr>
        <w:pStyle w:val="BookText"/>
        <w:rPr/>
      </w:pPr>
      <w:r>
        <w:rPr>
          <w:rFonts w:ascii="Amiri" w:hAnsi="Amiri" w:eastAsia="Amiri" w:cs="Amiri"/>
          <w:color w:val="111111"/>
          <w:sz w:val="28"/>
          <w:sz w:val="28"/>
          <w:szCs w:val="28"/>
          <w:rtl w:val="true"/>
          <w:lang w:bidi="ar-SA"/>
        </w:rPr>
        <w:t xml:space="preserve">و مراد از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 كه ذكر شد،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فى سبق التقاطه حكم لمن هو في يده مع اليمين، و لو كان فى يدهما اقرع بينهما فيحلف من خرجت له، و يحتمل عدم اليمين؛ و كذا لو لم يكن فى يدهما، مع احتمال أن يسلّمه الحاكم الى من شاء من الامناء؛ و لو وصف احدهما شيئاً مستوراً فيه كشامة فى جسده لم يكن اولىٰ كما لو وصف مدّعى المتاع، و يحتمل تقديمه كما لو وصف اللقطة؛ و لو اختصّ احدهما بالبينة حكم له، و لو اقامٰا بينة قدّم سابق التاريخ، و لو تعارضا اقرع، و لو كانت يد احدهما عليه و اقاما بينة حكم للخارج</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3971553_1067777946"/>
      <w:bookmarkStart w:id="691" w:name="_Toc284"/>
      <w:bookmarkEnd w:id="690"/>
      <w:r>
        <w:rPr>
          <w:rtl w:val="true"/>
        </w:rPr>
        <w:t>مناقشه در توصيف مدعى متاع و مدّعى لقطه</w:t>
      </w:r>
      <w:bookmarkEnd w:id="691"/>
    </w:p>
    <w:p>
      <w:pPr>
        <w:pStyle w:val="BookText"/>
        <w:rPr/>
      </w:pPr>
      <w:r>
        <w:rPr>
          <w:rFonts w:ascii="IRNazanin" w:hAnsi="IRNazanin" w:eastAsia="IRNazanin"/>
          <w:color w:val="111111"/>
          <w:sz w:val="28"/>
          <w:sz w:val="28"/>
          <w:szCs w:val="28"/>
          <w:rtl w:val="true"/>
          <w:lang w:bidi="fa-IR"/>
        </w:rPr>
        <w:t>و آن چه فرموده اند در توصيف مدّعى متاع و مدّعى لقطه، قابل مناقشه است كه بر تقدير قول به اعطاى واصف لقطه، به دليل، محل قياس نيست، و عدم تأثير توصيف ظنّى بر طبق اصل است، و هيچ كدام اختصاص به دوران بين اشخاص ندارد، و محلّ إقراع و قبل از آن ترجيح بيّنۀ يكى، صورت دوران بين اشخاص است</w:t>
      </w:r>
      <w:r>
        <w:rPr>
          <w:rFonts w:eastAsia="IRNazanin" w:cs="IRNazanin"/>
          <w:color w:val="111111"/>
          <w:sz w:val="28"/>
          <w:szCs w:val="28"/>
          <w:rtl w:val="true"/>
          <w:lang w:bidi="fa-IR"/>
        </w:rPr>
        <w:t>.</w:t>
      </w:r>
    </w:p>
    <w:p>
      <w:pPr>
        <w:pStyle w:val="Heading6"/>
        <w:numPr>
          <w:ilvl w:val="5"/>
          <w:numId w:val="1"/>
        </w:numPr>
        <w:rPr/>
      </w:pPr>
      <w:bookmarkStart w:id="692" w:name="__RefHeading___Toc3971555_1067777946"/>
      <w:bookmarkStart w:id="693" w:name="_Toc285"/>
      <w:bookmarkEnd w:id="692"/>
      <w:r>
        <w:rPr>
          <w:rtl w:val="true"/>
        </w:rPr>
        <w:t>ادّعاى بنوّت توسط دو نفر</w:t>
      </w:r>
      <w:bookmarkEnd w:id="69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ادّعاى بنوّت لقيط را دو نفر اجنبى يا دو ملتقط نمودند، هر كدام بيّنه دارند،</w:t>
      </w:r>
      <w:bookmarkStart w:id="694" w:name="pg10275_96426"/>
    </w:p>
    <w:p>
      <w:pPr>
        <w:pStyle w:val="BookText"/>
        <w:rPr/>
      </w:pPr>
      <w:bookmarkEnd w:id="694"/>
      <w:r>
        <w:rPr>
          <w:rFonts w:ascii="IRNazanin" w:hAnsi="IRNazanin" w:eastAsia="IRNazanin"/>
          <w:color w:val="111111"/>
          <w:sz w:val="28"/>
          <w:sz w:val="28"/>
          <w:szCs w:val="28"/>
          <w:rtl w:val="true"/>
          <w:lang w:bidi="fa-IR"/>
        </w:rPr>
        <w:t>حكم براى او مى شود؛ و اگر هر دو اقامۀ بيّنه كردند يا آن كه هيچ كدام بيّنه نداشت با قرعه تعيين مى شود منسوب اليه بنا بر اظهر و احوط نسبت به احتمال تخيير حاكم در حكم بر طبق بيّنه اى كه اختيار مى كند در صورت اُولى؛ و اگر ملتقط، خصوص يكى از دو مدعى است، حكم همين است كه ذكر شد، چون يد التقاطى در نسب تأثير ندارد</w:t>
      </w:r>
      <w:r>
        <w:rPr>
          <w:rFonts w:eastAsia="IRNazanin" w:cs="IRNazanin"/>
          <w:color w:val="111111"/>
          <w:sz w:val="28"/>
          <w:szCs w:val="28"/>
          <w:rtl w:val="true"/>
          <w:lang w:bidi="fa-IR"/>
        </w:rPr>
        <w:t>.</w:t>
      </w:r>
    </w:p>
    <w:p>
      <w:pPr>
        <w:pStyle w:val="Heading6"/>
        <w:numPr>
          <w:ilvl w:val="5"/>
          <w:numId w:val="1"/>
        </w:numPr>
        <w:rPr/>
      </w:pPr>
      <w:bookmarkStart w:id="695" w:name="__RefHeading___Toc3971557_1067777946"/>
      <w:bookmarkStart w:id="696" w:name="_Toc286"/>
      <w:bookmarkEnd w:id="695"/>
      <w:r>
        <w:rPr>
          <w:rtl w:val="true"/>
        </w:rPr>
        <w:t>اختلاف مسلم و كافر و يا حرّ و عبد در ادّعاى بنوّت</w:t>
      </w:r>
      <w:bookmarkEnd w:id="6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اختلاف كردند كافرى و مسلمانى يا حرّ با عبدى در دعواى بنوّت لقيط پس منسوب به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مسلم و حرّ است بر كافر و مملوك مگر در صورت محكوميت لقيط به كفر يا رقيت كه محل ترجيح لحوق به كافر يا رقّ يا توقف است، و آن چه شيخ فرموده خالى از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به اصل مبنىّ بر غلبۀ مرجّحه احتمال اسلام كه محتمَل اقوى است و حريّت كه محتمل غالب است و موافق مرتكزات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متقوى است لحوق به مسلم در صورت التقاط در دار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تقدير بقاى حكم اسلام و حريت در لقيط اگر چه حكم به بنوّت كافر يا رق باشد پس ترجيح به اسلام يا حريت مدعى به نحو مذكور محل تأمل است، بلكه تعين قرعه در تقدير مذكور قريب است</w:t>
      </w:r>
      <w:r>
        <w:rPr>
          <w:rFonts w:eastAsia="IRNazanin" w:cs="IRNazanin"/>
          <w:color w:val="111111"/>
          <w:sz w:val="28"/>
          <w:szCs w:val="28"/>
          <w:rtl w:val="true"/>
          <w:lang w:bidi="fa-IR"/>
        </w:rPr>
        <w:t>.</w:t>
      </w:r>
    </w:p>
    <w:p>
      <w:pPr>
        <w:pStyle w:val="Heading6"/>
        <w:numPr>
          <w:ilvl w:val="5"/>
          <w:numId w:val="1"/>
        </w:numPr>
        <w:rPr/>
      </w:pPr>
      <w:bookmarkStart w:id="697" w:name="__RefHeading___Toc3971559_1067777946"/>
      <w:bookmarkStart w:id="698" w:name="_Toc287"/>
      <w:bookmarkEnd w:id="697"/>
      <w:r>
        <w:rPr>
          <w:rtl w:val="true"/>
        </w:rPr>
        <w:t>نزاع بين مرد و زن در بنوّت</w:t>
      </w:r>
      <w:bookmarkEnd w:id="69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نزاع بين مرد و زنى در بنوّت شد پس اثرى ندارد با امكان لحوق به هر دو از نكاح يا وطى صحيح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از زوجۀ من است، و زوجه تصديق نمود و زن ديگرى ادّعاى بنوّت كرد، پس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قول مرد است و آن مبنىّ بر ترجيح به موافقت دو دعوى بر يك دعوى است و آن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دو نفر اخبار از بنوّت براى مدعى ثالث بنمايند بدون شروط بينۀ مقبوله و يك نفر ادّعاى بنوّت از خودش بنمايد، و حكم با قرعه اقرب است</w:t>
      </w:r>
      <w:r>
        <w:rPr>
          <w:rFonts w:eastAsia="IRNazanin" w:cs="IRNazanin"/>
          <w:color w:val="111111"/>
          <w:sz w:val="28"/>
          <w:szCs w:val="28"/>
          <w:rtl w:val="true"/>
          <w:lang w:bidi="fa-IR"/>
        </w:rPr>
        <w:t xml:space="preserve">. </w:t>
      </w:r>
      <w:bookmarkStart w:id="699" w:name="pg10275_96427"/>
    </w:p>
    <w:p>
      <w:pPr>
        <w:pStyle w:val="Heading3"/>
        <w:numPr>
          <w:ilvl w:val="2"/>
          <w:numId w:val="1"/>
        </w:numPr>
        <w:rPr/>
      </w:pPr>
      <w:bookmarkStart w:id="700" w:name="__RefHeading___Toc3971561_1067777946"/>
      <w:bookmarkStart w:id="701" w:name="_Toc288"/>
      <w:bookmarkEnd w:id="699"/>
      <w:bookmarkEnd w:id="700"/>
      <w:r>
        <w:rPr>
          <w:rtl w:val="true"/>
        </w:rPr>
        <w:t>فصل دوّم حيوان لقيط</w:t>
      </w:r>
      <w:bookmarkEnd w:id="701"/>
    </w:p>
    <w:p>
      <w:pPr>
        <w:pStyle w:val="Heading4"/>
        <w:numPr>
          <w:ilvl w:val="3"/>
          <w:numId w:val="1"/>
        </w:numPr>
        <w:rPr/>
      </w:pPr>
      <w:bookmarkStart w:id="702" w:name="__RefHeading___Toc3971563_1067777946"/>
      <w:bookmarkStart w:id="703" w:name="_Toc289"/>
      <w:bookmarkEnd w:id="702"/>
      <w:r>
        <w:rPr>
          <w:rtl w:val="true"/>
        </w:rPr>
        <w:t>بيان امور مربوطه به آخذ و مأخوذ و حكم حيوان گمشده</w:t>
      </w:r>
      <w:bookmarkEnd w:id="703"/>
    </w:p>
    <w:p>
      <w:pPr>
        <w:pStyle w:val="Heading5"/>
        <w:numPr>
          <w:ilvl w:val="4"/>
          <w:numId w:val="1"/>
        </w:numPr>
        <w:rPr/>
      </w:pPr>
      <w:bookmarkStart w:id="704" w:name="__RefHeading___Toc3971565_1067777946"/>
      <w:bookmarkStart w:id="705" w:name="_Toc290"/>
      <w:bookmarkEnd w:id="704"/>
      <w:r>
        <w:rPr>
          <w:rtl w:val="true"/>
        </w:rPr>
        <w:t>مراد از ضالّه و حيوان گمشده</w:t>
      </w:r>
      <w:bookmarkEnd w:id="705"/>
    </w:p>
    <w:p>
      <w:pPr>
        <w:pStyle w:val="BookText"/>
        <w:rPr/>
      </w:pPr>
      <w:r>
        <w:rPr>
          <w:rFonts w:ascii="IRNazanin" w:hAnsi="IRNazanin" w:eastAsia="IRNazanin"/>
          <w:color w:val="111111"/>
          <w:sz w:val="28"/>
          <w:sz w:val="28"/>
          <w:szCs w:val="28"/>
          <w:rtl w:val="true"/>
          <w:lang w:bidi="fa-IR"/>
        </w:rPr>
        <w:t>ملتقَط كه موضوع احكام آتيه است و مسمّى به ضالّه است، عبارت است از حيوان مملوك شرعى كه در صحرا از مالك خودش گمشده است و در زمان اخذ، يد احدى بر او نبوده باشد</w:t>
      </w:r>
      <w:r>
        <w:rPr>
          <w:rFonts w:eastAsia="IRNazanin" w:cs="IRNazanin"/>
          <w:color w:val="111111"/>
          <w:sz w:val="28"/>
          <w:szCs w:val="28"/>
          <w:rtl w:val="true"/>
          <w:lang w:bidi="fa-IR"/>
        </w:rPr>
        <w:t>.</w:t>
      </w:r>
    </w:p>
    <w:p>
      <w:pPr>
        <w:pStyle w:val="Heading5"/>
        <w:numPr>
          <w:ilvl w:val="4"/>
          <w:numId w:val="1"/>
        </w:numPr>
        <w:rPr/>
      </w:pPr>
      <w:bookmarkStart w:id="706" w:name="__RefHeading___Toc3971567_1067777946"/>
      <w:bookmarkStart w:id="707" w:name="_Toc291"/>
      <w:bookmarkEnd w:id="706"/>
      <w:r>
        <w:rPr>
          <w:rtl w:val="true"/>
        </w:rPr>
        <w:t>كراهت اخذ ضالّه</w:t>
      </w:r>
      <w:bookmarkEnd w:id="707"/>
    </w:p>
    <w:p>
      <w:pPr>
        <w:pStyle w:val="BookText"/>
        <w:rPr/>
      </w:pPr>
      <w:r>
        <w:rPr>
          <w:rFonts w:ascii="Amiri" w:hAnsi="Amiri" w:eastAsia="Amiri" w:cs="Amiri"/>
          <w:color w:val="111111"/>
          <w:sz w:val="28"/>
          <w:sz w:val="28"/>
          <w:szCs w:val="28"/>
          <w:rtl w:val="true"/>
          <w:lang w:bidi="ar-SA"/>
        </w:rPr>
        <w:t>و اخذ آن در صورت جواز، مكروه است زيرا مستلزم احكام كثيره است كه تخلص از آنها براى هر كسى ميسور نيست؛ بلى در صورت معرضيت براى تلف بر تقدير عدم اخذ، كراهت ندارد، و ممكن است در بعض تقديرها مستحب يا واجب باشد</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3971569_1067777946"/>
      <w:bookmarkStart w:id="709" w:name="_Toc292"/>
      <w:bookmarkEnd w:id="708"/>
      <w:r>
        <w:rPr>
          <w:rtl w:val="true"/>
        </w:rPr>
        <w:t>استحباب اشهاد عدلين</w:t>
      </w:r>
      <w:bookmarkEnd w:id="709"/>
    </w:p>
    <w:p>
      <w:pPr>
        <w:pStyle w:val="BookText"/>
        <w:rPr/>
      </w:pPr>
      <w:r>
        <w:rPr>
          <w:rFonts w:ascii="Amiri" w:hAnsi="Amiri" w:eastAsia="Amiri" w:cs="Amiri"/>
          <w:color w:val="111111"/>
          <w:sz w:val="28"/>
          <w:sz w:val="28"/>
          <w:szCs w:val="28"/>
          <w:rtl w:val="true"/>
          <w:lang w:bidi="ar-SA"/>
        </w:rPr>
        <w:t>و مستحب است اشهاد عدلين بر اخذ ضاله تا دور از احتمال دخول در متملكات شخصيه آخذ باشد و در حوادث غير مترقبه محكوم به ملكيّت او نباشد و دفع تهمت از او بشود</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971571_1067777946"/>
      <w:bookmarkStart w:id="711" w:name="_Toc293"/>
      <w:bookmarkEnd w:id="710"/>
      <w:r>
        <w:rPr>
          <w:rtl w:val="true"/>
        </w:rPr>
        <w:t>تفارق شتر و گوسفند در جواز اخذ</w:t>
      </w:r>
      <w:bookmarkEnd w:id="71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شتر كه در او محفوظ است دافعيّت از سباع تا حدّى، اگر خوف اتلاف قوى تر از آن، آن را نباشد، ممنوع است اخذ آن در صورت سالم بودن آن و در صورت وجدان </w:t>
      </w:r>
      <w:bookmarkStart w:id="712" w:name="pg10275_96428"/>
    </w:p>
    <w:p>
      <w:pPr>
        <w:pStyle w:val="BookText"/>
        <w:rPr/>
      </w:pPr>
      <w:bookmarkEnd w:id="712"/>
      <w:r>
        <w:rPr>
          <w:rFonts w:ascii="IRNazanin" w:hAnsi="IRNazanin" w:eastAsia="IRNazanin"/>
          <w:color w:val="111111"/>
          <w:sz w:val="28"/>
          <w:sz w:val="28"/>
          <w:szCs w:val="28"/>
          <w:rtl w:val="true"/>
          <w:lang w:bidi="fa-IR"/>
        </w:rPr>
        <w:t>آن در آب و گياه، و آن به خلاف گوسفند است كه دافعيّت مذكوره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جواز اخذ و عدم آن، خوف عقلايى تلف به سببى از نبودن گياه و آب يا نبودن صحّت و سلامت يا غير اينها از امثال اينها است</w:t>
      </w:r>
      <w:r>
        <w:rPr>
          <w:rFonts w:eastAsia="IRNazanin" w:cs="IRNazanin"/>
          <w:color w:val="111111"/>
          <w:sz w:val="28"/>
          <w:szCs w:val="28"/>
          <w:rtl w:val="true"/>
          <w:lang w:bidi="fa-IR"/>
        </w:rPr>
        <w:t>.</w:t>
      </w:r>
    </w:p>
    <w:p>
      <w:pPr>
        <w:pStyle w:val="Heading5"/>
        <w:numPr>
          <w:ilvl w:val="4"/>
          <w:numId w:val="1"/>
        </w:numPr>
        <w:rPr/>
      </w:pPr>
      <w:bookmarkStart w:id="713" w:name="__RefHeading___Toc3971573_1067777946"/>
      <w:bookmarkStart w:id="714" w:name="_Toc294"/>
      <w:bookmarkEnd w:id="713"/>
      <w:r>
        <w:rPr>
          <w:rtl w:val="true"/>
        </w:rPr>
        <w:t>ثبوت ضمان در فرض عدم جواز اخذ</w:t>
      </w:r>
      <w:bookmarkEnd w:id="714"/>
    </w:p>
    <w:p>
      <w:pPr>
        <w:pStyle w:val="BookText"/>
        <w:rPr/>
      </w:pPr>
      <w:r>
        <w:rPr>
          <w:rFonts w:ascii="IRNazanin" w:hAnsi="IRNazanin" w:eastAsia="IRNazanin"/>
          <w:color w:val="111111"/>
          <w:sz w:val="28"/>
          <w:sz w:val="28"/>
          <w:szCs w:val="28"/>
          <w:rtl w:val="true"/>
          <w:lang w:bidi="fa-IR"/>
        </w:rPr>
        <w:t xml:space="preserve">پس در صورت عدم جواز اخذ، ضامن است مأخوذ را؛ و اظهر جواز اخذ به قصد حفظ براى مالك و ايصال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ميسوريت، و به حاكم با عدم ميسوريّت ايصال به مالك، و عدم ضمان است در اين صورت كه احسان مقصود است اگر چه واقعاً به مالك نرسد به واسطۀ مانعى، در مقابل آن كه اخذ براى قصد تملك محض و بلا عوض باشد</w:t>
      </w:r>
      <w:r>
        <w:rPr>
          <w:rFonts w:eastAsia="IRNazanin" w:cs="IRNazanin"/>
          <w:color w:val="111111"/>
          <w:sz w:val="28"/>
          <w:szCs w:val="28"/>
          <w:rtl w:val="true"/>
          <w:lang w:bidi="fa-IR"/>
        </w:rPr>
        <w:t>.</w:t>
      </w:r>
    </w:p>
    <w:p>
      <w:pPr>
        <w:pStyle w:val="Heading5"/>
        <w:numPr>
          <w:ilvl w:val="4"/>
          <w:numId w:val="1"/>
        </w:numPr>
        <w:rPr/>
      </w:pPr>
      <w:bookmarkStart w:id="715" w:name="__RefHeading___Toc3971575_1067777946"/>
      <w:bookmarkStart w:id="716" w:name="_Toc295"/>
      <w:bookmarkEnd w:id="715"/>
      <w:r>
        <w:rPr>
          <w:rtl w:val="true"/>
        </w:rPr>
        <w:t>ميزان در ضمان</w:t>
      </w:r>
      <w:bookmarkEnd w:id="716"/>
    </w:p>
    <w:p>
      <w:pPr>
        <w:pStyle w:val="BookText"/>
        <w:rPr/>
      </w:pPr>
      <w:r>
        <w:rPr>
          <w:rFonts w:ascii="IRNazanin" w:hAnsi="IRNazanin" w:eastAsia="IRNazanin"/>
          <w:color w:val="111111"/>
          <w:sz w:val="28"/>
          <w:sz w:val="28"/>
          <w:szCs w:val="28"/>
          <w:rtl w:val="true"/>
          <w:lang w:bidi="fa-IR"/>
        </w:rPr>
        <w:t xml:space="preserve">و ميزان در ضمان، احراز رضاى تقديرى مالك است به اخذ با قصدى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مثل انتفاع در عوض انفاق و نحو آن، پس ترك تعريف ميسور يا كتمان آن موجب ضمان آخذ است عين را و بدل آن را در صورت تلف در يد؛ و نهى از اخذ، منصرف است دليل آن از اخذ براى حفظ براى مالك كه مرضىّ او است بلكه راضى است به عوض مستحَقّ در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ضمان آخذ، برائت حاصل نمى شود به ارسال آن به محلّ اخذ، بلكه بايد به مالك يا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ايصال نمايد؛ و اگر حِمىٰ و قرقگاه براى آن باشد مى تواند ارسال به آن بنمايد و ضامن نيست؛ وگرنه حفظ مى نمايد يا بيع مى نمايد و ثمن را ايصال به مالك مى نمايد در صورت عدم تمكن از حفظ يا عدم فرق بين حفظ و بيع در نظر تقديرى مالك اگر معلوم شود</w:t>
      </w:r>
      <w:r>
        <w:rPr>
          <w:rFonts w:eastAsia="IRNazanin" w:cs="IRNazanin"/>
          <w:color w:val="111111"/>
          <w:sz w:val="28"/>
          <w:szCs w:val="28"/>
          <w:rtl w:val="true"/>
          <w:lang w:bidi="fa-IR"/>
        </w:rPr>
        <w:t>.</w:t>
      </w:r>
    </w:p>
    <w:p>
      <w:pPr>
        <w:pStyle w:val="Heading5"/>
        <w:numPr>
          <w:ilvl w:val="4"/>
          <w:numId w:val="1"/>
        </w:numPr>
        <w:rPr/>
      </w:pPr>
      <w:bookmarkStart w:id="717" w:name="__RefHeading___Toc3971577_1067777946"/>
      <w:bookmarkStart w:id="718" w:name="_Toc296"/>
      <w:bookmarkEnd w:id="717"/>
      <w:r>
        <w:rPr>
          <w:rtl w:val="true"/>
        </w:rPr>
        <w:t>عدم لزوم اذن حاكم در مقام</w:t>
      </w:r>
      <w:bookmarkEnd w:id="7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قابل تأمل است كه تمام وظايف در اينجا و در لقطه مثل همۀ مجهول المالك را، </w:t>
      </w:r>
      <w:bookmarkStart w:id="719" w:name="pg10275_96429"/>
    </w:p>
    <w:p>
      <w:pPr>
        <w:pStyle w:val="BookText"/>
        <w:rPr/>
      </w:pPr>
      <w:bookmarkEnd w:id="719"/>
      <w:r>
        <w:rPr>
          <w:rFonts w:ascii="IRNazanin" w:hAnsi="IRNazanin" w:eastAsia="IRNazanin"/>
          <w:color w:val="111111"/>
          <w:sz w:val="28"/>
          <w:sz w:val="28"/>
          <w:szCs w:val="28"/>
          <w:rtl w:val="true"/>
          <w:lang w:bidi="fa-IR"/>
        </w:rPr>
        <w:t>مى تواند بالمباشره صاحب يد انجام دهد، يا آن كه بايد بالمباشره انجام دهد و كارى با حاكم ندارد، يا آن كه همه آنها بايد با اذن حاكم كه ولىّ غايب است در اعظم از اين امور، يا خصوص تصدق اگر نوبت به آن برسد، باشد، يا آن كه جايز است تسليم به حاكم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تقدير حاكم مبسوط اليد، كه ابصر به وظايف و اقدر به انجام آنها به ترتيب مقرّر در شرع است و متمكّن از تشخيص موضوعات است، تسليم به او يا جرى با اذن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جايز است و مبرء ذمّه است و دافع ضمان صاحب يد سابق است؛ اما آن كه اين تسليم واجب باشد پس معلوم نيست، بلكه ظاهر تعيين وظيفه در لقطه، عدم اناطه به إذن حاكم است، نه آن كه فقط بيان وظيفه و تعيين مصرف است و از مصرف كننده اهمال داشته باشد و دليل ولايت آن را تعيين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فرقى بين عدم جواز اخذ ملتقَط و جواز آن نباشد مگر در ضمان به تلف در يد بدون تفريط؛ و ساير وظايف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احتياط متقدّم در مراجعه به حاكم در خصوصيات وظايف مقرره و در انفاق و رجوع و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 بين محكوم به ضامن بودن به وضع يد يا نبودن، در آنها؛ و حاكم هم استيمان فاسق براى عمل به وظيفه مخصوصه نمى نمايد مگر آن كه شخص با اين عمل، محكوم به فسق نباشد، يا آن كه فسقش دوام نداشته باشد بعداً تائب شده است و حاضر است به ايصال به مالك؛ و على اىّ تقدير با احتياط متقدّم، تردّدهاى بعضى از علما از اشكال خارج مى شوند</w:t>
      </w:r>
      <w:r>
        <w:rPr>
          <w:rFonts w:eastAsia="IRNazanin" w:cs="IRNazanin"/>
          <w:color w:val="111111"/>
          <w:sz w:val="28"/>
          <w:szCs w:val="28"/>
          <w:rtl w:val="true"/>
          <w:lang w:bidi="fa-IR"/>
        </w:rPr>
        <w:t>.</w:t>
      </w:r>
    </w:p>
    <w:p>
      <w:pPr>
        <w:pStyle w:val="Heading5"/>
        <w:numPr>
          <w:ilvl w:val="4"/>
          <w:numId w:val="1"/>
        </w:numPr>
        <w:rPr/>
      </w:pPr>
      <w:bookmarkStart w:id="720" w:name="__RefHeading___Toc3971579_1067777946"/>
      <w:bookmarkStart w:id="721" w:name="_Toc297"/>
      <w:bookmarkEnd w:id="720"/>
      <w:r>
        <w:rPr>
          <w:rtl w:val="true"/>
        </w:rPr>
        <w:t>رعايت معرضيّت تلف در جواز اخذ</w:t>
      </w:r>
      <w:bookmarkEnd w:id="7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مساوات حكم فرس و بقره و حمار با شتر است در مقابل گوسفند و نحو آن، و گذشت رعايت معرضيّت تلف در جواز اخذ براى مالك و براى حفظ حيوان از تلف و عدم معرضيّت؛ و كليّت در امور مذكوره در كلمات اصحاب نيست بلكه به حسب امكنه و ازمنه در غايتِ تفاوت مى باشند</w:t>
      </w:r>
      <w:r>
        <w:rPr>
          <w:rFonts w:eastAsia="IRNazanin" w:cs="IRNazanin"/>
          <w:color w:val="111111"/>
          <w:sz w:val="28"/>
          <w:szCs w:val="28"/>
          <w:rtl w:val="true"/>
          <w:lang w:bidi="fa-IR"/>
        </w:rPr>
        <w:t xml:space="preserve">. </w:t>
      </w:r>
      <w:bookmarkStart w:id="722" w:name="pg10275_96430"/>
    </w:p>
    <w:p>
      <w:pPr>
        <w:pStyle w:val="Heading5"/>
        <w:numPr>
          <w:ilvl w:val="4"/>
          <w:numId w:val="1"/>
        </w:numPr>
        <w:rPr/>
      </w:pPr>
      <w:bookmarkStart w:id="723" w:name="__RefHeading___Toc3971581_1067777946"/>
      <w:bookmarkStart w:id="724" w:name="_Toc298"/>
      <w:bookmarkEnd w:id="722"/>
      <w:bookmarkEnd w:id="723"/>
      <w:r>
        <w:rPr>
          <w:rtl w:val="true"/>
        </w:rPr>
        <w:t>اعراض از حيوان</w:t>
      </w:r>
      <w:bookmarkEnd w:id="724"/>
    </w:p>
    <w:p>
      <w:pPr>
        <w:pStyle w:val="BookText"/>
        <w:rPr/>
      </w:pPr>
      <w:r>
        <w:rPr>
          <w:rFonts w:ascii="IRNazanin" w:hAnsi="IRNazanin" w:eastAsia="IRNazanin"/>
          <w:color w:val="111111"/>
          <w:sz w:val="28"/>
          <w:sz w:val="28"/>
          <w:szCs w:val="28"/>
          <w:rtl w:val="true"/>
          <w:lang w:bidi="fa-IR"/>
        </w:rPr>
        <w:t xml:space="preserve">اما اگر با خصوصياتى كه در ملتقَط خاص از حيوان است استظهار اعراض صاحبش از آن شد پس اظهر جواز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تملّك و حفظ و مقدمات آن براى انتفاع خودش اگر چه با معالجه در زمان طولانى باشد؛ و بعد از تملك براى جهت مذكوره، حال آن مثل حال ساير حيوانات مملوكۀ خود او است در مطلوبيت يا لزوم معالجه ميسوره آن تا حفظ از تلف</w:t>
      </w:r>
      <w:r>
        <w:rPr>
          <w:rFonts w:eastAsia="IRNazanin" w:cs="IRNazanin"/>
          <w:color w:val="111111"/>
          <w:sz w:val="28"/>
          <w:szCs w:val="28"/>
          <w:rtl w:val="true"/>
          <w:lang w:bidi="fa-IR"/>
        </w:rPr>
        <w:t>.</w:t>
      </w:r>
    </w:p>
    <w:p>
      <w:pPr>
        <w:pStyle w:val="Heading5"/>
        <w:numPr>
          <w:ilvl w:val="4"/>
          <w:numId w:val="1"/>
        </w:numPr>
        <w:rPr/>
      </w:pPr>
      <w:bookmarkStart w:id="725" w:name="__RefHeading___Toc3971583_1067777946"/>
      <w:bookmarkStart w:id="726" w:name="_Toc299"/>
      <w:bookmarkEnd w:id="725"/>
      <w:r>
        <w:rPr>
          <w:rtl w:val="true"/>
        </w:rPr>
        <w:t>عدم ضمان در صورت جواز اخذ تملّكى</w:t>
      </w:r>
      <w:bookmarkEnd w:id="726"/>
    </w:p>
    <w:p>
      <w:pPr>
        <w:pStyle w:val="BookText"/>
        <w:rPr/>
      </w:pPr>
      <w:r>
        <w:rPr>
          <w:rFonts w:ascii="IRNazanin" w:hAnsi="IRNazanin" w:eastAsia="IRNazanin"/>
          <w:color w:val="111111"/>
          <w:sz w:val="28"/>
          <w:sz w:val="28"/>
          <w:szCs w:val="28"/>
          <w:rtl w:val="true"/>
          <w:lang w:bidi="fa-IR"/>
        </w:rPr>
        <w:t>در صورت جواز اخذ براى خود، محلّى براى ضمان براى مالك نيست بعد از اخذ به نيت تملك، حتى در صورت پيدا شدن مالك و مطالبۀ آن؛ مگر آن كه اختلاف در شروط باشد، مثل ادّعاى سلامت و وجود در محل آب و گياه؛ و ممكن است در اين تقدير تقديم بشود قول صاحب يد فعليه با يمين او در صورت عدم بيّنۀ مفيده براى مالك 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در صورت عدم جواز اخذ، ضمان بر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جواز اخذ براى مالك، ايضاً محل ضمان نيست با عدم وضوح تفريط در حفظ و انفاق و لو به سبب مراجعه به حاكم در صورت عدم تمكن 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و بحث در ما نحن فيه در لقطه در صورت ضلال و ضياع كه محل تعريف و وظايف است، غير كلام در اعراض و در ترك كه مورد تفصيل بين امن و 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خوف و فقد آب و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اوّلى محل اخذ براى مالك و دوم محل اخذ به نيّت تملك است</w:t>
      </w:r>
      <w:r>
        <w:rPr>
          <w:rFonts w:eastAsia="IRNazanin" w:cs="IRNazanin"/>
          <w:color w:val="111111"/>
          <w:sz w:val="28"/>
          <w:szCs w:val="28"/>
          <w:rtl w:val="true"/>
          <w:lang w:bidi="fa-IR"/>
        </w:rPr>
        <w:t>.</w:t>
      </w:r>
    </w:p>
    <w:p>
      <w:pPr>
        <w:pStyle w:val="Heading5"/>
        <w:numPr>
          <w:ilvl w:val="4"/>
          <w:numId w:val="1"/>
        </w:numPr>
        <w:rPr/>
      </w:pPr>
      <w:bookmarkStart w:id="727" w:name="__RefHeading___Toc3971585_1067777946"/>
      <w:bookmarkStart w:id="728" w:name="_Toc300"/>
      <w:bookmarkEnd w:id="727"/>
      <w:r>
        <w:rPr>
          <w:rtl w:val="true"/>
        </w:rPr>
        <w:t>پيدا نمودن گوسفند در صحرا</w:t>
      </w:r>
      <w:bookmarkEnd w:id="7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گوسفند در صحرا پيدا بشود به نحوى كه خوف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نمى تواند از صغير درنده ها خود را حفظ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جايز است اخذ آن به نيت تملك به عوض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مسمّى كه از ثمن المثل كمتر نباشد، و با آن ضامن ثمن است براى مالك در صورت آمدن و مطالبه نمودن، و اين در صورتى است كه احتمال ندهد به زودى به آسانى صاحبش معلوم بشود؛ و مى تواند بگيرد آن را براى حفظ براى مالك و احسان به او، و در اين صورت ضامن حيوان نيست؛ و جايز است تسليم به حاكم شرع نمايد تا آن چه صلاح بداند به آن عمل نمايد</w:t>
      </w:r>
      <w:r>
        <w:rPr>
          <w:rFonts w:eastAsia="IRNazanin" w:cs="IRNazanin"/>
          <w:color w:val="111111"/>
          <w:sz w:val="28"/>
          <w:szCs w:val="28"/>
          <w:rtl w:val="true"/>
          <w:lang w:bidi="fa-IR"/>
        </w:rPr>
        <w:t xml:space="preserve">. </w:t>
      </w:r>
      <w:bookmarkStart w:id="729" w:name="pg10275_96432"/>
    </w:p>
    <w:p>
      <w:pPr>
        <w:pStyle w:val="Heading3"/>
        <w:numPr>
          <w:ilvl w:val="2"/>
          <w:numId w:val="1"/>
        </w:numPr>
        <w:rPr/>
      </w:pPr>
      <w:bookmarkStart w:id="730" w:name="__RefHeading___Toc3971587_1067777946"/>
      <w:bookmarkStart w:id="731" w:name="_Toc301"/>
      <w:bookmarkEnd w:id="729"/>
      <w:bookmarkEnd w:id="730"/>
      <w:r>
        <w:rPr>
          <w:rtl w:val="true"/>
        </w:rPr>
        <w:t>فصل سوّم لقطه به معناى اخص</w:t>
      </w:r>
      <w:bookmarkEnd w:id="731"/>
    </w:p>
    <w:p>
      <w:pPr>
        <w:pStyle w:val="Heading4"/>
        <w:numPr>
          <w:ilvl w:val="3"/>
          <w:numId w:val="1"/>
        </w:numPr>
        <w:rPr/>
      </w:pPr>
      <w:bookmarkStart w:id="732" w:name="__RefHeading___Toc3971589_1067777946"/>
      <w:bookmarkStart w:id="733" w:name="_Toc302"/>
      <w:bookmarkEnd w:id="732"/>
      <w:r>
        <w:rPr/>
        <w:t>1</w:t>
      </w:r>
      <w:r>
        <w:rPr>
          <w:rtl w:val="true"/>
        </w:rPr>
        <w:t xml:space="preserve">. </w:t>
      </w:r>
      <w:r>
        <w:rPr>
          <w:rtl w:val="true"/>
        </w:rPr>
        <w:t>بعضى از خصوصيات و احكام</w:t>
      </w:r>
      <w:bookmarkEnd w:id="733"/>
    </w:p>
    <w:p>
      <w:pPr>
        <w:pStyle w:val="Heading5"/>
        <w:numPr>
          <w:ilvl w:val="4"/>
          <w:numId w:val="1"/>
        </w:numPr>
        <w:rPr/>
      </w:pPr>
      <w:bookmarkStart w:id="734" w:name="__RefHeading___Toc3971591_1067777946"/>
      <w:bookmarkStart w:id="735" w:name="_Toc303"/>
      <w:bookmarkEnd w:id="734"/>
      <w:r>
        <w:rPr>
          <w:rtl w:val="true"/>
        </w:rPr>
        <w:t>اشاره</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لقطه به معناى اخص در مقابل لقطه عامه كه ذكر شد دو قسم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احكام لقطه خاصه كه ذكر مى شود، ثابت است براى هر مالى كه مأخوذ شد در صورتى كه گمشده از صاحبش بوده است و يدى بر آن مال در حين اخذ نبوده است؛ و معناى لغوى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يا سكون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 ملقوط باشد تقريباً همين است</w:t>
      </w:r>
      <w:r>
        <w:rPr>
          <w:rFonts w:eastAsia="IRNazanin" w:cs="IRNazanin"/>
          <w:color w:val="111111"/>
          <w:sz w:val="28"/>
          <w:szCs w:val="28"/>
          <w:rtl w:val="true"/>
          <w:lang w:bidi="fa-IR"/>
        </w:rPr>
        <w:t>.</w:t>
      </w:r>
    </w:p>
    <w:p>
      <w:pPr>
        <w:pStyle w:val="Heading5"/>
        <w:numPr>
          <w:ilvl w:val="4"/>
          <w:numId w:val="1"/>
        </w:numPr>
        <w:rPr/>
      </w:pPr>
      <w:bookmarkStart w:id="736" w:name="__RefHeading___Toc3971593_1067777946"/>
      <w:bookmarkStart w:id="737" w:name="_Toc304"/>
      <w:bookmarkEnd w:id="736"/>
      <w:r>
        <w:rPr>
          <w:rtl w:val="true"/>
        </w:rPr>
        <w:t>جواز اخذ مال كمتر از درهم و در غير حرم</w:t>
      </w:r>
      <w:bookmarkEnd w:id="737"/>
    </w:p>
    <w:p>
      <w:pPr>
        <w:pStyle w:val="BookText"/>
        <w:rPr/>
      </w:pPr>
      <w:r>
        <w:rPr>
          <w:rFonts w:ascii="IRNazanin" w:hAnsi="IRNazanin" w:eastAsia="IRNazanin"/>
          <w:color w:val="111111"/>
          <w:sz w:val="28"/>
          <w:sz w:val="28"/>
          <w:szCs w:val="28"/>
          <w:rtl w:val="true"/>
          <w:lang w:bidi="fa-IR"/>
        </w:rPr>
        <w:t>پس اگر قيمت آن كمتر از درهم باشد و در غير حرم پيدا و مأخوذ باشد، جايز است برداشتن آن و تملك آن بدون تعريف؛ و بعد از پيدا شدن صاحب و مطالبه آن احوط لزوم ردّ عين است با ميسوريت و عدم عسر شخصى، و اظهر عدم ضمان مثل و قيمت است در صورت تلف حتى بدل حيلولت در صورت عسر احضار آن</w:t>
      </w:r>
      <w:r>
        <w:rPr>
          <w:rFonts w:eastAsia="IRNazanin" w:cs="IRNazanin"/>
          <w:color w:val="111111"/>
          <w:sz w:val="28"/>
          <w:szCs w:val="28"/>
          <w:rtl w:val="true"/>
          <w:lang w:bidi="fa-IR"/>
        </w:rPr>
        <w:t>.</w:t>
      </w:r>
    </w:p>
    <w:p>
      <w:pPr>
        <w:pStyle w:val="Heading5"/>
        <w:numPr>
          <w:ilvl w:val="4"/>
          <w:numId w:val="1"/>
        </w:numPr>
        <w:rPr/>
      </w:pPr>
      <w:bookmarkStart w:id="738" w:name="__RefHeading___Toc3971595_1067777946"/>
      <w:bookmarkStart w:id="739" w:name="_Toc305"/>
      <w:bookmarkEnd w:id="738"/>
      <w:r>
        <w:rPr>
          <w:rtl w:val="true"/>
        </w:rPr>
        <w:t>مال مأخوذ در غير حرم</w:t>
      </w:r>
      <w:bookmarkEnd w:id="73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مأخوذ در غير حرم، به حسب قيمت در زمان اخذ، يك درهم يا زايد از آن باشد، تعريف در آن لازم است؛ و احوط ضمان ارتفاع قيمت است از زمان اخذ اگر به نيت تملك، بدون تعريف اخذ كرد و گذشت زمان شروع در تعريف لازم و تعريف نكرد يا آن كه بعد از مضىّ زمانى معتدّ به شروع به تعريف كرد</w:t>
      </w:r>
      <w:r>
        <w:rPr>
          <w:rFonts w:eastAsia="IRNazanin" w:cs="IRNazanin"/>
          <w:color w:val="111111"/>
          <w:sz w:val="28"/>
          <w:szCs w:val="28"/>
          <w:rtl w:val="true"/>
          <w:lang w:bidi="fa-IR"/>
        </w:rPr>
        <w:t xml:space="preserve">. </w:t>
      </w:r>
      <w:bookmarkStart w:id="740" w:name="pg10275_96433"/>
    </w:p>
    <w:p>
      <w:pPr>
        <w:pStyle w:val="Heading5"/>
        <w:numPr>
          <w:ilvl w:val="4"/>
          <w:numId w:val="1"/>
        </w:numPr>
        <w:rPr/>
      </w:pPr>
      <w:bookmarkStart w:id="741" w:name="__RefHeading___Toc3971597_1067777946"/>
      <w:bookmarkStart w:id="742" w:name="_Toc306"/>
      <w:bookmarkEnd w:id="740"/>
      <w:bookmarkEnd w:id="741"/>
      <w:r>
        <w:rPr>
          <w:rtl w:val="true"/>
        </w:rPr>
        <w:t>كراهت اخذِ مال پيدا شده در حرم</w:t>
      </w:r>
      <w:bookmarkEnd w:id="742"/>
    </w:p>
    <w:p>
      <w:pPr>
        <w:pStyle w:val="BookText"/>
        <w:rPr/>
      </w:pPr>
      <w:r>
        <w:rPr>
          <w:rFonts w:ascii="IRNazanin" w:hAnsi="IRNazanin" w:eastAsia="IRNazanin"/>
          <w:color w:val="111111"/>
          <w:sz w:val="28"/>
          <w:sz w:val="28"/>
          <w:szCs w:val="28"/>
          <w:rtl w:val="true"/>
          <w:lang w:bidi="fa-IR"/>
        </w:rPr>
        <w:t>و اگر در حرم بود، پس مستفاد از مجموع روايات، كراهت شديده در اخذ است كه در موارد متعدده مختلف است مراتب آن؛ و اصل كراهت فى الجمله در غير حرم ايضاً ثابت است؛ پس غير مطمئن به تعريف، كراهت اخذ او اشدّ است، و در حرم كراهت اشدّ است از اخذ در غير آن</w:t>
      </w:r>
      <w:r>
        <w:rPr>
          <w:rFonts w:eastAsia="IRNazanin" w:cs="IRNazanin"/>
          <w:color w:val="111111"/>
          <w:sz w:val="28"/>
          <w:szCs w:val="28"/>
          <w:rtl w:val="true"/>
          <w:lang w:bidi="fa-IR"/>
        </w:rPr>
        <w:t>.</w:t>
      </w:r>
    </w:p>
    <w:p>
      <w:pPr>
        <w:pStyle w:val="Heading5"/>
        <w:numPr>
          <w:ilvl w:val="4"/>
          <w:numId w:val="1"/>
        </w:numPr>
        <w:rPr/>
      </w:pPr>
      <w:bookmarkStart w:id="743" w:name="__RefHeading___Toc3971599_1067777946"/>
      <w:bookmarkStart w:id="744" w:name="_Toc307"/>
      <w:bookmarkEnd w:id="743"/>
      <w:r>
        <w:rPr>
          <w:rtl w:val="true"/>
        </w:rPr>
        <w:t>كراهت يا حرمت اخذ غير متمكّن از انشاد و تعريف</w:t>
      </w:r>
      <w:bookmarkEnd w:id="744"/>
    </w:p>
    <w:p>
      <w:pPr>
        <w:pStyle w:val="BookText"/>
        <w:rPr/>
      </w:pPr>
      <w:r>
        <w:rPr>
          <w:rFonts w:ascii="IRNazanin" w:hAnsi="IRNazanin" w:eastAsia="IRNazanin"/>
          <w:color w:val="111111"/>
          <w:sz w:val="28"/>
          <w:sz w:val="28"/>
          <w:szCs w:val="28"/>
          <w:rtl w:val="true"/>
          <w:lang w:bidi="fa-IR"/>
        </w:rPr>
        <w:t>و غير متمكّن از انشاد و تعريف، اخذ او مكروه يا حرام است؛ و اظهر جواز است مطلقاً با اقلّيت از قيمت يك درهم؛ و چون اخذ با نيت تعريفِ ممكن، ايصالِ احتمالىِ مال است به صاحب آن، ممكن است در بعض موارد كراهت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مستفاد از حسنۀ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مشتمل بر تعليل نهى از مسّ در حرم، به تعريف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شرح نواهى در موارد مختلفه مى شود</w:t>
      </w:r>
      <w:r>
        <w:rPr>
          <w:rFonts w:eastAsia="IRNazanin" w:cs="IRNazanin"/>
          <w:color w:val="111111"/>
          <w:sz w:val="28"/>
          <w:szCs w:val="28"/>
          <w:rtl w:val="true"/>
          <w:lang w:bidi="fa-IR"/>
        </w:rPr>
        <w:t>.</w:t>
      </w:r>
    </w:p>
    <w:p>
      <w:pPr>
        <w:pStyle w:val="Heading5"/>
        <w:numPr>
          <w:ilvl w:val="4"/>
          <w:numId w:val="1"/>
        </w:numPr>
        <w:rPr/>
      </w:pPr>
      <w:bookmarkStart w:id="745" w:name="__RefHeading___Toc3971601_1067777946"/>
      <w:bookmarkStart w:id="746" w:name="_Toc308"/>
      <w:bookmarkEnd w:id="745"/>
      <w:r>
        <w:rPr>
          <w:rtl w:val="true"/>
        </w:rPr>
        <w:t>تعريف تا يك سال</w:t>
      </w:r>
      <w:bookmarkEnd w:id="746"/>
    </w:p>
    <w:p>
      <w:pPr>
        <w:pStyle w:val="BookText"/>
        <w:rPr/>
      </w:pPr>
      <w:r>
        <w:rPr>
          <w:rFonts w:ascii="IRNazanin" w:hAnsi="IRNazanin" w:eastAsia="IRNazanin"/>
          <w:color w:val="111111"/>
          <w:sz w:val="28"/>
          <w:sz w:val="28"/>
          <w:szCs w:val="28"/>
          <w:rtl w:val="true"/>
          <w:lang w:bidi="fa-IR"/>
        </w:rPr>
        <w:t xml:space="preserve">پس وجوب تعريف تا يك سال، مذكور است در كلمات اصحاب، و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مالى كه به قيمت يك درهم فما زاد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وجدان در حرم و غير آن، و فرقى بين اين دو در حكم بعد از تعريفِ مذكور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عدم وجوب تعريف است در زايد بر يك سال و منفىّ به عسر و حرج لازم نوعى است</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3971603_1067777946"/>
      <w:bookmarkStart w:id="748" w:name="_Toc309"/>
      <w:bookmarkEnd w:id="747"/>
      <w:r>
        <w:rPr>
          <w:rtl w:val="true"/>
        </w:rPr>
        <w:t>يأس در كمتر از يك سال</w:t>
      </w:r>
      <w:bookmarkEnd w:id="7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واجب است مراقبت اين حدّ حتى بعد از يأس از ظفر به صاحب اگر در كمتر از يك سال حاصل شود؟ محافظت بر ظواهر كلمات، اين است، و اظهر خلاف آن است با عدم فايده در تعريف بعد از يأس و لزوم مشقت و عسر منفىّ و حرج حالى منفى در اينجا كه لازم در صورت عدم يأس تا يك سال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اكتفاى به ايجاب تعريف </w:t>
      </w:r>
      <w:bookmarkStart w:id="749" w:name="pg10275_96434"/>
    </w:p>
    <w:p>
      <w:pPr>
        <w:pStyle w:val="BookText"/>
        <w:rPr/>
      </w:pPr>
      <w:bookmarkEnd w:id="749"/>
      <w:r>
        <w:rPr>
          <w:rFonts w:ascii="IRNazanin" w:hAnsi="IRNazanin" w:eastAsia="IRNazanin"/>
          <w:color w:val="111111"/>
          <w:sz w:val="28"/>
          <w:sz w:val="28"/>
          <w:szCs w:val="28"/>
          <w:rtl w:val="true"/>
          <w:lang w:bidi="fa-IR"/>
        </w:rPr>
        <w:t xml:space="preserve">بدون تحديد به سال، ثابت در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لقطۀ حرم؛ و اطلاق اينها در مورد ابتلاء عمومى، قوىّ است و موجب حمل آن چه تقييد به سال نموده است به صورت عدم حصول يأس قبل از گذشتن يك سال</w:t>
      </w:r>
      <w:r>
        <w:rPr>
          <w:rFonts w:eastAsia="IRNazanin" w:cs="IRNazanin"/>
          <w:color w:val="111111"/>
          <w:sz w:val="28"/>
          <w:szCs w:val="28"/>
          <w:rtl w:val="true"/>
          <w:lang w:bidi="fa-IR"/>
        </w:rPr>
        <w:t>.</w:t>
      </w:r>
    </w:p>
    <w:p>
      <w:pPr>
        <w:pStyle w:val="Heading5"/>
        <w:numPr>
          <w:ilvl w:val="4"/>
          <w:numId w:val="1"/>
        </w:numPr>
        <w:rPr/>
      </w:pPr>
      <w:bookmarkStart w:id="750" w:name="__RefHeading___Toc3971605_1067777946"/>
      <w:bookmarkStart w:id="751" w:name="_Toc310"/>
      <w:bookmarkEnd w:id="750"/>
      <w:r>
        <w:rPr>
          <w:rtl w:val="true"/>
        </w:rPr>
        <w:t>تخيير بعد از تعريف واجب</w:t>
      </w:r>
      <w:bookmarkEnd w:id="751"/>
    </w:p>
    <w:p>
      <w:pPr>
        <w:pStyle w:val="BookText"/>
        <w:rPr/>
      </w:pPr>
      <w:r>
        <w:rPr>
          <w:rFonts w:ascii="IRNazanin" w:hAnsi="IRNazanin" w:eastAsia="IRNazanin"/>
          <w:color w:val="111111"/>
          <w:sz w:val="28"/>
          <w:sz w:val="28"/>
          <w:szCs w:val="28"/>
          <w:rtl w:val="true"/>
          <w:lang w:bidi="fa-IR"/>
        </w:rPr>
        <w:t>و هم چنين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بعد از تعريف واجب، بين تصدق و امانت داشتن آن براى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جواز دومى بى اشكال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ضمان بر غير تفريط در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معرضيت براى تلف و اتلاف نباشد؛ پس اگر عارض شد احتمال تلف، يا مشقت شديدۀ منفيه در ابقا بود، متعيّن مى شود تصدق به آن</w:t>
      </w:r>
      <w:r>
        <w:rPr>
          <w:rFonts w:eastAsia="IRNazanin" w:cs="IRNazanin"/>
          <w:color w:val="111111"/>
          <w:sz w:val="28"/>
          <w:szCs w:val="28"/>
          <w:rtl w:val="true"/>
          <w:lang w:bidi="fa-IR"/>
        </w:rPr>
        <w:t>.</w:t>
      </w:r>
    </w:p>
    <w:p>
      <w:pPr>
        <w:pStyle w:val="Heading5"/>
        <w:numPr>
          <w:ilvl w:val="4"/>
          <w:numId w:val="1"/>
        </w:numPr>
        <w:rPr/>
      </w:pPr>
      <w:bookmarkStart w:id="752" w:name="__RefHeading___Toc3971607_1067777946"/>
      <w:bookmarkStart w:id="753" w:name="_Toc311"/>
      <w:bookmarkEnd w:id="752"/>
      <w:r>
        <w:rPr>
          <w:rtl w:val="true"/>
        </w:rPr>
        <w:t>تصدق بعد از تعريف واجب</w:t>
      </w:r>
      <w:bookmarkEnd w:id="753"/>
    </w:p>
    <w:p>
      <w:pPr>
        <w:pStyle w:val="BookText"/>
        <w:rPr/>
      </w:pPr>
      <w:r>
        <w:rPr>
          <w:rFonts w:ascii="IRNazanin" w:hAnsi="IRNazanin" w:eastAsia="IRNazanin"/>
          <w:color w:val="111111"/>
          <w:sz w:val="28"/>
          <w:sz w:val="28"/>
          <w:szCs w:val="28"/>
          <w:rtl w:val="true"/>
          <w:lang w:bidi="fa-IR"/>
        </w:rPr>
        <w:t xml:space="preserve">و اما تعيّن تصدق بعد از تعريف واجب پس ظاهر است در صورت عدم ابقا به قصد امانت دارى بنا بر عدم جواز تملك در لقطۀ حرم بعد از تعريف، اگر چه مقتضاى عده اى از روايات، جواز تملّك بعد از تعريف است در لقطۀ حرم مانند مكاتبۀ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رجا</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غزوان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3971609_1067777946"/>
      <w:bookmarkStart w:id="755" w:name="_Toc312"/>
      <w:bookmarkEnd w:id="754"/>
      <w:r>
        <w:rPr>
          <w:rtl w:val="true"/>
        </w:rPr>
        <w:t>پيدا شدن مالك بعد از تعريف و تصدّق</w:t>
      </w:r>
      <w:bookmarkEnd w:id="7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تصدق كرد بعد از تعريف تا يك سال يا تا يأس، پس مالك ظاهر شد و كراهت داشت از تصدق، آيا ضامن است متصدّق براى مالك يا نه‌؟ اقرب عدم ضمان است چنان چه جماعتى كه از آن جمله شيخين و جمعى از اتباع ايشان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احسان فى الاحسان در تخيير مالك است بين ثواب صدقه و بدل آن مال</w:t>
      </w:r>
      <w:r>
        <w:rPr>
          <w:rFonts w:eastAsia="IRNazanin" w:cs="IRNazanin"/>
          <w:color w:val="111111"/>
          <w:sz w:val="28"/>
          <w:szCs w:val="28"/>
          <w:rtl w:val="true"/>
          <w:lang w:bidi="fa-IR"/>
        </w:rPr>
        <w:t xml:space="preserve">. </w:t>
      </w:r>
      <w:bookmarkStart w:id="756" w:name="pg10275_96435"/>
    </w:p>
    <w:p>
      <w:pPr>
        <w:pStyle w:val="Heading5"/>
        <w:numPr>
          <w:ilvl w:val="4"/>
          <w:numId w:val="1"/>
        </w:numPr>
        <w:rPr/>
      </w:pPr>
      <w:bookmarkStart w:id="757" w:name="__RefHeading___Toc3971611_1067777946"/>
      <w:bookmarkStart w:id="758" w:name="_Toc313"/>
      <w:bookmarkEnd w:id="756"/>
      <w:bookmarkEnd w:id="757"/>
      <w:r>
        <w:rPr>
          <w:rtl w:val="true"/>
        </w:rPr>
        <w:t>مال پيداشدۀ در غير حرم</w:t>
      </w:r>
      <w:bookmarkEnd w:id="758"/>
    </w:p>
    <w:p>
      <w:pPr>
        <w:pStyle w:val="BookText"/>
        <w:rPr/>
      </w:pPr>
      <w:r>
        <w:rPr>
          <w:rFonts w:ascii="IRNazanin" w:hAnsi="IRNazanin" w:eastAsia="IRNazanin"/>
          <w:color w:val="111111"/>
          <w:sz w:val="28"/>
          <w:sz w:val="28"/>
          <w:szCs w:val="28"/>
          <w:rtl w:val="true"/>
          <w:lang w:bidi="fa-IR"/>
        </w:rPr>
        <w:t>و اگر در غير حرم پيدا كرده بوده و به قدر درهم بوده، پس اگر باقى ماند تا يك سال بدون فساد و تلف، يك سال تعريف در مجامع مفيده مى نمايد، و نوشتن و اعلام كتبى كردن در مجامع، به منزلۀ تعريف به غير كتابت است با رعايت لغات مجتمعين و كتابتِ اعلام به ديگران؛ و پس از يك سال تصدق مى نمايد، و اظهر عدم ضمان است با تصدق چنان چه گذشت در لقطه حرم؛ و مى تواند متملك با ضمان بشود يعنى متملك به عوض مثل يا قيمت معينه بعد از حول يا زمان يأس بشود؛ و اگر از آن هم نتيجه عايد مالك نشود صدقه مى دهد عوض را يا تسليم به حاكم مى نمايد، و اين اخير در اصل هم جايز است بدون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احتمالات ديگر مذكور است، و موافق با احتياط، آن چه مذكور كرديم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امانت دارى نمايد بعد از تعريف يك سال يا تا زمان يأس، و گذشت حكم آن در لقطه حرم</w:t>
      </w:r>
      <w:r>
        <w:rPr>
          <w:rFonts w:eastAsia="IRNazanin" w:cs="IRNazanin"/>
          <w:color w:val="111111"/>
          <w:sz w:val="28"/>
          <w:szCs w:val="28"/>
          <w:rtl w:val="true"/>
          <w:lang w:bidi="fa-IR"/>
        </w:rPr>
        <w:t>.</w:t>
      </w:r>
    </w:p>
    <w:p>
      <w:pPr>
        <w:pStyle w:val="Heading5"/>
        <w:numPr>
          <w:ilvl w:val="4"/>
          <w:numId w:val="1"/>
        </w:numPr>
        <w:rPr/>
      </w:pPr>
      <w:bookmarkStart w:id="759" w:name="__RefHeading___Toc3971613_1067777946"/>
      <w:bookmarkStart w:id="760" w:name="_Toc314"/>
      <w:bookmarkEnd w:id="759"/>
      <w:r>
        <w:rPr>
          <w:rtl w:val="true"/>
        </w:rPr>
        <w:t>اجناسى كه قابليّت بقاى تا يك سال را ندارند</w:t>
      </w:r>
      <w:bookmarkEnd w:id="760"/>
    </w:p>
    <w:p>
      <w:pPr>
        <w:pStyle w:val="BookText"/>
        <w:rPr/>
      </w:pPr>
      <w:r>
        <w:rPr>
          <w:rFonts w:ascii="IRNazanin" w:hAnsi="IRNazanin" w:eastAsia="IRNazanin"/>
          <w:color w:val="111111"/>
          <w:sz w:val="28"/>
          <w:sz w:val="28"/>
          <w:szCs w:val="28"/>
          <w:rtl w:val="true"/>
          <w:lang w:bidi="fa-IR"/>
        </w:rPr>
        <w:t xml:space="preserve">و اگر از اجناسى است كه قابل بقا تا يك سال يا يأس نيست مى تواند آن را تقويم 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يا قيمتِ زمانِ تصرّف و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و تصرّف در اصل نمايد، و تعريف بدل به عنوان بدليت از اصل مخصوص و حكم ما بعد تعريف را رعايت مى نمايد، و معامله با بدل مى نمايد همان معامله با اصل را؛ و اين حكم هم، چنان كه ذكر شد موافق با احتياط است؛ و مى تواند دفع به حاكم شرع با اعلام او به حال لقطه نمايد و از او كسب اطلاع در مباشرت تعريف يك سال يا تا زمان يأس مى نمايد، يا آن كه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مباشرتِ واجد و 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مقدمات وصول به مالك را متعهد مى شود</w:t>
      </w:r>
      <w:r>
        <w:rPr>
          <w:rFonts w:eastAsia="IRNazanin" w:cs="IRNazanin"/>
          <w:color w:val="111111"/>
          <w:sz w:val="28"/>
          <w:szCs w:val="28"/>
          <w:rtl w:val="true"/>
          <w:lang w:bidi="fa-IR"/>
        </w:rPr>
        <w:t>.</w:t>
      </w:r>
    </w:p>
    <w:p>
      <w:pPr>
        <w:pStyle w:val="Heading5"/>
        <w:numPr>
          <w:ilvl w:val="4"/>
          <w:numId w:val="1"/>
        </w:numPr>
        <w:rPr/>
      </w:pPr>
      <w:bookmarkStart w:id="761" w:name="__RefHeading___Toc3971615_1067777946"/>
      <w:bookmarkStart w:id="762" w:name="_Toc315"/>
      <w:bookmarkEnd w:id="761"/>
      <w:r>
        <w:rPr>
          <w:rtl w:val="true"/>
        </w:rPr>
        <w:t>اگر پيدا شده محتاج علاج باشد</w:t>
      </w:r>
      <w:bookmarkEnd w:id="7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محتاج به علاج است به حاكم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معالجه با فروختن بعض لقطه و </w:t>
      </w:r>
      <w:bookmarkStart w:id="763" w:name="pg10275_96436"/>
    </w:p>
    <w:p>
      <w:pPr>
        <w:pStyle w:val="BookText"/>
        <w:rPr/>
      </w:pPr>
      <w:bookmarkEnd w:id="763"/>
      <w:r>
        <w:rPr>
          <w:rFonts w:ascii="IRNazanin" w:hAnsi="IRNazanin" w:eastAsia="IRNazanin"/>
          <w:color w:val="111111"/>
          <w:sz w:val="28"/>
          <w:sz w:val="28"/>
          <w:szCs w:val="28"/>
          <w:rtl w:val="true"/>
          <w:lang w:bidi="fa-IR"/>
        </w:rPr>
        <w:t>صرف در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و اگر ممكن نشد خود ملتقط اين عمل را انجام دهد اگر عدل مؤمن متعهّد نشود؛ و مظنون است كه خود ملتقط مى تواند انجام اين عمل كه مقدمۀ علاج است بدهد بدون مراجعه به حاكم يا عدول مؤمنين</w:t>
      </w:r>
      <w:r>
        <w:rPr>
          <w:rFonts w:eastAsia="IRNazanin" w:cs="IRNazanin"/>
          <w:color w:val="111111"/>
          <w:sz w:val="28"/>
          <w:szCs w:val="28"/>
          <w:rtl w:val="true"/>
          <w:lang w:bidi="fa-IR"/>
        </w:rPr>
        <w:t>.</w:t>
      </w:r>
    </w:p>
    <w:p>
      <w:pPr>
        <w:pStyle w:val="Heading5"/>
        <w:numPr>
          <w:ilvl w:val="4"/>
          <w:numId w:val="1"/>
        </w:numPr>
        <w:rPr/>
      </w:pPr>
      <w:bookmarkStart w:id="764" w:name="__RefHeading___Toc3971617_1067777946"/>
      <w:bookmarkStart w:id="765" w:name="_Toc316"/>
      <w:bookmarkEnd w:id="764"/>
      <w:r>
        <w:rPr>
          <w:rtl w:val="true"/>
        </w:rPr>
        <w:t>آن چه برداشتن آن مكروه است</w:t>
      </w:r>
      <w:bookmarkEnd w:id="765"/>
    </w:p>
    <w:p>
      <w:pPr>
        <w:pStyle w:val="BookText"/>
        <w:rPr/>
      </w:pPr>
      <w:r>
        <w:rPr>
          <w:rFonts w:ascii="IRNazanin" w:hAnsi="IRNazanin" w:eastAsia="IRNazanin"/>
          <w:color w:val="111111"/>
          <w:sz w:val="28"/>
          <w:sz w:val="28"/>
          <w:szCs w:val="28"/>
          <w:rtl w:val="true"/>
          <w:lang w:bidi="fa-IR"/>
        </w:rPr>
        <w:t xml:space="preserve">جايز است با كراهت، التقاط عصا و شظاظ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ميخ و ريسمان و تازيانه و اداوه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كه به واسطۀ قلّت قيمت، تعقيب و تفحّص از آنها نمى شود و اقل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آن است و به واسطۀ كثرت منفعت از برداشتن آنها مضايقه نمى شود از محتاجين به آنها؛ و انتفاع به آنها بدون تعريف، جايز است اگر چه افضل فى الجمله ترك اخذ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فاسق و خائن جايز نيست، و با احتمال خيانت مكروه است</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971619_1067777946"/>
      <w:bookmarkStart w:id="767" w:name="_Toc317"/>
      <w:bookmarkEnd w:id="766"/>
      <w:r>
        <w:rPr>
          <w:rtl w:val="true"/>
        </w:rPr>
        <w:t>تساوى پوست با غير آن در حكم</w:t>
      </w:r>
      <w:bookmarkEnd w:id="767"/>
    </w:p>
    <w:p>
      <w:pPr>
        <w:pStyle w:val="BookText"/>
        <w:rPr/>
      </w:pPr>
      <w:r>
        <w:rPr>
          <w:rFonts w:ascii="IRNazanin" w:hAnsi="IRNazanin" w:eastAsia="IRNazanin"/>
          <w:color w:val="111111"/>
          <w:sz w:val="28"/>
          <w:sz w:val="28"/>
          <w:szCs w:val="28"/>
          <w:rtl w:val="true"/>
          <w:lang w:bidi="fa-IR"/>
        </w:rPr>
        <w:t xml:space="preserve">و پوست و غير آن در ارض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جلد مطروح، محكوم است در آن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w:t>
      </w:r>
    </w:p>
    <w:p>
      <w:pPr>
        <w:pStyle w:val="Heading5"/>
        <w:numPr>
          <w:ilvl w:val="4"/>
          <w:numId w:val="1"/>
        </w:numPr>
        <w:rPr/>
      </w:pPr>
      <w:bookmarkStart w:id="768" w:name="__RefHeading___Toc3971621_1067777946"/>
      <w:bookmarkStart w:id="769" w:name="_Toc318"/>
      <w:bookmarkEnd w:id="768"/>
      <w:r>
        <w:rPr>
          <w:rtl w:val="true"/>
        </w:rPr>
        <w:t>استحباب مؤكّد اشهاد بر لقطه</w:t>
      </w:r>
      <w:bookmarkEnd w:id="769"/>
    </w:p>
    <w:p>
      <w:pPr>
        <w:pStyle w:val="BookText"/>
        <w:rPr/>
      </w:pPr>
      <w:r>
        <w:rPr>
          <w:rFonts w:ascii="Amiri" w:hAnsi="Amiri" w:eastAsia="Amiri" w:cs="Amiri"/>
          <w:color w:val="111111"/>
          <w:sz w:val="28"/>
          <w:sz w:val="28"/>
          <w:szCs w:val="28"/>
          <w:rtl w:val="true"/>
          <w:lang w:bidi="ar-SA"/>
        </w:rPr>
        <w:t>و مستحب مؤكّد است اشهاد بر لقطه تا در معرض نسيان و مخلوط بودن به اموال شخصيه و عروض موت و غفلت ورّاث يا تسامح آنها به سبب امن از اطلاع مؤمنين نباشد</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3971623_1067777946"/>
      <w:bookmarkStart w:id="771" w:name="_Toc319"/>
      <w:bookmarkEnd w:id="770"/>
      <w:r>
        <w:rPr>
          <w:rtl w:val="true"/>
        </w:rPr>
        <w:t>مسائل پنج گانه</w:t>
      </w:r>
      <w:bookmarkEnd w:id="771"/>
    </w:p>
    <w:p>
      <w:pPr>
        <w:pStyle w:val="Heading6"/>
        <w:numPr>
          <w:ilvl w:val="5"/>
          <w:numId w:val="1"/>
        </w:numPr>
        <w:rPr/>
      </w:pPr>
      <w:bookmarkStart w:id="772" w:name="__RefHeading___Toc3971625_1067777946"/>
      <w:bookmarkStart w:id="773" w:name="_Toc320"/>
      <w:bookmarkEnd w:id="772"/>
      <w:r>
        <w:rPr>
          <w:rtl w:val="true"/>
        </w:rPr>
        <w:t>آن چه كه در بيابان يا خرابه ها يا زمينهاى بدون مالك پيدا شود</w:t>
      </w:r>
      <w:bookmarkEnd w:id="773"/>
    </w:p>
    <w:p>
      <w:pPr>
        <w:pStyle w:val="Heading6"/>
        <w:numPr>
          <w:ilvl w:val="5"/>
          <w:numId w:val="1"/>
        </w:numPr>
        <w:rPr/>
      </w:pPr>
      <w:bookmarkStart w:id="774" w:name="__RefHeading___Toc3971627_1067777946"/>
      <w:bookmarkStart w:id="775" w:name="_Toc321"/>
      <w:bookmarkEnd w:id="774"/>
      <w:r>
        <w:rPr>
          <w:rtl w:val="true"/>
        </w:rPr>
        <w:t>اشاره</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پيدا مى شود در بيابانها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اصلاً معمور شدن آنها در سابق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خرابه هايى كه اهلش مفقود شده اند يا از آنجا كوچ كرده اند و طريقى براى شناختن آنها و محلّ آنها نيست، يا آن كه در زمينى كه مالك ندارد مدفون شده باشد با اثر اسلام</w:t>
      </w:r>
      <w:bookmarkStart w:id="776" w:name="pg10275_96437"/>
    </w:p>
    <w:p>
      <w:pPr>
        <w:pStyle w:val="BookText"/>
        <w:rPr/>
      </w:pPr>
      <w:bookmarkEnd w:id="776"/>
      <w:r>
        <w:rPr>
          <w:rFonts w:ascii="IRNazanin" w:hAnsi="IRNazanin" w:eastAsia="IRNazanin"/>
          <w:color w:val="111111"/>
          <w:sz w:val="28"/>
          <w:sz w:val="28"/>
          <w:szCs w:val="28"/>
          <w:rtl w:val="true"/>
          <w:lang w:bidi="fa-IR"/>
        </w:rPr>
        <w:t>يا بدون آن، مثل لقطۀ كمتر از درهم است در حكم و مال واجد است در صورتى كه مالك آن معلوم اجمالى نباشد تا به تعريف، ممكن باشد شناختن تفصيلى آن و ايصال به او، چه آن كه از موارد وجوب تخميس كنز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مورد فتواى اصحاب و منصوص در نصوص فارقۀ بين دار معموره و خَرِبۀ بدون صاحبِ معلوم است مانند دو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الغاى خصوصيت در خانه و در نقد، تعدّى به آن چه در فتاوى مذكور است مى شود؛ بلكه در بعض از دو قيد در بعض موارد، تعدى اولويّت، ثابت است چنان 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تعدى از ارض خرِبه به غير آن كه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نقل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حلّى و غير آنها</w:t>
      </w:r>
      <w:r>
        <w:rPr>
          <w:rFonts w:eastAsia="IRNazanin" w:cs="IRNazanin"/>
          <w:color w:val="111111"/>
          <w:sz w:val="28"/>
          <w:szCs w:val="28"/>
          <w:rtl w:val="true"/>
          <w:lang w:bidi="fa-IR"/>
        </w:rPr>
        <w:t>.</w:t>
      </w:r>
    </w:p>
    <w:p>
      <w:pPr>
        <w:pStyle w:val="Heading6"/>
        <w:numPr>
          <w:ilvl w:val="5"/>
          <w:numId w:val="1"/>
        </w:numPr>
        <w:rPr/>
      </w:pPr>
      <w:bookmarkStart w:id="777" w:name="__RefHeading___Toc3971629_1067777946"/>
      <w:bookmarkStart w:id="778" w:name="_Toc322"/>
      <w:bookmarkEnd w:id="777"/>
      <w:r>
        <w:rPr>
          <w:rtl w:val="true"/>
        </w:rPr>
        <w:t>حكم گنج پيدا شده در زمين بدون مالك</w:t>
      </w:r>
      <w:bookmarkEnd w:id="778"/>
    </w:p>
    <w:p>
      <w:pPr>
        <w:pStyle w:val="BookText"/>
        <w:rPr/>
      </w:pPr>
      <w:r>
        <w:rPr>
          <w:rFonts w:ascii="IRNazanin" w:hAnsi="IRNazanin" w:eastAsia="IRNazanin"/>
          <w:color w:val="111111"/>
          <w:sz w:val="28"/>
          <w:sz w:val="28"/>
          <w:szCs w:val="28"/>
          <w:rtl w:val="true"/>
          <w:lang w:bidi="fa-IR"/>
        </w:rPr>
        <w:t>و همچنين اگر گنجى پيدا نمود در زمينى كه مالك ندارد مال واجد است اگر چه عداى خمس باشد؛ و اگر مالك دارد تعريف به مالك بشود يعنى بعض صفات آن را بگويد و بعض ديگر را مطالبه از مالك زمين نمايد ذكر آن علامت را، اگر شناخت و توصيف كرد، مال مالك سابق بر بيع است اگر بيع كرده است، و اگر نشناخت مال واجد است ما عداى خمس با شروط آن</w:t>
      </w:r>
      <w:r>
        <w:rPr>
          <w:rFonts w:eastAsia="IRNazanin" w:cs="IRNazanin"/>
          <w:color w:val="111111"/>
          <w:sz w:val="28"/>
          <w:szCs w:val="28"/>
          <w:rtl w:val="true"/>
          <w:lang w:bidi="fa-IR"/>
        </w:rPr>
        <w:t>.</w:t>
      </w:r>
    </w:p>
    <w:p>
      <w:pPr>
        <w:pStyle w:val="Heading6"/>
        <w:numPr>
          <w:ilvl w:val="5"/>
          <w:numId w:val="1"/>
        </w:numPr>
        <w:rPr/>
      </w:pPr>
      <w:bookmarkStart w:id="779" w:name="__RefHeading___Toc3971631_1067777946"/>
      <w:bookmarkStart w:id="780" w:name="_Toc323"/>
      <w:bookmarkEnd w:id="779"/>
      <w:r>
        <w:rPr>
          <w:rtl w:val="true"/>
        </w:rPr>
        <w:t>مال پيدا شده در شكم حيوان</w:t>
      </w:r>
      <w:bookmarkEnd w:id="780"/>
    </w:p>
    <w:p>
      <w:pPr>
        <w:pStyle w:val="BookText"/>
        <w:rPr/>
      </w:pPr>
      <w:r>
        <w:rPr>
          <w:rFonts w:ascii="IRNazanin" w:hAnsi="IRNazanin" w:eastAsia="IRNazanin"/>
          <w:color w:val="111111"/>
          <w:sz w:val="28"/>
          <w:sz w:val="28"/>
          <w:szCs w:val="28"/>
          <w:rtl w:val="true"/>
          <w:lang w:bidi="fa-IR"/>
        </w:rPr>
        <w:t>و همچنين اگر مالى مسكوك يا غير آن پيدا شود در شكم حيوانى بعد از ذبح، معرّفى به مالك سابق مى شود؛ اگر نشناخت مال واجد است و لقطه محتاجه به تعريف ديگران نيست اگر چه مسكوك به سكۀ اسلام باشد و كاشف از سبق يد مسلمان بر آن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اگر در جوف ماهى پيدا شود مال واجد است و معرّفى به بايع و صيّاد نمى شود زيرا احتمال مالكيّت آنها غير ماهى را به سببى، ضعيف است؛ و اگر محتمل </w:t>
      </w:r>
      <w:bookmarkStart w:id="781" w:name="pg10275_96438"/>
    </w:p>
    <w:p>
      <w:pPr>
        <w:pStyle w:val="BookText"/>
        <w:rPr/>
      </w:pPr>
      <w:bookmarkEnd w:id="781"/>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ماهى مخلوق در حوض مملوك و بزرگ شده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به بايع و مثل او مى شود، اگر نشناخت مال واجد است و حكم لقطه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اصحاب در فروع متقدمه مذكوره در نصوص و فتاوى؛ اگر چه مختلف مى باشد لكن اتعاب نفس در جمع بين كلمات، ثمرى ندارد بعد از وضوح آن كه مأخذ فتاوى، نصوص مقام است؛ پس متّبَع، مفهوم از نصوص است و اعتبار به اختلاف فتاوى در خصوصيات نيست، بلكه اجماع محتمل المدرك، مانع از عمل به مفهوم از مدرك نيست</w:t>
      </w:r>
      <w:r>
        <w:rPr>
          <w:rFonts w:eastAsia="IRNazanin" w:cs="IRNazanin"/>
          <w:color w:val="111111"/>
          <w:sz w:val="28"/>
          <w:szCs w:val="28"/>
          <w:rtl w:val="true"/>
          <w:lang w:bidi="fa-IR"/>
        </w:rPr>
        <w:t>.</w:t>
      </w:r>
    </w:p>
    <w:p>
      <w:pPr>
        <w:pStyle w:val="Heading6"/>
        <w:numPr>
          <w:ilvl w:val="5"/>
          <w:numId w:val="1"/>
        </w:numPr>
        <w:rPr/>
      </w:pPr>
      <w:bookmarkStart w:id="782" w:name="__RefHeading___Toc3971633_1067777946"/>
      <w:bookmarkStart w:id="783" w:name="_Toc324"/>
      <w:bookmarkEnd w:id="782"/>
      <w:r>
        <w:rPr>
          <w:rtl w:val="true"/>
        </w:rPr>
        <w:t>اگر دزدى مالى را به وديعه گذارد</w:t>
      </w:r>
      <w:bookmarkEnd w:id="7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وديعه گذاشت مالى را يكى از لصوص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 بود، نزد شخصى كه مى داند مال، مملوك لصّ نبوده و به وجهى آن را گرفت، نمى تواند ردّ به مودِع نمايد بلكه به مالك آن ايصال مى نمايد اگر مى شناسد، وگرنه به منزله لقطه است در نزد 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تا يك سال تعريف مى نمايد، اگر پيدا نشد مالك، تصدّق مى نمايد به قصد وظيفه؛ پس اگر مالك آن بعد از تصدق مأمورٌ به راضى نشد و طلب بدل كرد، به او بدل را تأديه مى نمايد و ثواب تصدق مخصوص متصدق مى شود؛ و اين موافق نص مروى و معمولٌ به نزد جماعتى است، و ممكن است اعتبار به تنزيل به منزلۀ لقطه باشد، و تعريف و اين كه تا يك سال باشد و تخيير مالك ظاهر بعد از تصدق، محمول به فضل باشد؛ و ممكن است اشدّ بودن حكم اخذ در چنين موضوعِ خاص ظاهر در عدوان در اَخذ، و چون حكم خاص در موضوع خاص منصوص است پس احتياط در عمل به خصوصيات آن است؛ و گذشت كلام در حدّ تعريف مطلق لقطه و در ضمان متصدّق در مطلق لقطه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يد كافر بوده اگر محترم بوده پس مثل يد مسلم بر مال است</w:t>
      </w:r>
      <w:r>
        <w:rPr>
          <w:rFonts w:eastAsia="IRNazanin" w:cs="IRNazanin"/>
          <w:color w:val="111111"/>
          <w:sz w:val="28"/>
          <w:szCs w:val="28"/>
          <w:rtl w:val="true"/>
          <w:lang w:bidi="fa-IR"/>
        </w:rPr>
        <w:t>.</w:t>
      </w:r>
    </w:p>
    <w:p>
      <w:pPr>
        <w:pStyle w:val="Heading6"/>
        <w:numPr>
          <w:ilvl w:val="5"/>
          <w:numId w:val="1"/>
        </w:numPr>
        <w:rPr/>
      </w:pPr>
      <w:bookmarkStart w:id="784" w:name="__RefHeading___Toc3971635_1067777946"/>
      <w:bookmarkStart w:id="785" w:name="_Toc325"/>
      <w:bookmarkEnd w:id="784"/>
      <w:r>
        <w:rPr>
          <w:rtl w:val="true"/>
        </w:rPr>
        <w:t>حكم مالى كه در خانه يا صندوق شخصى يافت مى شود</w:t>
      </w:r>
      <w:bookmarkEnd w:id="7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در خانه يا صندوق خودش مالى را ديد و ندانست كه مال خود او است يا</w:t>
      </w:r>
      <w:bookmarkStart w:id="786" w:name="pg10275_96439"/>
    </w:p>
    <w:p>
      <w:pPr>
        <w:pStyle w:val="BookText"/>
        <w:rPr/>
      </w:pPr>
      <w:bookmarkEnd w:id="786"/>
      <w:r>
        <w:rPr>
          <w:rFonts w:ascii="IRNazanin" w:hAnsi="IRNazanin" w:eastAsia="IRNazanin"/>
          <w:color w:val="111111"/>
          <w:sz w:val="28"/>
          <w:sz w:val="28"/>
          <w:szCs w:val="28"/>
          <w:rtl w:val="true"/>
          <w:lang w:bidi="fa-IR"/>
        </w:rPr>
        <w:t>آن كه مال خود او نيست بلكه مشكوك شد، پس مقتضاى يد صاحب خانه يا صندوق، مملوك بودن براى او است حتى در صورتى كه ديگرى هم رفت و آمد مى نمايد و در صندوق با اذن، تصرّف به اخراج و ادخال مى نمايد، لكن يد او تابع يد مالك است، لكن مقتضاى نصّ صحيحِ معمولٌ به، محكوميت به حكم لقطه است در صورت مشاركت غير در تصرّف در خانه؛ و ممكن است حمل نص بر مشاركتى كه موجب استيلاء بر خانه و صندوق و نحو آنها باشد كه يد اختصاصيّه نباشد، كه اگر يدى اقوى از غير نباشد در اطراف احتمال، رعايت مشاركين به تعريف و اعلام آنها مى شود و پس از دفع احتمالات به تعريف، مخصوص واجد صاحب يد است تا علم به خلاف آن حاصل باشد، و اين مستبعد نيست، لذا در تعريف، اقتصار بر مجامع احتمال وجود مالك در آنها مى شود؛ پس با محصوريت مشاركين، اقتصار به اعلام آنها مى شود، و با عدم، رعايت احتمالات لقطه مى شود مثل منازل عامّة اگر چه مملوك بعضى باشد، وگرنه حكم به مقتضاى يد منحصره مى شود</w:t>
      </w:r>
      <w:r>
        <w:rPr>
          <w:rFonts w:eastAsia="IRNazanin" w:cs="IRNazanin"/>
          <w:color w:val="111111"/>
          <w:sz w:val="28"/>
          <w:szCs w:val="28"/>
          <w:rtl w:val="true"/>
          <w:lang w:bidi="fa-IR"/>
        </w:rPr>
        <w:t>.</w:t>
      </w:r>
    </w:p>
    <w:p>
      <w:pPr>
        <w:pStyle w:val="Heading6"/>
        <w:numPr>
          <w:ilvl w:val="5"/>
          <w:numId w:val="1"/>
        </w:numPr>
        <w:rPr/>
      </w:pPr>
      <w:bookmarkStart w:id="787" w:name="__RefHeading___Toc3971637_1067777946"/>
      <w:bookmarkStart w:id="788" w:name="_Toc326"/>
      <w:bookmarkEnd w:id="787"/>
      <w:r>
        <w:rPr>
          <w:rtl w:val="true"/>
        </w:rPr>
        <w:t>مالكيّت بعد از تعريف يك سال يا يأس</w:t>
      </w:r>
      <w:bookmarkEnd w:id="788"/>
    </w:p>
    <w:p>
      <w:pPr>
        <w:pStyle w:val="Heading6"/>
        <w:numPr>
          <w:ilvl w:val="5"/>
          <w:numId w:val="1"/>
        </w:numPr>
        <w:rPr/>
      </w:pPr>
      <w:bookmarkStart w:id="789" w:name="__RefHeading___Toc3971639_1067777946"/>
      <w:bookmarkStart w:id="790" w:name="_Toc327"/>
      <w:bookmarkEnd w:id="789"/>
      <w:r>
        <w:rPr>
          <w:rtl w:val="true"/>
        </w:rPr>
        <w:t>اشاره</w:t>
      </w:r>
      <w:bookmarkEnd w:id="7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ملتقط، مالك مى شود بعد از تعريف تا يك سال يا يأس، در آن مورد كه محكوم به ملكيت او مى شود با نيّت تملك، و اگر تملك به عوض است با صيغه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اُولىٰ قول به تملك، قهرى هست و به حسب نص بى وجه نيست، لكن احتياط در آن چه مذكور شد است به جهت امكان جمع بين روايات به مراعىٰ بودن تملك به مطالبه مالك بعد از حول مثلاً عين موجوده يا بدل عين تالفه را</w:t>
      </w:r>
      <w:r>
        <w:rPr>
          <w:rFonts w:eastAsia="IRNazanin" w:cs="IRNazanin"/>
          <w:color w:val="111111"/>
          <w:sz w:val="28"/>
          <w:szCs w:val="28"/>
          <w:rtl w:val="true"/>
          <w:lang w:bidi="fa-IR"/>
        </w:rPr>
        <w:t>.</w:t>
      </w:r>
    </w:p>
    <w:p>
      <w:pPr>
        <w:pStyle w:val="Heading6"/>
        <w:numPr>
          <w:ilvl w:val="5"/>
          <w:numId w:val="1"/>
        </w:numPr>
        <w:rPr/>
      </w:pPr>
      <w:bookmarkStart w:id="791" w:name="__RefHeading___Toc3971641_1067777946"/>
      <w:bookmarkStart w:id="792" w:name="_Toc328"/>
      <w:bookmarkEnd w:id="791"/>
      <w:r>
        <w:rPr>
          <w:rtl w:val="true"/>
        </w:rPr>
        <w:t>مطالبه مالك بعد از تصدّق</w:t>
      </w:r>
      <w:bookmarkEnd w:id="7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تصدق، تخيير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حول و تصدق، ظاهر شد و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ثواب صدقه و غرامت بدل، موافق احتياط است چنان چه سابقاً ذكر شد، و ذكر شد كه احسان، منافى ضمان است اگر چه ردّ بدل و اكتفاى به ثواب تصدّق احسن انحاى احسان است</w:t>
      </w:r>
      <w:r>
        <w:rPr>
          <w:rFonts w:eastAsia="IRNazanin" w:cs="IRNazanin"/>
          <w:color w:val="111111"/>
          <w:sz w:val="28"/>
          <w:szCs w:val="28"/>
          <w:rtl w:val="true"/>
          <w:lang w:bidi="fa-IR"/>
        </w:rPr>
        <w:t xml:space="preserve">. </w:t>
      </w:r>
      <w:bookmarkStart w:id="793" w:name="pg10275_96440"/>
    </w:p>
    <w:p>
      <w:pPr>
        <w:pStyle w:val="BookText"/>
        <w:rPr/>
      </w:pPr>
      <w:bookmarkEnd w:id="79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اينجا ظاهر مى شود كه مراعىٰ بودن مالكيّت، قابل بحث از اين كه ضمان وقت تملك يا تلف يا مطالبه است،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رعايت احتياط در فروع متقدّمه بنمايد تا منتهى به عسر و حرج بشود</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3971643_1067777946"/>
      <w:bookmarkStart w:id="795" w:name="_Toc329"/>
      <w:bookmarkEnd w:id="794"/>
      <w:r>
        <w:rPr/>
        <w:t>2</w:t>
      </w:r>
      <w:r>
        <w:rPr>
          <w:rtl w:val="true"/>
        </w:rPr>
        <w:t xml:space="preserve">. </w:t>
      </w:r>
      <w:r>
        <w:rPr>
          <w:rtl w:val="true"/>
        </w:rPr>
        <w:t>اقسام و احكام ملتقِط</w:t>
      </w:r>
      <w:bookmarkEnd w:id="795"/>
    </w:p>
    <w:p>
      <w:pPr>
        <w:pStyle w:val="Heading5"/>
        <w:numPr>
          <w:ilvl w:val="4"/>
          <w:numId w:val="1"/>
        </w:numPr>
        <w:rPr/>
      </w:pPr>
      <w:bookmarkStart w:id="796" w:name="__RefHeading___Toc3971645_1067777946"/>
      <w:bookmarkStart w:id="797" w:name="_Toc330"/>
      <w:bookmarkEnd w:id="796"/>
      <w:r>
        <w:rPr>
          <w:rtl w:val="true"/>
        </w:rPr>
        <w:t>اگر صبىّ يا مجنون يا كافر چيزى را پيدا كند</w:t>
      </w:r>
      <w:bookmarkEnd w:id="797"/>
    </w:p>
    <w:p>
      <w:pPr>
        <w:pStyle w:val="BookText"/>
        <w:rPr/>
      </w:pPr>
      <w:r>
        <w:rPr>
          <w:rFonts w:ascii="Amiri" w:hAnsi="Amiri" w:eastAsia="Amiri" w:cs="Amiri"/>
          <w:color w:val="111111"/>
          <w:sz w:val="28"/>
          <w:sz w:val="28"/>
          <w:szCs w:val="28"/>
          <w:rtl w:val="true"/>
          <w:lang w:bidi="ar-SA"/>
        </w:rPr>
        <w:t>مؤثر است در احكام، التقاط صبىّ و مجنون؛ و ولىّ آنها متولّى تعريف و تملك و صدقه و حفظ مال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كافرى كه اهليت اكتساب و تملك را دارد اگر چه اهليت ائتمان و حفظ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تصدق و امانت دارى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حاكم يا عدل مؤمن بعد از اطلاع، آن را مأخوذ از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و متولّى وظيفه در مال غايب مى شود، يا آن كه در يد ملتقط گذاشته و شخصى را مراقب تعريف و لوازم از خود آنها مى نمايد تا آخر وظيفه ها و آثار؛ و اگر اهليت اكتساب ندارد فقط مربوط به غير ملتقط كه حاكم يا متصدى از جانب او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حسب آن چه گذشت فرق لزومى بين لقطۀ حرم و غير نيست لذا التقاط مذكورين در حرم و غير آن فرقى مُلزِم ندارد</w:t>
      </w:r>
      <w:r>
        <w:rPr>
          <w:rFonts w:eastAsia="IRNazanin" w:cs="IRNazanin"/>
          <w:color w:val="111111"/>
          <w:sz w:val="28"/>
          <w:szCs w:val="28"/>
          <w:rtl w:val="true"/>
          <w:lang w:bidi="fa-IR"/>
        </w:rPr>
        <w:t>.</w:t>
      </w:r>
    </w:p>
    <w:p>
      <w:pPr>
        <w:pStyle w:val="Heading5"/>
        <w:numPr>
          <w:ilvl w:val="4"/>
          <w:numId w:val="1"/>
        </w:numPr>
        <w:rPr/>
      </w:pPr>
      <w:bookmarkStart w:id="798" w:name="__RefHeading___Toc3971647_1067777946"/>
      <w:bookmarkStart w:id="799" w:name="_Toc331"/>
      <w:bookmarkEnd w:id="798"/>
      <w:r>
        <w:rPr>
          <w:rtl w:val="true"/>
        </w:rPr>
        <w:t>اقسام عبيد در حكم مذكور</w:t>
      </w:r>
      <w:bookmarkEnd w:id="7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قنّ كه مأذون يا غير ممنوع باشد از مالك، مى تواند التقاط در حرم و غير آن بنمايد چون كه اهليّت اكتساب و امانت را دارد، و همچنين مدبّر و امّ ولد، و مكاتب هر دو قسم او، لكن اگر به واسطۀ عجز از تأديۀ مال الكتابه استرقاق شد حكم قنّ را دارد بعد از عجز و استرقاق، و مى تواند مولى انتزاع نمايد به خلاف ما قبل از عجز در مشروطه، و در صورت انتزاع جايز بنا مى گذارد بر تعريف او و اتمام مى نمايد مگر آن كه بداند تعريف او فاسد و كالعدم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مكاتب در زمان اشتغال به تعريف، منعتق شد اتمام مى نمايد تعريف خود را و متملك يا متصدق مى شود مثل 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00" w:name="pg10275_96441"/>
    </w:p>
    <w:p>
      <w:pPr>
        <w:pStyle w:val="BookText"/>
        <w:rPr/>
      </w:pPr>
      <w:bookmarkEnd w:id="800"/>
      <w:r>
        <w:rPr>
          <w:rFonts w:ascii="IRNazanin" w:hAnsi="IRNazanin" w:eastAsia="IRNazanin"/>
          <w:color w:val="111111"/>
          <w:sz w:val="28"/>
          <w:sz w:val="28"/>
          <w:szCs w:val="28"/>
          <w:rtl w:val="true"/>
          <w:lang w:bidi="fa-IR"/>
        </w:rPr>
        <w:t>اگر ملتقط مكاتب وفات كرد قبل از تعريف يا اتمام آن پس مثل قنّ است، شروع يا اتمام تعريف، بر مالك است مگر در صورت انعتاق بعض كه وارث، قائم مقام او مى شود در نصيب حريّت و بقيه بر مالك است مثل مبعّض از زمان 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 عبد و مالك مهايات باشد عبرت به نوبۀ التقاط است؛ پس اگر التقاط در نوبه عبد بود التقاط حرّ و حكم آن را دارد؛ و اگر در نوبت مالك باشد، حكم التقاط عبد كه مذكور شد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تملك يا تصدق يا امانت دارى، عبرت به نوبت التقاط است، نه انقضاى تعريف در نوبه غير ملتقط</w:t>
      </w:r>
      <w:r>
        <w:rPr>
          <w:rFonts w:eastAsia="IRNazanin" w:cs="IRNazanin"/>
          <w:color w:val="111111"/>
          <w:sz w:val="28"/>
          <w:szCs w:val="28"/>
          <w:rtl w:val="true"/>
          <w:lang w:bidi="fa-IR"/>
        </w:rPr>
        <w:t>.</w:t>
      </w:r>
    </w:p>
    <w:p>
      <w:pPr>
        <w:pStyle w:val="Heading5"/>
        <w:numPr>
          <w:ilvl w:val="4"/>
          <w:numId w:val="1"/>
        </w:numPr>
        <w:rPr/>
      </w:pPr>
      <w:bookmarkStart w:id="801" w:name="__RefHeading___Toc3971649_1067777946"/>
      <w:bookmarkStart w:id="802" w:name="_Toc332"/>
      <w:bookmarkEnd w:id="801"/>
      <w:r>
        <w:rPr>
          <w:rtl w:val="true"/>
        </w:rPr>
        <w:t>اگر دو نفر با هم چيزى را پيدا كنند</w:t>
      </w:r>
      <w:bookmarkEnd w:id="802"/>
    </w:p>
    <w:p>
      <w:pPr>
        <w:pStyle w:val="BookText"/>
        <w:rPr/>
      </w:pPr>
      <w:r>
        <w:rPr>
          <w:rFonts w:ascii="IRNazanin" w:hAnsi="IRNazanin" w:eastAsia="IRNazanin"/>
          <w:color w:val="111111"/>
          <w:sz w:val="28"/>
          <w:sz w:val="28"/>
          <w:szCs w:val="28"/>
          <w:rtl w:val="true"/>
          <w:lang w:bidi="fa-IR"/>
        </w:rPr>
        <w:t xml:space="preserve">و اگر دو نفر مثلاً با هم التقاط نمودند، بر هر دو تعريف لازم است؛ و اقرب محكوميت التقاط هر كدام در نصف ملتقَط است، پس اگر حصّۀ هر كدام كمتر از درهم بود متملك مى شوند بدون تعريف، و اگر نه بر هر دو تعريف لازم است پس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استنابه در تعريف مى نمايند يا آن كه يكى با اذن ديگرى تعريف مى نمايد، و حكم بر دو تعريف حقيقى مرتب مى شود يعنى در تملك هر كدام نصف را يا تصدق به نصف يا استيمان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اشتراك كردند دو نفر در التقاط لكن التقاط يكى فقط صحيح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 ممنوع با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حرّ نصف را مؤثر است، به خلاف آن ديگر كه التقاط او كالعدم است و حكم يد غير مأذونه بر نصف را دارد</w:t>
      </w:r>
      <w:r>
        <w:rPr>
          <w:rFonts w:eastAsia="IRNazanin" w:cs="IRNazanin"/>
          <w:color w:val="111111"/>
          <w:sz w:val="28"/>
          <w:szCs w:val="28"/>
          <w:rtl w:val="true"/>
          <w:lang w:bidi="fa-IR"/>
        </w:rPr>
        <w:t>.</w:t>
      </w:r>
    </w:p>
    <w:p>
      <w:pPr>
        <w:pStyle w:val="Heading4"/>
        <w:numPr>
          <w:ilvl w:val="3"/>
          <w:numId w:val="1"/>
        </w:numPr>
        <w:rPr/>
      </w:pPr>
      <w:bookmarkStart w:id="803" w:name="__RefHeading___Toc3971651_1067777946"/>
      <w:bookmarkStart w:id="804" w:name="_Toc333"/>
      <w:bookmarkEnd w:id="803"/>
      <w:r>
        <w:rPr/>
        <w:t>3</w:t>
      </w:r>
      <w:r>
        <w:rPr>
          <w:rtl w:val="true"/>
        </w:rPr>
        <w:t xml:space="preserve">. </w:t>
      </w:r>
      <w:r>
        <w:rPr>
          <w:rtl w:val="true"/>
        </w:rPr>
        <w:t>احكام لقطه</w:t>
      </w:r>
      <w:bookmarkEnd w:id="804"/>
    </w:p>
    <w:p>
      <w:pPr>
        <w:pStyle w:val="Heading5"/>
        <w:numPr>
          <w:ilvl w:val="4"/>
          <w:numId w:val="1"/>
        </w:numPr>
        <w:rPr/>
      </w:pPr>
      <w:bookmarkStart w:id="805" w:name="__RefHeading___Toc3971653_1067777946"/>
      <w:bookmarkStart w:id="806" w:name="_Toc334"/>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در ضمن مسائلى چند</w:t>
      </w:r>
      <w:r>
        <w:rPr>
          <w:rFonts w:eastAsia="IRNazanin" w:cs="IRNazanin"/>
          <w:color w:val="111111"/>
          <w:sz w:val="28"/>
          <w:szCs w:val="28"/>
          <w:rtl w:val="true"/>
          <w:lang w:bidi="fa-IR"/>
        </w:rPr>
        <w:t>:</w:t>
      </w:r>
    </w:p>
    <w:p>
      <w:pPr>
        <w:pStyle w:val="Heading5"/>
        <w:numPr>
          <w:ilvl w:val="4"/>
          <w:numId w:val="1"/>
        </w:numPr>
        <w:rPr/>
      </w:pPr>
      <w:bookmarkStart w:id="807" w:name="__RefHeading___Toc3971655_1067777946"/>
      <w:bookmarkStart w:id="808" w:name="_Toc335"/>
      <w:bookmarkEnd w:id="807"/>
      <w:r>
        <w:rPr>
          <w:rtl w:val="true"/>
        </w:rPr>
        <w:t>زمان تعريف</w:t>
      </w:r>
      <w:bookmarkEnd w:id="808"/>
    </w:p>
    <w:p>
      <w:pPr>
        <w:pStyle w:val="Heading6"/>
        <w:numPr>
          <w:ilvl w:val="5"/>
          <w:numId w:val="1"/>
        </w:numPr>
        <w:rPr/>
      </w:pPr>
      <w:bookmarkStart w:id="809" w:name="__RefHeading___Toc3971657_1067777946"/>
      <w:bookmarkStart w:id="810" w:name="_Toc336"/>
      <w:bookmarkEnd w:id="809"/>
      <w:r>
        <w:rPr>
          <w:rtl w:val="true"/>
        </w:rPr>
        <w:t>اشاره</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تا يك سال است به حسب نصوص و فتاوى، و فهم تعبّد زايد در آن چه غرض و مصلحت آن معلوم است، مشكل است؛ و لزوم عسر در طلب مالك بيش از</w:t>
      </w:r>
      <w:bookmarkStart w:id="811" w:name="pg10275_96442"/>
    </w:p>
    <w:p>
      <w:pPr>
        <w:pStyle w:val="BookText"/>
        <w:rPr/>
      </w:pPr>
      <w:bookmarkEnd w:id="811"/>
      <w:r>
        <w:rPr>
          <w:rFonts w:ascii="IRNazanin" w:hAnsi="IRNazanin" w:eastAsia="IRNazanin"/>
          <w:color w:val="111111"/>
          <w:sz w:val="28"/>
          <w:sz w:val="28"/>
          <w:szCs w:val="28"/>
          <w:rtl w:val="true"/>
          <w:lang w:bidi="fa-IR"/>
        </w:rPr>
        <w:t xml:space="preserve">يك سال واضح است، و كفايت يأس از ظفر بعد از طلب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اگر مال خودش بود و او از متوسط الحال مردم بود راضى نبود به كمتر از آن در كمّيت و كيفيت اكتفا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مال مردم معاملۀ مال خودش بنمايد و تا مأيوس نشده طلب نمايد</w:t>
      </w:r>
      <w:r>
        <w:rPr>
          <w:rFonts w:eastAsia="IRNazanin" w:cs="IRNazanin"/>
          <w:color w:val="111111"/>
          <w:sz w:val="28"/>
          <w:szCs w:val="28"/>
          <w:rtl w:val="true"/>
          <w:lang w:bidi="fa-IR"/>
        </w:rPr>
        <w:t>.</w:t>
      </w:r>
    </w:p>
    <w:p>
      <w:pPr>
        <w:pStyle w:val="Heading6"/>
        <w:numPr>
          <w:ilvl w:val="5"/>
          <w:numId w:val="1"/>
        </w:numPr>
        <w:rPr/>
      </w:pPr>
      <w:bookmarkStart w:id="812" w:name="__RefHeading___Toc3971659_1067777946"/>
      <w:bookmarkStart w:id="813" w:name="_Toc337"/>
      <w:bookmarkEnd w:id="812"/>
      <w:r>
        <w:rPr>
          <w:rtl w:val="true"/>
        </w:rPr>
        <w:t>صدق تعريف به كتابت و الصاق</w:t>
      </w:r>
      <w:bookmarkEnd w:id="813"/>
    </w:p>
    <w:p>
      <w:pPr>
        <w:pStyle w:val="BookText"/>
        <w:rPr/>
      </w:pPr>
      <w:r>
        <w:rPr>
          <w:rFonts w:ascii="IRNazanin" w:hAnsi="IRNazanin" w:eastAsia="IRNazanin"/>
          <w:color w:val="111111"/>
          <w:sz w:val="28"/>
          <w:sz w:val="28"/>
          <w:szCs w:val="28"/>
          <w:rtl w:val="true"/>
          <w:lang w:bidi="fa-IR"/>
        </w:rPr>
        <w:t>و ظاهراً صادق است به كتابت و الصاق در مشاهد و مجامع و مساجد كه احتمال وجود مالك يا كسانى كه به مالك برسانند داده مى شود خصوصاً در امكنه و ازمنه اى كه در امثال آنها پيدا شده نه در جاهايى كه احتمال نمى دهد به مالك برسد يا برسانند، و آن كه مكتوب نمايد ابلاغ به سايرين را</w:t>
      </w:r>
      <w:r>
        <w:rPr>
          <w:rFonts w:eastAsia="IRNazanin" w:cs="IRNazanin"/>
          <w:color w:val="111111"/>
          <w:sz w:val="28"/>
          <w:szCs w:val="28"/>
          <w:rtl w:val="true"/>
          <w:lang w:bidi="fa-IR"/>
        </w:rPr>
        <w:t>.</w:t>
      </w:r>
    </w:p>
    <w:p>
      <w:pPr>
        <w:pStyle w:val="Heading6"/>
        <w:numPr>
          <w:ilvl w:val="5"/>
          <w:numId w:val="1"/>
        </w:numPr>
        <w:rPr/>
      </w:pPr>
      <w:bookmarkStart w:id="814" w:name="__RefHeading___Toc3971661_1067777946"/>
      <w:bookmarkStart w:id="815" w:name="_Toc338"/>
      <w:bookmarkEnd w:id="814"/>
      <w:r>
        <w:rPr>
          <w:rtl w:val="true"/>
        </w:rPr>
        <w:t>خصوصيات لازمۀ در تعريف</w:t>
      </w:r>
      <w:bookmarkEnd w:id="815"/>
    </w:p>
    <w:p>
      <w:pPr>
        <w:pStyle w:val="BookText"/>
        <w:rPr/>
      </w:pPr>
      <w:r>
        <w:rPr>
          <w:rFonts w:ascii="Amiri" w:hAnsi="Amiri" w:eastAsia="Amiri" w:cs="Amiri"/>
          <w:color w:val="111111"/>
          <w:sz w:val="28"/>
          <w:sz w:val="28"/>
          <w:szCs w:val="28"/>
          <w:rtl w:val="true"/>
          <w:lang w:bidi="ar-SA"/>
        </w:rPr>
        <w:t>و در تعريف جمع نمايد بين ذكر اوصاف فى الجمله و ترك ذكر فى الجمله كه با اول بشناساند و با دوم بشناسد مدّعى مالكيّت را؛ و اتّصال به طورى كه بدانند مطلوب، معرفت مالك همان يك لقطۀ خاصه است نه لقطه مجدّده</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3971663_1067777946"/>
      <w:bookmarkStart w:id="817" w:name="_Toc339"/>
      <w:bookmarkEnd w:id="816"/>
      <w:r>
        <w:rPr>
          <w:rtl w:val="true"/>
        </w:rPr>
        <w:t>تفحّص در مواضع احتمال</w:t>
      </w:r>
      <w:bookmarkEnd w:id="817"/>
    </w:p>
    <w:p>
      <w:pPr>
        <w:pStyle w:val="BookText"/>
        <w:rPr/>
      </w:pPr>
      <w:r>
        <w:rPr>
          <w:rFonts w:ascii="IRNazanin" w:hAnsi="IRNazanin" w:eastAsia="IRNazanin"/>
          <w:color w:val="111111"/>
          <w:sz w:val="28"/>
          <w:sz w:val="28"/>
          <w:szCs w:val="28"/>
          <w:rtl w:val="true"/>
          <w:lang w:bidi="fa-IR"/>
        </w:rPr>
        <w:t>و بايد در مواضع احتمال، تفحص از مالك نمايد مثلاً در مجامع خاصه مثل جمعه ها و جماعتها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موسم حج تكرار در همان جا لازم است در تحقّق طلب منتهى به يأس، و قهراً تا يك سال يعنى موسم دوم از زمان التقاط طول مى كشد، و همچنين لقطه حرمى در حرم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 و آمد از يكى به ديگرى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كتابت ها و آگهى ها و انشاد كلامى يا مركّب از كتابت و تكلّم، تسهيل در طلب مالك كه محدود به يأس است حاصل مى شود</w:t>
      </w:r>
      <w:r>
        <w:rPr>
          <w:rFonts w:eastAsia="IRNazanin" w:cs="IRNazanin"/>
          <w:color w:val="111111"/>
          <w:sz w:val="28"/>
          <w:szCs w:val="28"/>
          <w:rtl w:val="true"/>
          <w:lang w:bidi="fa-IR"/>
        </w:rPr>
        <w:t>.</w:t>
      </w:r>
    </w:p>
    <w:p>
      <w:pPr>
        <w:pStyle w:val="Heading6"/>
        <w:numPr>
          <w:ilvl w:val="5"/>
          <w:numId w:val="1"/>
        </w:numPr>
        <w:rPr/>
      </w:pPr>
      <w:bookmarkStart w:id="818" w:name="__RefHeading___Toc3971665_1067777946"/>
      <w:bookmarkStart w:id="819" w:name="_Toc340"/>
      <w:bookmarkEnd w:id="818"/>
      <w:r>
        <w:rPr>
          <w:rtl w:val="true"/>
        </w:rPr>
        <w:t>عدم لزوم مباشرت در تعريف</w:t>
      </w:r>
      <w:bookmarkEnd w:id="8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مباشرت ملتقط در تعريف، لازم نيست بلكه استنابه و استيجار كافى است، بلكه تبرع </w:t>
      </w:r>
      <w:bookmarkStart w:id="820" w:name="pg10275_96443"/>
    </w:p>
    <w:p>
      <w:pPr>
        <w:pStyle w:val="BookText"/>
        <w:rPr/>
      </w:pPr>
      <w:bookmarkEnd w:id="820"/>
      <w:r>
        <w:rPr>
          <w:rFonts w:ascii="IRNazanin" w:hAnsi="IRNazanin" w:eastAsia="IRNazanin"/>
          <w:color w:val="111111"/>
          <w:sz w:val="28"/>
          <w:sz w:val="28"/>
          <w:szCs w:val="28"/>
          <w:rtl w:val="true"/>
          <w:lang w:bidi="fa-IR"/>
        </w:rPr>
        <w:t>غير، مفيد فايدۀ مقصوده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تبرع، نيابت از ملتقط است، پس تملك بعد از تعريف يك سال، مربوط به ملتقط مى شود نه متبرع به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استيجار، اجرت تعريف تا يك سال بر ملتقط نيست، بلكه از بيت المال، يا استقراض از غير، يا تأديه ملتقط به قصد رجوع به مالك پيدا شده، يا برداشتن مصروف از خود لقطه، و عمل به وظيفه در ما عداى آن قدر، چه تصدق باشد يا تملك جايز يا دفع به حاكم يا امانت 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اجير و تعريف و انتهاى تعريف، قول امين، معتبر است؛ و تعدى نكردن از اخبار بيّنه يا ثقه موافق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اكتفاى به ظن معتدّ به در تمام اين مطالب،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821" w:name="__RefHeading___Toc3971667_1067777946"/>
      <w:bookmarkStart w:id="822" w:name="_Toc341"/>
      <w:bookmarkEnd w:id="821"/>
      <w:r>
        <w:rPr>
          <w:rtl w:val="true"/>
        </w:rPr>
        <w:t>فرض دفع پيدا شده به حاكم</w:t>
      </w:r>
      <w:bookmarkEnd w:id="8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ملتقط، لقطه را دفع به حاكم كرد پس وجوب قبول بر حاكم، مختلف است به حسب موارد، لكن اگر قبول كرد و مصلحت را در بيع آن ديد، ثمن جاى لقطه قرار مى گيرد و تمام احكام لقطه را دارد به آن عنوان كه ثمن لقطه خاصه است مثل صورتى كه عين بقايى نيست و بدل بعد از تقويم، قابل بقا در زمان تعريف هست كه خود ملتقط معاوضه مى نمايد و تعريف مى نمايد و وظيفۀ بعد از تعريف يك سال را مرتب مى نمايد</w:t>
      </w:r>
      <w:r>
        <w:rPr>
          <w:rFonts w:eastAsia="IRNazanin" w:cs="IRNazanin"/>
          <w:color w:val="111111"/>
          <w:sz w:val="28"/>
          <w:szCs w:val="28"/>
          <w:rtl w:val="true"/>
          <w:lang w:bidi="fa-IR"/>
        </w:rPr>
        <w:t>.</w:t>
      </w:r>
    </w:p>
    <w:p>
      <w:pPr>
        <w:pStyle w:val="Heading5"/>
        <w:numPr>
          <w:ilvl w:val="4"/>
          <w:numId w:val="1"/>
        </w:numPr>
        <w:rPr/>
      </w:pPr>
      <w:bookmarkStart w:id="823" w:name="__RefHeading___Toc3971669_1067777946"/>
      <w:bookmarkStart w:id="824" w:name="_Toc342"/>
      <w:bookmarkEnd w:id="823"/>
      <w:r>
        <w:rPr>
          <w:rtl w:val="true"/>
        </w:rPr>
        <w:t>لزوم تكليفى و وضعى تعريف</w:t>
      </w:r>
      <w:bookmarkEnd w:id="824"/>
    </w:p>
    <w:p>
      <w:pPr>
        <w:pStyle w:val="Heading6"/>
        <w:numPr>
          <w:ilvl w:val="5"/>
          <w:numId w:val="1"/>
        </w:numPr>
        <w:rPr/>
      </w:pPr>
      <w:bookmarkStart w:id="825" w:name="__RefHeading___Toc3971671_1067777946"/>
      <w:bookmarkStart w:id="826" w:name="_Toc343"/>
      <w:bookmarkEnd w:id="825"/>
      <w:r>
        <w:rPr>
          <w:rtl w:val="true"/>
        </w:rPr>
        <w:t>اشاره</w:t>
      </w:r>
      <w:bookmarkEnd w:id="8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لازم است تكليفاً و شرط آثار بعد از تعريف يك سال يا تا زمان يأس و عدم افادۀ تعريف است</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3971673_1067777946"/>
      <w:bookmarkStart w:id="828" w:name="_Toc344"/>
      <w:bookmarkEnd w:id="827"/>
      <w:r>
        <w:rPr>
          <w:rtl w:val="true"/>
        </w:rPr>
        <w:t>عدم اعتبار قصد تملّك در تعريف</w:t>
      </w:r>
      <w:bookmarkEnd w:id="8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معتبر نيست در تعريف، قصد تملك بعد از آن به هر نحو كه تملك مشروع است، زيرا ايصال به مالك، واجب است و بدلى با امكان ندارد و تعريف مقدمۀ ايصال است و امانت دارى با امكان، تصرّفى است بدون اذن مالك و شارع كه ايجاب تعريف كرده </w:t>
      </w:r>
      <w:bookmarkStart w:id="829" w:name="pg10275_96444"/>
    </w:p>
    <w:p>
      <w:pPr>
        <w:pStyle w:val="BookText"/>
        <w:rPr/>
      </w:pPr>
      <w:bookmarkEnd w:id="8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عمل به اين واجبِ ممكن نكرد و نزد خود نگاه داشت ضامن است اگر چه تفريطى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ترك تعريف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تعريف وظيفه اى است كه اگر دفع به حاكم كرد ساقط نمى شود</w:t>
      </w:r>
      <w:r>
        <w:rPr>
          <w:rFonts w:eastAsia="IRNazanin" w:cs="IRNazanin"/>
          <w:color w:val="111111"/>
          <w:sz w:val="28"/>
          <w:szCs w:val="28"/>
          <w:rtl w:val="true"/>
          <w:lang w:bidi="fa-IR"/>
        </w:rPr>
        <w:t>.</w:t>
      </w:r>
    </w:p>
    <w:p>
      <w:pPr>
        <w:pStyle w:val="Heading6"/>
        <w:numPr>
          <w:ilvl w:val="5"/>
          <w:numId w:val="1"/>
        </w:numPr>
        <w:rPr/>
      </w:pPr>
      <w:bookmarkStart w:id="830" w:name="__RefHeading___Toc3971675_1067777946"/>
      <w:bookmarkStart w:id="831" w:name="_Toc345"/>
      <w:bookmarkEnd w:id="830"/>
      <w:r>
        <w:rPr>
          <w:rtl w:val="true"/>
        </w:rPr>
        <w:t>جواز حفظ بعد از تعريف</w:t>
      </w:r>
      <w:bookmarkEnd w:id="831"/>
    </w:p>
    <w:p>
      <w:pPr>
        <w:pStyle w:val="BookText"/>
        <w:rPr/>
      </w:pPr>
      <w:r>
        <w:rPr>
          <w:rFonts w:ascii="IRNazanin" w:hAnsi="IRNazanin" w:eastAsia="IRNazanin"/>
          <w:color w:val="111111"/>
          <w:sz w:val="28"/>
          <w:sz w:val="28"/>
          <w:szCs w:val="28"/>
          <w:rtl w:val="true"/>
          <w:lang w:bidi="fa-IR"/>
        </w:rPr>
        <w:t>و بعد از تعريف، حفظ آن جايز است مثل جواز تصدّق و تملك چنان چه گذشت، و در اين وقت در جواز حفظ و تصدّق مثل مجهول المالك ابتدايى خواهد بود</w:t>
      </w:r>
      <w:r>
        <w:rPr>
          <w:rFonts w:eastAsia="IRNazanin" w:cs="IRNazanin"/>
          <w:color w:val="111111"/>
          <w:sz w:val="28"/>
          <w:szCs w:val="28"/>
          <w:rtl w:val="true"/>
          <w:lang w:bidi="fa-IR"/>
        </w:rPr>
        <w:t>.</w:t>
      </w:r>
    </w:p>
    <w:p>
      <w:pPr>
        <w:pStyle w:val="Heading6"/>
        <w:numPr>
          <w:ilvl w:val="5"/>
          <w:numId w:val="1"/>
        </w:numPr>
        <w:rPr/>
      </w:pPr>
      <w:bookmarkStart w:id="832" w:name="__RefHeading___Toc3971677_1067777946"/>
      <w:bookmarkStart w:id="833" w:name="_Toc346"/>
      <w:bookmarkEnd w:id="832"/>
      <w:r>
        <w:rPr>
          <w:rtl w:val="true"/>
        </w:rPr>
        <w:t>عدم جواز تملّك قبل از تعريف</w:t>
      </w:r>
      <w:bookmarkEnd w:id="833"/>
    </w:p>
    <w:p>
      <w:pPr>
        <w:pStyle w:val="BookText"/>
        <w:rPr/>
      </w:pPr>
      <w:r>
        <w:rPr>
          <w:rFonts w:ascii="IRNazanin" w:hAnsi="IRNazanin" w:eastAsia="IRNazanin"/>
          <w:color w:val="111111"/>
          <w:sz w:val="28"/>
          <w:sz w:val="28"/>
          <w:szCs w:val="28"/>
          <w:rtl w:val="true"/>
          <w:lang w:bidi="fa-IR"/>
        </w:rPr>
        <w:t xml:space="preserve">و تملك قبل از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تصدّق قبل از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تكليف و وضع است پس مسقط وجوب تعريف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عصياناً ترك شود تا سالهايى در دست ملتقط و به نحو موجب ضمان؛ لكن اگر شروع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سال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تعريف يا آن كه ترك تعريف در سال متصل به التقاط براى عذرى بود، و تعريف در آن سال بعدى به حسب خصوصيات مثل تعريف در سال متصل به التقاط، مفيد بود و محتمل بود وصول به مالك به سبب آن، پس اظهر جواز تملك و تصدق و استيمان به ابقا و حفظ براى مالك است، لكن فرض مذكور نادر يا غير محقق است</w:t>
      </w:r>
      <w:r>
        <w:rPr>
          <w:rFonts w:eastAsia="IRNazanin" w:cs="IRNazanin"/>
          <w:color w:val="111111"/>
          <w:sz w:val="28"/>
          <w:szCs w:val="28"/>
          <w:rtl w:val="true"/>
          <w:lang w:bidi="fa-IR"/>
        </w:rPr>
        <w:t>.</w:t>
      </w:r>
    </w:p>
    <w:p>
      <w:pPr>
        <w:pStyle w:val="Heading6"/>
        <w:numPr>
          <w:ilvl w:val="5"/>
          <w:numId w:val="1"/>
        </w:numPr>
        <w:rPr/>
      </w:pPr>
      <w:bookmarkStart w:id="834" w:name="__RefHeading___Toc3971679_1067777946"/>
      <w:bookmarkStart w:id="835" w:name="_Toc347"/>
      <w:bookmarkEnd w:id="834"/>
      <w:r>
        <w:rPr>
          <w:rtl w:val="true"/>
        </w:rPr>
        <w:t>يأس از وصول به صاحب</w:t>
      </w:r>
      <w:bookmarkEnd w:id="83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اولِ التقاط، مأيوس از وصول به صاحبش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مال بدون هيچ علامت مميّزه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ايجاب تعريفِ غير مفيد، بى وجه است، بلكه در حكم مابعد از تعريفِ ممكن و واقع خواهد بود، و از اين قبيل است دينار مطلس موجود در حرم يا منسحق الكتابة كه منصوص است مالكيّت واجد، آنها را و چون قابل تعريف نيست تعريف ندارد، چنان چه مذكور است در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است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متّجه است تحديد وجوب تعريف به سال التقاط يا حصول يأس يا حصول اطمينان به إعراض مالك؛ و ممكن است گذشتن سال از انحاى حصول يأس </w:t>
      </w:r>
      <w:bookmarkStart w:id="836" w:name="pg10275_96445"/>
    </w:p>
    <w:p>
      <w:pPr>
        <w:pStyle w:val="BookText"/>
        <w:rPr/>
      </w:pPr>
      <w:bookmarkEnd w:id="836"/>
      <w:r>
        <w:rPr>
          <w:rFonts w:ascii="IRNazanin" w:hAnsi="IRNazanin" w:eastAsia="IRNazanin"/>
          <w:color w:val="111111"/>
          <w:sz w:val="28"/>
          <w:sz w:val="28"/>
          <w:szCs w:val="28"/>
          <w:rtl w:val="true"/>
          <w:lang w:bidi="fa-IR"/>
        </w:rPr>
        <w:t>باشد كه چنان چه در اول التقاط بود مسقط وجوب تعريفِ غير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837" w:name="__RefHeading___Toc3971681_1067777946"/>
      <w:bookmarkStart w:id="838" w:name="_Toc348"/>
      <w:bookmarkEnd w:id="837"/>
      <w:r>
        <w:rPr>
          <w:rtl w:val="true"/>
        </w:rPr>
        <w:t>امين بودن يابنده و عدم ضمان وى</w:t>
      </w:r>
      <w:bookmarkEnd w:id="838"/>
    </w:p>
    <w:p>
      <w:pPr>
        <w:pStyle w:val="BookText"/>
        <w:rPr/>
      </w:pPr>
      <w:r>
        <w:rPr>
          <w:rFonts w:ascii="IRNazanin" w:hAnsi="IRNazanin" w:eastAsia="IRNazanin"/>
          <w:color w:val="111111"/>
          <w:sz w:val="28"/>
          <w:sz w:val="28"/>
          <w:szCs w:val="28"/>
          <w:rtl w:val="true"/>
          <w:lang w:bidi="fa-IR"/>
        </w:rPr>
        <w:t>لقطه در يد ملتقط در تمام حول تعريف، امانت شرعيه است و ضامن نيست مگر با تعدى و تفريط در حفظ؛ بلى به مجرد نيّت تملك قبل از تمام حول، يد او خائنه مى شود و ضامن است؛ و اگر عدول از خيانت كرد، به امانت و عدم ضمان مبدل مى شود و حول تعريف را اتمام مى نمايد در موقع افادۀ تعريف در صورت عدم اخلال فصل طويل، وگرنه شروع به تعريف يك سال مى نمايد اگر مفيد است، 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ظاهر مى شود صحت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در صورت تأخير تعريف از زمان التقاط اگر چه بدون عذر باشد، كه تعريف و تملك بعد از آن اقرب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خيانت به قصد تملك در غير وقت آن، اقرب عدم ضمان است با دفع به حاكم شرع و اعلام حال خودش با لقطه به 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قاصد حفظ و مطلق عمل به وظيفه با اشتغال به آن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است ضامن نيست، و قاصد خيانت و غير عامل به وظيفه ضامن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و تملك بعد از حول تعريف 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ابتدا، قاصد تملك بعد از تعريف بود و تعريف كرد و تملك بعد از آن نمود، صحيح است اگر عزم سابق مستمرّ بوده، و محتاج به تجديد نيّت تملك نيست</w:t>
      </w:r>
      <w:r>
        <w:rPr>
          <w:rFonts w:eastAsia="IRNazanin" w:cs="IRNazanin"/>
          <w:color w:val="111111"/>
          <w:sz w:val="28"/>
          <w:szCs w:val="28"/>
          <w:rtl w:val="true"/>
          <w:lang w:bidi="fa-IR"/>
        </w:rPr>
        <w:t>.</w:t>
      </w:r>
    </w:p>
    <w:p>
      <w:pPr>
        <w:pStyle w:val="Heading6"/>
        <w:numPr>
          <w:ilvl w:val="5"/>
          <w:numId w:val="1"/>
        </w:numPr>
        <w:rPr/>
      </w:pPr>
      <w:bookmarkStart w:id="839" w:name="__RefHeading___Toc3971683_1067777946"/>
      <w:bookmarkStart w:id="840" w:name="_Toc349"/>
      <w:bookmarkEnd w:id="839"/>
      <w:r>
        <w:rPr>
          <w:rtl w:val="true"/>
        </w:rPr>
        <w:t>نماى منفصلِ شىء پيدا شده</w:t>
      </w:r>
      <w:bookmarkEnd w:id="8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نماى منفصل در زمان تعريف، باقى است بر ملك مالك اصل، چون در زمان مالكيّتِ ملتقط نبوده؛ بلكه اگر عين فروخته شد و بدل آن تعريف شد نماى منفصل داخل در تعريف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نماى منفصل بعد از حول تعريف و بعد از تملك اصل </w:t>
      </w:r>
      <w:bookmarkStart w:id="841" w:name="pg10275_96446"/>
    </w:p>
    <w:p>
      <w:pPr>
        <w:pStyle w:val="BookText"/>
        <w:rPr/>
      </w:pPr>
      <w:bookmarkEnd w:id="841"/>
      <w:r>
        <w:rPr>
          <w:rFonts w:ascii="IRNazanin" w:hAnsi="IRNazanin" w:eastAsia="IRNazanin"/>
          <w:color w:val="111111"/>
          <w:sz w:val="28"/>
          <w:sz w:val="28"/>
          <w:szCs w:val="28"/>
          <w:rtl w:val="true"/>
          <w:lang w:bidi="fa-IR"/>
        </w:rPr>
        <w:t>پس مثل اصل، ملكيت متزلزله پيدا مى نمايد اگر مالك، طلب عين نمود مى تواند طلب نماى آن بنمايد، چنان چه اگر ابقا مى كرد به عنوان امانت دارى، چيزى را ملتقط مالك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زيادات متصله در حكم عين مى باشند</w:t>
      </w:r>
      <w:r>
        <w:rPr>
          <w:rFonts w:eastAsia="IRNazanin" w:cs="IRNazanin"/>
          <w:color w:val="111111"/>
          <w:sz w:val="28"/>
          <w:szCs w:val="28"/>
          <w:rtl w:val="true"/>
          <w:lang w:bidi="fa-IR"/>
        </w:rPr>
        <w:t>.</w:t>
      </w:r>
    </w:p>
    <w:p>
      <w:pPr>
        <w:pStyle w:val="Heading6"/>
        <w:numPr>
          <w:ilvl w:val="5"/>
          <w:numId w:val="1"/>
        </w:numPr>
        <w:rPr/>
      </w:pPr>
      <w:bookmarkStart w:id="842" w:name="__RefHeading___Toc3971685_1067777946"/>
      <w:bookmarkStart w:id="843" w:name="_Toc350"/>
      <w:bookmarkEnd w:id="842"/>
      <w:r>
        <w:rPr>
          <w:rtl w:val="true"/>
        </w:rPr>
        <w:t>عدم ضمان با عدم نيّت تملّك يا تصدّق</w:t>
      </w:r>
      <w:bookmarkEnd w:id="843"/>
    </w:p>
    <w:p>
      <w:pPr>
        <w:pStyle w:val="BookText"/>
        <w:rPr/>
      </w:pPr>
      <w:r>
        <w:rPr>
          <w:rFonts w:ascii="IRNazanin" w:hAnsi="IRNazanin" w:eastAsia="IRNazanin"/>
          <w:color w:val="111111"/>
          <w:sz w:val="28"/>
          <w:sz w:val="28"/>
          <w:szCs w:val="28"/>
          <w:rtl w:val="true"/>
          <w:lang w:bidi="fa-IR"/>
        </w:rPr>
        <w:t xml:space="preserve">و هيچ يك از عين و منافع را ضامن نيست با عدم نيت تملك يا 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ابقا به قصد امانت دارى و حفظ نمودن براى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قول منسوب به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مالكيّت ملتقط است زيادات متصله و منفصله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به جهت استظهار فسخ من حين المطالبه، چنان چه عدم تعرّض روايات به بدل منافع است؛ بلكه اقتصار بر دفع عين يا بدل متصدّقٌ به نموده، پس در غير منافع در زمان تعريف، قول مشهور،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تملك مذكور، احتمال تخيير مالك بر سبيل 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لزومى باشد آيا مى تواند مطالبه عين قائمه بنمايد؟ اقرب بنا بر ملكيت متزلزله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منسوب به مشهور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مطالبه مثل و قيمت در صورت تلف حكمى يا حقيقى مشروع در زمان تعريف يا بعد از آن در زمان تملك يا تصدق است، چنان چه اگر تملك بالعوض بوده عوض را مستحق است، چون ثمن است نه مثل يا قيمت را كه در تغريمات مضمون است</w:t>
      </w:r>
      <w:r>
        <w:rPr>
          <w:rFonts w:eastAsia="IRNazanin" w:cs="IRNazanin"/>
          <w:color w:val="111111"/>
          <w:sz w:val="28"/>
          <w:szCs w:val="28"/>
          <w:rtl w:val="true"/>
          <w:lang w:bidi="fa-IR"/>
        </w:rPr>
        <w:t>.</w:t>
      </w:r>
    </w:p>
    <w:p>
      <w:pPr>
        <w:pStyle w:val="Heading6"/>
        <w:numPr>
          <w:ilvl w:val="5"/>
          <w:numId w:val="1"/>
        </w:numPr>
        <w:rPr/>
      </w:pPr>
      <w:bookmarkStart w:id="844" w:name="__RefHeading___Toc3971687_1067777946"/>
      <w:bookmarkStart w:id="845" w:name="_Toc351"/>
      <w:bookmarkEnd w:id="844"/>
      <w:r>
        <w:rPr>
          <w:rtl w:val="true"/>
        </w:rPr>
        <w:t>مطالبۀ عين يا غير آن</w:t>
      </w:r>
      <w:bookmarkEnd w:id="8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مطالبه عين كرد ذكر شد كه لازم است ردّ عين؛ و اگر گفته شد لازم نيست، جايز است ردّ عين و لازم است بر مالك، قبول آن؛ و تفصيل بين مثلى و قيمى در تقدير مذكور كه باب غرامت نيست محلّى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ظاهر روايات در تصدق، تغريم است به خلاف تملك، و تطبيق آن بر قواعد، خالى از تأمل نيست بنا بر لزومى بودن دفع عين و دفع بدل متصدّقٌ به</w:t>
      </w:r>
      <w:r>
        <w:rPr>
          <w:rFonts w:eastAsia="IRNazanin" w:cs="IRNazanin"/>
          <w:color w:val="111111"/>
          <w:sz w:val="28"/>
          <w:szCs w:val="28"/>
          <w:rtl w:val="true"/>
          <w:lang w:bidi="fa-IR"/>
        </w:rPr>
        <w:t xml:space="preserve">. </w:t>
      </w:r>
      <w:bookmarkStart w:id="846" w:name="pg10275_96447"/>
    </w:p>
    <w:p>
      <w:pPr>
        <w:pStyle w:val="Heading6"/>
        <w:numPr>
          <w:ilvl w:val="5"/>
          <w:numId w:val="1"/>
        </w:numPr>
        <w:rPr/>
      </w:pPr>
      <w:bookmarkStart w:id="847" w:name="__RefHeading___Toc3971689_1067777946"/>
      <w:bookmarkStart w:id="848" w:name="_Toc352"/>
      <w:bookmarkEnd w:id="846"/>
      <w:bookmarkEnd w:id="847"/>
      <w:r>
        <w:rPr>
          <w:rtl w:val="true"/>
        </w:rPr>
        <w:t>عيب دار شدن لقطه در نزد يابنده</w:t>
      </w:r>
      <w:bookmarkEnd w:id="848"/>
    </w:p>
    <w:p>
      <w:pPr>
        <w:pStyle w:val="BookText"/>
        <w:rPr/>
      </w:pPr>
      <w:r>
        <w:rPr>
          <w:rFonts w:ascii="IRNazanin" w:hAnsi="IRNazanin" w:eastAsia="IRNazanin"/>
          <w:color w:val="111111"/>
          <w:sz w:val="28"/>
          <w:sz w:val="28"/>
          <w:szCs w:val="28"/>
          <w:rtl w:val="true"/>
          <w:lang w:bidi="fa-IR"/>
        </w:rPr>
        <w:t>و اگر متعيّب شد نزد ملتقط پس وجهى براى ضمان ارش مملوك خودش نيست اگر چه مراعىٰ به مطالبه مالك است كه فسخ يا انفساخ من حين المطالبه مى شود، و احوط مصالحه به ردّ عين با ارش يا ردّ عوض مجعول در تملك بالعوض است</w:t>
      </w:r>
      <w:r>
        <w:rPr>
          <w:rFonts w:eastAsia="IRNazanin" w:cs="IRNazanin"/>
          <w:color w:val="111111"/>
          <w:sz w:val="28"/>
          <w:szCs w:val="28"/>
          <w:rtl w:val="true"/>
          <w:lang w:bidi="fa-IR"/>
        </w:rPr>
        <w:t>.</w:t>
      </w:r>
    </w:p>
    <w:p>
      <w:pPr>
        <w:pStyle w:val="Heading5"/>
        <w:numPr>
          <w:ilvl w:val="4"/>
          <w:numId w:val="1"/>
        </w:numPr>
        <w:rPr/>
      </w:pPr>
      <w:bookmarkStart w:id="849" w:name="__RefHeading___Toc3971691_1067777946"/>
      <w:bookmarkStart w:id="850" w:name="_Toc353"/>
      <w:bookmarkEnd w:id="849"/>
      <w:r>
        <w:rPr>
          <w:rtl w:val="true"/>
        </w:rPr>
        <w:t>التقاط مملوك</w:t>
      </w:r>
      <w:bookmarkEnd w:id="8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مملوك التقاط نمود و مالك آگاه نشد پس بعد از تعريف خودش تا يك سال يا بدون تعريف اتلاف نمود با نيت تملك خودش، ضامن است آن را در ذمه خودش كه بعد از عتق مطالبه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به معاملۀ فاسدۀ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مولى عالم به التقاط بدون اذن او شد قبل از تعريف مملوك و از او انتزاع ننمود پس ضمان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امين نبودن مملوك و اهمال در انتزاع كه موجب خيانت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وجه نيست؛ پس غير امين بودن مملوك مثل غير مميّز بودن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يد مملوك باقى باشد در زمان لزوم تعريف و على الفرض يد مملوك تابع يد مالك است؛ و بالأولوية اگر قبض كرد و ردّ كرد به مملوك غير 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امين بودن و اذن مولى در التقاط يا در تعريف، فقط ضمان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مولى اذن در تملك بعد از تعريف براى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پس مولى ضامن است با ساير احكام لقطه بعد از تعريف؛ و اگر تملك نكرده بوده يا آن كه مأذون بوده ضمان بر مملوك است؛ و اگر انتزاع كرد از مملوك قبل از تعريف يا اتمام آن، بر مولى تعريف و احكام آن ثابت است</w:t>
      </w:r>
      <w:r>
        <w:rPr>
          <w:rFonts w:eastAsia="IRNazanin" w:cs="IRNazanin"/>
          <w:color w:val="111111"/>
          <w:sz w:val="28"/>
          <w:szCs w:val="28"/>
          <w:rtl w:val="true"/>
          <w:lang w:bidi="fa-IR"/>
        </w:rPr>
        <w:t>.</w:t>
      </w:r>
    </w:p>
    <w:p>
      <w:pPr>
        <w:pStyle w:val="Heading5"/>
        <w:numPr>
          <w:ilvl w:val="4"/>
          <w:numId w:val="1"/>
        </w:numPr>
        <w:rPr/>
      </w:pPr>
      <w:bookmarkStart w:id="851" w:name="__RefHeading___Toc3971693_1067777946"/>
      <w:bookmarkStart w:id="852" w:name="_Toc354"/>
      <w:bookmarkEnd w:id="851"/>
      <w:r>
        <w:rPr>
          <w:rtl w:val="true"/>
        </w:rPr>
        <w:t>نحوۀ دفع لقطه از حيث علم و مظنه و</w:t>
      </w:r>
      <w:r>
        <w:rPr>
          <w:rtl w:val="true"/>
        </w:rPr>
        <w:t>...</w:t>
      </w:r>
      <w:bookmarkEnd w:id="852"/>
    </w:p>
    <w:p>
      <w:pPr>
        <w:pStyle w:val="Heading6"/>
        <w:numPr>
          <w:ilvl w:val="5"/>
          <w:numId w:val="1"/>
        </w:numPr>
        <w:rPr/>
      </w:pPr>
      <w:bookmarkStart w:id="853" w:name="__RefHeading___Toc3971695_1067777946"/>
      <w:bookmarkStart w:id="854" w:name="_Toc355"/>
      <w:bookmarkEnd w:id="853"/>
      <w:r>
        <w:rPr>
          <w:rtl w:val="true"/>
        </w:rPr>
        <w:t>اشاره</w:t>
      </w:r>
      <w:bookmarkEnd w:id="8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نمى شود وجوباً لقطه مگر با علم يا اطمينان يا بيّنه عادله شامله شاهدى با يمين مدّعىِ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دفع با توصيف مفيد ظن، و از آن جمله است اخبار عدل واحد به صدق مدّعى، بلكه ظن حاصل از قول عدل، اقوى از حاصل از توصيف مدّعى</w:t>
      </w:r>
      <w:bookmarkStart w:id="855" w:name="pg10275_96448"/>
    </w:p>
    <w:p>
      <w:pPr>
        <w:pStyle w:val="BookText"/>
        <w:rPr/>
      </w:pPr>
      <w:bookmarkEnd w:id="855"/>
      <w:r>
        <w:rPr>
          <w:rFonts w:ascii="IRNazanin" w:hAnsi="IRNazanin" w:eastAsia="IRNazanin"/>
          <w:color w:val="111111"/>
          <w:sz w:val="28"/>
          <w:sz w:val="28"/>
          <w:szCs w:val="28"/>
          <w:rtl w:val="true"/>
          <w:lang w:bidi="fa-IR"/>
        </w:rPr>
        <w:t xml:space="preserve">است به اوصاف مختصه به مالك؛ و وجوب دفع با حصول ظن قوى خالى از وجه نيست؛ لكن در صورت جواز دفع با توصيف، اگر دفع نمود و ديگرى اقامۀ بيّنه بر مالكيّت لقطه نمود، استحقاق انتزاع از واصف را دارد؛ و اگر تلف شده است مى تواند مطالبۀ بدل از آخذ نمايد، و مى تواند مطالبه از ملتقط نمايد كه سبب حيلولت بين مال و مالك بوده است و در اين تقدير ملتقط بعد از اداى عوض، رجوع به آخذ مى نمايد كه اتلاف كرده يا تلف مال غير با كشف ضمان در يد او بوده، مگر آن كه اقرار به مالكيّت او و كذب بيّنه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856" w:name="__RefHeading___Toc3971697_1067777946"/>
      <w:bookmarkStart w:id="857" w:name="_Toc356"/>
      <w:bookmarkEnd w:id="856"/>
      <w:r>
        <w:rPr>
          <w:rtl w:val="true"/>
        </w:rPr>
        <w:t>ادّعاى مالكيّت ديگرى بعد از دفع با بيّنه</w:t>
      </w:r>
      <w:bookmarkEnd w:id="857"/>
    </w:p>
    <w:p>
      <w:pPr>
        <w:pStyle w:val="BookText"/>
        <w:rPr/>
      </w:pPr>
      <w:r>
        <w:rPr>
          <w:rFonts w:ascii="IRNazanin" w:hAnsi="IRNazanin" w:eastAsia="IRNazanin"/>
          <w:color w:val="111111"/>
          <w:sz w:val="28"/>
          <w:sz w:val="28"/>
          <w:szCs w:val="28"/>
          <w:rtl w:val="true"/>
          <w:lang w:bidi="fa-IR"/>
        </w:rPr>
        <w:t xml:space="preserve">اگر با بيّنه دفع شد لقطه به مشهود له پس از آن ديگرى اقامه بيّنه بر مالكيّت خودش لقطه را كرد، پس با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عدالت و عدد يا ساير مقوّيات موجبۀ اطمينان به صدق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مى شود يكى از دو محلّ بيّنه ها؛ و اگر نبود با قرعه تعيين مالكيّت يكى از دو مدّعى ها مى شود و احوط ضمّ حلف كسى كه قرعه به نام او خارج بشود مى باشد؛ پس اگر به نام دومى خارج شد، انتزاع از اوّلى مى شود و اگر تلف شده بود و متعذّر شد تغريم اولى، پس اگر دفع به حكم حاكم شرع بود ملتقِطِ دافع، ضامن نيست، به خلاف صورت دفع به اجتهاد و ظن ملتقط، لكن محتمل عدم ضمان است، زيرا دفع با بيّنه وجوبى است و مثل دفع با توصيف كه جايز است فى الجمله نيست، و علم به خلاف بيّنه با واقع نشده و ترجيح قبل از دفع، مستلزم تضمين بعد از دفع نيست، مگر آن كه خروج قرعه حكم كشف خلاف را داشته باشد مطلقاً</w:t>
      </w:r>
      <w:r>
        <w:rPr>
          <w:rFonts w:eastAsia="IRNazanin" w:cs="IRNazanin"/>
          <w:color w:val="111111"/>
          <w:sz w:val="28"/>
          <w:szCs w:val="28"/>
          <w:rtl w:val="true"/>
          <w:lang w:bidi="fa-IR"/>
        </w:rPr>
        <w:t>.</w:t>
      </w:r>
    </w:p>
    <w:p>
      <w:pPr>
        <w:pStyle w:val="Heading6"/>
        <w:numPr>
          <w:ilvl w:val="5"/>
          <w:numId w:val="1"/>
        </w:numPr>
        <w:rPr/>
      </w:pPr>
      <w:bookmarkStart w:id="858" w:name="__RefHeading___Toc3971699_1067777946"/>
      <w:bookmarkStart w:id="859" w:name="_Toc357"/>
      <w:bookmarkEnd w:id="858"/>
      <w:r>
        <w:rPr>
          <w:rtl w:val="true"/>
        </w:rPr>
        <w:t>اقامه بيّنه بعد از تعريف سال</w:t>
      </w:r>
      <w:bookmarkEnd w:id="8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اقامه بيّنه بعد از تعريف حول بود و بعد از تملك ملتقط بود و با آن بيّنه دفع عوض به اوّلى بعد از تلف يا اتلاف معوّض بوده، ضامن مى شود ملتقط براى دومى بعد از اقامه بيّنه و رجوع به آخذ عوض اولاً مى نمايد؛ و اين فتوى مذكور است در </w:t>
      </w:r>
      <w:bookmarkStart w:id="860" w:name="pg10275_96449"/>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حكم حاكم بنا بر كشف بطلان حكم، لكن خالى از تأمّل نيست، زيرا قيام بيّنه بعد از حكم و لوازم آن با عدم كشف خلاف بلكه منكشَف، قابل ترجيح بوده در صورت توارد، مگر آن كه خروج قرعه مطلقاً مثل علم رافع اشكال باشد در جميع لوازم علم</w:t>
      </w:r>
      <w:r>
        <w:rPr>
          <w:rFonts w:eastAsia="IRNazanin" w:cs="IRNazanin"/>
          <w:color w:val="111111"/>
          <w:sz w:val="28"/>
          <w:szCs w:val="28"/>
          <w:rtl w:val="true"/>
          <w:lang w:bidi="fa-IR"/>
        </w:rPr>
        <w:t>.</w:t>
      </w:r>
    </w:p>
    <w:p>
      <w:pPr>
        <w:pStyle w:val="Heading5"/>
        <w:numPr>
          <w:ilvl w:val="4"/>
          <w:numId w:val="1"/>
        </w:numPr>
        <w:rPr/>
      </w:pPr>
      <w:bookmarkStart w:id="861" w:name="__RefHeading___Toc3971701_1067777946"/>
      <w:bookmarkStart w:id="862" w:name="_Toc358"/>
      <w:bookmarkEnd w:id="861"/>
      <w:r>
        <w:rPr>
          <w:rtl w:val="true"/>
        </w:rPr>
        <w:t>وفات يابنده</w:t>
      </w:r>
      <w:bookmarkEnd w:id="86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ملتقط وفات كرد قبل از تعريف يا در اثناى تعريف در حول پس بنا بر موروثيّت حق تملك به تعريف به وارث، تعريف مى نمايد وارث يا اتمام تعريف مى نمايد و متملك بعد از آن مى شود مثل مورّث، و بعد از ظهور مالك، ضامن مى شود مثل مورّث؛ و اين فتوى با مسلّميت آن، موافق عموم توريث حقوق غير اختصاصيّه هست و در اينجا جز اين كه سبب استحقاق التقاط شخص مورّث است موجب اختصاصى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تعريف و تملك، ملتقط وفات كرد، مال مورّث است؛ و ضمان وارث يا ورّاث مثل ضمان مورّث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 الصلاة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العبد محمّد تقى بن محمود البهجة الغروى الجيلانى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الثامن من شهر شعبان المعظّم من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bookmarkStart w:id="863" w:name="pg10275_96450"/>
    </w:p>
    <w:p>
      <w:pPr>
        <w:pStyle w:val="Heading2"/>
        <w:numPr>
          <w:ilvl w:val="1"/>
          <w:numId w:val="1"/>
        </w:numPr>
        <w:rPr/>
      </w:pPr>
      <w:bookmarkStart w:id="864" w:name="__RefHeading___Toc3971703_1067777946"/>
      <w:bookmarkStart w:id="865" w:name="_Toc359"/>
      <w:bookmarkEnd w:id="863"/>
      <w:bookmarkEnd w:id="864"/>
      <w:r>
        <w:rPr>
          <w:rtl w:val="true"/>
        </w:rPr>
        <w:t>كتاب الارث</w:t>
      </w:r>
      <w:bookmarkEnd w:id="865"/>
    </w:p>
    <w:p>
      <w:pPr>
        <w:pStyle w:val="Heading3"/>
        <w:numPr>
          <w:ilvl w:val="2"/>
          <w:numId w:val="1"/>
        </w:numPr>
        <w:rPr/>
      </w:pPr>
      <w:bookmarkStart w:id="866" w:name="__RefHeading___Toc3971705_1067777946"/>
      <w:bookmarkStart w:id="867" w:name="_Toc360"/>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فى موجبات الارث</w:t>
      </w:r>
    </w:p>
    <w:p>
      <w:pPr>
        <w:pStyle w:val="BookText"/>
        <w:rPr/>
      </w:pPr>
      <w:r>
        <w:rPr>
          <w:rFonts w:ascii="Amiri" w:hAnsi="Amiri" w:eastAsia="Amiri" w:cs="Amiri"/>
          <w:color w:val="111111"/>
          <w:sz w:val="28"/>
          <w:sz w:val="28"/>
          <w:szCs w:val="28"/>
          <w:rtl w:val="true"/>
          <w:lang w:bidi="ar-SA"/>
        </w:rPr>
        <w:t>في موانع الإرث</w:t>
      </w:r>
    </w:p>
    <w:p>
      <w:pPr>
        <w:pStyle w:val="BookText"/>
        <w:rPr/>
      </w:pPr>
      <w:r>
        <w:rPr>
          <w:rFonts w:ascii="Amiri" w:hAnsi="Amiri" w:eastAsia="Amiri" w:cs="Amiri"/>
          <w:color w:val="111111"/>
          <w:sz w:val="28"/>
          <w:sz w:val="28"/>
          <w:szCs w:val="28"/>
          <w:rtl w:val="true"/>
          <w:lang w:bidi="ar-SA"/>
        </w:rPr>
        <w:t>في بيان السهام المقدّرة</w:t>
      </w:r>
    </w:p>
    <w:p>
      <w:pPr>
        <w:pStyle w:val="BookText"/>
        <w:rPr/>
      </w:pPr>
      <w:r>
        <w:rPr>
          <w:rFonts w:ascii="Amiri" w:hAnsi="Amiri" w:eastAsia="Amiri" w:cs="Amiri"/>
          <w:color w:val="111111"/>
          <w:sz w:val="28"/>
          <w:sz w:val="28"/>
          <w:szCs w:val="28"/>
          <w:rtl w:val="true"/>
          <w:lang w:bidi="ar-SA"/>
        </w:rPr>
        <w:t>في كتاب اللّٰه و بيان أهلها</w:t>
      </w:r>
    </w:p>
    <w:p>
      <w:pPr>
        <w:pStyle w:val="BookText"/>
        <w:rPr/>
      </w:pPr>
      <w:r>
        <w:rPr>
          <w:rFonts w:ascii="Amiri" w:hAnsi="Amiri" w:eastAsia="Amiri" w:cs="Amiri"/>
          <w:color w:val="111111"/>
          <w:sz w:val="28"/>
          <w:sz w:val="28"/>
          <w:szCs w:val="28"/>
          <w:rtl w:val="true"/>
          <w:lang w:bidi="ar-SA"/>
        </w:rPr>
        <w:t>في ميراث الانساب</w:t>
      </w:r>
    </w:p>
    <w:p>
      <w:pPr>
        <w:pStyle w:val="BookText"/>
        <w:rPr/>
      </w:pPr>
      <w:r>
        <w:rPr>
          <w:rFonts w:ascii="Amiri" w:hAnsi="Amiri" w:eastAsia="Amiri" w:cs="Amiri"/>
          <w:color w:val="111111"/>
          <w:sz w:val="28"/>
          <w:sz w:val="28"/>
          <w:szCs w:val="28"/>
          <w:rtl w:val="true"/>
          <w:lang w:bidi="ar-SA"/>
        </w:rPr>
        <w:t>في ميراث الازواج</w:t>
      </w:r>
    </w:p>
    <w:p>
      <w:pPr>
        <w:pStyle w:val="BookText"/>
        <w:rPr/>
      </w:pPr>
      <w:r>
        <w:rPr>
          <w:rFonts w:ascii="Amiri" w:hAnsi="Amiri" w:eastAsia="Amiri" w:cs="Amiri"/>
          <w:color w:val="111111"/>
          <w:sz w:val="28"/>
          <w:sz w:val="28"/>
          <w:szCs w:val="28"/>
          <w:rtl w:val="true"/>
          <w:lang w:bidi="ar-SA"/>
        </w:rPr>
        <w:t>في الإرث بالولاء</w:t>
      </w:r>
    </w:p>
    <w:p>
      <w:pPr>
        <w:pStyle w:val="BookText"/>
        <w:rPr/>
      </w:pPr>
      <w:r>
        <w:rPr>
          <w:rFonts w:ascii="Amiri" w:hAnsi="Amiri" w:eastAsia="Amiri" w:cs="Amiri"/>
          <w:color w:val="111111"/>
          <w:sz w:val="28"/>
          <w:sz w:val="28"/>
          <w:szCs w:val="28"/>
          <w:rtl w:val="true"/>
          <w:lang w:bidi="ar-SA"/>
        </w:rPr>
        <w:t>في ميراث ابن الملاعنة</w:t>
      </w:r>
    </w:p>
    <w:p>
      <w:pPr>
        <w:pStyle w:val="BookText"/>
        <w:rPr/>
      </w:pPr>
      <w:r>
        <w:rPr>
          <w:rFonts w:ascii="Amiri" w:hAnsi="Amiri" w:eastAsia="Amiri" w:cs="Amiri"/>
          <w:color w:val="111111"/>
          <w:sz w:val="28"/>
          <w:sz w:val="28"/>
          <w:szCs w:val="28"/>
          <w:rtl w:val="true"/>
          <w:lang w:bidi="ar-SA"/>
        </w:rPr>
        <w:t>في ميراث ولد الزنا</w:t>
      </w:r>
    </w:p>
    <w:p>
      <w:pPr>
        <w:pStyle w:val="BookText"/>
        <w:rPr/>
      </w:pPr>
      <w:r>
        <w:rPr>
          <w:rFonts w:ascii="Amiri" w:hAnsi="Amiri" w:eastAsia="Amiri" w:cs="Amiri"/>
          <w:color w:val="111111"/>
          <w:sz w:val="28"/>
          <w:sz w:val="28"/>
          <w:szCs w:val="28"/>
          <w:rtl w:val="true"/>
          <w:lang w:bidi="ar-SA"/>
        </w:rPr>
        <w:t>في ميراث الحمل</w:t>
      </w:r>
    </w:p>
    <w:p>
      <w:pPr>
        <w:pStyle w:val="BookText"/>
        <w:rPr/>
      </w:pPr>
      <w:r>
        <w:rPr>
          <w:rFonts w:ascii="Amiri" w:hAnsi="Amiri" w:eastAsia="Amiri" w:cs="Amiri"/>
          <w:color w:val="111111"/>
          <w:sz w:val="28"/>
          <w:sz w:val="28"/>
          <w:szCs w:val="28"/>
          <w:rtl w:val="true"/>
          <w:lang w:bidi="ar-SA"/>
        </w:rPr>
        <w:t>في ميراث المفقود</w:t>
      </w:r>
    </w:p>
    <w:p>
      <w:pPr>
        <w:pStyle w:val="BookText"/>
        <w:rPr/>
      </w:pPr>
      <w:r>
        <w:rPr>
          <w:rFonts w:ascii="Amiri" w:hAnsi="Amiri" w:eastAsia="Amiri" w:cs="Amiri"/>
          <w:color w:val="111111"/>
          <w:sz w:val="28"/>
          <w:sz w:val="28"/>
          <w:szCs w:val="28"/>
          <w:rtl w:val="true"/>
          <w:lang w:bidi="ar-SA"/>
        </w:rPr>
        <w:t>في ميراث الخنثى</w:t>
      </w:r>
    </w:p>
    <w:p>
      <w:pPr>
        <w:pStyle w:val="BookText"/>
        <w:rPr/>
      </w:pPr>
      <w:r>
        <w:rPr>
          <w:rFonts w:ascii="Amiri" w:hAnsi="Amiri" w:eastAsia="Amiri" w:cs="Amiri"/>
          <w:color w:val="111111"/>
          <w:sz w:val="28"/>
          <w:sz w:val="28"/>
          <w:szCs w:val="28"/>
          <w:rtl w:val="true"/>
          <w:lang w:bidi="ar-SA"/>
        </w:rPr>
        <w:t>في ميراث الغرقىٰ و المهدوم عليهم</w:t>
      </w:r>
    </w:p>
    <w:p>
      <w:pPr>
        <w:pStyle w:val="BookText"/>
        <w:rPr/>
      </w:pPr>
      <w:r>
        <w:rPr>
          <w:rFonts w:ascii="Amiri" w:hAnsi="Amiri" w:eastAsia="Amiri" w:cs="Amiri"/>
          <w:color w:val="111111"/>
          <w:sz w:val="28"/>
          <w:sz w:val="28"/>
          <w:szCs w:val="28"/>
          <w:rtl w:val="true"/>
          <w:lang w:bidi="ar-SA"/>
        </w:rPr>
        <w:t>في ميراث المجوس</w:t>
      </w:r>
    </w:p>
    <w:p>
      <w:pPr>
        <w:pStyle w:val="BookText"/>
        <w:rPr/>
      </w:pPr>
      <w:r>
        <w:rPr>
          <w:rFonts w:ascii="Amiri" w:hAnsi="Amiri" w:eastAsia="Amiri" w:cs="Amiri"/>
          <w:color w:val="111111"/>
          <w:sz w:val="28"/>
          <w:sz w:val="28"/>
          <w:szCs w:val="28"/>
          <w:rtl w:val="true"/>
          <w:lang w:bidi="ar-SA"/>
        </w:rPr>
        <w:t>في مختصر من حساب الفرائض</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المناسخات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8" w:name="pg10275_96452"/>
      <w:bookmarkStart w:id="869" w:name="pg10275_96452"/>
      <w:bookmarkEnd w:id="869"/>
    </w:p>
    <w:p>
      <w:pPr>
        <w:pStyle w:val="Heading3"/>
        <w:numPr>
          <w:ilvl w:val="2"/>
          <w:numId w:val="1"/>
        </w:numPr>
        <w:rPr/>
      </w:pPr>
      <w:bookmarkStart w:id="870" w:name="pg10275_96452"/>
      <w:bookmarkStart w:id="871" w:name="__RefHeading___Toc3971707_1067777946"/>
      <w:bookmarkStart w:id="872" w:name="_Toc361"/>
      <w:bookmarkEnd w:id="870"/>
      <w:bookmarkEnd w:id="871"/>
      <w:r>
        <w:rPr>
          <w:rtl w:val="true"/>
        </w:rPr>
        <w:t>الفصل الاوّل فى موجبات الارث</w:t>
      </w:r>
      <w:bookmarkEnd w:id="872"/>
    </w:p>
    <w:p>
      <w:pPr>
        <w:pStyle w:val="Heading4"/>
        <w:numPr>
          <w:ilvl w:val="3"/>
          <w:numId w:val="1"/>
        </w:numPr>
        <w:rPr/>
      </w:pPr>
      <w:bookmarkStart w:id="873" w:name="__RefHeading___Toc3971709_1067777946"/>
      <w:bookmarkStart w:id="874" w:name="_Toc362"/>
      <w:bookmarkEnd w:id="873"/>
      <w:r>
        <w:rPr>
          <w:rtl w:val="true"/>
        </w:rPr>
        <w:t>اشاره</w:t>
      </w:r>
      <w:bookmarkEnd w:id="874"/>
    </w:p>
    <w:p>
      <w:pPr>
        <w:pStyle w:val="BookText"/>
        <w:rPr/>
      </w:pPr>
      <w:r>
        <w:rPr>
          <w:rFonts w:ascii="Amiri" w:hAnsi="Amiri" w:eastAsia="Amiri" w:cs="Amiri"/>
          <w:color w:val="111111"/>
          <w:sz w:val="28"/>
          <w:sz w:val="28"/>
          <w:szCs w:val="28"/>
          <w:rtl w:val="true"/>
          <w:lang w:bidi="ar-SA"/>
        </w:rPr>
        <w:t>بِسْمِ اَللّٰهِ اَلرَّحْمٰنِ اَلرَّحِيمِ‌ و به نستعين</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 نسب، و النسب مراتب ثلاث</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3971711_1067777946"/>
      <w:bookmarkStart w:id="876" w:name="_Toc363"/>
      <w:bookmarkEnd w:id="875"/>
      <w:r>
        <w:rPr>
          <w:rtl w:val="true"/>
        </w:rPr>
        <w:t>مراتب النسب</w:t>
      </w:r>
      <w:bookmarkEnd w:id="876"/>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بلا ارتفاع، و الأولاد و إن نزلوا، مع ترتّب غير الأقرب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 الجدّات و إن علوا، مع ترتّب غير الأقرب إلى الميّت عليه؛ و لإخوة و الأخوات و أولادهم، مع ترتّب غير الأقرب،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الصنفان المذكوران لا فرق فيهما بين أن يكونوا لأب أو أمّ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العمّات و الأخوال و الخالات و أولادهم مع الترتّب المذكور؛ و بعد الأعمام و الأخوال و العمّات و الخالات، أعمام الأبوين أو أحدهما و عمّاتهما و أخوالهما و خالاتهما مع الترتّب المذكور، و كذلك أعمام الجدّ و الجدّة و عمّاتهما و أخوالهما و خالاتهما مع الترتّب على عمومة الأبوين و خئولتهما، و الأولاد و إن نزلوا في كلّ طبقة مع فقد والديهم على الترتّب المذكور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تعدّد الصنف كما في المرتبتين الاُوليين لا يحجب الأقرب من صنفٍ الأبعد </w:t>
      </w:r>
      <w:bookmarkStart w:id="877" w:name="pg10275_96453"/>
    </w:p>
    <w:p>
      <w:pPr>
        <w:pStyle w:val="BookText"/>
        <w:rPr/>
      </w:pPr>
      <w:bookmarkEnd w:id="877"/>
      <w:r>
        <w:rPr>
          <w:rFonts w:ascii="Amiri" w:hAnsi="Amiri" w:eastAsia="Amiri" w:cs="Amiri"/>
          <w:color w:val="111111"/>
          <w:sz w:val="28"/>
          <w:sz w:val="28"/>
          <w:szCs w:val="28"/>
          <w:rtl w:val="true"/>
          <w:lang w:bidi="ar-SA"/>
        </w:rPr>
        <w:t xml:space="preserve">من الصنف الآخر، به خلاف وحدة الصنف كما في المرتبة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فالحجب فيها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تحقّق الحجب بشرطه المذكور فلا فرق في الحاجب بين الواحد و غيره، و الاُنثى و غيرها، و ساير خصوصيّات الحاجب و المحجوب، إلّا في صورة واحدة هي ابن العمّ للأبوين يحجب العمّ للأب بالإجماع المطّرد عكسه في ساير النظائر كابن خال مع عمّ أو خال</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3971713_1067777946"/>
      <w:bookmarkStart w:id="879" w:name="_Toc364"/>
      <w:bookmarkEnd w:id="878"/>
      <w:r>
        <w:rPr>
          <w:rtl w:val="true"/>
        </w:rPr>
        <w:t>السبب</w:t>
      </w:r>
      <w:bookmarkEnd w:id="87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زوجيّة و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الوَلاء للعتق أو لضمان الجريرة أو للإمامة</w:t>
      </w:r>
      <w:r>
        <w:rPr>
          <w:rFonts w:eastAsia="Amiri" w:cs="Amiri" w:ascii="Amiri" w:hAnsi="Amiri"/>
          <w:color w:val="111111"/>
          <w:sz w:val="28"/>
          <w:szCs w:val="28"/>
          <w:rtl w:val="true"/>
          <w:lang w:bidi="ar-SA"/>
        </w:rPr>
        <w:t xml:space="preserve">. </w:t>
      </w:r>
      <w:bookmarkStart w:id="880" w:name="pg10275_96454"/>
    </w:p>
    <w:p>
      <w:pPr>
        <w:pStyle w:val="Heading3"/>
        <w:numPr>
          <w:ilvl w:val="2"/>
          <w:numId w:val="1"/>
        </w:numPr>
        <w:rPr/>
      </w:pPr>
      <w:bookmarkStart w:id="881" w:name="__RefHeading___Toc3971715_1067777946"/>
      <w:bookmarkStart w:id="882" w:name="_Toc365"/>
      <w:bookmarkEnd w:id="880"/>
      <w:bookmarkEnd w:id="881"/>
      <w:r>
        <w:rPr>
          <w:rtl w:val="true"/>
        </w:rPr>
        <w:t>الفصل الثاني في موانع الإرث</w:t>
      </w:r>
      <w:bookmarkEnd w:id="882"/>
    </w:p>
    <w:p>
      <w:pPr>
        <w:pStyle w:val="Heading4"/>
        <w:numPr>
          <w:ilvl w:val="3"/>
          <w:numId w:val="1"/>
        </w:numPr>
        <w:rPr/>
      </w:pPr>
      <w:bookmarkStart w:id="883" w:name="__RefHeading___Toc3971717_1067777946"/>
      <w:bookmarkStart w:id="884" w:name="_Toc366"/>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و الكفر و القتل و الرّقّ تمنع الإرث هذه الثلاثة</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3971719_1067777946"/>
      <w:bookmarkStart w:id="886" w:name="_Toc367"/>
      <w:bookmarkEnd w:id="885"/>
      <w:r>
        <w:rPr>
          <w:rtl w:val="true"/>
        </w:rPr>
        <w:t>الكفر</w:t>
      </w:r>
      <w:bookmarkEnd w:id="886"/>
    </w:p>
    <w:p>
      <w:pPr>
        <w:pStyle w:val="Heading5"/>
        <w:numPr>
          <w:ilvl w:val="4"/>
          <w:numId w:val="1"/>
        </w:numPr>
        <w:rPr/>
      </w:pPr>
      <w:bookmarkStart w:id="887" w:name="__RefHeading___Toc3971721_1067777946"/>
      <w:bookmarkStart w:id="888" w:name="_Toc368"/>
      <w:bookmarkEnd w:id="887"/>
      <w:r>
        <w:rPr>
          <w:rtl w:val="true"/>
        </w:rPr>
        <w:t>اشاره</w:t>
      </w:r>
      <w:bookmarkEnd w:id="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فالكفر بجميع أقسامه يمنع وراثة الكافر من المسلم فلا يرث الكافرُ المسلم، و المسلم يرث الكافر</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3971723_1067777946"/>
      <w:bookmarkStart w:id="890" w:name="_Toc369"/>
      <w:bookmarkEnd w:id="889"/>
      <w:r>
        <w:rPr>
          <w:rtl w:val="true"/>
        </w:rPr>
        <w:t>المسلم يحجب الكفار</w:t>
      </w:r>
      <w:bookmarkEnd w:id="890"/>
    </w:p>
    <w:p>
      <w:pPr>
        <w:pStyle w:val="BookText"/>
        <w:rPr/>
      </w:pPr>
      <w:r>
        <w:rPr>
          <w:rFonts w:ascii="Amiri" w:hAnsi="Amiri" w:eastAsia="Amiri" w:cs="Amiri"/>
          <w:color w:val="111111"/>
          <w:sz w:val="28"/>
          <w:sz w:val="28"/>
          <w:szCs w:val="28"/>
          <w:rtl w:val="true"/>
          <w:lang w:bidi="ar-SA"/>
        </w:rPr>
        <w:t>و لو كان للمسلم وارث مسلم مع الكفّار اختصّ المسلم بالإرث و حجب جميع الكفّار من تقدّم عليه أو كان في مرتبته، فلو كان ابن المسلم كافراً و ابن هذا الكافر مسلماً يرثه ابن الابن لا الابن، و كذا لو كان ابن المسلم كافراً و عمّه أو أخوه أو ابنهما مسلماً كان الإرث للمسلم البعيد دون الكافر القريب</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3971725_1067777946"/>
      <w:bookmarkStart w:id="892" w:name="_Toc370"/>
      <w:bookmarkEnd w:id="891"/>
      <w:r>
        <w:rPr>
          <w:rtl w:val="true"/>
        </w:rPr>
        <w:t>الامام يرث المسلم لو كان الوارث كفّاراً</w:t>
      </w:r>
      <w:bookmarkEnd w:id="89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للمسلم وارث مسلم فميراثه للإمام دون الكفّار لما تقدّم من الحجب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تقدّم المسلم في الإرث على الكافر و لو كان المسلم معتقاً أو ضامن جريرة و كان الكافر ابن الميت</w:t>
      </w:r>
      <w:r>
        <w:rPr>
          <w:rFonts w:eastAsia="Amiri" w:cs="Amiri" w:ascii="Amiri" w:hAnsi="Amiri"/>
          <w:color w:val="111111"/>
          <w:sz w:val="28"/>
          <w:szCs w:val="28"/>
          <w:rtl w:val="true"/>
          <w:lang w:bidi="ar-SA"/>
        </w:rPr>
        <w:t xml:space="preserve">. </w:t>
      </w:r>
      <w:bookmarkStart w:id="893" w:name="pg10275_96455"/>
    </w:p>
    <w:p>
      <w:pPr>
        <w:pStyle w:val="Heading5"/>
        <w:numPr>
          <w:ilvl w:val="4"/>
          <w:numId w:val="1"/>
        </w:numPr>
        <w:rPr/>
      </w:pPr>
      <w:bookmarkStart w:id="894" w:name="__RefHeading___Toc3971727_1067777946"/>
      <w:bookmarkStart w:id="895" w:name="_Toc371"/>
      <w:bookmarkEnd w:id="893"/>
      <w:bookmarkEnd w:id="894"/>
      <w:r>
        <w:rPr>
          <w:rtl w:val="true"/>
        </w:rPr>
        <w:t>الكافر يرث الكافر</w:t>
      </w:r>
      <w:bookmarkEnd w:id="895"/>
    </w:p>
    <w:p>
      <w:pPr>
        <w:pStyle w:val="BookText"/>
        <w:rPr/>
      </w:pPr>
      <w:r>
        <w:rPr>
          <w:rFonts w:ascii="Amiri" w:hAnsi="Amiri" w:eastAsia="Amiri" w:cs="Amiri"/>
          <w:color w:val="111111"/>
          <w:sz w:val="28"/>
          <w:sz w:val="28"/>
          <w:szCs w:val="28"/>
          <w:rtl w:val="true"/>
          <w:lang w:bidi="ar-SA"/>
        </w:rPr>
        <w:t xml:space="preserve">و لو لم يكن للكافر وارث خاصّ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بعيدا كالمعتق و ضامن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فميراثه للكفّار في غير صورة الارتداد</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3971729_1067777946"/>
      <w:bookmarkStart w:id="897" w:name="_Toc372"/>
      <w:bookmarkEnd w:id="896"/>
      <w:r>
        <w:rPr>
          <w:rtl w:val="true"/>
        </w:rPr>
        <w:t>حكم إسلام الكافر</w:t>
      </w:r>
      <w:bookmarkEnd w:id="897"/>
    </w:p>
    <w:p>
      <w:pPr>
        <w:pStyle w:val="BookText"/>
        <w:rPr/>
      </w:pPr>
      <w:r>
        <w:rPr>
          <w:rFonts w:ascii="Amiri" w:hAnsi="Amiri" w:eastAsia="Amiri" w:cs="Amiri"/>
          <w:color w:val="111111"/>
          <w:sz w:val="28"/>
          <w:sz w:val="28"/>
          <w:szCs w:val="28"/>
          <w:rtl w:val="true"/>
          <w:lang w:bidi="ar-SA"/>
        </w:rPr>
        <w:t xml:space="preserve">و الإسلام من الوارث قبل قسمة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تعدّد الورثة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كإسلامه قبل موت المورّث، فلو أسلم حينئذ ورث إن كان مساويا للورثة المسلمين و حاز الكلّ إن تقدّم عليهم في المرتبة بلا فرق بين كفر المورّث و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اختلفت التركة فقسّم بعضها دون بعض، لحق كلّ قسم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المسلم عن ورثة كفّار فأسلم بعضهم بعد الموت فالأظهر أنّ الميراث للإمام لا للمسلم بعد الموت، لوحدة الوارث بعد الموت قسمة و لا إسلام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ورثة الكافر الأصلى كفّاراً فأسلم بعضهم بعد موته و بعد القسمة فلا أثر لإسلامه، بل يبقى على حكم ما قبل اسلامه في التقدّم في صورة و التأخّر في صورة و المشاركة في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قبل القسمة المنحصرة في صورة التعدّد فتأثير إسلامه لا يخلو عن وجه موافق لإطلاق الصحيح، فيتقدّم مع تقدّم المرتبة و تأخّرها،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المسلم و الكافر فيما ذكرناه المحكوم بالإسلام و الكفر و إن لم يكونا حقيقيّين</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3971731_1067777946"/>
      <w:bookmarkStart w:id="899" w:name="_Toc373"/>
      <w:bookmarkEnd w:id="898"/>
      <w:r>
        <w:rPr>
          <w:rtl w:val="true"/>
        </w:rPr>
        <w:t>المسلمون يتوارثون و إن اختلفوا فى المذاهب</w:t>
      </w:r>
      <w:bookmarkEnd w:id="8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يتوارثون و إن اختلفوا في المذاهب، فالمحقّ منه و المبطل يرث الآخر و يورثه، إلّا الغلاة و الخوارج و النواصب و منكر الضرورىّ‌، فهم بحكم الكفّار لا يرثون من المسلم و يرثهم المسلمون</w:t>
      </w:r>
      <w:r>
        <w:rPr>
          <w:rFonts w:eastAsia="Amiri" w:cs="Amiri" w:ascii="Amiri" w:hAnsi="Amiri"/>
          <w:color w:val="111111"/>
          <w:sz w:val="28"/>
          <w:szCs w:val="28"/>
          <w:rtl w:val="true"/>
          <w:lang w:bidi="ar-SA"/>
        </w:rPr>
        <w:t xml:space="preserve">. </w:t>
      </w:r>
      <w:bookmarkStart w:id="900" w:name="pg10275_96456"/>
    </w:p>
    <w:p>
      <w:pPr>
        <w:pStyle w:val="Heading5"/>
        <w:numPr>
          <w:ilvl w:val="4"/>
          <w:numId w:val="1"/>
        </w:numPr>
        <w:rPr/>
      </w:pPr>
      <w:bookmarkStart w:id="901" w:name="__RefHeading___Toc3971733_1067777946"/>
      <w:bookmarkStart w:id="902" w:name="_Toc374"/>
      <w:bookmarkEnd w:id="900"/>
      <w:bookmarkEnd w:id="901"/>
      <w:r>
        <w:rPr>
          <w:rtl w:val="true"/>
        </w:rPr>
        <w:t>الكفّار يتوارثون و إن اختلفوا فى النحل</w:t>
      </w:r>
      <w:bookmarkEnd w:id="902"/>
    </w:p>
    <w:p>
      <w:pPr>
        <w:pStyle w:val="BookText"/>
        <w:rPr/>
      </w:pPr>
      <w:r>
        <w:rPr>
          <w:rFonts w:ascii="Amiri" w:hAnsi="Amiri" w:eastAsia="Amiri" w:cs="Amiri"/>
          <w:color w:val="111111"/>
          <w:sz w:val="28"/>
          <w:sz w:val="28"/>
          <w:szCs w:val="28"/>
          <w:rtl w:val="true"/>
          <w:lang w:bidi="ar-SA"/>
        </w:rPr>
        <w:t>الكفّار يتوارثون و إن اختلفوا في الدين و يحتمل في صورة كون عدم الإرث من دين الوارث أن يجوز إلزامه بمقتضى دينه فيورث الموافق للميّت و مع فقده الإمام لا المخالف للميّت في الدين</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3971735_1067777946"/>
      <w:bookmarkStart w:id="904" w:name="_Toc375"/>
      <w:bookmarkEnd w:id="903"/>
      <w:r>
        <w:rPr>
          <w:rtl w:val="true"/>
        </w:rPr>
        <w:t>فقد الوارث المسلم شرط فى توارث الكفّار</w:t>
      </w:r>
      <w:bookmarkEnd w:id="904"/>
    </w:p>
    <w:p>
      <w:pPr>
        <w:pStyle w:val="BookText"/>
        <w:rPr/>
      </w:pPr>
      <w:r>
        <w:rPr>
          <w:rFonts w:ascii="Amiri" w:hAnsi="Amiri" w:eastAsia="Amiri" w:cs="Amiri"/>
          <w:color w:val="111111"/>
          <w:sz w:val="28"/>
          <w:sz w:val="28"/>
          <w:szCs w:val="28"/>
          <w:rtl w:val="true"/>
          <w:lang w:bidi="ar-SA"/>
        </w:rPr>
        <w:t>و يشترط في إرث الكافر من الكافر عدم المسلم و لو كان بعيداً و كان الكافر قريباً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توفّى أحد الزوجين عن آخر مسلم أو مسلمة فكان للوارث ما يستحقّه من النصف أو الربع و قلنا بردّ النصف على الزوج و ما عدا الربع على الإمام، فأسلم الكافر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وحدة المستحقّ لا أثر لإسلامه؛ و مع تعدّده كما ذكر يرث ما يكون للإمام إن كان الإسلام قبل القسمة على الأظهر، و إن حكى التأثير مطلقاً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أثر لإسلام الكافر بعد القسمة، و لا يجب إنفاق الكافر على الورثة المسلمين من مالهم الّذى ورثوه، فما في رواية مالك بن أعين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نصرانى مات و له ابن أخ و ابن اُخت مسلمان و أولاد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الأخ الثلثان و لابن الاُخت الثلث، و أنّه ينفقان على الأولاد بالنسبة إذا لم يسلموا، و إن أسلم الصغار قبل البلوغ دفع المال إلى الإمام فإن بلغوا على الإسلام دفعه الإمام إليهم و لو لم يسلموا دفع إلى ابن الأخ الثلثين والى ابن الاُخت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أحد أبوى الطفل مسلماً حين انعقاد نطفته أو بعده قبل بلوغه، لحق به الطفل في الإسلام و أحكامه؛ فإن بلغ و عرض عليه الإسلام فأبىٰ‌، قتل كغيره من المرتدّين حتّى من أسلم أحد أبويه قبل بلوغه على احتمال؛ و الأحوط لزوماً أن يكون ذلك بعد إقامة البراهين القاطعة عليه بحيث يكون إبائه بعدها عناداً و للأغراض الفاسدة الدنيويّة، حتّى فيمن أسلم أحد أبويه حين انعقاد نطفته</w:t>
      </w:r>
      <w:r>
        <w:rPr>
          <w:rFonts w:eastAsia="Amiri" w:cs="Amiri" w:ascii="Amiri" w:hAnsi="Amiri"/>
          <w:color w:val="111111"/>
          <w:sz w:val="28"/>
          <w:szCs w:val="28"/>
          <w:rtl w:val="true"/>
          <w:lang w:bidi="ar-SA"/>
        </w:rPr>
        <w:t xml:space="preserve">. </w:t>
      </w:r>
      <w:bookmarkStart w:id="905" w:name="pg10275_96457"/>
    </w:p>
    <w:p>
      <w:pPr>
        <w:pStyle w:val="Heading5"/>
        <w:numPr>
          <w:ilvl w:val="4"/>
          <w:numId w:val="1"/>
        </w:numPr>
        <w:rPr/>
      </w:pPr>
      <w:bookmarkStart w:id="906" w:name="__RefHeading___Toc3971737_1067777946"/>
      <w:bookmarkStart w:id="907" w:name="_Toc376"/>
      <w:bookmarkEnd w:id="905"/>
      <w:bookmarkEnd w:id="906"/>
      <w:r>
        <w:rPr>
          <w:rtl w:val="true"/>
        </w:rPr>
        <w:t>حكم أقسام المرتدّ</w:t>
      </w:r>
      <w:bookmarkEnd w:id="907"/>
    </w:p>
    <w:p>
      <w:pPr>
        <w:pStyle w:val="BookText"/>
        <w:rPr/>
      </w:pPr>
      <w:r>
        <w:rPr>
          <w:rFonts w:ascii="Amiri" w:hAnsi="Amiri" w:eastAsia="Amiri" w:cs="Amiri"/>
          <w:color w:val="111111"/>
          <w:sz w:val="28"/>
          <w:sz w:val="28"/>
          <w:szCs w:val="28"/>
          <w:rtl w:val="true"/>
          <w:lang w:bidi="ar-SA"/>
        </w:rPr>
        <w:t xml:space="preserve">المرتدّ عن فطرة بانعقاده و أحد أبويه مسلم و إظهاره الإسلام بعد بلوغه، يقتل إن كان رجلاً، و لا يستتاب، و تعتدّ امرأته عدّة الوفاة و ينفسخ نكاحها بغير طلاق، و الاعتداد لا ينوط بالدخول على الأحوط؛ و تقسم أمواله بين ورثته بعد أداء ديونه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انتظار لموته؛ و لا تقبل توبته إلّا باطناً، و في غير ما مرّ في الجملة كطهارة بدنه و صحّة عباداته و تملّكه بالأسباب الجديدة بعد التوبة، اختياريّة كانت كالتجارة أو لاٰ كالإرث، و له التزويج بالمسلمات حتّى السابقة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لا تقتل بل تحبس و تضرب أوقات الصلاة حتّى تتوب و لو كانت مرتدّة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المرتدّ لا عن فطرة يستتاب إلى حدّ احتمال رجوعه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و إلّا قتل، تعتدّ زوجته مع الدخول عدّة الطلاق مع الحياة و عدّة الوفاة لٰا معها، فإن تاب أو تابت قبل تمام العدّة رجعت الزوجيّة</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3971739_1067777946"/>
      <w:bookmarkStart w:id="909" w:name="_Toc377"/>
      <w:bookmarkEnd w:id="908"/>
      <w:r>
        <w:rPr>
          <w:rtl w:val="true"/>
        </w:rPr>
        <w:t>القتل</w:t>
      </w:r>
      <w:bookmarkEnd w:id="909"/>
    </w:p>
    <w:p>
      <w:pPr>
        <w:pStyle w:val="Heading5"/>
        <w:numPr>
          <w:ilvl w:val="4"/>
          <w:numId w:val="1"/>
        </w:numPr>
        <w:rPr/>
      </w:pPr>
      <w:bookmarkStart w:id="910" w:name="__RefHeading___Toc3971741_1067777946"/>
      <w:bookmarkStart w:id="911" w:name="_Toc378"/>
      <w:bookmarkEnd w:id="910"/>
      <w:r>
        <w:rPr>
          <w:rtl w:val="true"/>
        </w:rPr>
        <w:t>اشاره</w:t>
      </w:r>
      <w:bookmarkEnd w:id="9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القتل فإن كان عمداً و بغير حقّ فإنّه يمنع القاتل عن إرث المقتول، فيرثه غير القاتل و إن بعُد و قرُب القاتل و كانت القرابة بسببه، به خلاف ما لو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كقصاص أو اقامة حدّ أو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خطأً فلا منع فيهما عن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يرث من الدية أيضاً؟ فيه خلاف، فالأظهر الأشهر، العدم؛ و الأحوط بلحاظ كلّ من الشهرة و العموم،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عدم الفرق بين الخطأ المحض و الشبيه بالعمد هنا فالمدار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القتل العمدىّ لا فرق فيه بين المباشرة و التسبيب المصحّح لإسناد القتل إلى السبب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للمقتول وارث سوى القاتل فالإرث للإمام</w:t>
      </w:r>
      <w:r>
        <w:rPr>
          <w:rFonts w:eastAsia="Amiri" w:cs="Amiri" w:ascii="Amiri" w:hAnsi="Amiri"/>
          <w:color w:val="111111"/>
          <w:sz w:val="28"/>
          <w:szCs w:val="28"/>
          <w:rtl w:val="true"/>
          <w:lang w:bidi="ar-SA"/>
        </w:rPr>
        <w:t xml:space="preserve">. </w:t>
      </w:r>
      <w:bookmarkStart w:id="912" w:name="pg10275_96458"/>
    </w:p>
    <w:p>
      <w:pPr>
        <w:pStyle w:val="Heading5"/>
        <w:numPr>
          <w:ilvl w:val="4"/>
          <w:numId w:val="1"/>
        </w:numPr>
        <w:rPr/>
      </w:pPr>
      <w:bookmarkStart w:id="913" w:name="__RefHeading___Toc3971743_1067777946"/>
      <w:bookmarkStart w:id="914" w:name="_Toc379"/>
      <w:bookmarkEnd w:id="912"/>
      <w:bookmarkEnd w:id="913"/>
      <w:r>
        <w:rPr>
          <w:rtl w:val="true"/>
        </w:rPr>
        <w:t>الدية حكمها حكم التركة</w:t>
      </w:r>
      <w:bookmarkEnd w:id="914"/>
    </w:p>
    <w:p>
      <w:pPr>
        <w:pStyle w:val="BookText"/>
        <w:rPr/>
      </w:pPr>
      <w:r>
        <w:rPr>
          <w:rFonts w:ascii="Amiri" w:hAnsi="Amiri" w:eastAsia="Amiri" w:cs="Amiri"/>
          <w:color w:val="111111"/>
          <w:sz w:val="28"/>
          <w:sz w:val="28"/>
          <w:szCs w:val="28"/>
          <w:rtl w:val="true"/>
          <w:lang w:bidi="ar-SA"/>
        </w:rPr>
        <w:t xml:space="preserve">الدية كسائر أموال الميّت ينفذ منها ديونه و وصاياه، و الأشهر أنّ المأخوذة في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 عن القصاص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أى كالمستحقّة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للديّان منع الوارث عن القصاص و ليس له القصاص أو الهبة إلّا مع الضمان للغرماء أو لٰا و إنّما لهم استيفاء الدين المأخوذة صلحاً؟ قولان قال بكلٍ جماعة، و الأحوط للغرماء عدم المنع و للوارث عدم تفويت الدين؛ و العمل برضاء الكلّ هو الاحتياط المطلق؛ و حيث إنّ مستند الاوّل عامّ و مستند القول الثانى و العمل محقّق في الكلّ فالثانى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 الدية كلّ مناسب و مسابب حتّى من ليس له القصاص، و في المترقّب بالأمّ قولان أقواٰهما عدم الإرث</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971745_1067777946"/>
      <w:bookmarkStart w:id="916" w:name="_Toc380"/>
      <w:bookmarkEnd w:id="915"/>
      <w:r>
        <w:rPr>
          <w:rtl w:val="true"/>
        </w:rPr>
        <w:t>الرقّ‌</w:t>
      </w:r>
      <w:bookmarkEnd w:id="9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الرقّ مانع عن الإرث في الوارث و الموروث؛ و لو اجتمع الحرّ مع الرقّ فالمال للحرّ و إن بعُد دون الرقّ و إن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على ميراث قبل قسمته يشاركهم إن كان مساوياً لهم طبقةً و درجةً و حاز الجميع إذا كان أولىٰ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الوارث واحداً فأعتق الرقّ لم يرث و إن كان أقرب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قسّم بعض التركة دون بعضها لحق كلّ قسم منها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للميّت وارث ممن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المملوك أجبر مولاه على أخذ قيمته من التركة فيعتق ليحوز المال، بلا فرق بين القنّ و المكاتب و المدبّر و اُمّ الولد على الأظهر؛ و المكاتب المطلق إذا أدّىٰ شيئاً و عتق بحسابه فكّ الباقى الغير الوارث لو لا الإعتاق الصادر من الحاكم إن كان أو غيره من العدول إن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قصر المال عن قيمة المملوك، فالأشهر أنّه لا يفكّ‌، و الأحوط للمالك فكّ ما وفىٰ به المال بحسابه و استسعائه في الباقى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يفكّ الأبوان للميت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يفكّ الأولاد بل مطلق ذى القرابة بل الزوجين، </w:t>
      </w:r>
    </w:p>
    <w:p>
      <w:pPr>
        <w:pStyle w:val="BookText"/>
        <w:rPr/>
      </w:pPr>
      <w:r>
        <w:rPr>
          <w:rFonts w:ascii="Amiri" w:hAnsi="Amiri" w:eastAsia="Amiri" w:cs="Amiri"/>
          <w:color w:val="111111"/>
          <w:sz w:val="28"/>
          <w:sz w:val="28"/>
          <w:szCs w:val="28"/>
          <w:rtl w:val="true"/>
          <w:lang w:bidi="ar-SA"/>
        </w:rPr>
        <w:t>و هو محلّ التأمل في الزوجين و إن كان لا يخلو عن وجه في ذوى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المدبّر و لا اُمّ الولد و لا المكاتب المشروط أو المطلق الذي لم يؤدّ شيئاً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تحرّر بعضه يرث بما فيه من الحرّية و يمنع بقدر ما فيه من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فروع ذلك مذكورة في كتب الفقه لم نتعرّض لها لندرة الابتلاء بها</w:t>
      </w:r>
      <w:r>
        <w:rPr>
          <w:rFonts w:eastAsia="Amiri" w:cs="Amiri" w:ascii="Amiri" w:hAnsi="Amiri"/>
          <w:color w:val="111111"/>
          <w:sz w:val="28"/>
          <w:szCs w:val="28"/>
          <w:rtl w:val="true"/>
          <w:lang w:bidi="ar-SA"/>
        </w:rPr>
        <w:t xml:space="preserve">. </w:t>
      </w:r>
      <w:bookmarkStart w:id="917" w:name="pg10275_96460"/>
    </w:p>
    <w:p>
      <w:pPr>
        <w:pStyle w:val="Heading3"/>
        <w:numPr>
          <w:ilvl w:val="2"/>
          <w:numId w:val="1"/>
        </w:numPr>
        <w:rPr/>
      </w:pPr>
      <w:bookmarkStart w:id="918" w:name="__RefHeading___Toc3971747_1067777946"/>
      <w:bookmarkStart w:id="919" w:name="_Toc381"/>
      <w:bookmarkEnd w:id="917"/>
      <w:bookmarkEnd w:id="918"/>
      <w:r>
        <w:rPr>
          <w:rtl w:val="true"/>
        </w:rPr>
        <w:t>الفصل الثالث في بيان السهام المقدّرة في كتاب اللّٰه و بيان أهلها</w:t>
      </w:r>
      <w:bookmarkEnd w:id="919"/>
    </w:p>
    <w:p>
      <w:pPr>
        <w:pStyle w:val="Heading4"/>
        <w:numPr>
          <w:ilvl w:val="3"/>
          <w:numId w:val="1"/>
        </w:numPr>
        <w:rPr/>
      </w:pPr>
      <w:bookmarkStart w:id="920" w:name="__RefHeading___Toc3971749_1067777946"/>
      <w:bookmarkStart w:id="921" w:name="_Toc382"/>
      <w:bookmarkEnd w:id="920"/>
      <w:r>
        <w:rPr>
          <w:rtl w:val="true"/>
        </w:rPr>
        <w:t>اشاره</w:t>
      </w:r>
      <w:bookmarkEnd w:id="921"/>
    </w:p>
    <w:p>
      <w:pPr>
        <w:pStyle w:val="BookText"/>
        <w:rPr/>
      </w:pPr>
      <w:r>
        <w:rPr>
          <w:rFonts w:ascii="Amiri" w:hAnsi="Amiri" w:eastAsia="Amiri" w:cs="Amiri"/>
          <w:color w:val="111111"/>
          <w:sz w:val="28"/>
          <w:sz w:val="28"/>
          <w:szCs w:val="28"/>
          <w:rtl w:val="true"/>
          <w:lang w:bidi="ar-SA"/>
        </w:rPr>
        <w:t>و هى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الربع و الثُمن و الثلثان و الثلث و السدس؛ و يجمعها الربع و الثلث و ضِعف كل و نصفه</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3971751_1067777946"/>
      <w:bookmarkStart w:id="923" w:name="_Toc383"/>
      <w:bookmarkEnd w:id="922"/>
      <w:r>
        <w:rPr>
          <w:rtl w:val="true"/>
        </w:rPr>
        <w:t>النصف</w:t>
      </w:r>
      <w:bookmarkEnd w:id="923"/>
    </w:p>
    <w:p>
      <w:pPr>
        <w:pStyle w:val="BookText"/>
        <w:rPr/>
      </w:pPr>
      <w:r>
        <w:rPr>
          <w:rFonts w:ascii="Amiri" w:hAnsi="Amiri" w:eastAsia="Amiri" w:cs="Amiri"/>
          <w:color w:val="111111"/>
          <w:sz w:val="28"/>
          <w:sz w:val="28"/>
          <w:szCs w:val="28"/>
          <w:rtl w:val="true"/>
          <w:lang w:bidi="ar-SA"/>
        </w:rPr>
        <w:t>فالنصف 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عدم الولد للزوجة و إن نزل، منه أو من غيره؛ و للبنت الواحدة؛ و الاُخت للأبوين؛ أو للأب مع عدم الاُخت للأبوين، و عدم الذكران في الموضعين</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3971753_1067777946"/>
      <w:bookmarkStart w:id="925" w:name="_Toc384"/>
      <w:bookmarkEnd w:id="924"/>
      <w:r>
        <w:rPr>
          <w:rtl w:val="true"/>
        </w:rPr>
        <w:t>الربع</w:t>
      </w:r>
      <w:bookmarkEnd w:id="925"/>
    </w:p>
    <w:p>
      <w:pPr>
        <w:pStyle w:val="BookText"/>
        <w:rPr/>
      </w:pPr>
      <w:r>
        <w:rPr>
          <w:rFonts w:ascii="Amiri" w:hAnsi="Amiri" w:eastAsia="Amiri" w:cs="Amiri"/>
          <w:color w:val="111111"/>
          <w:sz w:val="28"/>
          <w:sz w:val="28"/>
          <w:szCs w:val="28"/>
          <w:rtl w:val="true"/>
          <w:lang w:bidi="ar-SA"/>
        </w:rPr>
        <w:t>و الربع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الولد للزوجة و لو من غيره أو نازلاً، و الزوجة مع عدم الولد للزوج و لو من غيرها أو نازلاً</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3971755_1067777946"/>
      <w:bookmarkStart w:id="927" w:name="_Toc385"/>
      <w:bookmarkEnd w:id="926"/>
      <w:r>
        <w:rPr>
          <w:rtl w:val="true"/>
        </w:rPr>
        <w:t>الثمن</w:t>
      </w:r>
      <w:bookmarkEnd w:id="927"/>
    </w:p>
    <w:p>
      <w:pPr>
        <w:pStyle w:val="BookText"/>
        <w:rPr/>
      </w:pPr>
      <w:r>
        <w:rPr>
          <w:rFonts w:ascii="Amiri" w:hAnsi="Amiri" w:eastAsia="Amiri" w:cs="Amiri"/>
          <w:color w:val="111111"/>
          <w:sz w:val="28"/>
          <w:sz w:val="28"/>
          <w:szCs w:val="28"/>
          <w:rtl w:val="true"/>
          <w:lang w:bidi="ar-SA"/>
        </w:rPr>
        <w:t>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مع الولد لزوجها و لو من غيرها او نازلاً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فرض الزوجة في الموردين بين الواحدة و المتعدّدة، فيقسّم المفروض من الربع او الثُمن بين المتعدّدة بالسوية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ينفى الخلاف في تصوّر الاقتسام أثماناً في طلاق المريض للأربع طلاقاً بائناً و تزوّج بأربع غيرهنّ من قبل خروجهنّ من عدّتهنّ و دخل بمن تزوّجهنّ أخيراً ثمّ‌ </w:t>
      </w:r>
      <w:bookmarkStart w:id="928" w:name="pg10275_96461"/>
    </w:p>
    <w:p>
      <w:pPr>
        <w:pStyle w:val="BookText"/>
        <w:rPr/>
      </w:pPr>
      <w:bookmarkEnd w:id="928"/>
      <w:r>
        <w:rPr>
          <w:rFonts w:ascii="Amiri" w:hAnsi="Amiri" w:eastAsia="Amiri" w:cs="Amiri"/>
          <w:color w:val="111111"/>
          <w:sz w:val="28"/>
          <w:sz w:val="28"/>
          <w:szCs w:val="28"/>
          <w:rtl w:val="true"/>
          <w:lang w:bidi="ar-SA"/>
        </w:rPr>
        <w:t>مات قبل برئه من مرضه الذي طلّق الأربع فيه قبل سنة من طلاقه لهنّ و تزويجهنّ‌، فإنّ الثمان نسوة يرثن الثمن مع عدم الولد و الربع مع الولد</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3971757_1067777946"/>
      <w:bookmarkStart w:id="930" w:name="_Toc386"/>
      <w:bookmarkEnd w:id="929"/>
      <w:r>
        <w:rPr>
          <w:rtl w:val="true"/>
        </w:rPr>
        <w:t>الثلثان</w:t>
      </w:r>
      <w:bookmarkEnd w:id="930"/>
    </w:p>
    <w:p>
      <w:pPr>
        <w:pStyle w:val="BookText"/>
        <w:rPr/>
      </w:pPr>
      <w:r>
        <w:rPr>
          <w:rFonts w:ascii="Amiri" w:hAnsi="Amiri" w:eastAsia="Amiri" w:cs="Amiri"/>
          <w:color w:val="111111"/>
          <w:sz w:val="28"/>
          <w:sz w:val="28"/>
          <w:szCs w:val="28"/>
          <w:rtl w:val="true"/>
          <w:lang w:bidi="ar-SA"/>
        </w:rPr>
        <w:t>و الثلثان 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فصاعداً؛ و للاُختين فصاعداً للأب و الاُمّ‌؛ أو للأب خاصّة مع عدم الاُخت للأبوين، و مع عدم الذكور في الموردين</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3971759_1067777946"/>
      <w:bookmarkStart w:id="932" w:name="_Toc387"/>
      <w:bookmarkEnd w:id="931"/>
      <w:r>
        <w:rPr>
          <w:rtl w:val="true"/>
        </w:rPr>
        <w:t>الثلث</w:t>
      </w:r>
      <w:bookmarkEnd w:id="932"/>
    </w:p>
    <w:p>
      <w:pPr>
        <w:pStyle w:val="BookText"/>
        <w:rPr/>
      </w:pPr>
      <w:r>
        <w:rPr>
          <w:rFonts w:ascii="Amiri" w:hAnsi="Amiri" w:eastAsia="Amiri" w:cs="Amiri"/>
          <w:color w:val="111111"/>
          <w:sz w:val="28"/>
          <w:sz w:val="28"/>
          <w:szCs w:val="28"/>
          <w:rtl w:val="true"/>
          <w:lang w:bidi="ar-SA"/>
        </w:rPr>
        <w:t>و الثلث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مع عدم من يحجبها من ولد الميّت و إن نزل أو اخوته؛ و للاثنين فصاعداً من ولد الاُمّ خاصّة، ذكوراً كانوا أو إناثاً أو مختلفين</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3971761_1067777946"/>
      <w:bookmarkStart w:id="934" w:name="_Toc388"/>
      <w:bookmarkEnd w:id="933"/>
      <w:r>
        <w:rPr>
          <w:rtl w:val="true"/>
        </w:rPr>
        <w:t>السدس</w:t>
      </w:r>
      <w:bookmarkEnd w:id="934"/>
    </w:p>
    <w:p>
      <w:pPr>
        <w:pStyle w:val="BookText"/>
        <w:rPr/>
      </w:pPr>
      <w:r>
        <w:rPr>
          <w:rFonts w:ascii="Amiri" w:hAnsi="Amiri" w:eastAsia="Amiri" w:cs="Amiri"/>
          <w:color w:val="111111"/>
          <w:sz w:val="28"/>
          <w:sz w:val="28"/>
          <w:szCs w:val="28"/>
          <w:rtl w:val="true"/>
          <w:lang w:bidi="ar-SA"/>
        </w:rPr>
        <w:t>و السدس 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الأبوين مع ولد الميّت و إن نزل؛ و للاُمّ مع وجود من يحجبها عن الزائد عن السّدس من ولد الميّت أو إخوته؛ و للواحد من كلالة الاُمّ ذكراً كان أو اُنثى</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3971763_1067777946"/>
      <w:bookmarkStart w:id="936" w:name="_Toc389"/>
      <w:bookmarkEnd w:id="935"/>
      <w:r>
        <w:rPr>
          <w:rtl w:val="true"/>
        </w:rPr>
        <w:t>اجتماع بعض السهام مع بعض و عدم اجتماعها</w:t>
      </w:r>
      <w:bookmarkEnd w:id="936"/>
    </w:p>
    <w:p>
      <w:pPr>
        <w:pStyle w:val="BookText"/>
        <w:rPr/>
      </w:pPr>
      <w:r>
        <w:rPr>
          <w:rFonts w:ascii="Amiri" w:hAnsi="Amiri" w:eastAsia="Amiri" w:cs="Amiri"/>
          <w:color w:val="111111"/>
          <w:sz w:val="28"/>
          <w:sz w:val="28"/>
          <w:szCs w:val="28"/>
          <w:rtl w:val="true"/>
          <w:lang w:bidi="ar-SA"/>
        </w:rPr>
        <w:t>فالنصف يجتمع مع مثله كزوج و اُخت للأبوين أو للأب مع عدم الاُخت للأبوين، و مع عدم الذكر في الموردين؛ و مع الربع كزوجة و اُخت كما مرّ، و كزوج و بنت واحدة؛ و مع الثُمن كزوجة و بنت واحدة؛ و مع الثلث كزوج و اُمّ مع عدم الحاجب، و كلالة الاُمّ المتعدّدة مع اُخت لأب و اُمّ أو لأب خاصّة مع عدم الاُخت للأبوين و مع عدم ذكر؛ و مع السدس كزوج و واحدة من كلالة الاُمّ‌، و كبنت مع أحد الأبوين، و كاُخت لأب و اُمّ او لأب خاصّة كما مرّ مع واحد من كلالة الاُمّ‌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يجتمع الربع مع مثله و لا مع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يجتمع الربع مع الثلثين كزوج و ابنتين، و كزوجة و اُختين للأبوين أو للأب خاصّة كما مرّ؛ و مع الثلث كزوجة و أُمّ مع عدم </w:t>
      </w:r>
      <w:bookmarkStart w:id="937" w:name="pg10275_96462"/>
    </w:p>
    <w:p>
      <w:pPr>
        <w:pStyle w:val="BookText"/>
        <w:rPr/>
      </w:pPr>
      <w:bookmarkEnd w:id="937"/>
      <w:r>
        <w:rPr>
          <w:rFonts w:ascii="Amiri" w:hAnsi="Amiri" w:eastAsia="Amiri" w:cs="Amiri"/>
          <w:color w:val="111111"/>
          <w:sz w:val="28"/>
          <w:sz w:val="28"/>
          <w:szCs w:val="28"/>
          <w:rtl w:val="true"/>
          <w:lang w:bidi="ar-SA"/>
        </w:rPr>
        <w:t>الحاجب، و كزوجة مع المتعدّدة من كلالة الاُمّ‌؛ و مع السدس كزوجة و واحدة من كلالة الاُمّ‌، و كزوج و أحد الابوين مع ابن، أو بنت فإنّ الزيادة بالردّ لا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الثُمن مع الثلثين كزوجة و ابنتين؛ و مع السدس كزوجة و أحد الأبوين مع ابن أو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الثلثان مع الثلث كإخوة لاُمّ مع اُختين فصاعداً لأب؛ و لا يجتمعان مع مثلهما؛ و يجتمعان مع السدس كبنتين و أحد الأبوين، و كاُختين لأب مع واحد من كلالة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السدس مع السدس كأبوين مع الولد مطلقاً، و إن كان بنتاً و إن كان يجتمع حينئذٍ فروض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يجتمع الثُمن مع مثله و لا مع الثلث؛ و لا الثلث مع مثله و لا مع السدس تسمية</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971765_1067777946"/>
      <w:bookmarkStart w:id="939" w:name="_Toc390"/>
      <w:bookmarkEnd w:id="938"/>
      <w:r>
        <w:rPr>
          <w:rtl w:val="true"/>
        </w:rPr>
        <w:t>مسئلتان</w:t>
      </w:r>
      <w:bookmarkEnd w:id="939"/>
    </w:p>
    <w:p>
      <w:pPr>
        <w:pStyle w:val="Heading5"/>
        <w:numPr>
          <w:ilvl w:val="4"/>
          <w:numId w:val="1"/>
        </w:numPr>
        <w:rPr/>
      </w:pPr>
      <w:bookmarkStart w:id="940" w:name="__RefHeading___Toc3971767_1067777946"/>
      <w:bookmarkStart w:id="941" w:name="_Toc391"/>
      <w:bookmarkEnd w:id="940"/>
      <w:r>
        <w:rPr>
          <w:rtl w:val="true"/>
        </w:rPr>
        <w:t>بطلان التعصيب</w:t>
      </w:r>
      <w:bookmarkEnd w:id="941"/>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التعصيب باطل، و فاضل التركة يردّ على ذوى السّهام، عدا من يأتى ذكره إن شاء اللّٰه تعالى كالزوج و الزوجة و الاُمّ مع الحاجب عن الفرض و الردّ</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3971769_1067777946"/>
      <w:bookmarkStart w:id="943" w:name="_Toc392"/>
      <w:bookmarkEnd w:id="942"/>
      <w:r>
        <w:rPr>
          <w:rtl w:val="true"/>
        </w:rPr>
        <w:t>بطلان العول</w:t>
      </w:r>
      <w:bookmarkEnd w:id="94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عول في الفرائض بل يدخل النقص على البنت أو البنتين أو الأب أو من يتقرّب به على ما سيأتى إن شاء اللّٰه تعالى</w:t>
      </w:r>
      <w:r>
        <w:rPr>
          <w:rFonts w:eastAsia="Amiri" w:cs="Amiri" w:ascii="Amiri" w:hAnsi="Amiri"/>
          <w:color w:val="111111"/>
          <w:sz w:val="28"/>
          <w:szCs w:val="28"/>
          <w:rtl w:val="true"/>
          <w:lang w:bidi="ar-SA"/>
        </w:rPr>
        <w:t xml:space="preserve">. </w:t>
      </w:r>
      <w:bookmarkStart w:id="944" w:name="pg10275_96463"/>
    </w:p>
    <w:p>
      <w:pPr>
        <w:pStyle w:val="Heading3"/>
        <w:numPr>
          <w:ilvl w:val="2"/>
          <w:numId w:val="1"/>
        </w:numPr>
        <w:rPr/>
      </w:pPr>
      <w:bookmarkStart w:id="945" w:name="__RefHeading___Toc3971771_1067777946"/>
      <w:bookmarkStart w:id="946" w:name="_Toc393"/>
      <w:bookmarkEnd w:id="944"/>
      <w:bookmarkEnd w:id="945"/>
      <w:r>
        <w:rPr>
          <w:rtl w:val="true"/>
        </w:rPr>
        <w:t>الفصل الرابع في ميراث الانساب</w:t>
      </w:r>
      <w:bookmarkEnd w:id="946"/>
    </w:p>
    <w:p>
      <w:pPr>
        <w:pStyle w:val="Heading4"/>
        <w:numPr>
          <w:ilvl w:val="3"/>
          <w:numId w:val="1"/>
        </w:numPr>
        <w:rPr/>
      </w:pPr>
      <w:bookmarkStart w:id="947" w:name="__RefHeading___Toc3971773_1067777946"/>
      <w:bookmarkStart w:id="948" w:name="_Toc394"/>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مراتبهم ثلاث</w:t>
      </w:r>
      <w:r>
        <w:rPr>
          <w:rFonts w:eastAsia="IRNazanin" w:cs="IRNazanin"/>
          <w:color w:val="111111"/>
          <w:sz w:val="28"/>
          <w:szCs w:val="28"/>
          <w:rtl w:val="true"/>
          <w:lang w:bidi="fa-IR"/>
        </w:rPr>
        <w:t>:</w:t>
      </w:r>
    </w:p>
    <w:p>
      <w:pPr>
        <w:pStyle w:val="Heading4"/>
        <w:numPr>
          <w:ilvl w:val="3"/>
          <w:numId w:val="1"/>
        </w:numPr>
        <w:rPr/>
      </w:pPr>
      <w:bookmarkStart w:id="949" w:name="__RefHeading___Toc3971775_1067777946"/>
      <w:bookmarkStart w:id="950" w:name="_Toc395"/>
      <w:bookmarkEnd w:id="949"/>
      <w:r>
        <w:rPr>
          <w:rtl w:val="true"/>
        </w:rPr>
        <w:t>المرتبة الاُولىٰ‌</w:t>
      </w:r>
      <w:r>
        <w:rPr>
          <w:rtl w:val="true"/>
        </w:rPr>
        <w:t xml:space="preserve">: </w:t>
      </w:r>
      <w:r>
        <w:rPr>
          <w:rtl w:val="true"/>
        </w:rPr>
        <w:t>الآباء و الأولاد</w:t>
      </w:r>
      <w:bookmarkEnd w:id="950"/>
    </w:p>
    <w:p>
      <w:pPr>
        <w:pStyle w:val="Heading5"/>
        <w:numPr>
          <w:ilvl w:val="4"/>
          <w:numId w:val="1"/>
        </w:numPr>
        <w:rPr/>
      </w:pPr>
      <w:bookmarkStart w:id="951" w:name="__RefHeading___Toc3971777_1067777946"/>
      <w:bookmarkStart w:id="952" w:name="_Toc396"/>
      <w:bookmarkEnd w:id="951"/>
      <w:r>
        <w:rPr>
          <w:rtl w:val="true"/>
        </w:rPr>
        <w:t>انفراد الأب</w:t>
      </w:r>
      <w:bookmarkEnd w:id="952"/>
    </w:p>
    <w:p>
      <w:pPr>
        <w:pStyle w:val="BookText"/>
        <w:rPr/>
      </w:pPr>
      <w:r>
        <w:rPr>
          <w:rFonts w:ascii="Amiri" w:hAnsi="Amiri" w:eastAsia="Amiri" w:cs="Amiri"/>
          <w:color w:val="111111"/>
          <w:sz w:val="28"/>
          <w:sz w:val="28"/>
          <w:szCs w:val="28"/>
          <w:rtl w:val="true"/>
          <w:lang w:bidi="ar-SA"/>
        </w:rPr>
        <w:t>فالأب يرث المال كلّه إذا انفرد عمّن في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الاُمّ لكنّها ترث الثلث فرضاً و الباقى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اجتمعا فللاُمّ الثلث بالفرض مع عدم الحاجب و الباقى للأب بالقرابة؛ و لو كان للميّت إخوة كان لها السدس بالفرض و الباقى للأب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اجتمعا و شاركهما زوج أو زوجة فللزوج النصف و للزوجة الربع و للاُمّ ثلث الأصل إذا لم يكن حاجب كما مرّ و الباقى للأب بالقرابة، و لو كان لها حاجب كان لها السدس فرضاً و الباقى للأب بالقرابة</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971779_1067777946"/>
      <w:bookmarkStart w:id="954" w:name="_Toc397"/>
      <w:bookmarkEnd w:id="953"/>
      <w:r>
        <w:rPr>
          <w:rtl w:val="true"/>
        </w:rPr>
        <w:t>انفراد الابن</w:t>
      </w:r>
      <w:bookmarkEnd w:id="954"/>
    </w:p>
    <w:p>
      <w:pPr>
        <w:pStyle w:val="BookText"/>
        <w:rPr/>
      </w:pPr>
      <w:r>
        <w:rPr>
          <w:rFonts w:ascii="Amiri" w:hAnsi="Amiri" w:eastAsia="Amiri" w:cs="Amiri"/>
          <w:color w:val="111111"/>
          <w:sz w:val="28"/>
          <w:sz w:val="28"/>
          <w:szCs w:val="28"/>
          <w:rtl w:val="true"/>
          <w:lang w:bidi="ar-SA"/>
        </w:rPr>
        <w:t>و لو انفرد الابن عن شريكه في مرتبته فله المال كلّه؛ و لو كانوا أكثر اشتركوا فيه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البنت أو البنات لو انفردت، لكن يرثن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النصف أو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و الباقى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ذكورا و اُناثا فللذكر سهمان و للاُنثى سهم</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3971781_1067777946"/>
      <w:bookmarkStart w:id="956" w:name="_Toc398"/>
      <w:bookmarkEnd w:id="955"/>
      <w:r>
        <w:rPr>
          <w:rtl w:val="true"/>
        </w:rPr>
        <w:t>اجتماع الأبوان مع الأولاد</w:t>
      </w:r>
      <w:bookmarkEnd w:id="95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اجتمع الأبوان مع الأولاد فلهما السدسان بالسويّة فرضاً، و الباقى للأولاد قرابةً‌، </w:t>
      </w:r>
      <w:bookmarkStart w:id="957" w:name="pg10275_96464"/>
    </w:p>
    <w:p>
      <w:pPr>
        <w:pStyle w:val="BookText"/>
        <w:rPr/>
      </w:pPr>
      <w:bookmarkEnd w:id="957"/>
      <w:r>
        <w:rPr>
          <w:rFonts w:ascii="Amiri" w:hAnsi="Amiri" w:eastAsia="Amiri" w:cs="Amiri"/>
          <w:color w:val="111111"/>
          <w:sz w:val="28"/>
          <w:sz w:val="28"/>
          <w:szCs w:val="28"/>
          <w:rtl w:val="true"/>
          <w:lang w:bidi="ar-SA"/>
        </w:rPr>
        <w:t>تساووا في الذكورة و الاُنوثة أو اختلفوا، فمع الاختلاف يرثون بالتفاضل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الولد بنتاً فلها النصف تسميةً و للأبوين السدسان كذلك و الباقى يردّ عليهم أخماسا على نسبة الفريضة المسمّاة، و الفريضة حينئذٍ من ثلاثين؛ و لو كان من يحجب الاُمّ من الاخوة ردّ على الأب و البنت فقط أرباعاً، و الفريضة حينئذٍ من أربعة و عشرين، و إن كان للتأمّل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الأبوين بنتان فصاعداً فللأبوين السدسان و للبنتين أو البنات الثلثان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معهما أو معهنّ أحد الأبوين خاصّة كان له السدس و لهنّ الثلثان و الباقى يردّ عليهم أخماساً مع عدم الحاجب للاُمّ‌، كما مرّ من التأمّل في صورة وجود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البنت أو البنتين فصاعداً و الأبوين زوج أو زوجة كان للزوج الربع مطلقاً و للزوجة الثُمن كذلك و للأبوين السدسان و لأحدهما إذا انفرد السدس، و الباقى للبنت أو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يفضل عمّا هو الفريضة في فروض ما ذكرناه يردّ على البنت أو البنات و الأبوين أو احدهما أخماساً أو أرباعاً به حسب كون سهام ذوى الفروض خمسة او اربعة؛ و لو كان من يحجب الاُمّ ردّ على البنت و الأب أرباعاً و على البنتين و الأب أخماساً و لا يردّ على الاُمّ كما مرّ و سبق التأمّل فيه</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3971783_1067777946"/>
      <w:bookmarkStart w:id="959" w:name="_Toc399"/>
      <w:bookmarkEnd w:id="958"/>
      <w:r>
        <w:rPr>
          <w:rtl w:val="true"/>
        </w:rPr>
        <w:t>مسائل</w:t>
      </w:r>
      <w:bookmarkEnd w:id="959"/>
    </w:p>
    <w:p>
      <w:pPr>
        <w:pStyle w:val="Heading6"/>
        <w:numPr>
          <w:ilvl w:val="5"/>
          <w:numId w:val="1"/>
        </w:numPr>
        <w:rPr/>
      </w:pPr>
      <w:bookmarkStart w:id="960" w:name="__RefHeading___Toc3971785_1067777946"/>
      <w:bookmarkStart w:id="961" w:name="_Toc400"/>
      <w:bookmarkEnd w:id="960"/>
      <w:r>
        <w:rPr>
          <w:rtl w:val="true"/>
        </w:rPr>
        <w:t>أولاد الأولاد يقومون مقام آبائهم و امّهاتهم</w:t>
      </w:r>
      <w:bookmarkEnd w:id="9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يقومون مقام آبائهم و اُمّهاتهم عند عدمهم و عدم الأقرب الحاجب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كلّ فريق منهم نصيب من يتقرّب به، فلأولاد الابن الثلثان و لأولاد البنت الثلث يقتسمونه بينهم للذكر مثل حظّ الاُنثيين، أى يقتسمون إرث الذكر على التفاضل كما يقتسمون إرث الاُنثى على التفاضل لا على السويّة</w:t>
      </w:r>
      <w:r>
        <w:rPr>
          <w:rFonts w:eastAsia="Amiri" w:cs="Amiri" w:ascii="Amiri" w:hAnsi="Amiri"/>
          <w:color w:val="111111"/>
          <w:sz w:val="28"/>
          <w:szCs w:val="28"/>
          <w:rtl w:val="true"/>
          <w:lang w:bidi="ar-SA"/>
        </w:rPr>
        <w:t xml:space="preserve">. </w:t>
      </w:r>
      <w:bookmarkStart w:id="962" w:name="pg10275_96465"/>
    </w:p>
    <w:p>
      <w:pPr>
        <w:pStyle w:val="BookText"/>
        <w:rPr/>
      </w:pPr>
      <w:bookmarkEnd w:id="962"/>
      <w:r>
        <w:rPr>
          <w:rFonts w:ascii="Amiri" w:hAnsi="Amiri" w:eastAsia="Amiri" w:cs="Amiri"/>
          <w:color w:val="111111"/>
          <w:sz w:val="28"/>
          <w:sz w:val="28"/>
          <w:szCs w:val="28"/>
          <w:rtl w:val="true"/>
          <w:lang w:bidi="ar-SA"/>
        </w:rPr>
        <w:t>و يمنع الأقرب منهم إلى الميّت الأبعد لوحدة الصنف فلا يرث ولد ولد ولد الميّت الذكر مع ولد ولد الميّت الاُنثى لقلّة الواسطة في الثانى في صنف الأولاد، كما لا يرث ولد ولد الميّت الذكر مع ولد الميت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ولد البنت ذكراً كان أو اُنثى كما يردّ على البنت خلافاً للمرتضى و الحلّى و معين الدين المصرىّ فلا يردّ إلّا على الاُنثى لأنّهم لا يرثون عندهم إلّا بما أنّهم ولد الميّت حقيقة بلا ملاحظة من يتقرّبون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يشاركون الأبوين و إن كثرت وسائطهم، و لا تمنع الأقربيّة مع تعدّد الصنف</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3971787_1067777946"/>
      <w:bookmarkStart w:id="964" w:name="_Toc401"/>
      <w:bookmarkEnd w:id="963"/>
      <w:r>
        <w:rPr>
          <w:rtl w:val="true"/>
        </w:rPr>
        <w:t>ما يحبى به الولد الأكبر</w:t>
      </w:r>
      <w:bookmarkEnd w:id="96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يحبى الولد الاكبر الذّكر بثياب بدن الميّت و خاتمه و سيفه و مصحفه مع معرضيّتها لانتفاعه المصحّحة للإضافة دون مجرّد الملك فيما خلّف الميّت غيرها على المشهور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الأكبر بنتاً أخذه الأكبر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تعدّدوا و لم يختلفوا بساعة مثلاً قسّمت بينهم بالسويّة إن صحّ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يقضى عنه ما ترك من صلاة 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أنّ حكم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مستغرقاً كان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الحبوة، كحكمه مع الميراث، فعلى المحبوّ فكّ الدَّين فيما قابل الحبوة كما على الورثة فكّه فيما قابل الميراث</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3971789_1067777946"/>
      <w:bookmarkStart w:id="966" w:name="_Toc402"/>
      <w:bookmarkEnd w:id="965"/>
      <w:r>
        <w:rPr>
          <w:rtl w:val="true"/>
        </w:rPr>
        <w:t>لا يرث الجدّ و الجدّة مع أحد الأبوين</w:t>
      </w:r>
      <w:bookmarkEnd w:id="96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مع الأبوين و لا مع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لٰا جدة و لا أحد من ذوى القرابة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لكلّ من الأبوين إطعام السدس لأبوى المطعم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انفراد أو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زاد نصيب المطعم على السدس كما عن المشهور؛ و لكلّ من الأبوين حكم نفسه الاستحبابى؛ و لا طعمة للأعلى أو العليا مع وجود من يتقرّب به</w:t>
      </w:r>
      <w:r>
        <w:rPr>
          <w:rFonts w:eastAsia="Amiri" w:cs="Amiri" w:ascii="Amiri" w:hAnsi="Amiri"/>
          <w:color w:val="111111"/>
          <w:sz w:val="28"/>
          <w:szCs w:val="28"/>
          <w:rtl w:val="true"/>
          <w:lang w:bidi="ar-SA"/>
        </w:rPr>
        <w:t xml:space="preserve">. </w:t>
      </w:r>
      <w:bookmarkStart w:id="967" w:name="pg10275_96466"/>
    </w:p>
    <w:p>
      <w:pPr>
        <w:pStyle w:val="Heading6"/>
        <w:numPr>
          <w:ilvl w:val="5"/>
          <w:numId w:val="1"/>
        </w:numPr>
        <w:rPr/>
      </w:pPr>
      <w:bookmarkStart w:id="968" w:name="__RefHeading___Toc3971791_1067777946"/>
      <w:bookmarkStart w:id="969" w:name="_Toc403"/>
      <w:bookmarkEnd w:id="967"/>
      <w:bookmarkEnd w:id="968"/>
      <w:r>
        <w:rPr>
          <w:rtl w:val="true"/>
        </w:rPr>
        <w:t>الوالد الحاجب يشمل ولد الولد و إن نزل</w:t>
      </w:r>
      <w:bookmarkEnd w:id="969"/>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الحاجب لكلّ من الاُمّ و الزوجين عن كمال نصيبه يشمل ولد الولد و 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حجب غير الوارث كالرقيق تأمّل</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3971793_1067777946"/>
      <w:bookmarkStart w:id="971" w:name="_Toc404"/>
      <w:bookmarkEnd w:id="970"/>
      <w:r>
        <w:rPr>
          <w:rtl w:val="true"/>
        </w:rPr>
        <w:t>لا يحجب الإخوة للأمّ الّا بشروط</w:t>
      </w:r>
      <w:bookmarkEnd w:id="971"/>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الإخوة الاُمّ عن كمال نصيبها إلّا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أخوين أو أخاً و اُختين أو أربع أخوات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للأبوين أو للأب لٰا للاُمّ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غير كفرة و لا أرقّاء مع كون الاُمّ مسلمة حرّة؛ و في حجب الاخوة القتلة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منفصلين بالولادة لا حملاً عند وفاة المورّث؛ و أحياء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اشتراط المغايرة بين الحاجب و المحجوب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حجب مع الاتحاد و لو بوطى الشبهة و مثله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اشتراط عدم الانتفاء بالملاعنة في إخوة الأب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يحجب الامّ أولاد الإخوة</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3971795_1067777946"/>
      <w:bookmarkStart w:id="973" w:name="_Toc405"/>
      <w:bookmarkEnd w:id="972"/>
      <w:r>
        <w:rPr>
          <w:rtl w:val="true"/>
        </w:rPr>
        <w:t>المرتبة الثانية</w:t>
      </w:r>
      <w:r>
        <w:rPr>
          <w:rtl w:val="true"/>
        </w:rPr>
        <w:t xml:space="preserve">: </w:t>
      </w:r>
      <w:r>
        <w:rPr>
          <w:rtl w:val="true"/>
        </w:rPr>
        <w:t>الإخوة مطلقاً و الأجداد</w:t>
      </w:r>
      <w:bookmarkEnd w:id="973"/>
    </w:p>
    <w:p>
      <w:pPr>
        <w:pStyle w:val="Heading5"/>
        <w:numPr>
          <w:ilvl w:val="4"/>
          <w:numId w:val="1"/>
        </w:numPr>
        <w:rPr/>
      </w:pPr>
      <w:bookmarkStart w:id="974" w:name="__RefHeading___Toc3971797_1067777946"/>
      <w:bookmarkStart w:id="975" w:name="_Toc406"/>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إذا لم يكن للميّت أحد الأبوين و لا ولد و إن نزلوا أو كانوا ممنوعين من الإرث، فالميراث للإخوة و أولادهم و إن نزلوا مرتّبين، و الأجداد و إن علوا مرتّبين، مع الانفراد و الاجتماع، للأبوين أو أحدهما،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 الواحد للأبوين يرث المال كلّه؛ و كذا الإخوة المتعدّدون لهما؛ و الاُخت كذلك واحدة كانت أو متعددة لهما، إلّا أنّ الواحدة ترث النصف تسمية و الباقي ردّاً؛ و الاُختان فصاعداً لهما فالثلثان لهما تسمية و الباقي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الاخوة و الأخوات لهما فالمال بينهم للذكر سهمان و للأنثى سهم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للواحد من ولد الامّ ذكراً كان أو اُنثى السّدس بالتسمية مطلقاً و الباقي إذا انفرد </w:t>
      </w:r>
      <w:bookmarkStart w:id="976" w:name="pg10275_96467"/>
    </w:p>
    <w:p>
      <w:pPr>
        <w:pStyle w:val="BookText"/>
        <w:rPr/>
      </w:pPr>
      <w:bookmarkEnd w:id="976"/>
      <w:r>
        <w:rPr>
          <w:rFonts w:ascii="Amiri" w:hAnsi="Amiri" w:eastAsia="Amiri" w:cs="Amiri"/>
          <w:color w:val="111111"/>
          <w:sz w:val="28"/>
          <w:sz w:val="28"/>
          <w:szCs w:val="28"/>
          <w:rtl w:val="true"/>
          <w:lang w:bidi="ar-SA"/>
        </w:rPr>
        <w:t>بالقرابة؛ و للاثنين فصاعداً من ولدها الثلث بالتسمية و الباقي مع انفرادهم بالقرابة يقتسمونه بينهم بلا تفاضل</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971799_1067777946"/>
      <w:bookmarkStart w:id="978" w:name="_Toc407"/>
      <w:bookmarkEnd w:id="977"/>
      <w:r>
        <w:rPr>
          <w:rtl w:val="true"/>
        </w:rPr>
        <w:t>حجب كلالة الأبوين كلالة الأب</w:t>
      </w:r>
      <w:bookmarkEnd w:id="978"/>
    </w:p>
    <w:p>
      <w:pPr>
        <w:pStyle w:val="BookText"/>
        <w:rPr/>
      </w:pPr>
      <w:r>
        <w:rPr>
          <w:rFonts w:ascii="Amiri" w:hAnsi="Amiri" w:eastAsia="Amiri" w:cs="Amiri"/>
          <w:color w:val="111111"/>
          <w:sz w:val="28"/>
          <w:sz w:val="28"/>
          <w:szCs w:val="28"/>
          <w:rtl w:val="true"/>
          <w:lang w:bidi="ar-SA"/>
        </w:rPr>
        <w:t>و لا يرث الإخوة للأب مع وجود الإخوة لهما، اتحد كلّ أو تعدّد؛ و يقومون مقامهم عند عدمهم و يكون حكمهم في هذه الصورة حكم الإخوة للأبوين في الاتحاد و التعدّد و التساوي في الذكورة و الاُنوثة و الاختلاف فيهما كما مرّ في الإخوة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إن شاء اللّٰه حكم اولاد الاخوة للأبوين مع اخوة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الاخوة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اجتمع الكلالات الثلاث كان لولد الاُمّ السدس مع الوحدة و الثلث بالسوية مع الكثرة و الباقي لولد الأبوين معاً مطلقاً و يسقط أولاد الأب خاصّة، فإن أبقت الفريضة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الواحد من كلالة الاُمّ مع الاُخت أو الاُختين من كلالة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على كلالة الابوين، دون المجموع منهم و من كلالة الاُمّ بنسبة مستحقّهما، 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3971801_1067777946"/>
      <w:bookmarkStart w:id="980" w:name="_Toc408"/>
      <w:bookmarkEnd w:id="979"/>
      <w:r>
        <w:rPr>
          <w:rtl w:val="true"/>
        </w:rPr>
        <w:t>بيان ما للجدّ و الجدّة إذا انفردا أو اجتمعا مع الآخرين</w:t>
      </w:r>
      <w:bookmarkEnd w:id="980"/>
    </w:p>
    <w:p>
      <w:pPr>
        <w:pStyle w:val="BookText"/>
        <w:rPr/>
      </w:pPr>
      <w:r>
        <w:rPr>
          <w:rFonts w:ascii="Amiri" w:hAnsi="Amiri" w:eastAsia="Amiri" w:cs="Amiri"/>
          <w:color w:val="111111"/>
          <w:sz w:val="28"/>
          <w:sz w:val="28"/>
          <w:szCs w:val="28"/>
          <w:rtl w:val="true"/>
          <w:lang w:bidi="ar-SA"/>
        </w:rPr>
        <w:t xml:space="preserve">و للجدّ المال كلّه إذا 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 كان أو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جدّ و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معاً لأب فلهما المال على التفاضل؛ و إن كانا لاُمّ فلهما المال بالسويّة؛ و إن اختلفوا فلمن تقرّب بالاُمّ الثلث، مع الوحدة و التعدّد على الأظهر، و الباقي لمن تقرّب بالأب، اتحد أو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مع الأجداد زوج أو زوجة كان لكلّ منهما نصيبه الأعلى من النصف و الربع، و لمن تقرّب بالاُمّ الثلث، و لمن تقرّب بالأب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 الأدنى يمنع الأعلى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اجتمع معهم الإخوة، فالجدّ و الجدّة للأب كالأخ و الاُخت للأب، و الجدّ و الجدّة للاُمّ كالأخ و الاُخت للاُمّ‌؛ و إذا اجتمعوا مختلفين في الانتساب أباً و أمّاً فللجدّ </w:t>
      </w:r>
      <w:bookmarkStart w:id="981" w:name="pg10275_96468"/>
    </w:p>
    <w:p>
      <w:pPr>
        <w:pStyle w:val="BookText"/>
        <w:rPr/>
      </w:pPr>
      <w:bookmarkEnd w:id="981"/>
      <w:r>
        <w:rPr>
          <w:rFonts w:ascii="Amiri" w:hAnsi="Amiri" w:eastAsia="Amiri" w:cs="Amiri"/>
          <w:color w:val="111111"/>
          <w:sz w:val="28"/>
          <w:sz w:val="28"/>
          <w:szCs w:val="28"/>
          <w:rtl w:val="true"/>
          <w:lang w:bidi="ar-SA"/>
        </w:rPr>
        <w:t>المتقرّب بالامّ الثلث كما مرّ و الباقي للمتقرّب بالأب، و إذا بقي الزائد على السهام فالردّ على كلالة الأب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اجتماع الاُخت للاُمّ و الجدّة لها مثلاً فما للكلالة الثلث على أيّ تقدير؛ و لا فرق بين الإخوة و الأجداد من كلالة في صورة التعدّد، نعم إذا انفراد كلّ عن الآخر فان كان الواحد جدّاً أو جدّة فله الثلث و إن كان أخاً أو اُختاً فله السدس</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3971803_1067777946"/>
      <w:bookmarkStart w:id="983" w:name="_Toc409"/>
      <w:bookmarkEnd w:id="982"/>
      <w:r>
        <w:rPr>
          <w:rtl w:val="true"/>
        </w:rPr>
        <w:t>مسئلتان</w:t>
      </w:r>
      <w:bookmarkEnd w:id="983"/>
    </w:p>
    <w:p>
      <w:pPr>
        <w:pStyle w:val="Heading6"/>
        <w:numPr>
          <w:ilvl w:val="5"/>
          <w:numId w:val="1"/>
        </w:numPr>
        <w:rPr/>
      </w:pPr>
      <w:bookmarkStart w:id="984" w:name="__RefHeading___Toc3971805_1067777946"/>
      <w:bookmarkStart w:id="985" w:name="_Toc410"/>
      <w:bookmarkEnd w:id="984"/>
      <w:r>
        <w:rPr>
          <w:rtl w:val="true"/>
        </w:rPr>
        <w:t>إذا اجتمع أربعة أجداد لأب و مثلهم لأمّ‌</w:t>
      </w:r>
      <w:bookmarkEnd w:id="985"/>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أربعة أجداد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جدّ أبيه و جدّته لأبي أبيه و هما لاُمّ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مثلهم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جدّ اُمّه و جدّتها لأبيها و هما 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لأجداد الاُمّ و جدّاتها الثلث يقتسمونه بينهم أرباعاً و لأجداد الأب و جدّاته الثلثان يقتسمونه بالتفاوت لأبوى أبيه ثلثا الثلثين أثلاثا و لأبوى اُمّ أبيه الثلث أثلاثا، هذا هو المشهور؛ و فيه احتمالان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الثلث لأبوى اُمّ الاُمّ بالسويّة و ثلثاه لأبوى أبيها كذلك و ثلث الثلثين لأبوى اُمّ الأب بالسويّة و ثلثاه لأبوى أبيه أثلاثا ثانيهما أنّ ثلث الثلث لأبوى اُمّ الاُمّ بالسّوية و ثلثاه لأبوى أبيها أثلاثاً و قسمة أجداد الأب كالأوّل؛ فالاحتياط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المشهور تصحّ المسألة من مائة و ثمانية</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3971807_1067777946"/>
      <w:bookmarkStart w:id="987" w:name="_Toc411"/>
      <w:bookmarkEnd w:id="986"/>
      <w:r>
        <w:rPr>
          <w:rtl w:val="true"/>
        </w:rPr>
        <w:t>مقاسمة الأجداد مع أولاد الإخوة</w:t>
      </w:r>
      <w:bookmarkEnd w:id="98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إن علا مع الترتيب مطلقاً يقاسم الإخوة و الأخوات مطلقاً؛ و أولاد الإخوة و الأخوات و إن نزلوا مع الترتيب يقومون مقام آبائهم عند عدمهم في مقاسمة الأجداد و الجدّات، فالمال بين الجدّ و ابن الأخ نصفين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يرث كلّ واحد من الطائفتين نصيب من يتقرّب به إلى الميّت؛ ثم إن كانوا أولاد أخ أو إخوة أو اُخت أو اَخوات لأب اقتسموا بالتفاضل، و إن كانوا أولاد إخوة أو أخوات لاُمّ اقتسموا بالسويّة للاُنثى ما للذكر</w:t>
      </w:r>
      <w:r>
        <w:rPr>
          <w:rFonts w:eastAsia="Amiri" w:cs="Amiri" w:ascii="Amiri" w:hAnsi="Amiri"/>
          <w:color w:val="111111"/>
          <w:sz w:val="28"/>
          <w:szCs w:val="28"/>
          <w:rtl w:val="true"/>
          <w:lang w:bidi="ar-SA"/>
        </w:rPr>
        <w:t xml:space="preserve">. </w:t>
      </w:r>
      <w:bookmarkStart w:id="988" w:name="pg10275_96469"/>
    </w:p>
    <w:p>
      <w:pPr>
        <w:pStyle w:val="Heading4"/>
        <w:numPr>
          <w:ilvl w:val="3"/>
          <w:numId w:val="1"/>
        </w:numPr>
        <w:rPr/>
      </w:pPr>
      <w:bookmarkStart w:id="989" w:name="__RefHeading___Toc3971809_1067777946"/>
      <w:bookmarkStart w:id="990" w:name="_Toc412"/>
      <w:bookmarkEnd w:id="988"/>
      <w:bookmarkEnd w:id="989"/>
      <w:r>
        <w:rPr>
          <w:rtl w:val="true"/>
        </w:rPr>
        <w:t>المرتبة الثالثة</w:t>
      </w:r>
      <w:r>
        <w:rPr>
          <w:rtl w:val="true"/>
        </w:rPr>
        <w:t xml:space="preserve">: </w:t>
      </w:r>
      <w:r>
        <w:rPr>
          <w:rtl w:val="true"/>
        </w:rPr>
        <w:t>الأعمام و الأخوال و العمّات و الخالات و أولادهم</w:t>
      </w:r>
      <w:bookmarkEnd w:id="990"/>
    </w:p>
    <w:p>
      <w:pPr>
        <w:pStyle w:val="Heading5"/>
        <w:numPr>
          <w:ilvl w:val="4"/>
          <w:numId w:val="1"/>
        </w:numPr>
        <w:rPr/>
      </w:pPr>
      <w:bookmarkStart w:id="991" w:name="__RefHeading___Toc3971811_1067777946"/>
      <w:bookmarkStart w:id="992" w:name="_Toc413"/>
      <w:bookmarkEnd w:id="991"/>
      <w:r>
        <w:rPr>
          <w:rtl w:val="true"/>
        </w:rPr>
        <w:t>اشاره</w:t>
      </w:r>
      <w:bookmarkEnd w:id="992"/>
    </w:p>
    <w:p>
      <w:pPr>
        <w:pStyle w:val="BookText"/>
        <w:rPr/>
      </w:pPr>
      <w:r>
        <w:rPr>
          <w:rFonts w:ascii="Amiri" w:hAnsi="Amiri" w:eastAsia="Amiri" w:cs="Amiri"/>
          <w:color w:val="111111"/>
          <w:sz w:val="28"/>
          <w:sz w:val="28"/>
          <w:szCs w:val="28"/>
          <w:rtl w:val="true"/>
          <w:lang w:bidi="ar-SA"/>
        </w:rPr>
        <w:t>المال لهم إذا لم يكن من الإخوة و الأخوات و أولادهم و الأجداد و الجدّات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فللعمّ المال إذا انفرد عن وارث غيره؛ و كذا للعمّين فصاعداً؛ و كذا العمّة و العمّتان فصاعداً لها المال مع الانفراد عن غيرها؛ فيقتسمون المال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و إن اختلفوا في التقرّب بالأبوين أو بالأب أو بالاُمّ‌</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3971813_1067777946"/>
      <w:bookmarkStart w:id="994" w:name="_Toc414"/>
      <w:bookmarkEnd w:id="993"/>
      <w:r>
        <w:rPr>
          <w:rtl w:val="true"/>
        </w:rPr>
        <w:t>حكم ما لو اجتمع العمومة و العمّات</w:t>
      </w:r>
      <w:bookmarkEnd w:id="994"/>
    </w:p>
    <w:p>
      <w:pPr>
        <w:pStyle w:val="BookText"/>
        <w:rPr/>
      </w:pPr>
      <w:r>
        <w:rPr>
          <w:rFonts w:ascii="Amiri" w:hAnsi="Amiri" w:eastAsia="Amiri" w:cs="Amiri"/>
          <w:color w:val="111111"/>
          <w:sz w:val="28"/>
          <w:sz w:val="28"/>
          <w:szCs w:val="28"/>
          <w:rtl w:val="true"/>
          <w:lang w:bidi="ar-SA"/>
        </w:rPr>
        <w:t>و لو اجتمع العمومة و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اقتسموا بالتفاضل بين الذكر و الاُنثى إن كانوا جميعاً من قبل الأبوين أو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إنّهم كانوا إخوة لأب الميّت من قبل أبويه أو أبيه دون اُمّه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كانوا جميعاً للاُمّ ففيه خلاف، 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التساوي، و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متفرقين في الانتساب بالأب أو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تقرّب بالامّ السدس مع الوحدة و الثلث مع التعدّد بالتساوي بين الذكر و الاُنثى، و الباقي لمن تقرّب بالأبوين أو الأب يقتسمونه مع التعدّد و الاختلاف بالتفاضل بين الذكر و الاُنثى؛ و يسقط من يتقرّب بالأب خاصّة و يقومون عند عدم المتقرّب بالأبوين مقامهم</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3971815_1067777946"/>
      <w:bookmarkStart w:id="996" w:name="_Toc415"/>
      <w:bookmarkEnd w:id="995"/>
      <w:r>
        <w:rPr>
          <w:rtl w:val="true"/>
        </w:rPr>
        <w:t>لا يرث الأبعد مع وجود الأقرب</w:t>
      </w:r>
      <w:bookmarkEnd w:id="996"/>
    </w:p>
    <w:p>
      <w:pPr>
        <w:pStyle w:val="BookText"/>
        <w:rPr/>
      </w:pPr>
      <w:r>
        <w:rPr>
          <w:rFonts w:ascii="Amiri" w:hAnsi="Amiri" w:eastAsia="Amiri" w:cs="Amiri"/>
          <w:color w:val="111111"/>
          <w:sz w:val="28"/>
          <w:sz w:val="28"/>
          <w:szCs w:val="28"/>
          <w:rtl w:val="true"/>
          <w:lang w:bidi="ar-SA"/>
        </w:rPr>
        <w:t>و لا يرث الأبعد مع الأقرب، فلا يرث ابن خال مع عمّ أو خال، و لا ابن عمّ مع عمّ أو خال للميّت، إلّا في ابن عمّ للأبوين مع عمّ لأب فابن العمّ أولىٰ بالميراث؛ و يحتمل التعدّي إلى نظائرها من اجتماع الكلالتين في طرف دون الآخر مع عدم الفرق بالذكورة و الاُنوثة، فهي محلّ الاحتياط</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3971817_1067777946"/>
      <w:bookmarkStart w:id="998" w:name="_Toc416"/>
      <w:bookmarkEnd w:id="997"/>
      <w:r>
        <w:rPr>
          <w:rtl w:val="true"/>
        </w:rPr>
        <w:t>قسمة التركة بين الأخوال</w:t>
      </w:r>
      <w:bookmarkEnd w:id="9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للخال المال كلّه مع انفراده عن غيره الوارث، و كذا الخالان و الخالة و الخالتان كما ذكرناه في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اجتمعوا فالمال بينهم بالسوية مع عدم الاختلاف؛ فان اختلفوا </w:t>
      </w:r>
      <w:bookmarkStart w:id="999" w:name="pg10275_96470"/>
    </w:p>
    <w:p>
      <w:pPr>
        <w:pStyle w:val="BookText"/>
        <w:rPr/>
      </w:pPr>
      <w:bookmarkEnd w:id="999"/>
      <w:r>
        <w:rPr>
          <w:rFonts w:ascii="Amiri" w:hAnsi="Amiri" w:eastAsia="Amiri" w:cs="Amiri"/>
          <w:color w:val="111111"/>
          <w:sz w:val="28"/>
          <w:sz w:val="28"/>
          <w:szCs w:val="28"/>
          <w:rtl w:val="true"/>
          <w:lang w:bidi="ar-SA"/>
        </w:rPr>
        <w:t xml:space="preserve">فلمن تقرّب بالاُمّ إلى اُمّ الميّت السدس مع الاتحاد و الثلث مع التعدّد بالسويّة، و لمن تقرّب بالأب الثلثان أيضا بالسويّة مع التعدّد، و يسقط المتقرّب بالأب وحده و يقوم مقام المتقرّب بالأبوين عند عدمه، هذا هو المشهور و فيه جمع بين ملاحظة المتقرّب و المتقرّب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 لا يخلو عن تأمّل</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3971819_1067777946"/>
      <w:bookmarkStart w:id="1001" w:name="_Toc417"/>
      <w:bookmarkEnd w:id="1000"/>
      <w:r>
        <w:rPr>
          <w:rtl w:val="true"/>
        </w:rPr>
        <w:t>حكم ما لو اجتمع الأعمام و الأخوال</w:t>
      </w:r>
      <w:bookmarkEnd w:id="1001"/>
    </w:p>
    <w:p>
      <w:pPr>
        <w:pStyle w:val="BookText"/>
        <w:rPr/>
      </w:pPr>
      <w:r>
        <w:rPr>
          <w:rFonts w:ascii="Amiri" w:hAnsi="Amiri" w:eastAsia="Amiri" w:cs="Amiri"/>
          <w:color w:val="111111"/>
          <w:sz w:val="28"/>
          <w:sz w:val="28"/>
          <w:szCs w:val="28"/>
          <w:rtl w:val="true"/>
          <w:lang w:bidi="ar-SA"/>
        </w:rPr>
        <w:t>و لو اجتمع الأعمام و الأخوال فللأخوال الثلث و للأعمام الثلثان، و ما للأخوال بالسويّة مع التعدّد و الاختلاف، و ما للأعمام بالتفاضل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بالثلث و الثلثين يعمّ صورة اتحاد كلّ من العمّ و الخال و كذلك العمّة و الخالة كما هو المشهور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تفرّق المتعدّدون في جهة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فللأخوال من جهة الاُمّ ثلث الثلث و مع الاتحاد سدسه و الباقي للأخوال من جهة الأب و إن اتّحد؛ و للأعمام المتقرّبين بالاُمّ سدس الثلثين مع الوحدة و ثلثهما مع التعدّد بالسويّة و الباقي للمتقرّب من الأعمام و العمّات بالأب بالتفاضل مع التعدّد و الاختلاف في الذكورة و الاُنوثة؛ كذا ذكروه و فيه الجمع المتقدّم الذي هو مورد الاستشكال و الاحتياط</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3971821_1067777946"/>
      <w:bookmarkStart w:id="1003" w:name="_Toc418"/>
      <w:bookmarkEnd w:id="1002"/>
      <w:r>
        <w:rPr>
          <w:rtl w:val="true"/>
        </w:rPr>
        <w:t>حكم ما اجتمع مع الأعمام و الأخوال زوج أو زوجة</w:t>
      </w:r>
      <w:bookmarkEnd w:id="1003"/>
    </w:p>
    <w:p>
      <w:pPr>
        <w:pStyle w:val="BookText"/>
        <w:rPr/>
      </w:pPr>
      <w:r>
        <w:rPr>
          <w:rFonts w:ascii="Amiri" w:hAnsi="Amiri" w:eastAsia="Amiri" w:cs="Amiri"/>
          <w:color w:val="111111"/>
          <w:sz w:val="28"/>
          <w:sz w:val="28"/>
          <w:szCs w:val="28"/>
          <w:rtl w:val="true"/>
          <w:lang w:bidi="ar-SA"/>
        </w:rPr>
        <w:t xml:space="preserve">و لو كان مع الأعمام و الأخوال المجتمعين زوج أو زوجة فلكلّ منهما نصيبه الأعلى، و لمن تقرّب بالاُمّ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الأصل، و الباقي لمن تقرّب بالأب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الأعمام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تفرّق الفريقان في جهة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 الزوجين نصيبه الأعلى كما مرّ؛ و للأخوال الثلث سدسه لمن تقرّب منهم بالاُمّ مع الوحدة و ثلثه مع التعدّد و الباقي للمتقرّب منهم بالأب؛ و الباقي بعد نصيب الزوج و الأخوال للأعمام سدسه للمتقرّب منهم بالاُمّ مع الوحدة و ثلثه لا معها بالسويّة و الباقي للمتقرّب بالأب بالتفاضل مع التعدّد و الاختلاف</w:t>
      </w:r>
      <w:r>
        <w:rPr>
          <w:rFonts w:eastAsia="Amiri" w:cs="Amiri" w:ascii="Amiri" w:hAnsi="Amiri"/>
          <w:color w:val="111111"/>
          <w:sz w:val="28"/>
          <w:szCs w:val="28"/>
          <w:rtl w:val="true"/>
          <w:lang w:bidi="ar-SA"/>
        </w:rPr>
        <w:t xml:space="preserve">. </w:t>
      </w:r>
      <w:bookmarkStart w:id="1004" w:name="pg10275_96471"/>
    </w:p>
    <w:p>
      <w:pPr>
        <w:pStyle w:val="BookText"/>
        <w:rPr/>
      </w:pPr>
      <w:bookmarkEnd w:id="1004"/>
      <w:r>
        <w:rPr>
          <w:rFonts w:ascii="Amiri" w:hAnsi="Amiri" w:eastAsia="Amiri" w:cs="Amiri"/>
          <w:color w:val="111111"/>
          <w:sz w:val="28"/>
          <w:sz w:val="28"/>
          <w:szCs w:val="28"/>
          <w:rtl w:val="true"/>
          <w:lang w:bidi="ar-SA"/>
        </w:rPr>
        <w:t>و لو تفرّق احد الفريقين في جهة الانتساب دون الآخر فلكلٍّ حكمه من ما يقسّم له من الثلث للأخوال و الباقي للأعمام فيما ذكرناه في صورة الاتفاق و التفرّق</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3971823_1067777946"/>
      <w:bookmarkStart w:id="1006" w:name="_Toc419"/>
      <w:bookmarkEnd w:id="1005"/>
      <w:r>
        <w:rPr>
          <w:rtl w:val="true"/>
        </w:rPr>
        <w:t>حكم ما لو انتفى الأعمام و الأخوال بلا واسطه</w:t>
      </w:r>
      <w:bookmarkEnd w:id="1006"/>
    </w:p>
    <w:p>
      <w:pPr>
        <w:pStyle w:val="BookText"/>
        <w:rPr/>
      </w:pPr>
      <w:r>
        <w:rPr>
          <w:rFonts w:ascii="Amiri" w:hAnsi="Amiri" w:eastAsia="Amiri" w:cs="Amiri"/>
          <w:color w:val="111111"/>
          <w:sz w:val="28"/>
          <w:sz w:val="28"/>
          <w:szCs w:val="28"/>
          <w:rtl w:val="true"/>
          <w:lang w:bidi="ar-SA"/>
        </w:rPr>
        <w:t>و لو انتفى الأعمام و الأخوال بلا واسطة، ورثت ذوو الواسطة بالترتيب ثمّ أولادهم بالترتيب، ثمّ من الأعمام و الأخوال واسطتان و أولادهم بالترتيب،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فعمومة الميّت و خئولته و أولادهم و إن نزلوا أولىٰ من عمومة أبيه و خئولته و أولادهم و من عمومة اُمّه و خئولتها و أولادهم؛ و أولاد كلّ بطن أولىٰ من البطن الأبعد؛ و أولاد العمومة و الخئولة يقومون مقام آبائهم عند عدمهم و يأخذ كلُّ نصيب من يتقرّب به واحداً كان أو أكثر، كآبائهم و اُمّهاتهم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اجتمع عمّ أبى الميت و عمّته و خاله و خالته و عمّ الاُمّ و عمّتها و خالها و خالتها ورثوا جميعاً لفقد الحاجب لهم، و كان لمن يتقرّب بالاُمّ من عمومة الاُمّ و خئولتها الثلث بالسويّة أرباعاً، و لمن تقرّب منهم بالأب من عمومة الأب و خئولته الثلثان ثلثاه لعمّه و عمّته اَثلاثاً و ثلثهما لخاله و خالته بالسويّة، كما هو المشهور، و فيه الجمع بين ملاحظة الواسطة و ذيها اعني العمومة و الخئولة و من يتقرّب به من أبى الميّت أو امّه، فالاحتياط في محلّه كما مرّ</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3971825_1067777946"/>
      <w:bookmarkStart w:id="1008" w:name="_Toc420"/>
      <w:bookmarkEnd w:id="1007"/>
      <w:r>
        <w:rPr>
          <w:rtl w:val="true"/>
        </w:rPr>
        <w:t>مسئلتان</w:t>
      </w:r>
      <w:bookmarkEnd w:id="1008"/>
    </w:p>
    <w:p>
      <w:pPr>
        <w:pStyle w:val="Heading6"/>
        <w:numPr>
          <w:ilvl w:val="5"/>
          <w:numId w:val="1"/>
        </w:numPr>
        <w:rPr/>
      </w:pPr>
      <w:bookmarkStart w:id="1009" w:name="__RefHeading___Toc3971827_1067777946"/>
      <w:bookmarkStart w:id="1010" w:name="_Toc421"/>
      <w:bookmarkEnd w:id="1009"/>
      <w:r>
        <w:rPr>
          <w:rtl w:val="true"/>
        </w:rPr>
        <w:t>حكم من اجتمع له سببان</w:t>
      </w:r>
      <w:bookmarkEnd w:id="1010"/>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اجتمع له سببان ورث بهما ما لم يمنع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كابن عمّ لأب هو ابن خال لاُمّ‌، أو زوج هو ابن عمّ‌، أو عمّة لأب هي خالة لاُمّ‌؛ و الثاني كابن عمّ هو أخ لاُمّ‌</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3971829_1067777946"/>
      <w:bookmarkStart w:id="1012" w:name="_Toc422"/>
      <w:bookmarkEnd w:id="1011"/>
      <w:r>
        <w:rPr>
          <w:rtl w:val="true"/>
        </w:rPr>
        <w:t>حكم أولاد العمومة و الخؤولة فى مجامعتهم الزوج أو الزوجة</w:t>
      </w:r>
      <w:bookmarkEnd w:id="10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أولاد العمومة و الخئولة في مجامعتهم الزوج أو الزوجة حكم آبائهم و اُمّهاتهم، فيأخذ المتقرّب منهم إلى الميّت باُمّه ثلث الأصل، و أحد الزوجين نصيبه الأعلىٰ‌، و الباقي لمن تقرّب بالأب؛ و يقتسمون كالاقتسام حال عدم الزوج كما مرّ</w:t>
      </w:r>
      <w:r>
        <w:rPr>
          <w:rFonts w:eastAsia="Amiri" w:cs="Amiri" w:ascii="Amiri" w:hAnsi="Amiri"/>
          <w:color w:val="111111"/>
          <w:sz w:val="28"/>
          <w:szCs w:val="28"/>
          <w:rtl w:val="true"/>
          <w:lang w:bidi="ar-SA"/>
        </w:rPr>
        <w:t xml:space="preserve">. </w:t>
      </w:r>
      <w:bookmarkStart w:id="1013" w:name="pg10275_96472"/>
    </w:p>
    <w:p>
      <w:pPr>
        <w:pStyle w:val="Heading3"/>
        <w:numPr>
          <w:ilvl w:val="2"/>
          <w:numId w:val="1"/>
        </w:numPr>
        <w:rPr/>
      </w:pPr>
      <w:bookmarkStart w:id="1014" w:name="__RefHeading___Toc3971831_1067777946"/>
      <w:bookmarkStart w:id="1015" w:name="_Toc423"/>
      <w:bookmarkEnd w:id="1013"/>
      <w:bookmarkEnd w:id="1014"/>
      <w:r>
        <w:rPr>
          <w:rtl w:val="true"/>
        </w:rPr>
        <w:t>الفصل الخامس في ميراث الازواج</w:t>
      </w:r>
      <w:bookmarkEnd w:id="1015"/>
    </w:p>
    <w:p>
      <w:pPr>
        <w:pStyle w:val="Heading4"/>
        <w:numPr>
          <w:ilvl w:val="3"/>
          <w:numId w:val="1"/>
        </w:numPr>
        <w:rPr/>
      </w:pPr>
      <w:bookmarkStart w:id="1016" w:name="__RefHeading___Toc3971833_1067777946"/>
      <w:bookmarkStart w:id="1017" w:name="_Toc424"/>
      <w:bookmarkEnd w:id="1016"/>
      <w:r>
        <w:rPr>
          <w:rtl w:val="true"/>
        </w:rPr>
        <w:t>اشاره</w:t>
      </w:r>
      <w:bookmarkEnd w:id="1017"/>
    </w:p>
    <w:p>
      <w:pPr>
        <w:pStyle w:val="BookText"/>
        <w:rPr/>
      </w:pPr>
      <w:r>
        <w:rPr>
          <w:rFonts w:ascii="Amiri" w:hAnsi="Amiri" w:eastAsia="Amiri" w:cs="Amiri"/>
          <w:color w:val="111111"/>
          <w:sz w:val="28"/>
          <w:sz w:val="28"/>
          <w:szCs w:val="28"/>
          <w:rtl w:val="true"/>
          <w:lang w:bidi="ar-SA"/>
        </w:rPr>
        <w:t>الزوجان يرثان مع جميع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مع عدم الولد للزوجة النصف، و للزوجة مع عدم الولد للزوج الربع، و لكلٍ مع وجود الولد و إن نزل نصف النصيب أعني الربع في الزوج و الثُمن في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وارث سوى الزوج ردّ عليه الفاضل على الأشهر الأقوى؛ و في الفاضل عن ربع الزوجة خلاف في أنّه للإمام أو أنّه يردّ عليها كالزوج مطلقاً أو في خصوص غيبة الإمام عليه السلام، و الأوّل هو المشهور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 أكثر من واحدة فهنّ مشتركات في الربع او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كافٍ في التوارث بين الزوجين فلا يشترط الدخول؛ و استثنوا نكاح المريض فلا ترثه المرأة عندهم إن مات في مرضه قبل الدخول بها</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3971835_1067777946"/>
      <w:bookmarkStart w:id="1019" w:name="_Toc425"/>
      <w:bookmarkEnd w:id="1018"/>
      <w:r>
        <w:rPr>
          <w:rtl w:val="true"/>
        </w:rPr>
        <w:t>الزوجة ترث ما دامت فى حبال الزوج</w:t>
      </w:r>
      <w:bookmarkEnd w:id="1019"/>
    </w:p>
    <w:p>
      <w:pPr>
        <w:pStyle w:val="BookText"/>
        <w:rPr/>
      </w:pPr>
      <w:r>
        <w:rPr>
          <w:rFonts w:ascii="Amiri" w:hAnsi="Amiri" w:eastAsia="Amiri" w:cs="Amiri"/>
          <w:color w:val="111111"/>
          <w:sz w:val="28"/>
          <w:sz w:val="28"/>
          <w:szCs w:val="28"/>
          <w:rtl w:val="true"/>
          <w:lang w:bidi="ar-SA"/>
        </w:rPr>
        <w:t>و يتوارثان ما دامت المرأة في حبال الزوج و لو بعد الطلاق إذا كانت في العدّة الرجعيّة دون البائنة؛ و استثنوا أيضاً ما لو طلّقها مريضاً و إن كان الطلاق بائناً ما لم تخرج من السنة من الطلاق الى موت الزوج و لم يبرأ الزوج من مرضه الذي طلّقها فيه و لم تتزوّج هي، فإنّها خاصّة ترث هي منه عندهم، فلا إرث مع الطلاق البائن عندهم إلّا هنا</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3971837_1067777946"/>
      <w:bookmarkStart w:id="1021" w:name="_Toc426"/>
      <w:bookmarkEnd w:id="1020"/>
      <w:r>
        <w:rPr>
          <w:rtl w:val="true"/>
        </w:rPr>
        <w:t>ما يرث منه الزوج و الزوجة</w:t>
      </w:r>
      <w:bookmarkEnd w:id="10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يرث الزوج من جميع ما تركته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المرأة عدا العقار و ترث من قيمة الآلات </w:t>
      </w:r>
      <w:bookmarkStart w:id="1022" w:name="pg10275_96473"/>
    </w:p>
    <w:p>
      <w:pPr>
        <w:pStyle w:val="BookText"/>
        <w:rPr/>
      </w:pPr>
      <w:bookmarkEnd w:id="1022"/>
      <w:r>
        <w:rPr>
          <w:rFonts w:ascii="Amiri" w:hAnsi="Amiri" w:eastAsia="Amiri" w:cs="Amiri"/>
          <w:color w:val="111111"/>
          <w:sz w:val="28"/>
          <w:sz w:val="28"/>
          <w:szCs w:val="28"/>
          <w:rtl w:val="true"/>
          <w:lang w:bidi="ar-SA"/>
        </w:rPr>
        <w:t>و الأبنية أعني أجزاء البناء لا بهيئة البناء، و إن كان التقويم مستحقّاً للبقاء مجّاناً أحوط؛ و لا فرق بين الدور و الأراضي، و ترث ممّا ينقل و يحوّل؛ و الأظهر عدم الفرق بين ذات الولد و غيرها و إن كان أحوط، و القيمة رخصة لا على الاستحقاق على الأظهر</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3971839_1067777946"/>
      <w:bookmarkStart w:id="1024" w:name="_Toc427"/>
      <w:bookmarkEnd w:id="1023"/>
      <w:r>
        <w:rPr>
          <w:rtl w:val="true"/>
        </w:rPr>
        <w:t>مسئلتان</w:t>
      </w:r>
      <w:bookmarkEnd w:id="1024"/>
    </w:p>
    <w:p>
      <w:pPr>
        <w:pStyle w:val="Heading5"/>
        <w:numPr>
          <w:ilvl w:val="4"/>
          <w:numId w:val="1"/>
        </w:numPr>
        <w:rPr/>
      </w:pPr>
      <w:bookmarkStart w:id="1025" w:name="__RefHeading___Toc3971841_1067777946"/>
      <w:bookmarkStart w:id="1026" w:name="_Toc428"/>
      <w:bookmarkEnd w:id="1025"/>
      <w:r>
        <w:rPr>
          <w:rtl w:val="true"/>
        </w:rPr>
        <w:t>حكم ما إذا طلّق ذو الأربع</w:t>
      </w:r>
      <w:r>
        <w:rPr>
          <w:rtl w:val="true"/>
        </w:rPr>
        <w:t>...</w:t>
      </w:r>
      <w:bookmarkEnd w:id="1026"/>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ذو الأربع واحدة منها و تزوّج باخرىٰ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انقضت العدّة أو كانت بائنة، ثمّ مات و اشتبهت المطلّقة بين الأربع الأوّل، كان للأخيرة، ربع الثُمن مع الولد و ربع الربع مع عدمه و الباقي بين الاربع الأوّل بالسويّة على المرويّ المشهور المختار</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3971843_1067777946"/>
      <w:bookmarkStart w:id="1028" w:name="_Toc429"/>
      <w:bookmarkEnd w:id="1027"/>
      <w:r>
        <w:rPr>
          <w:rtl w:val="true"/>
        </w:rPr>
        <w:t>حكم نكاح المريض</w:t>
      </w:r>
      <w:bookmarkEnd w:id="102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المريض مشروط عندهم بالدخول فإن مات قبله فلا مهر لها و لا ميراث، فإن دخل بها أو برء من مرضه ذلك ثم مات بغيره فلها الأمران؛ و كذا إن ماتت في مرضه قبل الدخول هي دونه فلا ميراث له كما لا مهر لها على الأظهر و إن كان الاحتياط بالصلح حسناً</w:t>
      </w:r>
      <w:r>
        <w:rPr>
          <w:rFonts w:eastAsia="Amiri" w:cs="Amiri" w:ascii="Amiri" w:hAnsi="Amiri"/>
          <w:color w:val="111111"/>
          <w:sz w:val="28"/>
          <w:szCs w:val="28"/>
          <w:rtl w:val="true"/>
          <w:lang w:bidi="ar-SA"/>
        </w:rPr>
        <w:t xml:space="preserve">. </w:t>
      </w:r>
      <w:bookmarkStart w:id="1029" w:name="pg10275_96474"/>
    </w:p>
    <w:p>
      <w:pPr>
        <w:pStyle w:val="Heading3"/>
        <w:numPr>
          <w:ilvl w:val="2"/>
          <w:numId w:val="1"/>
        </w:numPr>
        <w:rPr/>
      </w:pPr>
      <w:bookmarkStart w:id="1030" w:name="__RefHeading___Toc3971845_1067777946"/>
      <w:bookmarkStart w:id="1031" w:name="_Toc430"/>
      <w:bookmarkEnd w:id="1029"/>
      <w:bookmarkEnd w:id="1030"/>
      <w:r>
        <w:rPr>
          <w:rtl w:val="true"/>
        </w:rPr>
        <w:t>الفصل السادس في الإرث بالولاء</w:t>
      </w:r>
      <w:bookmarkEnd w:id="1031"/>
    </w:p>
    <w:p>
      <w:pPr>
        <w:pStyle w:val="Heading4"/>
        <w:numPr>
          <w:ilvl w:val="3"/>
          <w:numId w:val="1"/>
        </w:numPr>
        <w:rPr/>
      </w:pPr>
      <w:bookmarkStart w:id="1032" w:name="__RefHeading___Toc3971847_1067777946"/>
      <w:bookmarkStart w:id="1033" w:name="_Toc431"/>
      <w:bookmarkEnd w:id="1032"/>
      <w:r>
        <w:rPr>
          <w:rtl w:val="true"/>
        </w:rPr>
        <w:t>اشاره</w:t>
      </w:r>
      <w:bookmarkEnd w:id="1033"/>
    </w:p>
    <w:p>
      <w:pPr>
        <w:pStyle w:val="BookText"/>
        <w:rPr/>
      </w:pPr>
      <w:r>
        <w:rPr>
          <w:rFonts w:ascii="Amiri" w:hAnsi="Amiri" w:eastAsia="Amiri" w:cs="Amiri"/>
          <w:color w:val="111111"/>
          <w:sz w:val="28"/>
          <w:sz w:val="28"/>
          <w:szCs w:val="28"/>
          <w:rtl w:val="true"/>
          <w:lang w:bidi="ar-SA"/>
        </w:rPr>
        <w:t>له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و ضمان الجريرة و الإمامة</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3971849_1067777946"/>
      <w:bookmarkStart w:id="1035" w:name="_Toc432"/>
      <w:bookmarkEnd w:id="1034"/>
      <w:r>
        <w:rPr>
          <w:rtl w:val="true"/>
        </w:rPr>
        <w:t>ولاء الإمامة</w:t>
      </w:r>
      <w:bookmarkEnd w:id="1035"/>
    </w:p>
    <w:p>
      <w:pPr>
        <w:pStyle w:val="BookText"/>
        <w:rPr/>
      </w:pPr>
      <w:r>
        <w:rPr>
          <w:rFonts w:ascii="Amiri" w:hAnsi="Amiri" w:eastAsia="Amiri" w:cs="Amiri"/>
          <w:color w:val="111111"/>
          <w:sz w:val="28"/>
          <w:sz w:val="28"/>
          <w:szCs w:val="28"/>
          <w:rtl w:val="true"/>
          <w:lang w:bidi="ar-SA"/>
        </w:rPr>
        <w:t>و الأخير لا يرث إلّا مع فقد كلّ وارث في جميع المراتب حتّى ضامن الجريرة، عدا الزوجة فإنّها تشاركه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حضوره، و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يعطيه فقراء بلد الميّت و ضعفاؤهم، قالا كغيرهما من الأصحاب كان ذلك تبرعاً منه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غيبته يتصدّق به على فقراء الشيعة له عليه السلام أو يصرف فيما يقطع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الصرف فيه من المصارف السائغة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الدفع الى الجائر كدفع ما يؤخذ لبيت المال اليه، في الجواز مع الاضطرار، و الضمان مع العدم، و وجوب المحافظة و لو بدفع البعض و إمساك الباقي لأهله</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3971851_1067777946"/>
      <w:bookmarkStart w:id="1037" w:name="_Toc433"/>
      <w:bookmarkEnd w:id="1036"/>
      <w:r>
        <w:rPr>
          <w:rtl w:val="true"/>
        </w:rPr>
        <w:t>ولاء العتق</w:t>
      </w:r>
      <w:bookmarkEnd w:id="1037"/>
    </w:p>
    <w:p>
      <w:pPr>
        <w:pStyle w:val="BookText"/>
        <w:rPr/>
      </w:pPr>
      <w:r>
        <w:rPr>
          <w:rFonts w:ascii="Amiri" w:hAnsi="Amiri" w:eastAsia="Amiri" w:cs="Amiri"/>
          <w:color w:val="111111"/>
          <w:sz w:val="28"/>
          <w:sz w:val="28"/>
          <w:szCs w:val="28"/>
          <w:rtl w:val="true"/>
          <w:lang w:bidi="ar-SA"/>
        </w:rPr>
        <w:t>أمّا الأوّل و هو ولاء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فالمعتق يرث عتيقه لا العكس إلّا إذا دار الولاء كما إذا اُعتق العتيق أب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الإرث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العتق تبرعاً لا واجباً، و إلّا كان سائبة لا عقل بينه و بين المعتِق، و ولائه </w:t>
      </w:r>
    </w:p>
    <w:p>
      <w:pPr>
        <w:pStyle w:val="BookText"/>
        <w:rPr/>
      </w:pPr>
      <w:r>
        <w:rPr>
          <w:rFonts w:ascii="Amiri" w:hAnsi="Amiri" w:eastAsia="Amiri" w:cs="Amiri"/>
          <w:color w:val="111111"/>
          <w:sz w:val="28"/>
          <w:sz w:val="28"/>
          <w:szCs w:val="28"/>
          <w:rtl w:val="true"/>
          <w:lang w:bidi="ar-SA"/>
        </w:rPr>
        <w:t>للإمام و له ميراثه و عليه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يتبرأ المعتق من ضمان جريرة العتيق حال الإعتاق، أو بعده على احتمال في الأخير، و إلّا فلا عقل فلا إرث بالولاء و لا ضمان للجناية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المعتق عتيقه مع وجود مناسب للعتيق و إن كان بعيداً، و لكنّه يرث مع الزوج و الزوجة بعد أن يأخذ إكمال نصيبهما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اجتمعت الشروط المتقدّمة ورثه المنعم و اختصّ بتركته على ما سبق إن كان واحداً، و اشتركوا في المال إذا كانوا أكثر، على السويّة و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للاختلاف في الذكورة و الاُنوثة هنا كما في النسب فإنّه ثابت فيه بالدليل و هنا تحكّم قاعدة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عدم المنعم ففي تعيين الوارث بعده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الإرث بالولاء لأولاد المنعم الذكور دون البنات، و لو عدم الذكور فلعَصبته الذين يعقلون عنه إذا أحدث حدثاً إن كان المعتِق رجلاً، و قيل باشتراك البنات مع الذكور في الارث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اظهر، و الاحتياط في محلّه بين هذين القولين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امرأة فالولاء لعصبتها لاٰ لأولادها و لو كانوا 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يراعى المشاركة الثابتة في النسب في الإرث بالولاء في غير ما مرّ استثنائه؛ كما يراعى الترتيب الثابت في النسب بين الأبعد و الأقرب، بل نفي الخلاف في أنّه إذا فقد المولى و قرابته يرث الولاء مولى المولى فإن عدم فقرابة مولى المولى فان فقدوا فمعتق أب المعتِق ثمّ معتِق هذا المعتق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تلحق اُمّ المنعم بأبيه أو ببناته‌؟ الأوّل هو المشهور الموافق للإطلاق، و الاحتياط في محلّه و إن كان بالاطلاق فيما لا قطع بخروجه منه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يورث الولاء كما يورث به‌؟ قولان، أظهرهما و أشهرهما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لصراحة النافي من الأدلّة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يباع و لا يوهب و لا يشترط به للغير، و لو مات المنعم عن ولدين قبل العتيق ثمّ مات أحدهما عن أولاد ثمّ العتيق اختصّ الإرث بالولد الباقي، و على الآخر يشاركه أولاد الولد الميّت قبل العتيق</w:t>
      </w:r>
      <w:r>
        <w:rPr>
          <w:rFonts w:eastAsia="Amiri" w:cs="Amiri" w:ascii="Amiri" w:hAnsi="Amiri"/>
          <w:color w:val="111111"/>
          <w:sz w:val="28"/>
          <w:szCs w:val="28"/>
          <w:rtl w:val="true"/>
          <w:lang w:bidi="ar-SA"/>
        </w:rPr>
        <w:t xml:space="preserve">. </w:t>
      </w:r>
      <w:bookmarkStart w:id="1038" w:name="pg10275_96476"/>
    </w:p>
    <w:p>
      <w:pPr>
        <w:pStyle w:val="BookText"/>
        <w:rPr/>
      </w:pPr>
      <w:bookmarkEnd w:id="1038"/>
      <w:r>
        <w:rPr>
          <w:rFonts w:ascii="Amiri" w:hAnsi="Amiri" w:eastAsia="Amiri" w:cs="Amiri"/>
          <w:color w:val="111111"/>
          <w:sz w:val="28"/>
          <w:sz w:val="28"/>
          <w:szCs w:val="28"/>
          <w:rtl w:val="true"/>
          <w:lang w:bidi="ar-SA"/>
        </w:rPr>
        <w:t>و كما يرث المولى عتيقه يرث أولاد عتيقه مع فقد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يصحّ جرّ الولاء من مولى الاُمّ إلى مولى الأب إذا كان الأولاد مولودين على الحرّية، فإذا اعتقت الامّ أوّلاً ثم حملت بهم و أبوهم رقّ فولائها و ولاء أولادها لمولاها، لعدم إمكانه من جهة الأب حيث لا ولاء عليه فعلاً و لمعتق الاُمّ عليهم نعمة فإنّهم اعتقوا بعتقها، فإن ماتوا و الأب رقيق بعدُ ورثهم معتق الاُمّ بالولاء و لو عتق الأب بعد ذلك، و أمّا لو عتق قبله انجرّ ولائهم من مولى الاُمّ إلى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 لو لم يكن مجمعاً عليه، لعدم ارتباط عتق الأولاد بمولى الأب مع سبق حقّ مولى الاُمّ في الفرض؛ إلّا أن يقال ليس الولاء موروثاً بل موروثاً به فلا فعليّة لحقّ معتق الاُمّ‌، و الفعلي بموت الأولاد إرث معتق الأب لأولاد الأب حيث لا مناسب، و النصّ المعمول به لدى الأصحاب دالّ عليه فيكون متّبعاً، و 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3971853_1067777946"/>
      <w:bookmarkStart w:id="1040" w:name="_Toc434"/>
      <w:bookmarkEnd w:id="1039"/>
      <w:r>
        <w:rPr>
          <w:rtl w:val="true"/>
        </w:rPr>
        <w:t>ولاء تضمّن الجريرة</w:t>
      </w:r>
      <w:bookmarkEnd w:id="1040"/>
    </w:p>
    <w:p>
      <w:pPr>
        <w:pStyle w:val="BookText"/>
        <w:rPr/>
      </w:pPr>
      <w:r>
        <w:rPr>
          <w:rFonts w:ascii="Amiri" w:hAnsi="Amiri" w:eastAsia="Amiri" w:cs="Amiri"/>
          <w:color w:val="111111"/>
          <w:sz w:val="28"/>
          <w:sz w:val="28"/>
          <w:szCs w:val="28"/>
          <w:rtl w:val="true"/>
          <w:lang w:bidi="ar-SA"/>
        </w:rPr>
        <w:t>و أمّا الثاني و هو ولاء تضمّن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توالى انساناً بأن يضمن حدثه و يكون ولائه له ثبت له ذلك و عليه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عاقدتك على أن تعقل عنّي و ترثني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اشتراك العقد زاد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ترثني أرثك و على أن تعقل عنّي أعقل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العقل و الإرث عن الضامن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يضمن الجريرة إلّا عن سائبة كالمعتق واجباً، أو تبرّعاً مع التبرّى عن الجريرة، أو حرّ الأصل بلا وارث غير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يرث الضامن إلّا مع فقد المناسب و إن كان بعيداً و مع فقد المعتِق الوارث؛ و إن تجدّد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 أو السبب أو ولاء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 الضمان صحيحاً فلا يؤثر الضمان في منع الوارث المتقدّم عليه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يرث مع الضمان الزوج و الزوجة نصيبهما الأعلىٰ من النصف أو الربع، و ما بقي فللضامن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مقدّم إرثاً على بيت 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أكمل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الكلام في ميراث ولد الملاعنة و ولد الزنا</w:t>
      </w:r>
      <w:r>
        <w:rPr>
          <w:rFonts w:eastAsia="Amiri" w:cs="Amiri" w:ascii="Amiri" w:hAnsi="Amiri"/>
          <w:color w:val="111111"/>
          <w:sz w:val="28"/>
          <w:szCs w:val="28"/>
          <w:rtl w:val="true"/>
          <w:lang w:bidi="ar-SA"/>
        </w:rPr>
        <w:t xml:space="preserve">. </w:t>
      </w:r>
      <w:bookmarkStart w:id="1041" w:name="pg10275_96477"/>
    </w:p>
    <w:p>
      <w:pPr>
        <w:pStyle w:val="Heading3"/>
        <w:numPr>
          <w:ilvl w:val="2"/>
          <w:numId w:val="1"/>
        </w:numPr>
        <w:rPr/>
      </w:pPr>
      <w:bookmarkStart w:id="1042" w:name="__RefHeading___Toc3971855_1067777946"/>
      <w:bookmarkStart w:id="1043" w:name="_Toc435"/>
      <w:bookmarkEnd w:id="1041"/>
      <w:bookmarkEnd w:id="1042"/>
      <w:r>
        <w:rPr>
          <w:rtl w:val="true"/>
        </w:rPr>
        <w:t>الفصل السابع في ميراث ابن الملاعنة</w:t>
      </w:r>
      <w:bookmarkEnd w:id="1043"/>
    </w:p>
    <w:p>
      <w:pPr>
        <w:pStyle w:val="BookText"/>
        <w:rPr/>
      </w:pPr>
      <w:r>
        <w:rPr>
          <w:rFonts w:ascii="Amiri" w:hAnsi="Amiri" w:eastAsia="Amiri" w:cs="Amiri"/>
          <w:color w:val="111111"/>
          <w:sz w:val="28"/>
          <w:sz w:val="28"/>
          <w:szCs w:val="28"/>
          <w:rtl w:val="true"/>
          <w:lang w:bidi="ar-SA"/>
        </w:rPr>
        <w:t>ميراثه لاُمّه و من يتقرّب بها، و لولده و 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ولد و اُمّه حيّة فللاُمّ السدس و الباقي للولد إن كان ذكراً و إن كانت اُنثى فالنصف أو الثلثان لها، و الباقي يردّ عليهما أرباعاً في الأوّل و أخماساً في المتعدّدة من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انفردت الاُمّ عن الولد و زوج الميّت فلها الثلث فرضاً و الباقي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انفرد الأولاد عن الاُمّ و زوج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فللبنت الواحدة النصف فرضاً، و للمتعدّدة الثلثان فرضاً، و الباقي في الصورتين لصاحبة الفرض ردّاً؛ و للذكرين مع انفرادهما عن البنات المال بالسويّة؛ و لو اجتمعوا فللذكر سهمان و للاُنثى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يرث زوج الميّت أو زوجته نصيبهما الأعلى من النصف و الربع مع عدم الولد للميّت و إن نزل، و الباقي للوارث الخاصّ كالامّ و نحوها إن كان، و إلّا فالباقي يردّ على الزوج، أو الإمام إن كان مع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نصيبهما الأدنى من الربع و الثمن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عدم الولد يرثه من يتقرّب باُمّه من الأجداد و الجدّات و الإخوة و الأخوات و الأعمام و العمّات و الأخوال و الخالات و هكذا إلى سائر الدرجات، مع الترتيب بين الأقرب و الأبعد، على التسوية بين الذكر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الوارث مطلقاً حتّى ضامن الجريرة يرثه الإمام عليه السلام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يرث ابنُ الملاعنة اُمَّه و من يتقرّب بها، و لا يرث أباه و لا من تقرّب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اعترف به الأب بعد اللعان لحق به في الجملة، و ورث هو أباه و لا يرثه الأب بحكم اللعان فيما لا يجدى فيه الإقرار؛ وهل يرث الولدُ غيرَ الأب من ذوي قرابته و يرثونه، أو يرثهم و لا يرثونه، كالأب، أو يبقى الحكم كما كان قبل الاقرار في غير شخص المقرّ؟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الاستصحاب فهو الأقرب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عبرة بنسب الأب، فلو ترك ابن الملاعنة إخوة لأب و اُمّ مع أخ أو إخوة لاُمّ كانوا سواء في الحصة، و كذا لو ترك جدّاً لاُمّ مع أخ أو اُخت أو إخوة أو أخوات من أب و أمّ تساووا فيها، فلا تلاحظ النسبة إلى الأب في الإرث</w:t>
      </w:r>
      <w:r>
        <w:rPr>
          <w:rFonts w:eastAsia="Amiri" w:cs="Amiri" w:ascii="Amiri" w:hAnsi="Amiri"/>
          <w:color w:val="111111"/>
          <w:sz w:val="28"/>
          <w:szCs w:val="28"/>
          <w:rtl w:val="true"/>
          <w:lang w:bidi="ar-SA"/>
        </w:rPr>
        <w:t xml:space="preserve">. </w:t>
      </w:r>
      <w:bookmarkStart w:id="1044" w:name="pg10275_96479"/>
    </w:p>
    <w:p>
      <w:pPr>
        <w:pStyle w:val="Heading3"/>
        <w:numPr>
          <w:ilvl w:val="2"/>
          <w:numId w:val="1"/>
        </w:numPr>
        <w:rPr/>
      </w:pPr>
      <w:bookmarkStart w:id="1045" w:name="__RefHeading___Toc3971857_1067777946"/>
      <w:bookmarkStart w:id="1046" w:name="_Toc436"/>
      <w:bookmarkEnd w:id="1044"/>
      <w:bookmarkEnd w:id="1045"/>
      <w:r>
        <w:rPr>
          <w:rtl w:val="true"/>
        </w:rPr>
        <w:t>الفصل الثامن في ميراث ولد الزنا</w:t>
      </w:r>
      <w:bookmarkEnd w:id="10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الثاني و هو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يرثه الزاني و الزانية التي هي اُمّه و لا غيرهما من أنسابهما، و يرثه ولده و إن نزل و الزوج و الزوجة؛ فإن لم يكن احدهم و لا ضامن جريرة ورثه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يرثه اُمّه كابن الملاعنة، و به رواية محمولة على عدم كون الاُمّ زانية و هو غير نادر</w:t>
      </w:r>
      <w:r>
        <w:rPr>
          <w:rFonts w:eastAsia="Amiri" w:cs="Amiri" w:ascii="Amiri" w:hAnsi="Amiri"/>
          <w:color w:val="111111"/>
          <w:sz w:val="28"/>
          <w:szCs w:val="28"/>
          <w:rtl w:val="true"/>
          <w:lang w:bidi="ar-SA"/>
        </w:rPr>
        <w:t xml:space="preserve">. </w:t>
      </w:r>
      <w:bookmarkStart w:id="1047" w:name="pg10275_96480"/>
    </w:p>
    <w:p>
      <w:pPr>
        <w:pStyle w:val="Heading3"/>
        <w:numPr>
          <w:ilvl w:val="2"/>
          <w:numId w:val="1"/>
        </w:numPr>
        <w:rPr/>
      </w:pPr>
      <w:bookmarkStart w:id="1048" w:name="__RefHeading___Toc3971859_1067777946"/>
      <w:bookmarkStart w:id="1049" w:name="_Toc437"/>
      <w:bookmarkEnd w:id="1047"/>
      <w:bookmarkEnd w:id="1048"/>
      <w:r>
        <w:rPr>
          <w:rtl w:val="true"/>
        </w:rPr>
        <w:t>الفصل التاسع في ميراث الحمل</w:t>
      </w:r>
      <w:bookmarkEnd w:id="1049"/>
    </w:p>
    <w:p>
      <w:pPr>
        <w:pStyle w:val="Heading4"/>
        <w:numPr>
          <w:ilvl w:val="3"/>
          <w:numId w:val="1"/>
        </w:numPr>
        <w:rPr/>
      </w:pPr>
      <w:bookmarkStart w:id="1050" w:name="__RefHeading___Toc3971861_1067777946"/>
      <w:bookmarkStart w:id="1051" w:name="_Toc438"/>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الحمل يرث إن سقط حيّاً، و يعتبر بحركة الأحياء كالاستهلال و الحركة الإرادية الحيوانيّة دون مثل التقلّص و القبض و البسط الغير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الفرق بين الكلّ و البعض الواجد لأمارة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العلم بوجوده عند موت المورّث و لو بالولادة لدون ستّة أشهر من موت المورّث أي لما لا يزيد عليها، أو مات و تبيّن الحمل في زوجته عند موته بحيث يلحق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انعقاد النطفة و تحقّق الحمل عند موت المورث و لا يعتبر ولوج الروح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استقرار الحياة فيرث و يورث و إن مات من ساعته بعد أن انفصل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يحتاط بالعزل للحمل بنصيب ذكرين، فإن تبيّن الخلاف أعطوا الزائد من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غير الحمل ذا فرضين اُعطى النصيب الأدنى إلى أن يتبيّن الخلاف، مع مطالبة الوارث و عدم انتظاره؛ به خلاف المحجوب حرماناً بتأخّر طبقته فلا يعطى حتّى يعلم عدم الحجب؛ كما أنّ من لا يتغيّر فرضه اُعطى كمال نصيبه كالزوجين و الأبوين مع الولد</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3971863_1067777946"/>
      <w:bookmarkStart w:id="1053" w:name="_Toc439"/>
      <w:bookmarkEnd w:id="1052"/>
      <w:r>
        <w:rPr>
          <w:rtl w:val="true"/>
        </w:rPr>
        <w:t>وارث دية الجنين</w:t>
      </w:r>
      <w:bookmarkEnd w:id="105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يرث دية الجنين أبواه و من يتقرّب بهما، و في المتقرّب بالأب خاصّة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فيها ابن محبوب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هزم طلحة و الزبير أقبل الناس </w:t>
      </w:r>
      <w:bookmarkStart w:id="1054" w:name="pg10275_96481"/>
    </w:p>
    <w:p>
      <w:pPr>
        <w:pStyle w:val="BookText"/>
        <w:rPr/>
      </w:pPr>
      <w:bookmarkEnd w:id="1054"/>
      <w:r>
        <w:rPr>
          <w:rFonts w:ascii="Amiri" w:hAnsi="Amiri" w:eastAsia="Amiri" w:cs="Amiri"/>
          <w:color w:val="111111"/>
          <w:sz w:val="28"/>
          <w:sz w:val="28"/>
          <w:szCs w:val="28"/>
          <w:rtl w:val="true"/>
          <w:lang w:bidi="ar-SA"/>
        </w:rPr>
        <w:t>منهزمين فمرّوا بامرأة حامل على الطريق ففزعت منهم فطرحت ما في بطنها حيّاً فاضطرب حتّى مات ثم ماتت اُمّه من بعده، فمرّ بها عليّ عليه السلام و أصحابه و هي مطروحة على الطريق فسألهم عن أمرها فقالوا إنها كانت حبلىٰ ففزعت حين رأت القتال و الهزيمة،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أيّهما مات قبل صاحبه‌؟ فقيل إنّ ابنها مات قبلها،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زوجها أبا الغلام الميّت فورّثه ثلثى الدية و ورّث اُمّه ثلث الدية، ثمّ ورّث الزوج من المرأة الميّتة نصف ثلث الدية التي ورثتها من ابنها، الخبر</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3971865_1067777946"/>
      <w:bookmarkStart w:id="1056" w:name="_Toc440"/>
      <w:bookmarkEnd w:id="1055"/>
      <w:r>
        <w:rPr>
          <w:rtl w:val="true"/>
        </w:rPr>
        <w:t>مسألة</w:t>
      </w:r>
      <w:bookmarkEnd w:id="105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تعارف اثنان بما يقتضي الميراث توارثا، و لم يكلّف أحدهما البيّنة فيما لا يرتبط بحقّ غيرهما</w:t>
      </w:r>
      <w:r>
        <w:rPr>
          <w:rFonts w:eastAsia="Amiri" w:cs="Amiri" w:ascii="Amiri" w:hAnsi="Amiri"/>
          <w:color w:val="111111"/>
          <w:sz w:val="28"/>
          <w:szCs w:val="28"/>
          <w:rtl w:val="true"/>
          <w:lang w:bidi="ar-SA"/>
        </w:rPr>
        <w:t xml:space="preserve">. </w:t>
      </w:r>
      <w:bookmarkStart w:id="1057" w:name="pg10275_96482"/>
    </w:p>
    <w:p>
      <w:pPr>
        <w:pStyle w:val="Heading3"/>
        <w:numPr>
          <w:ilvl w:val="2"/>
          <w:numId w:val="1"/>
        </w:numPr>
        <w:rPr/>
      </w:pPr>
      <w:bookmarkStart w:id="1058" w:name="__RefHeading___Toc3971867_1067777946"/>
      <w:bookmarkStart w:id="1059" w:name="_Toc441"/>
      <w:bookmarkEnd w:id="1057"/>
      <w:bookmarkEnd w:id="1058"/>
      <w:r>
        <w:rPr>
          <w:rtl w:val="true"/>
        </w:rPr>
        <w:t>الفصل العاشر في ميراث المفقود</w:t>
      </w:r>
      <w:bookmarkEnd w:id="10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المفقود المعلوم حياته مع وجود وارثه يتربّص بماله؛ و في قدره خلاف، و الأظهر كفاية الطلب أربع سنين ثمّ يقسّم ماله بين ورثته فإن تبيّن الحياة بعدها انتقضت القسمة، و الأحوط الانتظار إلى العلم العادي أو الاطمينان الشخصيّ أي في شخص المفقود، و بكلّ ممّا قدّمناه و من الاحتياط قال من أصحابنا جماعة عظيمة</w:t>
      </w:r>
      <w:r>
        <w:rPr>
          <w:rFonts w:eastAsia="Amiri" w:cs="Amiri" w:ascii="Amiri" w:hAnsi="Amiri"/>
          <w:color w:val="111111"/>
          <w:sz w:val="28"/>
          <w:szCs w:val="28"/>
          <w:rtl w:val="true"/>
          <w:lang w:bidi="ar-SA"/>
        </w:rPr>
        <w:t xml:space="preserve">. </w:t>
      </w:r>
      <w:bookmarkStart w:id="1060" w:name="pg10275_96483"/>
    </w:p>
    <w:p>
      <w:pPr>
        <w:pStyle w:val="Heading3"/>
        <w:numPr>
          <w:ilvl w:val="2"/>
          <w:numId w:val="1"/>
        </w:numPr>
        <w:rPr/>
      </w:pPr>
      <w:bookmarkStart w:id="1061" w:name="__RefHeading___Toc3971869_1067777946"/>
      <w:bookmarkStart w:id="1062" w:name="_Toc442"/>
      <w:bookmarkEnd w:id="1060"/>
      <w:bookmarkEnd w:id="1061"/>
      <w:r>
        <w:rPr>
          <w:rtl w:val="true"/>
        </w:rPr>
        <w:t>الفصل الحادي عشر في ميراث الخنثى</w:t>
      </w:r>
      <w:bookmarkEnd w:id="1062"/>
    </w:p>
    <w:p>
      <w:pPr>
        <w:pStyle w:val="Heading4"/>
        <w:numPr>
          <w:ilvl w:val="3"/>
          <w:numId w:val="1"/>
        </w:numPr>
        <w:rPr/>
      </w:pPr>
      <w:bookmarkStart w:id="1063" w:name="__RefHeading___Toc3971871_1067777946"/>
      <w:bookmarkStart w:id="1064" w:name="_Toc443"/>
      <w:bookmarkEnd w:id="1063"/>
      <w:r>
        <w:rPr>
          <w:rtl w:val="true"/>
        </w:rPr>
        <w:t>اشاره</w:t>
      </w:r>
      <w:bookmarkEnd w:id="1064"/>
    </w:p>
    <w:p>
      <w:pPr>
        <w:pStyle w:val="BookText"/>
        <w:rPr/>
      </w:pPr>
      <w:r>
        <w:rPr>
          <w:rFonts w:ascii="Amiri" w:hAnsi="Amiri" w:eastAsia="Amiri" w:cs="Amiri"/>
          <w:color w:val="111111"/>
          <w:sz w:val="28"/>
          <w:sz w:val="28"/>
          <w:szCs w:val="28"/>
          <w:rtl w:val="true"/>
          <w:lang w:bidi="ar-SA"/>
        </w:rPr>
        <w:t xml:space="preserve">الخنثىٰ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له فرج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تمييز كونه رجلاً أو مرأة بالبول ثمّ بالأسبقيّة ثمّ بالأبعديّة زماناً، فيورث على الذي ينقطع 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تساويا في الجميع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يعمل فيه بالقرعة، و عن المفيد 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أضلاعه فان تساوى عدد اضلاع الجنين فهو امرأة و إلّا فرجل، و عن الصدوقين و جماعة إنّه يورث نصف ميراث الرجل و نصف ميراث المرأة؛ و الثاني أقرب و إن كان الثالث أشهر، و لو لم يمكن العدّ لمانع عنه ففي تعيّن القرعة أو الاحتياط الذي هو القول الأخير تأمّل</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3971873_1067777946"/>
      <w:bookmarkStart w:id="1066" w:name="_Toc444"/>
      <w:bookmarkEnd w:id="1065"/>
      <w:r>
        <w:rPr>
          <w:rtl w:val="true"/>
        </w:rPr>
        <w:t>من ليس له فرج أصلاً</w:t>
      </w:r>
      <w:bookmarkEnd w:id="1066"/>
    </w:p>
    <w:p>
      <w:pPr>
        <w:pStyle w:val="BookText"/>
        <w:rPr/>
      </w:pPr>
      <w:r>
        <w:rPr>
          <w:rFonts w:ascii="Amiri" w:hAnsi="Amiri" w:eastAsia="Amiri" w:cs="Amiri"/>
          <w:color w:val="111111"/>
          <w:sz w:val="28"/>
          <w:sz w:val="28"/>
          <w:szCs w:val="28"/>
          <w:rtl w:val="true"/>
          <w:lang w:bidi="ar-SA"/>
        </w:rPr>
        <w:t xml:space="preserve">و لو لم يكن له شيء من الفرجين، بحيث يخرج البول من الدبر أو محلّ غير الذكر و القبل كثقبة بين موضع المخرجين، فالمنصوص أنّه يعمل بالقرعة و هو الأشهر؛ و يحتمل حمل إطلاقه على ما لم يمكن الاطمينان بسبب أمارة، كالتحنية بالبول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البول على المبال على ما يساعد عليه الاعتبار في الجملة، و هو الذي ذهب إليه الاسكافي عملاً بالمرسل الدالّ عليه</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3971875_1067777946"/>
      <w:bookmarkStart w:id="1068" w:name="_Toc445"/>
      <w:bookmarkEnd w:id="1067"/>
      <w:r>
        <w:rPr>
          <w:rtl w:val="true"/>
        </w:rPr>
        <w:t>ميراث من له رأسان أو بدنان</w:t>
      </w:r>
      <w:bookmarkEnd w:id="106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له رأسان أو بدنان على حقو واحد و هو الوسط يوقظ أو يصاح به فان انتبه أحدهما فالوارث اثنان و إلّا 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الذي لا خلاف فيه عملاً؛ و يشخّص في الذكورة و الاُنوثة بفرجه</w:t>
      </w:r>
      <w:r>
        <w:rPr>
          <w:rFonts w:eastAsia="Amiri" w:cs="Amiri" w:ascii="Amiri" w:hAnsi="Amiri"/>
          <w:color w:val="111111"/>
          <w:sz w:val="28"/>
          <w:szCs w:val="28"/>
          <w:rtl w:val="true"/>
          <w:lang w:bidi="ar-SA"/>
        </w:rPr>
        <w:t xml:space="preserve">. </w:t>
      </w:r>
      <w:bookmarkStart w:id="1069" w:name="pg10275_96484"/>
    </w:p>
    <w:p>
      <w:pPr>
        <w:pStyle w:val="Heading3"/>
        <w:numPr>
          <w:ilvl w:val="2"/>
          <w:numId w:val="1"/>
        </w:numPr>
        <w:rPr/>
      </w:pPr>
      <w:bookmarkStart w:id="1070" w:name="__RefHeading___Toc3971877_1067777946"/>
      <w:bookmarkStart w:id="1071" w:name="_Toc446"/>
      <w:bookmarkEnd w:id="1069"/>
      <w:bookmarkEnd w:id="1070"/>
      <w:r>
        <w:rPr>
          <w:rtl w:val="true"/>
        </w:rPr>
        <w:t>الفصل الثاني عشر في ميراث الغرقىٰ و المهدوم عليهم</w:t>
      </w:r>
      <w:bookmarkEnd w:id="1071"/>
    </w:p>
    <w:p>
      <w:pPr>
        <w:pStyle w:val="BookText"/>
        <w:rPr/>
      </w:pPr>
      <w:r>
        <w:rPr>
          <w:rFonts w:ascii="Amiri" w:hAnsi="Amiri" w:eastAsia="Amiri" w:cs="Amiri"/>
          <w:color w:val="111111"/>
          <w:sz w:val="28"/>
          <w:sz w:val="28"/>
          <w:szCs w:val="28"/>
          <w:rtl w:val="true"/>
          <w:lang w:bidi="ar-SA"/>
        </w:rPr>
        <w:t>و هؤلاء يرث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لهم أو لأحدهم مال، و كانوا يتوارثون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المقتضي و فقد المانع في كلّ منهم بالنسبة إلى الآخر؛ فلو لم يتوارثوا كلّاً أو بعضاً كأخوين أحدهما ذو الولد و الآخر بلا ولد و لا يرثه غير ذلك الأخ إلّا الأبعد منه، فإنّه خارج عن محلّ الوفاق في التعبّد بإرث المشكوك حياته بعد مورّثه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اشتبه المتقدّم في الموت بالمتأخّر، لا ما علم الاقتران في الموت، و لو علم المتقدّم ورثه المتأخّر موتاً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الحكم بالتوارث فيما كان الموت المشتبه فيه التقدّم بغير سبب الغرق و الهدم‌؟ فيه خلاف؛ و الأكثر على عدم الثبوت؛ و الأظهر الجريان فيما كان بمثابة الغرق و الهدم من الأسباب القهريّة، في قبال ما كان موت الكلّ بحتف الأنف أو بالقتل، و عدم الجريان في مثل الأخيرين لخروجه عن المتّفق عليه في التعبّد كما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اجتماع الشروط يورث كلّ من صلب مال الآخر؛ و الأحوط ندباً كونه على الترتيب فيما فيه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فيورث الأضعف الأقلّ نصيباً أوّلاً من الآخر ثم يعكس، و لا يرث واحد من ما ورث منه الآخر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اعتبار الترتيب تعبّداً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غرق أب و ابن ورث الأب أوّلاً نصيبه ثم ورث الابن من أصل تركة أبيه لا ممّا ورث منه ثم يعطى نصيب كلّ منهما لوارثه الخاصّ او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لأحدهما وارث خاصّ دون الآخر، أعطى ما اجتمع لذي الوارث الخاصّ لهم اي لورثته، و ما اجتمع للآخر عديم الوارث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لهما وارث خاصّ غير أنفسهما انتقل مال كلّ منهما إلى الآخر، ثمّ انتقل منهما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لأحدهما مال دون الآخر انتقل ماله إلى أخيه عديم المال و لم يكن لذي المال شىء ممّا ورث منه العديم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لهما وارث خاصّ انتقل المال من كلّ منهما، أو من العديم خاصّة إلى الإمام، إن كان العديم بلا وارث خاصّ خاصّة؛ و كذا لو لم يكن لهما وارث خاصّ غير الآخر، فانّه بعد التوريث ينتقل المال من كلّ منهما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ماتا حتف أنفهما لم يتوارثا، و كان ميراث كلّ منهما لوارثه الخاصّ أو العامّ‌، لا للآخر المشكوك حياته بعد الاوّل</w:t>
      </w:r>
      <w:r>
        <w:rPr>
          <w:rFonts w:eastAsia="Amiri" w:cs="Amiri" w:ascii="Amiri" w:hAnsi="Amiri"/>
          <w:color w:val="111111"/>
          <w:sz w:val="28"/>
          <w:szCs w:val="28"/>
          <w:rtl w:val="true"/>
          <w:lang w:bidi="ar-SA"/>
        </w:rPr>
        <w:t xml:space="preserve">. </w:t>
      </w:r>
      <w:bookmarkStart w:id="1072" w:name="pg10275_96486"/>
    </w:p>
    <w:p>
      <w:pPr>
        <w:pStyle w:val="Heading3"/>
        <w:numPr>
          <w:ilvl w:val="2"/>
          <w:numId w:val="1"/>
        </w:numPr>
        <w:rPr/>
      </w:pPr>
      <w:bookmarkStart w:id="1073" w:name="__RefHeading___Toc3971879_1067777946"/>
      <w:bookmarkStart w:id="1074" w:name="_Toc447"/>
      <w:bookmarkEnd w:id="1072"/>
      <w:bookmarkEnd w:id="1073"/>
      <w:r>
        <w:rPr>
          <w:rtl w:val="true"/>
        </w:rPr>
        <w:t>الفصل الثالث عشر في ميراث المجوس</w:t>
      </w:r>
      <w:bookmarkEnd w:id="1074"/>
    </w:p>
    <w:p>
      <w:pPr>
        <w:pStyle w:val="BookText"/>
        <w:rPr/>
      </w:pPr>
      <w:r>
        <w:rPr>
          <w:rFonts w:ascii="Amiri" w:hAnsi="Amiri" w:eastAsia="Amiri" w:cs="Amiri"/>
          <w:color w:val="111111"/>
          <w:sz w:val="28"/>
          <w:sz w:val="28"/>
          <w:szCs w:val="28"/>
          <w:rtl w:val="true"/>
          <w:lang w:bidi="ar-SA"/>
        </w:rPr>
        <w:t xml:space="preserve">إذا ترافعوا إلى المسلمين، أو شرط عليهم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الالتزام بأحكام الإسلام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ترتّب حكم المسلم على شىء من ذلك، أو كان ذلك مورداً لإلزامهم 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يورثون بالصحيح و الفاسد من النسب و السبب مع الصحّة عندهم أو عندنا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خلّف المجوسىّ أمّاً هي زوجته فلها نصيبهما على ما ذكرناه، و لو خلّف جدّة هي اُخت له ورثت بهما، و لا كذا لو خلّف بنتاً هي اُخت له فلا ترث إلّا بالبنتيّة</w:t>
      </w:r>
      <w:r>
        <w:rPr>
          <w:rFonts w:eastAsia="Amiri" w:cs="Amiri" w:ascii="Amiri" w:hAnsi="Amiri"/>
          <w:color w:val="111111"/>
          <w:sz w:val="28"/>
          <w:szCs w:val="28"/>
          <w:rtl w:val="true"/>
          <w:lang w:bidi="ar-SA"/>
        </w:rPr>
        <w:t xml:space="preserve">. </w:t>
      </w:r>
      <w:bookmarkStart w:id="1075" w:name="pg10275_96487"/>
    </w:p>
    <w:p>
      <w:pPr>
        <w:pStyle w:val="Heading3"/>
        <w:numPr>
          <w:ilvl w:val="2"/>
          <w:numId w:val="1"/>
        </w:numPr>
        <w:rPr/>
      </w:pPr>
      <w:bookmarkStart w:id="1076" w:name="__RefHeading___Toc3971881_1067777946"/>
      <w:bookmarkStart w:id="1077" w:name="_Toc448"/>
      <w:bookmarkEnd w:id="1075"/>
      <w:bookmarkEnd w:id="1076"/>
      <w:r>
        <w:rPr>
          <w:rtl w:val="true"/>
        </w:rPr>
        <w:t>الفصل الرابع عشر في مختصر من حساب الفرائض</w:t>
      </w:r>
      <w:bookmarkEnd w:id="1077"/>
    </w:p>
    <w:p>
      <w:pPr>
        <w:pStyle w:val="Heading4"/>
        <w:numPr>
          <w:ilvl w:val="3"/>
          <w:numId w:val="1"/>
        </w:numPr>
        <w:rPr/>
      </w:pPr>
      <w:bookmarkStart w:id="1078" w:name="__RefHeading___Toc3971883_1067777946"/>
      <w:bookmarkStart w:id="1079" w:name="_Toc449"/>
      <w:bookmarkEnd w:id="1078"/>
      <w:r>
        <w:rPr>
          <w:rtl w:val="true"/>
        </w:rPr>
        <w:t>اشاره</w:t>
      </w:r>
      <w:bookmarkEnd w:id="1079"/>
    </w:p>
    <w:p>
      <w:pPr>
        <w:pStyle w:val="BookText"/>
        <w:rPr/>
      </w:pPr>
      <w:r>
        <w:rPr>
          <w:rFonts w:ascii="Amiri" w:hAnsi="Amiri" w:eastAsia="Amiri" w:cs="Amiri"/>
          <w:color w:val="111111"/>
          <w:sz w:val="28"/>
          <w:sz w:val="28"/>
          <w:szCs w:val="28"/>
          <w:rtl w:val="true"/>
          <w:lang w:bidi="ar-SA"/>
        </w:rPr>
        <w:t>كلّ عددين مختلفين إذا عدّ أحدهما الآخر فهما متداخلان؛ و إلّا فإن عدّهما معاً عدد ثالث غير الواحد فهما متوافقان بجزء مأخوذ من العدد الثالث، و يعتبر الأقلّ مع تعدّد المفني كالعشرة و الستّة فانّهما يتوافقان بالنصف من اثنين لا غير، و الاثنا عشر و الثمانية عشر يتوافقان بالسدس و الثلث و النصف؛ و الّا فمتباينان كثلاثة و خمسة فلا يعدّهما معاً غير الواحد</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3971885_1067777946"/>
      <w:bookmarkStart w:id="1081" w:name="_Toc450"/>
      <w:bookmarkEnd w:id="1080"/>
      <w:r>
        <w:rPr>
          <w:rtl w:val="true"/>
        </w:rPr>
        <w:t>مخارج الفروض</w:t>
      </w:r>
      <w:bookmarkEnd w:id="1081"/>
    </w:p>
    <w:p>
      <w:pPr>
        <w:pStyle w:val="Heading5"/>
        <w:numPr>
          <w:ilvl w:val="4"/>
          <w:numId w:val="1"/>
        </w:numPr>
        <w:rPr/>
      </w:pPr>
      <w:bookmarkStart w:id="1082" w:name="__RefHeading___Toc3971887_1067777946"/>
      <w:bookmarkStart w:id="1083" w:name="_Toc451"/>
      <w:bookmarkEnd w:id="1082"/>
      <w:r>
        <w:rPr>
          <w:rtl w:val="true"/>
        </w:rPr>
        <w:t>اشاره</w:t>
      </w:r>
      <w:bookmarkEnd w:id="1083"/>
    </w:p>
    <w:p>
      <w:pPr>
        <w:pStyle w:val="BookText"/>
        <w:rPr/>
      </w:pPr>
      <w:r>
        <w:rPr>
          <w:rFonts w:ascii="Amiri" w:hAnsi="Amiri" w:eastAsia="Amiri" w:cs="Amiri"/>
          <w:color w:val="111111"/>
          <w:sz w:val="28"/>
          <w:sz w:val="28"/>
          <w:szCs w:val="28"/>
          <w:rtl w:val="true"/>
          <w:lang w:bidi="ar-SA"/>
        </w:rPr>
        <w:t>و مخارج الفروض بمعنى أقلّ عدد يخرج منه الكسر صحيحاً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فالاثنان للنصف، و الأربعة للربع، و الثمانية للثُمن، و ثلاثة للثلث و الثلثين، و ستّة للسّدس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في المسألة واحد من هذه الكسور فمخرج ذلك الكسر أصل المسألة؛ و إن كان أزيد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التداخل يكتفى باكثرهما كالثمانية و الاثنين مخرج الثُمن و النصف فالأصل الثمانية، و مع التوافق يضرب وفق أحدهما في مجموع الآخر فالحاصل أصل المسألة كالستة و الأربعة للسدس و الربع يضرب الاثنان في الستّة فالاثنا عشر أصل الفريضة، و مع التباين يضرب أحد المتباينين في الآخر فالحاصل أصل المسألة كثلاثة و أربعة فالسبعة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تشخيص الأصل بما مرّ إذا وقع الانكسار على فريق أو أزيد عمل بما يأتي في تصحيح الفريضة كاملاً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فالفريضة إمّا أن تكون بقدر السهام أو أقلّ أو أكثر</w:t>
      </w:r>
      <w:r>
        <w:rPr>
          <w:rFonts w:eastAsia="Amiri" w:cs="Amiri" w:ascii="Amiri" w:hAnsi="Amiri"/>
          <w:color w:val="111111"/>
          <w:sz w:val="28"/>
          <w:szCs w:val="28"/>
          <w:rtl w:val="true"/>
          <w:lang w:bidi="ar-SA"/>
        </w:rPr>
        <w:t xml:space="preserve">: </w:t>
      </w:r>
      <w:bookmarkStart w:id="1084" w:name="pg10275_96488"/>
    </w:p>
    <w:p>
      <w:pPr>
        <w:pStyle w:val="Heading5"/>
        <w:numPr>
          <w:ilvl w:val="4"/>
          <w:numId w:val="1"/>
        </w:numPr>
        <w:rPr/>
      </w:pPr>
      <w:bookmarkStart w:id="1085" w:name="__RefHeading___Toc3971889_1067777946"/>
      <w:bookmarkStart w:id="1086" w:name="_Toc452"/>
      <w:bookmarkEnd w:id="1084"/>
      <w:bookmarkEnd w:id="1085"/>
      <w:r>
        <w:rPr>
          <w:rtl w:val="true"/>
        </w:rPr>
        <w:t>حكم ما لو كانت الفريضة بقدر السّهام</w:t>
      </w:r>
      <w:bookmarkEnd w:id="1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إمّا لا كسر فيه أو فيه الكسر على فريق واحد أو أكثر، فإن كان بين عدد المنكسر عليه و سهامه وفق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انكسرت على فريق فاضرب عدد من انكسر عليهم في اصل الفريضة إن عدم الوفق بين العدد و النصيب و كان بينهما تباين؛ كما في زوج و اخوين لأب، للزوج النصف من اثنين، و ينكسر الواحد على الأخوين، و بين عددهما و نصيبهما التباين، فيضرب عددهما في الاثنين أصل الفريضة، فالحاصل و هو أربعة تصحّ منها المسألة، للزوج النصف و لهما الاثنان بلا 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بينهما وفق ضربت الوفق من عدد المنكسر عليهم لا النصيب في أصل الفريضة، فمن الحاصل تصحّ المسألة بلا كسر، كما في أبوين و ستّ بنات، فللأبوين السدسان اثنان و للبنات أربعة تنكسر عليهنّ‌، و يتوافق النصيب و العدد في النصف، فيضرب الوفق من الستّة و هو ثلاثة في أصل الفريضة و هو ستّة، فالحاصل و هو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منها المسألة بلا كسر، للأبوين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ثلاثة و للبنات الستّ اثنا عشر لكلٍ 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انكسرت على أكثر من فريق مع الاستيعاب للجميع اَوْ لٰا، و على كل فإمّا أن يكون بين نصيب كلّ فريق انكسر عليهم و عدده توافق أو تباين أو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ردّت كلّ فريق الى جزء الوفق ثم اعتبرت الاعداد بعد الردّ أنّها متماثلة أو متداخلة أو متوافقة أو متباينة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التماثل يكتفى بواحد منها و يضرب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كستّ زوجات و ثمانية من كلالة الاُمّ و عشرة من كلالة الأب، للزوجات الربع من أربعة و لكلالة الاُمّ الثلث من ثلاثة، و بين العددين تباين نضرب أحدهما في الآخر تبلغ اثنى عشر هي الفريضة، للزوجات منها ثلاثة يوافق عددهنّ بالثلث، و لكلالة الامّ أربعة يوافق عددهم بالربع، و لكلالة الأب خمسة يوافق عددهم بالخمس، فيردّ كل فريق إلى جزء وفقه و هو في الجميع اثنان، لأنّهما ثلث باعتبار عدد الزوجات و ربع باعتبار عدد كلالة الاُمّ‌ </w:t>
      </w:r>
    </w:p>
    <w:p>
      <w:pPr>
        <w:pStyle w:val="BookText"/>
        <w:rPr/>
      </w:pPr>
      <w:r>
        <w:rPr>
          <w:rFonts w:ascii="Amiri" w:hAnsi="Amiri" w:eastAsia="Amiri" w:cs="Amiri"/>
          <w:color w:val="111111"/>
          <w:sz w:val="28"/>
          <w:sz w:val="28"/>
          <w:szCs w:val="28"/>
          <w:rtl w:val="true"/>
          <w:lang w:bidi="ar-SA"/>
        </w:rPr>
        <w:t>و خمس باعتبار كلالة الأب، فأجزاء الأوفاق فيها متماثلة، فنضرب أحدها في أصل الفريضة تبلغ أربعاً و عشرين، للزوجات منها ستّة و لكلالة الاُمّ منها ثمانية و للإخوة للأب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متداخلة اكتفى بالأكثر و يضرب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 المتقدّم مع جعل كلالة الاُمّ ستّة عشر، نصيبهم يوافق عددهم بالربع، فنردّهم إلى الأربعة، و بينها و بين الوفقين للزوجات و لكلالة الأب و هو الاثنان تداخل، فنضربها في اثنى عشر أصل الفريضة، تبلغ ثمانياً و أربعين، للزوجات اثنا عشر و لكلالة الاُمّ ستة عشر و الباقي و هو عشرون لكلالة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متوافقة يضرب عدد أحد المتوافقين في عدد الآخر ثمّ الحاصل في أصل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المذكور مع جعل كلالة الاُمّ اربعة و عشرين و كلالة الأب عشرين، الفريضة كما مرّ من اثنى عشر للزوجات ثلاثة يوافق عددهنّ بالثلث و لكلالة الاُمّ أربعة يوافق عددهم بالربع و لكلالة الأب خمسة يوافق عددهم بالخمس، فنردّ كلّ فريق إلى جزء الوفق و هو اثنان بالنسبة إلى الزوجات و ستّة بالنسبة إلى كلالة الاُمّ و أربعة بالنسبة إلى كلالة الأب، و بين كلّ عدد من أعداد الوفق و ما فوقه موافقة بالنصف فنضرب وفق الأربعة و هو الاثنان في ستّة، تبلغ اثنى عشر، نضربها في مثلها أصل الفريضة، تبلغ مائة و أربعة و أربعين هي أصل الفريضة و منها تصحّ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متباينة يضرب بعضها في بعض ثمّ الحاصل في أصل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المذكور مع جعل كلالة الاُمّ اثنى عشر و كلالة الأب خمسة و عشرين، الفريضة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فيرجع عددهم بعد الردّ إلى اثنين للزوجات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جزء وفق عددهنّ‌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بالنسبة الى كلالة الامّ و خمسة لكلالة الأب، و النسبة بين هذه التباين، نضرب الاثنين في ثلاثة تبلغ ستّة نضربها في خمسة تبلغ ثلاثين نضربها في أصل الفريضة تبلغ ثلاثمائة و ستين، و القسمة بلا كسر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الثاني نسبت أعداد كل فريق الى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تساوت اجتزأت بأحدهما و ضربته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كثلاثة إخوة لاُمّ و ثلاثة لأب، الفريضة من ثلاثة لأنّها مخرج الثلث فريضة كلالة الاُمّ‌، فلها واحد ينكسر عليهم، لكلالة الأب اثنان ينكسر عليهم أيضاً، و النسبة بين عدد الفريقين تساوٍ، نضرب أحدهما و هو ثلاثة في أصل الفريضة، تبلغ تسعة هي أصل الفريضة، لكلالة الاُمّ منها ثلاثة و لكلالة الأب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تداخلت اجتزأت بالأكثر و ضربته في أصل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المتقدّم مع جعل كلالة الأب تسعة، الفريضة من ثلاثة، و النسبة بينها و بين التسعة تداخل، نجتزى بالتسعة نضربها في ثلاثة تبلغ سبعاً و عشرين، ثلثها لكلالة الاُمّ تسعة و الباقي لكلالة الأب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توافقت ضربت وفق أحدهما في مجموع الآخر ثمّ الحاصل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كأربع زوجات مع ستّة أولاد، فريضتهم ثمانية مخرج الثُمن نصيب الزوجة، واحد للزوجات و سبعة للأولاد تنكسر على الفريقين، و لا وفق بين نصيبهما و عددهما، و بين عددهما توافق بالنصف، نضرب اثنين في ستة ثم المرتفع في ثمانية تبلغ ستة و تسعين، للزوجات اثنا عشر لكلّ واحدة ثلاثة و للأولاد أربعة و ثمانون لكلّ واحدٍ أربعة عشر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تباينت ضربت أحدهما في الآخر ثم المرتفع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كزوجتين و خمسة إخوة لاُمّ و سبعة لأب، الفريضة من اثنى عشر مخرج الثلث و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المجتمع من ضرب أحدهما في الآخر لتباينهما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فللزوجتين الربع ثلاثة و لكلالة الاُمّ أربعة و لكلالة الأب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وفق بين نصيب كل و عدده، و الأعداد أيضاً متباينة، تضرب بعضها في الآخر ثمّ المرتفع في الباقي ثمّ المجتمع في أصل الفريضة، تضرب اثنين في خمسة ثمّ المجتمع في سبعة يكون سبعين تضربها في اثنى عشر أصل الفريضة تبلغ ثمانمائة و أربعين، فكلّ من كان له سهم من اثنى عشر أخذه مضروباً في 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الثالث ردّت العدد الموافق لنصيبه الى جزء وفقه ثم نسبت الوفق الى العدد الآخر الغير الموافق لنصيبه و اعتبرت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تماثلت اجتزأت بأحدهما و ضربته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كزوجتين و ستة إخوة لأب، فريضتهم أربعة مخرج الربع نصيب الزوجة تنكسر على الفريقين، للزوجتين واحد يباين عددهما، و للإخوة ثلاثة توافق عددهم بالثلث اثنين تردّ عددهم إليهما، و النسبة بينهما و بين عدد الزوجتين تساوٍ، فيجتزى بأحدهما اثنين نضربهما في أصل الفريضة أربعة، تحصُل ثمانية، للزوجيتين الربع اثنان و للإخوة ستّة بلا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تداخلت اجتزأت بالأكثر و ضربته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كأربع زوجات و ستّة إخوة لأب، الفريضة من أربعة لأنّ الربع نصيب الزوجة، و هو واحد ينكسر عليهنّ و يباين عددهنّ‌، و للإخوة الستّة ثلاثة تنكسر عليهم و يوافق عددهم بالثلث اثنين، تردّ عددهم اليهما، و بينهما و بين عدد الزوجات تداخل، فيجتزى بالأربعة عددهنّ نضربها في أصل الفريضة، تبلغ ستة عشر، للزوجات الربع أربعة و للاخوة الستّة اثنا عشر بلا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توافقت ضربت الوفق من أحدهما في مجموع الآخر ثمَّ الحاصل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كزوجتين و ستّة إخوة لأب و ستّة عشر لاُمّ‌، الفريضة من اثنى عشر، للزوجتين الربع ثلاثة تنكسر عليهما و بينهما و بين عددهما تباين، و لكلالة الأب خمسة تنكسر عليهم و بينها و بين عددهم تباين، و لكلالة الاُمّ اربعة تنكسر عليهم و بينها و بين عددهم توافق بالربع، تردّ عددهم إليه و هو اربعة، و بينها و بين عدد كلالة الأب توافق بالنصف، فتضرب نصف أحدهما في الآخر تبلغ اثنى عشر، تضربها في أصل الفريضة اثنى عشر، تبلغ مائة و أربعة و أربعين، فللزوجين الربع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لكلالة الاُمّ الثلث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و هو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لكلالة الأب بلا كسر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تباينت ضربت بعضها في بعض ثمّ المرتفع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w:t>
      </w:r>
      <w:bookmarkStart w:id="1087" w:name="pg10275_96492"/>
    </w:p>
    <w:p>
      <w:pPr>
        <w:pStyle w:val="BookText"/>
        <w:rPr/>
      </w:pPr>
      <w:bookmarkEnd w:id="1087"/>
      <w:r>
        <w:rPr>
          <w:rFonts w:ascii="Amiri" w:hAnsi="Amiri" w:eastAsia="Amiri" w:cs="Amiri"/>
          <w:color w:val="111111"/>
          <w:sz w:val="28"/>
          <w:sz w:val="28"/>
          <w:szCs w:val="28"/>
          <w:rtl w:val="true"/>
          <w:lang w:bidi="ar-SA"/>
        </w:rPr>
        <w:t xml:space="preserve">كزوجات أربع و سبعة إخوة لأب و ستّة إخوة لاُمّ‌، الفريضة من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للزوجات الأربع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تنكسر عليهنّ و بينها و بين عددهنّ تباين، و لكلالة الأب خمسة تنكسر عليهم و بينها و بين عددهم تباين، و لكلالة الاُمّ الثلث أربعة و بينها و بين عددهم توافق بالنصف، تردّ عددهم إليه و هو ثلاثة، و بينها و بين كلّ من السبعة و الأربعة تباين، تضرب الأربعة في ثلاثة ثمّ الحاصل في سبعة تبلغ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تضربها في أصل الفريضة يحصل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 للزوجات منها الربع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لكلالة الاُمّ الثلث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لكلالة الأب الباقي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القياس الانكسار الغير المستوعب للجميع بعد رعاية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أمثلته ثلاث زوجات و ثلاثة إخوة لاُمّ و ثلاثة لأب، الفريضة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مخرج الربع اربعة في الثلث ثلاثة، للزوجات منها ثلاثة لا كسر في تقسيمها، و لكلالة الاُمّ اربعة، و لكلالة الأب خمسة تنكسر عليهم من الطرفين، و العدد و النصيب فيهما متباينة، و الأعداد متماثلة يجتزى بأحدها و هو ثلاثة، تضربها في أصل الفريضة تبلغ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للزوجات منها الربع تسعة و لكلالة الاُمّ الثلث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لكلالة الأب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كسر</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3971891_1067777946"/>
      <w:bookmarkStart w:id="1089" w:name="_Toc453"/>
      <w:bookmarkEnd w:id="1088"/>
      <w:r>
        <w:rPr>
          <w:rtl w:val="true"/>
        </w:rPr>
        <w:t>حكم ما لو قصرت الفريضة عن السهام</w:t>
      </w:r>
      <w:bookmarkEnd w:id="10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نقصت الفريضة عن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القسم الثاني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الزوج أو الزوجة فلا عول كما مرّ، بل يدخل النقص على البنت و البنات من أهل المرتبة الاُولىٰ إذا اجتمع أحدهما معهم، أو على من تقرّب إلى الميّت بالأب و الاُمّ أو الأب من الأخوات من أهل المرتبة الثانية إذا اجتمعا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كأبوين و زوج و بنت واحدة، فللأبوين السدسان و للزوج الربع و للبنت الباقي و هو خمسة، و كذا لو اجتمع أبوان أو أحدهما و بنت أو بنتان فصاعداً و زوج أو زوجة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 ما لو اجتمع اثنان من ولد الاُمّ و اُختان للأب و الاُمّ أو للأب مع زوج أو زوجة، يأخذ الزوج و كلالة الاُمّ كمال نصيبهما و يدخل النقص على من تقرّب بالأب و الاُمّ أو بالأب خاصّة</w:t>
      </w:r>
      <w:r>
        <w:rPr>
          <w:rFonts w:eastAsia="Amiri" w:cs="Amiri" w:ascii="Amiri" w:hAnsi="Amiri"/>
          <w:color w:val="111111"/>
          <w:sz w:val="28"/>
          <w:szCs w:val="28"/>
          <w:rtl w:val="true"/>
          <w:lang w:bidi="ar-SA"/>
        </w:rPr>
        <w:t xml:space="preserve">. </w:t>
      </w:r>
      <w:bookmarkStart w:id="1090" w:name="pg10275_96493"/>
    </w:p>
    <w:p>
      <w:pPr>
        <w:pStyle w:val="Heading5"/>
        <w:numPr>
          <w:ilvl w:val="4"/>
          <w:numId w:val="1"/>
        </w:numPr>
        <w:rPr/>
      </w:pPr>
      <w:bookmarkStart w:id="1091" w:name="__RefHeading___Toc3971893_1067777946"/>
      <w:bookmarkStart w:id="1092" w:name="_Toc454"/>
      <w:bookmarkEnd w:id="1090"/>
      <w:bookmarkEnd w:id="1091"/>
      <w:r>
        <w:rPr>
          <w:rtl w:val="true"/>
        </w:rPr>
        <w:t>حكم ما لو زادت الفريضة عن السّهام</w:t>
      </w:r>
      <w:bookmarkEnd w:id="10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زادت الفريضة عن السهام فلا تعصيب كما مرّ؛ و كان الردّ على ذوى السهام، لا على الزوج أو الزوجة، أو الاُمّ مع وجود من يحجبها من كلالة الأب على ما مضى الكلام فيه، و لا على الكلالة المتقرّبة بالاُمّ إذا اجتمعت مع المتقرّبة بالأب أو بهما، ففى اجتماع أبوين و بنت واحدة فيما لم يكن حاجب للاُمّ من الإخوة للأب فالردّ يكون أخماساً كما مرّ، و إذا كان حاجب لها اختصّ الردّ بالأب و البنت أرباعاً على ما مرّ الكلام فيه</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3971895_1067777946"/>
      <w:bookmarkStart w:id="1094" w:name="_Toc455"/>
      <w:bookmarkEnd w:id="1093"/>
      <w:r>
        <w:rPr>
          <w:rtl w:val="true"/>
        </w:rPr>
        <w:t>تتمة في المناسخات</w:t>
      </w:r>
      <w:bookmarkEnd w:id="1094"/>
    </w:p>
    <w:p>
      <w:pPr>
        <w:pStyle w:val="BookText"/>
        <w:rPr/>
      </w:pPr>
      <w:r>
        <w:rPr>
          <w:rFonts w:ascii="Amiri" w:hAnsi="Amiri" w:eastAsia="Amiri" w:cs="Amiri"/>
          <w:color w:val="111111"/>
          <w:sz w:val="28"/>
          <w:sz w:val="28"/>
          <w:szCs w:val="28"/>
          <w:rtl w:val="true"/>
          <w:lang w:bidi="ar-SA"/>
        </w:rPr>
        <w:t>و هي أن يموت إنسان ثمّ يموت أحد ورثته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اتحد الوارث وجهة الاستحقاق، كما في اربعة إخوة و اُختين و الجميع لأب و اُمّ أو لاُمّ فمات أخوان، فإنّ جميع الإرث للباقين أخماساً إن تقرّبوا جميعاً بالأب و أرباعاً إن تقرّبوا جميعاً بالأمّ إن لم يكن وارث لهما سوى الباقين، فينزّل الميّت منهم منزلة المعدوم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مع اختلاف أحد الامرين أو كليهما فيما امكن تقسيم ما للثاني على ورثته بلا كسر، فإنّه كالفريضة الواحدة ايضاً بلا حاجة إلى عمل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 الوارث خاصّة، كما في ما لو ترك ابنين فمات أحدهما و ترك ابناً، وجهة الاستحقاق هي البنوّة و ينزل الميّت منزلة المعدوم 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الاستحقاق خاصّة، كما فيما لو ترك ثلاثة أولاد ثمّ مات أحدهم و لم يخلّف غير إخوته، فجهة الاستحقاق البنوّة في الأوّل و الاُخوّة في الثاني، و الوارث لا اختلاف فيه، فكأنّه لم يكن إلّا الأخوان الباقيان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اختلافهما معاً كما لو خلّف زوجة و ابناً و بنتاً ثم مات الزوجة عن ابن و بنت، فالجهة في الاُولىٰ الزوجيّة و في الثانية البنوّة، و الوارث في الثانية الأولاد و في الاُولىٰ الزوجة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الأخير ينقسم فيه أصل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 مخرج الثمن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الورثة الباقين بلا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لم يكن التقسيم بلا كسر بسبب تعدد الفريضتين يضرب الوفق من الفريضة الثانية في أصل الفريضة الاُولىٰ إن كان بين الفريضتين وفق، فمن الحاصل تصحّ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كأبوين و ابن ثمّ يموت الابن عن ابنين و بنتين، فالفريضة الاُولىٰ من ستّة مخرج نصيب أحد الأبوين، و نصيب الابن المتوفّى منها اربعة، و سهام ورثته ستّة توافق نصيبهم بالنصف فنضرب ثلاثة وفق الفريضة الثانية في أصل الفريضة الاُولىٰ ستّة تبلغ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منها تصحّ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بينهما وفق يضرب تمام الفريضة الثانية في أصل الفريضة الاُولى فالحاصل تصحّ منه الفريضتان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توفّيت عن زوج و أخوين لاُمّ و أخ لأب ثمَّ مات الزوج عن ابنين و بنت، فريضة الأوّل ستّة نصيب الزوج منها ثلاثة و سهام ورثته خمسة و بينهما تباين، فتضرب الخمسة في الستّة أصل الفريضة تبلغ ثلاثين، للأخوين للاُمّ منها عشرة و للزوج نصفها خمسة عشر و الخمسة الباقية للأخ للأب، فكلّ من كان له شىء من الفريضة الاُولى أخذه مضروباً في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الزيادة على موت اثنين حكم موتهما بعد العمل مع الزائد كالعمل في المزيد عليه مع 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الوصول إلى التقسيم بلا كسر بنحو يغنى عن الضرب للأصل مرّات حتّى يوصل إلى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 الأسهل ممّا ذكروه في الوصول إلى هذا الغرض فلا تعيّن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الصلاة على نبيّه محمّد و آله الأطهرين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المقام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المقدّس</w:t>
      </w:r>
    </w:p>
    <w:p>
      <w:pPr>
        <w:pStyle w:val="BookText"/>
        <w:rPr/>
      </w:pPr>
      <w:r>
        <w:rPr>
          <w:rFonts w:ascii="Amiri" w:hAnsi="Amiri" w:eastAsia="Amiri" w:cs="Amiri"/>
          <w:color w:val="111111"/>
          <w:sz w:val="28"/>
          <w:sz w:val="28"/>
          <w:szCs w:val="28"/>
          <w:rtl w:val="true"/>
          <w:lang w:bidi="ar-SA"/>
        </w:rPr>
        <w:t>الرضويّ صلوات اللّٰه على صاحبه و على سائر الأوصياء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العبد محمّد تقيّ بن محمود عفى عنهما</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5" w:name="pg10275_96496"/>
      <w:bookmarkStart w:id="1096" w:name="pg10275_96496"/>
      <w:bookmarkEnd w:id="1096"/>
    </w:p>
    <w:p>
      <w:pPr>
        <w:pStyle w:val="Heading2"/>
        <w:numPr>
          <w:ilvl w:val="1"/>
          <w:numId w:val="1"/>
        </w:numPr>
        <w:rPr/>
      </w:pPr>
      <w:bookmarkStart w:id="1097" w:name="pg10275_96496"/>
      <w:bookmarkStart w:id="1098" w:name="__RefHeading___Toc3971897_1067777946"/>
      <w:bookmarkStart w:id="1099" w:name="_Toc456"/>
      <w:bookmarkEnd w:id="1097"/>
      <w:bookmarkEnd w:id="1098"/>
      <w:r>
        <w:rPr>
          <w:rtl w:val="true"/>
        </w:rPr>
        <w:t>كتاب شهادات</w:t>
      </w:r>
      <w:bookmarkEnd w:id="1099"/>
    </w:p>
    <w:p>
      <w:pPr>
        <w:pStyle w:val="Heading3"/>
        <w:numPr>
          <w:ilvl w:val="2"/>
          <w:numId w:val="1"/>
        </w:numPr>
        <w:rPr/>
      </w:pPr>
      <w:bookmarkStart w:id="1100" w:name="__RefHeading___Toc3971899_1067777946"/>
      <w:bookmarkStart w:id="1101" w:name="_Toc457"/>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معنى شهادت و صفات شاهد</w:t>
      </w:r>
    </w:p>
    <w:p>
      <w:pPr>
        <w:pStyle w:val="BookText"/>
        <w:rPr/>
      </w:pPr>
      <w:r>
        <w:rPr>
          <w:rFonts w:ascii="IRNazanin" w:hAnsi="IRNazanin" w:eastAsia="IRNazanin"/>
          <w:color w:val="111111"/>
          <w:sz w:val="28"/>
          <w:sz w:val="28"/>
          <w:szCs w:val="28"/>
          <w:rtl w:val="true"/>
          <w:lang w:bidi="fa-IR"/>
        </w:rPr>
        <w:t>مستندات شهادت</w:t>
      </w:r>
    </w:p>
    <w:p>
      <w:pPr>
        <w:pStyle w:val="BookText"/>
        <w:rPr/>
      </w:pPr>
      <w:r>
        <w:rPr>
          <w:rFonts w:ascii="IRNazanin" w:hAnsi="IRNazanin" w:eastAsia="IRNazanin"/>
          <w:color w:val="111111"/>
          <w:sz w:val="28"/>
          <w:sz w:val="28"/>
          <w:szCs w:val="28"/>
          <w:rtl w:val="true"/>
          <w:lang w:bidi="fa-IR"/>
        </w:rPr>
        <w:t>اقسام حقوق</w:t>
      </w:r>
    </w:p>
    <w:p>
      <w:pPr>
        <w:pStyle w:val="BookText"/>
        <w:rPr/>
      </w:pPr>
      <w:r>
        <w:rPr>
          <w:rFonts w:ascii="IRNazanin" w:hAnsi="IRNazanin" w:eastAsia="IRNazanin"/>
          <w:color w:val="111111"/>
          <w:sz w:val="28"/>
          <w:sz w:val="28"/>
          <w:szCs w:val="28"/>
          <w:rtl w:val="true"/>
          <w:lang w:bidi="fa-IR"/>
        </w:rPr>
        <w:t>شهادت بر شهادت</w:t>
      </w:r>
    </w:p>
    <w:p>
      <w:pPr>
        <w:pStyle w:val="BookText"/>
        <w:rPr/>
      </w:pPr>
      <w:r>
        <w:rPr>
          <w:rFonts w:ascii="IRNazanin" w:hAnsi="IRNazanin" w:eastAsia="IRNazanin"/>
          <w:color w:val="111111"/>
          <w:sz w:val="28"/>
          <w:sz w:val="28"/>
          <w:szCs w:val="28"/>
          <w:rtl w:val="true"/>
          <w:lang w:bidi="fa-IR"/>
        </w:rPr>
        <w:t>توارد شهود بر معناى واحد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عوارض شهادت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2" w:name="pg10275_96498"/>
      <w:bookmarkStart w:id="1103" w:name="pg10275_96498"/>
      <w:bookmarkEnd w:id="1103"/>
    </w:p>
    <w:p>
      <w:pPr>
        <w:pStyle w:val="Heading3"/>
        <w:numPr>
          <w:ilvl w:val="2"/>
          <w:numId w:val="1"/>
        </w:numPr>
        <w:rPr/>
      </w:pPr>
      <w:bookmarkStart w:id="1104" w:name="pg10275_96498"/>
      <w:bookmarkStart w:id="1105" w:name="__RefHeading___Toc3971901_1067777946"/>
      <w:bookmarkStart w:id="1106" w:name="_Toc458"/>
      <w:bookmarkEnd w:id="1104"/>
      <w:bookmarkEnd w:id="1105"/>
      <w:r>
        <w:rPr>
          <w:rtl w:val="true"/>
        </w:rPr>
        <w:t>فصل اوّل معنى شهادت و صفات شاهد</w:t>
      </w:r>
      <w:bookmarkEnd w:id="1106"/>
    </w:p>
    <w:p>
      <w:pPr>
        <w:pStyle w:val="Heading4"/>
        <w:numPr>
          <w:ilvl w:val="3"/>
          <w:numId w:val="1"/>
        </w:numPr>
        <w:rPr/>
      </w:pPr>
      <w:bookmarkStart w:id="1107" w:name="__RefHeading___Toc3971903_1067777946"/>
      <w:bookmarkStart w:id="1108" w:name="_Toc459"/>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فصل اوّل معنى شهادت و صفات شاهد</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سيّد الأنبياء محمّد و آله سادة</w:t>
      </w:r>
    </w:p>
    <w:p>
      <w:pPr>
        <w:pStyle w:val="BookText"/>
        <w:rPr/>
      </w:pPr>
      <w:r>
        <w:rPr>
          <w:rFonts w:ascii="Amiri" w:hAnsi="Amiri" w:eastAsia="Amiri" w:cs="Amiri"/>
          <w:color w:val="111111"/>
          <w:sz w:val="28"/>
          <w:sz w:val="28"/>
          <w:szCs w:val="28"/>
          <w:rtl w:val="true"/>
          <w:lang w:bidi="ar-SA"/>
        </w:rPr>
        <w:t>الأوصياء الطاهرين و اللعن الدائم علىٰ أعدائهم أجمعين</w:t>
      </w:r>
    </w:p>
    <w:p>
      <w:pPr>
        <w:pStyle w:val="Heading4"/>
        <w:numPr>
          <w:ilvl w:val="3"/>
          <w:numId w:val="1"/>
        </w:numPr>
        <w:rPr/>
      </w:pPr>
      <w:bookmarkStart w:id="1109" w:name="__RefHeading___Toc3971905_1067777946"/>
      <w:bookmarkStart w:id="1110" w:name="_Toc460"/>
      <w:bookmarkEnd w:id="1109"/>
      <w:r>
        <w:rPr>
          <w:rtl w:val="true"/>
        </w:rPr>
        <w:t>معنى شهادت</w:t>
      </w:r>
      <w:bookmarkEnd w:id="1110"/>
    </w:p>
    <w:p>
      <w:pPr>
        <w:pStyle w:val="BookText"/>
        <w:rPr/>
      </w:pPr>
      <w:r>
        <w:rPr>
          <w:rFonts w:ascii="IRNazanin" w:hAnsi="IRNazanin" w:eastAsia="IRNazanin"/>
          <w:color w:val="111111"/>
          <w:sz w:val="28"/>
          <w:sz w:val="28"/>
          <w:szCs w:val="28"/>
          <w:rtl w:val="true"/>
          <w:lang w:bidi="fa-IR"/>
        </w:rPr>
        <w:t xml:space="preserve">دور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علم و آگاه بودن باشد، و تخصصات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آگاه كردن و گواهى دادن و حاضر بودن در محل علم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قراين مقام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در شهادتى كه با آن بيّنۀ شرعيه محقق مى شود و احكام خاصه بر آن مترتب مى شود، در ضمن مباحثى بيان مى شود</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3971907_1067777946"/>
      <w:bookmarkStart w:id="1112" w:name="_Toc461"/>
      <w:bookmarkEnd w:id="1111"/>
      <w:r>
        <w:rPr>
          <w:rtl w:val="true"/>
        </w:rPr>
        <w:t>صفات شاهد</w:t>
      </w:r>
      <w:bookmarkEnd w:id="1112"/>
    </w:p>
    <w:p>
      <w:pPr>
        <w:pStyle w:val="Heading5"/>
        <w:numPr>
          <w:ilvl w:val="4"/>
          <w:numId w:val="1"/>
        </w:numPr>
        <w:rPr/>
      </w:pPr>
      <w:bookmarkStart w:id="1113" w:name="__RefHeading___Toc3971909_1067777946"/>
      <w:bookmarkStart w:id="1114" w:name="_Toc462"/>
      <w:bookmarkEnd w:id="1113"/>
      <w:r>
        <w:rPr>
          <w:rtl w:val="true"/>
        </w:rPr>
        <w:t>اشاره</w:t>
      </w:r>
      <w:bookmarkEnd w:id="1114"/>
    </w:p>
    <w:p>
      <w:pPr>
        <w:pStyle w:val="BookText"/>
        <w:rPr/>
      </w:pPr>
      <w:r>
        <w:rPr>
          <w:rFonts w:ascii="Amiri" w:hAnsi="Amiri" w:eastAsia="Amiri" w:cs="Amiri"/>
          <w:color w:val="111111"/>
          <w:sz w:val="28"/>
          <w:sz w:val="28"/>
          <w:szCs w:val="28"/>
          <w:rtl w:val="true"/>
          <w:lang w:bidi="ar-SA"/>
        </w:rPr>
        <w:t>معتبر است در شاهد و ترتب حكم مترتب بر بيّنۀ شرعيّه امورى</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3971911_1067777946"/>
      <w:bookmarkStart w:id="1116" w:name="_Toc463"/>
      <w:bookmarkEnd w:id="1115"/>
      <w:r>
        <w:rPr>
          <w:rtl w:val="true"/>
        </w:rPr>
        <w:t>شرط اوّل</w:t>
      </w:r>
      <w:r>
        <w:rPr>
          <w:rtl w:val="true"/>
        </w:rPr>
        <w:t xml:space="preserve">: </w:t>
      </w:r>
      <w:r>
        <w:rPr>
          <w:rtl w:val="true"/>
        </w:rPr>
        <w:t>بلوغ</w:t>
      </w:r>
      <w:bookmarkEnd w:id="11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آنها بلوغ شاهد است؛ پس اعتبارى به شهادت غير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غير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اگر مميّز نباشد عقلاً؛ و اگر مميّز باشد و بالغ ده سالگى نباشد اجماعاً؛ و اگر بالغ </w:t>
      </w:r>
      <w:bookmarkStart w:id="1117" w:name="pg10275_96499"/>
    </w:p>
    <w:p>
      <w:pPr>
        <w:pStyle w:val="BookText"/>
        <w:rPr/>
      </w:pPr>
      <w:bookmarkEnd w:id="1117"/>
      <w:r>
        <w:rPr>
          <w:rFonts w:ascii="IRNazanin" w:hAnsi="IRNazanin" w:eastAsia="IRNazanin"/>
          <w:color w:val="111111"/>
          <w:sz w:val="28"/>
          <w:sz w:val="28"/>
          <w:szCs w:val="28"/>
          <w:rtl w:val="true"/>
          <w:lang w:bidi="fa-IR"/>
        </w:rPr>
        <w:t xml:space="preserve">ده سالگى باشد در غير جنايات بنا بر اظهر احوط؛ و در جنايات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قتل و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قبول شهادت آنها با بلوغ ده سالگى و صبىّ بودن طرفين ديگر شهادت تا موجب ديه باشد با اخذ به كلام اول در صورت اختلاف در كلام يك نفر و با نبودن بالغها براى شهادت مخصوصه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تعدى از صبىّ به صبيّه، موافق با اقتصار بر متيقن از مجتمع نصوص و فتاوى است و موافق با اصل است؛ و بر فرض تعدّى، آن تعدّدى كه در زنها معتبر است در دخترها نيز معتبر است</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3971913_1067777946"/>
      <w:bookmarkStart w:id="1119" w:name="_Toc464"/>
      <w:bookmarkEnd w:id="1118"/>
      <w:r>
        <w:rPr>
          <w:rtl w:val="true"/>
        </w:rPr>
        <w:t>شرط دوّم</w:t>
      </w:r>
      <w:r>
        <w:rPr>
          <w:rtl w:val="true"/>
        </w:rPr>
        <w:t xml:space="preserve">: </w:t>
      </w:r>
      <w:r>
        <w:rPr>
          <w:rtl w:val="true"/>
        </w:rPr>
        <w:t>كمال عقل</w:t>
      </w:r>
      <w:bookmarkEnd w:id="1119"/>
    </w:p>
    <w:p>
      <w:pPr>
        <w:pStyle w:val="BookText"/>
        <w:rPr/>
      </w:pPr>
      <w:r>
        <w:rPr>
          <w:rFonts w:ascii="IRNazanin" w:hAnsi="IRNazanin" w:eastAsia="IRNazanin"/>
          <w:color w:val="111111"/>
          <w:sz w:val="28"/>
          <w:sz w:val="28"/>
          <w:szCs w:val="28"/>
          <w:rtl w:val="true"/>
          <w:lang w:bidi="fa-IR"/>
        </w:rPr>
        <w:t>از اوصاف معتبره در ترتب حكم بر شهادت شاهد، كمال عقل شاهد است؛ پس شهادت مجنون معتبر نيست و كالعدم است؛ و اعتبار آن عقلى است پس منحصر است به حال اداى شهادت، و اعتبار به حال تحمل نيست؛ و منحصر است به حال شهادت در حال جنون پس مجنون ادوارى، شهادت او در حال افاقه معلومه،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ميزان، علم و يقين به فعليت كمال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ترتيب اثر بر شهادت مى دهد، حاكم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عدالت معتبرۀ در شاهد، 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مغنى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عقل كه دليل اعتبار است معيّن آن است در نفس جنون، نه در همه ملحقات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عقل، دليل وحيد است در اين شرط پس هر چه به حكم 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حكم را دارد مثل حال كثير السهو و النسيان و الغفلة و الغلط و خارج از متعارف در تمييز در محسوسات يا حدسيات به حسب اختلاف در مشهودٌ به و شاهد</w:t>
      </w:r>
      <w:r>
        <w:rPr>
          <w:rFonts w:eastAsia="IRNazanin" w:cs="IRNazanin"/>
          <w:color w:val="111111"/>
          <w:sz w:val="28"/>
          <w:szCs w:val="28"/>
          <w:rtl w:val="true"/>
          <w:lang w:bidi="fa-IR"/>
        </w:rPr>
        <w:t>.</w:t>
      </w:r>
    </w:p>
    <w:p>
      <w:pPr>
        <w:pStyle w:val="Heading5"/>
        <w:numPr>
          <w:ilvl w:val="4"/>
          <w:numId w:val="1"/>
        </w:numPr>
        <w:rPr/>
      </w:pPr>
      <w:bookmarkStart w:id="1120" w:name="__RefHeading___Toc3971915_1067777946"/>
      <w:bookmarkStart w:id="1121" w:name="_Toc465"/>
      <w:bookmarkEnd w:id="1120"/>
      <w:r>
        <w:rPr>
          <w:rtl w:val="true"/>
        </w:rPr>
        <w:t>شرط سوّم</w:t>
      </w:r>
      <w:r>
        <w:rPr>
          <w:rtl w:val="true"/>
        </w:rPr>
        <w:t xml:space="preserve">: </w:t>
      </w:r>
      <w:r>
        <w:rPr>
          <w:rtl w:val="true"/>
        </w:rPr>
        <w:t>اسلام</w:t>
      </w:r>
      <w:bookmarkEnd w:id="1121"/>
    </w:p>
    <w:p>
      <w:pPr>
        <w:pStyle w:val="Heading6"/>
        <w:numPr>
          <w:ilvl w:val="5"/>
          <w:numId w:val="1"/>
        </w:numPr>
        <w:rPr/>
      </w:pPr>
      <w:bookmarkStart w:id="1122" w:name="__RefHeading___Toc3971917_1067777946"/>
      <w:bookmarkStart w:id="1123" w:name="_Toc466"/>
      <w:bookmarkEnd w:id="1122"/>
      <w:r>
        <w:rPr>
          <w:rtl w:val="true"/>
        </w:rPr>
        <w:t>اشاره</w:t>
      </w:r>
      <w:bookmarkEnd w:id="1123"/>
    </w:p>
    <w:p>
      <w:pPr>
        <w:pStyle w:val="BookText"/>
        <w:rPr/>
      </w:pPr>
      <w:r>
        <w:rPr>
          <w:rFonts w:ascii="Amiri" w:hAnsi="Amiri" w:eastAsia="Amiri" w:cs="Amiri"/>
          <w:color w:val="111111"/>
          <w:sz w:val="28"/>
          <w:sz w:val="28"/>
          <w:szCs w:val="28"/>
          <w:rtl w:val="true"/>
          <w:lang w:bidi="ar-SA"/>
        </w:rPr>
        <w:t>شرط سوم اسلام است، و اعتبار آن قطعى است در غير صورت آتيه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اثنا عشرى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نقل اجماع </w:t>
      </w:r>
      <w:bookmarkStart w:id="1124" w:name="pg10275_96500"/>
    </w:p>
    <w:p>
      <w:pPr>
        <w:pStyle w:val="BookText"/>
        <w:rPr/>
      </w:pPr>
      <w:bookmarkEnd w:id="1124"/>
      <w:r>
        <w:rPr>
          <w:rFonts w:ascii="Amiri" w:hAnsi="Amiri" w:eastAsia="Amiri" w:cs="Amiri"/>
          <w:color w:val="111111"/>
          <w:sz w:val="28"/>
          <w:sz w:val="28"/>
          <w:szCs w:val="28"/>
          <w:rtl w:val="true"/>
          <w:lang w:bidi="ar-SA"/>
        </w:rPr>
        <w:t>از جمعى از متأخرين است، و جماعتى اكتفاى در مستند به همين نقل بلكه به دعواى ضرورت بين اهل مذهب نموده اند، و بعضى اضافه نموده اند استدلال به كفر حقيقى و فسق مخالف در اعتقاد حقّ را</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3971919_1067777946"/>
      <w:bookmarkStart w:id="1126" w:name="_Toc467"/>
      <w:bookmarkEnd w:id="1125"/>
      <w:r>
        <w:rPr>
          <w:rtl w:val="true"/>
        </w:rPr>
        <w:t>حكم شهادت نصّاب و معاندين</w:t>
      </w:r>
      <w:bookmarkEnd w:id="1126"/>
    </w:p>
    <w:p>
      <w:pPr>
        <w:pStyle w:val="BookText"/>
        <w:rPr/>
      </w:pPr>
      <w:r>
        <w:rPr>
          <w:rFonts w:ascii="IRNazanin" w:hAnsi="IRNazanin" w:eastAsia="IRNazanin"/>
          <w:color w:val="111111"/>
          <w:sz w:val="28"/>
          <w:sz w:val="28"/>
          <w:szCs w:val="28"/>
          <w:rtl w:val="true"/>
          <w:lang w:bidi="fa-IR"/>
        </w:rPr>
        <w:t>اما نُصّاب و معاندين حق پس به حكم كافر بلكه موضوعاً كافرند؛ و همچنين بايد محل اشكال نباشد صورت وجود مؤمن عادل براى شهادت خاصه؛ و همچنين بايد محل اشكال نباشد صورت حصول علم براى حاكم در مواضع جواز حكم او به علم خودش</w:t>
      </w:r>
      <w:r>
        <w:rPr>
          <w:rFonts w:eastAsia="IRNazanin" w:cs="IRNazanin"/>
          <w:color w:val="111111"/>
          <w:sz w:val="28"/>
          <w:szCs w:val="28"/>
          <w:rtl w:val="true"/>
          <w:lang w:bidi="fa-IR"/>
        </w:rPr>
        <w:t>.</w:t>
      </w:r>
    </w:p>
    <w:p>
      <w:pPr>
        <w:pStyle w:val="Heading6"/>
        <w:numPr>
          <w:ilvl w:val="5"/>
          <w:numId w:val="1"/>
        </w:numPr>
        <w:rPr/>
      </w:pPr>
      <w:bookmarkStart w:id="1127" w:name="__RefHeading___Toc3971921_1067777946"/>
      <w:bookmarkStart w:id="1128" w:name="_Toc468"/>
      <w:bookmarkEnd w:id="1127"/>
      <w:r>
        <w:rPr>
          <w:rtl w:val="true"/>
        </w:rPr>
        <w:t>حكم شهادت مستضعف، شاكّ در دين و</w:t>
      </w:r>
      <w:r>
        <w:rPr>
          <w:rtl w:val="true"/>
        </w:rPr>
        <w:t>...</w:t>
      </w:r>
      <w:bookmarkEnd w:id="11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غير اين مواضع، مثل مستضعف ها، و شاكّ در حق، و مؤمن به ايمان تعليقى يعنى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ما يقال لقلنا، و لو فعلوا بأهل البيت ما يقال تبرّأنا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طايفه اغلب عامه را تشكيل مى دهند، و اغلب آنها بلكه اكثر علماى آنها به سبب تقليد اسلاف كه عمده دليل اهل شرك است قاصر و عاجز از تمييز حق بر خلاف محيط اتفاق بر خلاف است، با معلوميت اين كه اختلاف آنها با اهل حق، راجع به اختلاف در نقص و كمال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اولويت از اهل ذمّه در مورد قبول شهادت ايشان؛ و همچنين تعليل وارد در اهل ذمه به عدم صلاحيت ذهاب حق احدى، با ملاحظه الغاى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بر اراده عدم شاهد مسلم عادل، و همچنين معلوميّت كفايت ملكه صدق در روايت و شهادت، و مطلوب در آنها همين است؛ و باعث بر صدق و مانع از كذب، عدالت وجدانيه در مذهب است، نه در واقع؛ و خروج خارج به يقين در محل تسليم، ضرر به اخذ به عمومات ندارد؛ و انصراف به مؤمن، در محل منع است با ملاحظه خصوصيات مزبوره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خروج صورت تهمت بر عليه ايمان مثل موارد عدم معرفت </w:t>
      </w:r>
      <w:bookmarkStart w:id="1129" w:name="pg10275_96501"/>
    </w:p>
    <w:p>
      <w:pPr>
        <w:pStyle w:val="BookText"/>
        <w:rPr/>
      </w:pPr>
      <w:bookmarkEnd w:id="1129"/>
      <w:r>
        <w:rPr>
          <w:rFonts w:ascii="IRNazanin" w:hAnsi="IRNazanin" w:eastAsia="IRNazanin"/>
          <w:color w:val="111111"/>
          <w:sz w:val="28"/>
          <w:sz w:val="28"/>
          <w:szCs w:val="28"/>
          <w:rtl w:val="true"/>
          <w:lang w:bidi="fa-IR"/>
        </w:rPr>
        <w:t xml:space="preserve">مشاهد به مذهب مشهودٌ عليه يا قطع به موافقت او كه محلّ تهمت نيست؛ پس كلام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استدلال به فسق، متين است، و در استناد به اجماع با اعتبار كشف از حجّت لدى المنقول اليه مورد مناقشه است؛ بلكه مقتضاى اصل، عدم شرطيت مشكوك الاعتبار است، و انصراف اطلاقات در محل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استفاده مقصود از صحيح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معروف نزد شيعه است كه عداوت با شيعه دارند و اهل خلاف حق هستند، نه محكوم به كفر كه هيچ مناسبت با جواب ندارد؛ و بعد از ملاحظه جواب با سؤال و معلوميت حال كفار و نصّاب نزد اهل ايمان به حدّى كه حاجت به سؤال ندارد، معلوم مى شود مستفاد از جواب، كه معرفت صلاح فى نفسه محال است در كفار و نصّاب با آن كه استثناى در كفار مقبول است، پس عمل به اطلاقات با ملاحظه خصوصيات متقدمه خالى از وجه نيست، و اللّٰه العالم</w:t>
      </w:r>
      <w:r>
        <w:rPr>
          <w:rFonts w:eastAsia="IRNazanin" w:cs="IRNazanin"/>
          <w:color w:val="111111"/>
          <w:sz w:val="28"/>
          <w:szCs w:val="28"/>
          <w:rtl w:val="true"/>
          <w:lang w:bidi="fa-IR"/>
        </w:rPr>
        <w:t>.</w:t>
      </w:r>
    </w:p>
    <w:p>
      <w:pPr>
        <w:pStyle w:val="Heading6"/>
        <w:numPr>
          <w:ilvl w:val="5"/>
          <w:numId w:val="1"/>
        </w:numPr>
        <w:rPr/>
      </w:pPr>
      <w:bookmarkStart w:id="1130" w:name="__RefHeading___Toc3971923_1067777946"/>
      <w:bookmarkStart w:id="1131" w:name="_Toc469"/>
      <w:bookmarkEnd w:id="1130"/>
      <w:r>
        <w:rPr>
          <w:rtl w:val="true"/>
        </w:rPr>
        <w:t>قبول شهادت ذمّى</w:t>
      </w:r>
      <w:bookmarkEnd w:id="1131"/>
    </w:p>
    <w:p>
      <w:pPr>
        <w:pStyle w:val="BookText"/>
        <w:rPr/>
      </w:pPr>
      <w:r>
        <w:rPr>
          <w:rFonts w:ascii="IRNazanin" w:hAnsi="IRNazanin" w:eastAsia="IRNazanin"/>
          <w:color w:val="111111"/>
          <w:sz w:val="28"/>
          <w:sz w:val="28"/>
          <w:szCs w:val="28"/>
          <w:rtl w:val="true"/>
          <w:lang w:bidi="fa-IR"/>
        </w:rPr>
        <w:t xml:space="preserve">قبول است شهادت دو ذمّى كه عادل در دين خودشان نزد اهل ايشان باشند، در وصيت به مال، در صورت عدم وجود عدول از اهل اسلام و ايمان به نحو متقدم؛ و اظهر عدم اشتراط غربت موصى است در انفاذ وصيت مذكوره؛ بلكه تعدّى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ضرورت مذكوره و عدم عدول مسلمين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ساير وصاياى سائغۀ با شهادت اهل اسلام و ايمان، خالى از وجه نيست، چنان چه از مفهوم تعليل استنباط مى شود؛ و همچنين ترجيح مسلمانهاى صادق و غير خائن، در صورت عدم مقبول الشهادة از اهل اسلام و ايمان، بر ذميَّين عادل در دين خودشان، خالى از وجه نيست چنان 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اظهر عدم رجحان مجهول العداله از مسلمانها، بر ذميَّين معلوم العداله در دين خودشان است در صورت احتمال فسق مسلمان به كذب عمدى و خيانت عمديه و نحو آنها، بلكه مقتضاى اطلاقات، عكس است</w:t>
      </w:r>
      <w:r>
        <w:rPr>
          <w:rFonts w:eastAsia="Amiri" w:cs="Amiri" w:ascii="Amiri" w:hAnsi="Amiri"/>
          <w:color w:val="111111"/>
          <w:sz w:val="28"/>
          <w:szCs w:val="28"/>
          <w:rtl w:val="true"/>
          <w:lang w:bidi="ar-SA"/>
        </w:rPr>
        <w:t xml:space="preserve">. </w:t>
      </w:r>
      <w:bookmarkStart w:id="1132" w:name="pg10275_96502"/>
    </w:p>
    <w:p>
      <w:pPr>
        <w:pStyle w:val="Heading6"/>
        <w:numPr>
          <w:ilvl w:val="5"/>
          <w:numId w:val="1"/>
        </w:numPr>
        <w:rPr/>
      </w:pPr>
      <w:bookmarkStart w:id="1133" w:name="__RefHeading___Toc3971925_1067777946"/>
      <w:bookmarkStart w:id="1134" w:name="_Toc470"/>
      <w:bookmarkEnd w:id="1132"/>
      <w:bookmarkEnd w:id="1133"/>
      <w:r>
        <w:rPr>
          <w:rtl w:val="true"/>
        </w:rPr>
        <w:t>نحوۀ اثبات ايمان شاهد</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شاهد، ثابت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معرفت حاكم، و حكم او نافذ است با احتمال ايمان شهود مربوطين به حكم؛ و به قيام بيّنۀ عادله بر ايمان براى هر كه ترتيب اثر سائغ بر شهادت مى دهد؛ و به اقرار شخص در صورت عدم رجوع به ادّعاى امر متوقف بر ايمان</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3971927_1067777946"/>
      <w:bookmarkStart w:id="1136" w:name="_Toc471"/>
      <w:bookmarkEnd w:id="1135"/>
      <w:r>
        <w:rPr>
          <w:rtl w:val="true"/>
        </w:rPr>
        <w:t>اطلاق قبول شهادت مؤمن</w:t>
      </w:r>
      <w:bookmarkEnd w:id="1136"/>
    </w:p>
    <w:p>
      <w:pPr>
        <w:pStyle w:val="BookText"/>
        <w:rPr/>
      </w:pPr>
      <w:r>
        <w:rPr>
          <w:rFonts w:ascii="IRNazanin" w:hAnsi="IRNazanin" w:eastAsia="IRNazanin"/>
          <w:color w:val="111111"/>
          <w:sz w:val="28"/>
          <w:sz w:val="28"/>
          <w:szCs w:val="28"/>
          <w:rtl w:val="true"/>
          <w:lang w:bidi="fa-IR"/>
        </w:rPr>
        <w:t>و شهادت مسلم مؤمن نافذ است بر همه اهل اديان و براى آنها، به خلاف عكس حتى اهل ذمّه مگر در وصيت متقدمه در صورت عدم عدول مسلمين؛ و شهادت اهل حرب از كفار مُلغىٰ است حتى در اهل ملت خودشان چه براى آنها باشد يا بر آنها باشد، و حصول يقين به اخبار آنها خارج از شهادت است</w:t>
      </w:r>
      <w:r>
        <w:rPr>
          <w:rFonts w:eastAsia="IRNazanin" w:cs="IRNazanin"/>
          <w:color w:val="111111"/>
          <w:sz w:val="28"/>
          <w:szCs w:val="28"/>
          <w:rtl w:val="true"/>
          <w:lang w:bidi="fa-IR"/>
        </w:rPr>
        <w:t>.</w:t>
      </w:r>
    </w:p>
    <w:p>
      <w:pPr>
        <w:pStyle w:val="Heading6"/>
        <w:numPr>
          <w:ilvl w:val="5"/>
          <w:numId w:val="1"/>
        </w:numPr>
        <w:rPr/>
      </w:pPr>
      <w:bookmarkStart w:id="1137" w:name="__RefHeading___Toc3971929_1067777946"/>
      <w:bookmarkStart w:id="1138" w:name="_Toc472"/>
      <w:bookmarkEnd w:id="1137"/>
      <w:r>
        <w:rPr>
          <w:rtl w:val="true"/>
        </w:rPr>
        <w:t>قبول شهادت ذمّى بر ذمّى</w:t>
      </w:r>
      <w:bookmarkEnd w:id="1138"/>
    </w:p>
    <w:p>
      <w:pPr>
        <w:pStyle w:val="BookText"/>
        <w:rPr/>
      </w:pPr>
      <w:r>
        <w:rPr>
          <w:rFonts w:ascii="IRNazanin" w:hAnsi="IRNazanin" w:eastAsia="IRNazanin"/>
          <w:color w:val="111111"/>
          <w:sz w:val="28"/>
          <w:sz w:val="28"/>
          <w:szCs w:val="28"/>
          <w:rtl w:val="true"/>
          <w:lang w:bidi="fa-IR"/>
        </w:rPr>
        <w:t xml:space="preserve">آيا مقبول است شهادت ذمّى بر ذمّى و بر غير اهل ذمّه از اهل حرب‌؟ خالى از وجه مستفاد از موافقت با مسلمين با وفاى به شروط ذمّه و از الزام آنها به معتقدات خودشان و از تعليل واقع در صحيح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حكم مسلم بر آنها در ما بين ايشان به شهودى از ايشان بلكه براى مسلم بر عليه غير مسلم، نافذ است در صورت عدم وجود مقبول الشهادة از غير اهل ذمه و با عدالت شهود در ملت خودشان؛ و اظهر در فروض مسأله شهادت اهل ذمه بر اهل ملت خودشان و براى آنها است و آن مقتضاى اولويت است در وصيت با عدم مسلمين عدول</w:t>
      </w:r>
      <w:r>
        <w:rPr>
          <w:rFonts w:eastAsia="IRNazanin" w:cs="IRNazanin"/>
          <w:color w:val="111111"/>
          <w:sz w:val="28"/>
          <w:szCs w:val="28"/>
          <w:rtl w:val="true"/>
          <w:lang w:bidi="fa-IR"/>
        </w:rPr>
        <w:t>.</w:t>
      </w:r>
    </w:p>
    <w:p>
      <w:pPr>
        <w:pStyle w:val="Heading5"/>
        <w:numPr>
          <w:ilvl w:val="4"/>
          <w:numId w:val="1"/>
        </w:numPr>
        <w:rPr/>
      </w:pPr>
      <w:bookmarkStart w:id="1139" w:name="__RefHeading___Toc3971931_1067777946"/>
      <w:bookmarkStart w:id="1140" w:name="_Toc473"/>
      <w:bookmarkEnd w:id="1139"/>
      <w:r>
        <w:rPr>
          <w:rtl w:val="true"/>
        </w:rPr>
        <w:t>شرط چهارم</w:t>
      </w:r>
      <w:r>
        <w:rPr>
          <w:rtl w:val="true"/>
        </w:rPr>
        <w:t xml:space="preserve">: </w:t>
      </w:r>
      <w:r>
        <w:rPr>
          <w:rtl w:val="true"/>
        </w:rPr>
        <w:t>عدالت</w:t>
      </w:r>
      <w:bookmarkEnd w:id="1140"/>
    </w:p>
    <w:p>
      <w:pPr>
        <w:pStyle w:val="Heading6"/>
        <w:numPr>
          <w:ilvl w:val="5"/>
          <w:numId w:val="1"/>
        </w:numPr>
        <w:rPr/>
      </w:pPr>
      <w:bookmarkStart w:id="1141" w:name="__RefHeading___Toc3971933_1067777946"/>
      <w:bookmarkStart w:id="1142" w:name="_Toc474"/>
      <w:bookmarkEnd w:id="1141"/>
      <w:r>
        <w:rPr>
          <w:rtl w:val="true"/>
        </w:rPr>
        <w:t>اشاره</w:t>
      </w:r>
      <w:bookmarkEnd w:id="11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 عدالت است؛ و اعتبار آن در شاهد و نفوذ حكم به شهادت عادل، واضح است نزد اماميه؛ و مناسبت شهادت فاسق و نفوذ حكم به آن، مناسبت او با فاسق بودن حاكم، معلوم است</w:t>
      </w:r>
      <w:r>
        <w:rPr>
          <w:rFonts w:eastAsia="IRNazanin" w:cs="IRNazanin"/>
          <w:color w:val="111111"/>
          <w:sz w:val="28"/>
          <w:szCs w:val="28"/>
          <w:rtl w:val="true"/>
          <w:lang w:bidi="fa-IR"/>
        </w:rPr>
        <w:t xml:space="preserve">. </w:t>
      </w:r>
      <w:bookmarkStart w:id="1143" w:name="pg10275_96503"/>
    </w:p>
    <w:p>
      <w:pPr>
        <w:pStyle w:val="Heading6"/>
        <w:numPr>
          <w:ilvl w:val="5"/>
          <w:numId w:val="1"/>
        </w:numPr>
        <w:rPr/>
      </w:pPr>
      <w:bookmarkStart w:id="1144" w:name="__RefHeading___Toc3971935_1067777946"/>
      <w:bookmarkStart w:id="1145" w:name="_Toc475"/>
      <w:bookmarkEnd w:id="1143"/>
      <w:bookmarkEnd w:id="1144"/>
      <w:r>
        <w:rPr>
          <w:rtl w:val="true"/>
        </w:rPr>
        <w:t>معناى عدالت و نحوۀ زايل شدن و عود آن</w:t>
      </w:r>
      <w:bookmarkEnd w:id="1145"/>
    </w:p>
    <w:p>
      <w:pPr>
        <w:pStyle w:val="BookText"/>
        <w:rPr/>
      </w:pPr>
      <w:r>
        <w:rPr>
          <w:rFonts w:ascii="IRNazanin" w:hAnsi="IRNazanin" w:eastAsia="IRNazanin"/>
          <w:color w:val="111111"/>
          <w:sz w:val="28"/>
          <w:sz w:val="28"/>
          <w:szCs w:val="28"/>
          <w:rtl w:val="true"/>
          <w:lang w:bidi="fa-IR"/>
        </w:rPr>
        <w:t>و كلام در تعريف عدالت به ملكۀ خوف از خداى متعالى و كاشفيت حسن ظاهر از آن و اعتبار عدم منافيات مروّت گذشت در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زايل مى شود عدالت به فعل كباير و به اصرار بر صغاير، و عود مى نمايد به 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لزوم استغفار است با اصرار بر صغاير در عود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مفاد آيۀ شريفه، عموم تكفير اجتناب از كباير است به صورت 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حكومت دليل نفى صغيره با اصرار و اثبات كبيره با آن، مؤيَّد به روايت تعداد كباير به چهل و جعل اصرار، از كباير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146" w:name="__RefHeading___Toc3971937_1067777946"/>
      <w:bookmarkStart w:id="1147" w:name="_Toc476"/>
      <w:bookmarkEnd w:id="1146"/>
      <w:r>
        <w:rPr>
          <w:rtl w:val="true"/>
        </w:rPr>
        <w:t>مسائل مربوطه به مقام اشتراط عدالت</w:t>
      </w:r>
      <w:bookmarkEnd w:id="1147"/>
    </w:p>
    <w:p>
      <w:pPr>
        <w:pStyle w:val="Heading6"/>
        <w:numPr>
          <w:ilvl w:val="5"/>
          <w:numId w:val="1"/>
        </w:numPr>
        <w:rPr/>
      </w:pPr>
      <w:bookmarkStart w:id="1148" w:name="__RefHeading___Toc3971939_1067777946"/>
      <w:bookmarkStart w:id="1149" w:name="_Toc477"/>
      <w:bookmarkEnd w:id="1148"/>
      <w:r>
        <w:rPr>
          <w:rtl w:val="true"/>
        </w:rPr>
        <w:t>حكم شهادت كافر و مخالف</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بيان مردوديّت شهادت محكوم به كفر اگر چه به سبب مخالفت و انكار ضروريات دينيّه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مخالف با ايمان به معنى اخص است پس مخالفت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قطعيّات مذهب از اصول و فروع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تفصيل در آن بين معاند و مستضعف، و قاصر و مقصّر، و مأمون از كذب و خيانت و غير مأمون، و صورت وجود مؤمنين براى شهادت خاصه و عدم آن، مثل استثنايى كه در شهادت ذمّى در وصيت به مال ثابت است؛ و معلوم مى شود آن چه مذكور در اين مقام است از آن چه اختيار شد در اشتراط ايمان</w:t>
      </w:r>
      <w:r>
        <w:rPr>
          <w:rFonts w:eastAsia="IRNazanin" w:cs="IRNazanin"/>
          <w:color w:val="111111"/>
          <w:sz w:val="28"/>
          <w:szCs w:val="28"/>
          <w:rtl w:val="true"/>
          <w:lang w:bidi="fa-IR"/>
        </w:rPr>
        <w:t>.</w:t>
      </w:r>
    </w:p>
    <w:p>
      <w:pPr>
        <w:pStyle w:val="Heading6"/>
        <w:numPr>
          <w:ilvl w:val="5"/>
          <w:numId w:val="1"/>
        </w:numPr>
        <w:rPr/>
      </w:pPr>
      <w:bookmarkStart w:id="1150" w:name="__RefHeading___Toc3971941_1067777946"/>
      <w:bookmarkStart w:id="1151" w:name="_Toc478"/>
      <w:bookmarkEnd w:id="1150"/>
      <w:r>
        <w:rPr>
          <w:rtl w:val="true"/>
        </w:rPr>
        <w:t>قذف محصنات و توبۀ از آن</w:t>
      </w:r>
      <w:bookmarkEnd w:id="11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قذف محصنات بدون لعان يا بيّنه يا اقرار مقذوف، كبيره و موجب فسق است؛ و بعد از اقامۀ حدّ و توبه، شهادت او مقبول است، مانند ساير تائبين از كباير؛ و با تكذيب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مشتمل بر توريه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او محقق و تام مى شود؛ آيا با تخطئۀ</w:t>
      </w:r>
      <w:bookmarkStart w:id="1152" w:name="pg10275_96504"/>
    </w:p>
    <w:p>
      <w:pPr>
        <w:pStyle w:val="BookText"/>
        <w:rPr/>
      </w:pPr>
      <w:bookmarkEnd w:id="1152"/>
      <w:r>
        <w:rPr>
          <w:rFonts w:ascii="IRNazanin" w:hAnsi="IRNazanin" w:eastAsia="IRNazanin"/>
          <w:color w:val="111111"/>
          <w:sz w:val="28"/>
          <w:sz w:val="28"/>
          <w:szCs w:val="28"/>
          <w:rtl w:val="true"/>
          <w:lang w:bidi="fa-IR"/>
        </w:rPr>
        <w:t>خويش و تصريح به بطلان و عصيان به قذف و عدم عود به آن، محقق مى شود و تماميت پيدا مى كند؟ احوط اول است، و مقصود عدم اكتفا به قول استغفار است نه اكتفا به تكذيب نفس در توبه، بلكه ضميمۀ مذكوره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اعتبار اقامۀ حدّ و اين كه تكذيب نزد حاكم و آن كه مطلع بر قذف شده و در صورت عدم امكان نزد مسلمانها در تماميت توبه، تأمل است، و اكتفا به ثابت شدن توبۀ تامه شرعاً،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كفايت توبۀ ثابته در قبول شهادت قاذف است، و لازم نيست زايد بر توبه، عمل صالح، حتى استمرار بر توبه؛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قايل به اشتراط عمل و جمعى مكتفى به استمرار مذكور شده اند بر خلاف مقتضاى اصل در ساير آثار توبه از ساير معاصى، و دلالت آيۀ شريفه بر تقييد زايد، محل تأمل است</w:t>
      </w:r>
      <w:r>
        <w:rPr>
          <w:rFonts w:eastAsia="IRNazanin" w:cs="IRNazanin"/>
          <w:color w:val="111111"/>
          <w:sz w:val="28"/>
          <w:szCs w:val="28"/>
          <w:rtl w:val="true"/>
          <w:lang w:bidi="fa-IR"/>
        </w:rPr>
        <w:t>.</w:t>
      </w:r>
    </w:p>
    <w:p>
      <w:pPr>
        <w:pStyle w:val="Heading6"/>
        <w:numPr>
          <w:ilvl w:val="5"/>
          <w:numId w:val="1"/>
        </w:numPr>
        <w:rPr/>
      </w:pPr>
      <w:bookmarkStart w:id="1153" w:name="__RefHeading___Toc3971943_1067777946"/>
      <w:bookmarkStart w:id="1154" w:name="_Toc479"/>
      <w:bookmarkEnd w:id="1153"/>
      <w:r>
        <w:rPr>
          <w:rtl w:val="true"/>
        </w:rPr>
        <w:t>حرمت شديد بازى با شطرنج و آلات قمار</w:t>
      </w:r>
      <w:bookmarkEnd w:id="11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لعب با شطرنج و نرد و جميع اقسام قمار با آلات معدّه و با معاوضه، از محرّمات شديد و معدود از كباير و در عداد آنها به حسب مرتكزات اماميّه و مستفاد از نصوص و فتاوى معظم است، و مردوديّت شهادت اهل آنها قبل از توبه امرى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آلت معدّه و معاوضه و عدم آن، در محل آنها از مكاسب محرّمه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اشكال در كبيره بودن، مناسب وضع ارتكاز در اذهان متشرّعه اماميه نيست</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3971945_1067777946"/>
      <w:bookmarkStart w:id="1156" w:name="_Toc480"/>
      <w:bookmarkEnd w:id="1155"/>
      <w:r>
        <w:rPr>
          <w:rtl w:val="true"/>
        </w:rPr>
        <w:t>شرب مسكر</w:t>
      </w:r>
      <w:bookmarkEnd w:id="11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 مسكرات، از معاصى كبيره است نزد اماميه، و صاحب آن فاسق و مردود الشهادة است؛ هر قسمى از مسكرات باشد و هر قدرى از آن را بياشامد اگر چه قطره اى باشد با حفظ صدق، در محدوديّت و فسق و ردّ شهادت قبل از توبه اشتراك دارند؛ و همچنين فقاع؛ و همچنين در اصل حرمت عصير عنبى بعد از غليان و قبل از ذهاب ثلثين يا انقلاب به سركه كه مزيل حرمت و نجاست آن است، بنا بر اظهر در</w:t>
      </w:r>
      <w:bookmarkStart w:id="1157" w:name="pg10275_96505"/>
    </w:p>
    <w:p>
      <w:pPr>
        <w:pStyle w:val="BookText"/>
        <w:rPr/>
      </w:pPr>
      <w:bookmarkEnd w:id="1157"/>
      <w:r>
        <w:rPr>
          <w:rFonts w:ascii="Amiri" w:hAnsi="Amiri" w:eastAsia="Amiri" w:cs="Amiri"/>
          <w:color w:val="111111"/>
          <w:sz w:val="28"/>
          <w:sz w:val="28"/>
          <w:szCs w:val="28"/>
          <w:rtl w:val="true"/>
          <w:lang w:bidi="ar-SA"/>
        </w:rPr>
        <w:t>ثبوت حرمت و نجاست قبل از اين دو محلّل؛ و تفصيل اقسام محرّم و محلّل در كتاب طهارت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 در محلش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محكوميت عصير زبيب و تمر، به حكم عصير عنبى، در حرمت و حلّيت و نجاست و طهارت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مانعى نيست در اتخاذ خمر براى تخليل، به خلاف اتخاذ براى انتفاعات محرّمه</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3971947_1067777946"/>
      <w:bookmarkStart w:id="1159" w:name="_Toc481"/>
      <w:bookmarkEnd w:id="1158"/>
      <w:r>
        <w:rPr>
          <w:rtl w:val="true"/>
        </w:rPr>
        <w:t>غنا</w:t>
      </w:r>
      <w:bookmarkEnd w:id="1159"/>
    </w:p>
    <w:p>
      <w:pPr>
        <w:pStyle w:val="Heading6"/>
        <w:numPr>
          <w:ilvl w:val="5"/>
          <w:numId w:val="1"/>
        </w:numPr>
        <w:rPr/>
      </w:pPr>
      <w:bookmarkStart w:id="1160" w:name="__RefHeading___Toc3971949_1067777946"/>
      <w:bookmarkStart w:id="1161" w:name="_Toc482"/>
      <w:bookmarkEnd w:id="1160"/>
      <w:r>
        <w:rPr>
          <w:rtl w:val="true"/>
        </w:rPr>
        <w:t>اشاره</w:t>
      </w:r>
      <w:bookmarkEnd w:id="11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مدّ صوت مشتمل بر ترجيع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فاعل آن فاسق و مردود الشهادة است، و همچنين مستمع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حكم سارى است در تلاوت قرآن و ذكر اشعار مشتمله بر مدح اهل بيت سلام اللّٰه عليهم يا مصايب ايشان‌؟ مبتنى است بر حصول طرب و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مرتبه اى از سكر است در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آن، چون مطرب شأنى محرّم است، و مراتب 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از ذكر اللّٰه ملاك حرمت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معانى ندارد بلكه متولد از خصوصيت صوت است اگر چه مفهوم نباشد معناى آن، لكن اگر حاصل از اذكار مذكورۀ الهيّه ضدّ آن اثر نباشد، يعنى زوال عقل در اوّلى و غلبۀ نفسانيت حاصل است، به خلاف عكس آن در دومى، به شهادت مناسبت اوّلى با مجلس اهل فسوق و عصيان، به خلاف دومى، چنان چه مستفاد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بالتي يدخل عليها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 احراز اتحاد در ملاك مذكور، محرّم، و بدون آن محكوم به حلّيت است؛ و منقول از جمعى از اعاظم متأخرين، عمل به وجه دوم است، و از جماعتى، عمل به وجه اول، و اللّٰه العالم؛ و احوط اقتصار بر قرائت با صوت حَسَن و ذكر غير بالغ به حدّ اطراب شأنى است</w:t>
      </w:r>
      <w:r>
        <w:rPr>
          <w:rFonts w:eastAsia="IRNazanin" w:cs="IRNazanin"/>
          <w:color w:val="111111"/>
          <w:sz w:val="28"/>
          <w:szCs w:val="28"/>
          <w:rtl w:val="true"/>
          <w:lang w:bidi="fa-IR"/>
        </w:rPr>
        <w:t>.</w:t>
      </w:r>
    </w:p>
    <w:p>
      <w:pPr>
        <w:pStyle w:val="Heading6"/>
        <w:numPr>
          <w:ilvl w:val="5"/>
          <w:numId w:val="1"/>
        </w:numPr>
        <w:rPr/>
      </w:pPr>
      <w:bookmarkStart w:id="1162" w:name="__RefHeading___Toc3971951_1067777946"/>
      <w:bookmarkStart w:id="1163" w:name="_Toc483"/>
      <w:bookmarkEnd w:id="1162"/>
      <w:r>
        <w:rPr>
          <w:rtl w:val="true"/>
        </w:rPr>
        <w:t>حِداء</w:t>
      </w:r>
      <w:bookmarkEnd w:id="116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صوت شعرى مهيّج حيوانات مركوبه است براى سرعت سير با راحتى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براى خروج موضوعى يا حكمى از تحريم غنا براى قايل و مستمع؛ و </w:t>
      </w:r>
      <w:bookmarkStart w:id="1164" w:name="pg10275_96506"/>
    </w:p>
    <w:p>
      <w:pPr>
        <w:pStyle w:val="BookText"/>
        <w:rPr/>
      </w:pPr>
      <w:bookmarkEnd w:id="1164"/>
      <w:r>
        <w:rPr>
          <w:rFonts w:ascii="Amiri" w:hAnsi="Amiri" w:eastAsia="Amiri" w:cs="Amiri"/>
          <w:color w:val="111111"/>
          <w:sz w:val="28"/>
          <w:sz w:val="28"/>
          <w:szCs w:val="28"/>
          <w:rtl w:val="true"/>
          <w:lang w:bidi="ar-SA"/>
        </w:rPr>
        <w:t xml:space="preserve">ممكن است اختلاف آن با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اشتراك در اطراب شأنى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قايل، در غايت شهوتيّه در محرّم باشد، نه در آن كه ناشى از اغراض صحيحۀ عقلائيه است، مثل اختلاف محرّم با غنا در تلاوت قرآن و نحو آن</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3971953_1067777946"/>
      <w:bookmarkStart w:id="1166" w:name="_Toc484"/>
      <w:bookmarkEnd w:id="1165"/>
      <w:r>
        <w:rPr>
          <w:rtl w:val="true"/>
        </w:rPr>
        <w:t>شِعر و موارد آن</w:t>
      </w:r>
      <w:bookmarkEnd w:id="1166"/>
    </w:p>
    <w:p>
      <w:pPr>
        <w:pStyle w:val="BookText"/>
        <w:rPr/>
      </w:pPr>
      <w:r>
        <w:rPr>
          <w:rFonts w:ascii="IRNazanin" w:hAnsi="IRNazanin" w:eastAsia="IRNazanin"/>
          <w:color w:val="111111"/>
          <w:sz w:val="28"/>
          <w:sz w:val="28"/>
          <w:szCs w:val="28"/>
          <w:rtl w:val="true"/>
          <w:lang w:bidi="fa-IR"/>
        </w:rPr>
        <w:t>و اشعار غير مشتمله بر غناى محرّم، محكوم است خواندن آنها به حلّيت، اگر مشتمل بر محرّم مفادى نباشد، مثل دروغ حرام يا هجاى غير مستحق از مؤمنين يا تشبيب و تفضيح زن معروفه مؤمنه غير محلّله يا غلام يا ايذاى مؤمنين به هر نحو غير مشروع باشد، به خلاف هجا و ايذاى اعداى دين كه بر آن، مفسده بر مؤمنين مترتّب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محرّم نباشد از شعر، مكروه است فى نفسه؛ مگر آن كه با ضمايم، كراهت آن زايل شود، مثل اشتمال بر معارف حقه و مدح معصومين از انبيا و اوصيا، بلكه علما و اهل صلاح و ايمان و ذم مخالفين آنها، چنان چه 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 روح القدس على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امر به نَوح بر ائمه و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تنوحون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تعليل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أَنَّهُمْ فِي كُلِّ وٰادٍ يَهِيمُونَ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يَقُولُونَ مٰا لاٰ يَفْعَلُونَ‌</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استماع اشعار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او؛ بلكه از واضحات اماميه در اين از ائمه، محبوبيت مدح به شعر از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رثاى آنها در مصايب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آنها محمول و مبيّن و منضمّ مى شود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يمتلى بطن الرّجل قيحاً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اختلاف مراتب در مكروه بين صائم و در شب جمعه و روز آن و در مساجد و غير اينها</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3971955_1067777946"/>
      <w:bookmarkStart w:id="1168" w:name="_Toc485"/>
      <w:bookmarkEnd w:id="1167"/>
      <w:r>
        <w:rPr>
          <w:rtl w:val="true"/>
        </w:rPr>
        <w:t>لهو با آلات لهوى</w:t>
      </w:r>
      <w:bookmarkEnd w:id="11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تلهّى با آلات معدّۀ آن و وصول به لذّات باطله و شهويه، كه مسانخت با اغراض صحيحۀ عقلائيه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عود و صنج و بربط و 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 فاعل و مستمع در</w:t>
      </w:r>
      <w:bookmarkStart w:id="1169" w:name="pg10275_96507"/>
    </w:p>
    <w:p>
      <w:pPr>
        <w:pStyle w:val="BookText"/>
        <w:rPr/>
      </w:pPr>
      <w:bookmarkEnd w:id="1169"/>
      <w:r>
        <w:rPr>
          <w:rFonts w:ascii="IRNazanin" w:hAnsi="IRNazanin" w:eastAsia="IRNazanin"/>
          <w:color w:val="111111"/>
          <w:sz w:val="28"/>
          <w:sz w:val="28"/>
          <w:szCs w:val="28"/>
          <w:rtl w:val="true"/>
          <w:lang w:bidi="fa-IR"/>
        </w:rPr>
        <w:t>آنها فاسق و غير مقبول الشهادة است، و اشاره به آنها مى شود به غلبۀ مقرونيت آنها با محرّمات ديگر؛ و با غير آلات مخصوصه به آن در نكاح و ختان، جايز است، و گاهى مكروه مى شود، مثل خالى از مصالح مربوطه به اين دو مورد</w:t>
      </w:r>
      <w:r>
        <w:rPr>
          <w:rFonts w:eastAsia="IRNazanin" w:cs="IRNazanin"/>
          <w:color w:val="111111"/>
          <w:sz w:val="28"/>
          <w:szCs w:val="28"/>
          <w:rtl w:val="true"/>
          <w:lang w:bidi="fa-IR"/>
        </w:rPr>
        <w:t>.</w:t>
      </w:r>
    </w:p>
    <w:p>
      <w:pPr>
        <w:pStyle w:val="Heading6"/>
        <w:numPr>
          <w:ilvl w:val="5"/>
          <w:numId w:val="1"/>
        </w:numPr>
        <w:rPr/>
      </w:pPr>
      <w:bookmarkStart w:id="1170" w:name="__RefHeading___Toc3971957_1067777946"/>
      <w:bookmarkStart w:id="1171" w:name="_Toc486"/>
      <w:bookmarkEnd w:id="1170"/>
      <w:r>
        <w:rPr>
          <w:rtl w:val="true"/>
        </w:rPr>
        <w:t>حسد و بغض مؤمن</w:t>
      </w:r>
      <w:bookmarkEnd w:id="11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و عداوت و مبغوض داشتن مؤمن، در آن حدّى كه منفك از محرمات، مثل ايذا و فحش دادن و سبّ نمودن مؤمن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ترتيب آثار مخصوصه، محرّم بالذات؛ و مبدأ اخير كه مستلزم محرّم است و مقدمۀ اخيرۀ آن است، محرّم بالعرض است؛ و آن چه حرام است و از كباير است موجب فسق و ردّ شهادت است قبل از توبه محققه</w:t>
      </w:r>
      <w:r>
        <w:rPr>
          <w:rFonts w:eastAsia="IRNazanin" w:cs="IRNazanin"/>
          <w:color w:val="111111"/>
          <w:sz w:val="28"/>
          <w:szCs w:val="28"/>
          <w:rtl w:val="true"/>
          <w:lang w:bidi="fa-IR"/>
        </w:rPr>
        <w:t>.</w:t>
      </w:r>
    </w:p>
    <w:p>
      <w:pPr>
        <w:pStyle w:val="Heading6"/>
        <w:numPr>
          <w:ilvl w:val="5"/>
          <w:numId w:val="1"/>
        </w:numPr>
        <w:rPr/>
      </w:pPr>
      <w:bookmarkStart w:id="1172" w:name="__RefHeading___Toc3971959_1067777946"/>
      <w:bookmarkStart w:id="1173" w:name="_Toc487"/>
      <w:bookmarkEnd w:id="1172"/>
      <w:r>
        <w:rPr>
          <w:rtl w:val="true"/>
        </w:rPr>
        <w:t>پوشيدن حرير محض</w:t>
      </w:r>
      <w:bookmarkEnd w:id="117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حرير محض براى مردها در غير حرب در حال اختيار، حرام است، و ايجاب فسق و ردّ شهادت با آن موقوف بر اصرار بر آن يا كبيره بودن است قبل از توبه؛ و همچنين پوشيدن طلا و تختُّم به طلا و مطلق تزيين با آن، و تفصيل و خصوصيات اقسام آن در لباس مصلى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ساير انتفاعاتى كه صدق لبس بر آنها نمى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افتراش يا اتّكا بر آن يا تغطّى و تدثّر به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در تحت اصالة الحلّ است</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3971961_1067777946"/>
      <w:bookmarkStart w:id="1175" w:name="_Toc488"/>
      <w:bookmarkEnd w:id="1174"/>
      <w:r>
        <w:rPr>
          <w:rtl w:val="true"/>
        </w:rPr>
        <w:t>نگهدارى پرندگان</w:t>
      </w:r>
      <w:bookmarkEnd w:id="117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اتخاذ طيور و اقسام كبوترها براى انتفاعات غير محرّمه حتى لعب با آنها جايز است؛ و مراهنه و معاوضه در سبق به آنها در پرواز دادن آنها حرام است بنا بر عدم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استثنا در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استثناى خفّ و حافر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عطف بر آن دو، و تفصيل آن در كتاب سبق و رمايه گذشت؛ و آن چه محرّم است موجب فسق و ردّ شهادت است با اصرار يا ثابت بودن كبيره بودن، قبل از توبه محققه، چنان چه گذشت</w:t>
      </w:r>
      <w:r>
        <w:rPr>
          <w:rFonts w:eastAsia="IRNazanin" w:cs="IRNazanin"/>
          <w:color w:val="111111"/>
          <w:sz w:val="28"/>
          <w:szCs w:val="28"/>
          <w:rtl w:val="true"/>
          <w:lang w:bidi="fa-IR"/>
        </w:rPr>
        <w:t>.</w:t>
      </w:r>
      <w:bookmarkStart w:id="1176" w:name="pg10275_96508"/>
    </w:p>
    <w:p>
      <w:pPr>
        <w:pStyle w:val="Heading6"/>
        <w:numPr>
          <w:ilvl w:val="5"/>
          <w:numId w:val="1"/>
        </w:numPr>
        <w:rPr/>
      </w:pPr>
      <w:bookmarkStart w:id="1177" w:name="__RefHeading___Toc3971963_1067777946"/>
      <w:bookmarkStart w:id="1178" w:name="_Toc489"/>
      <w:bookmarkEnd w:id="1176"/>
      <w:bookmarkEnd w:id="1177"/>
      <w:r>
        <w:rPr>
          <w:rtl w:val="true"/>
        </w:rPr>
        <w:t>ميزان در ردّ و قبول شهادت</w:t>
      </w:r>
      <w:bookmarkEnd w:id="117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در ردّ و قبول شهادت، تحقق فسق يا منافيات مروّت يا عدم آنها است؛ پس مانعى از قبول شهادت صاحبان صنعتهاى مكروهه، مثل زرگرى و معامله غلام و كنيز، و صاحبان صنعتهاى پَست و دنىّ‌، مثل حجامت و حياكت و نحو اينها، نيست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منافى مروّت شخص نباشد يا مانع از وثوق به تقوى و عدم خيانت و عدم تعمد كذب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ظ</w:t>
      </w:r>
      <w:r>
        <w:rPr>
          <w:rFonts w:eastAsia="IRNazanin" w:cs="IRNazanin"/>
          <w:color w:val="111111"/>
          <w:sz w:val="28"/>
          <w:szCs w:val="28"/>
          <w:rtl w:val="true"/>
          <w:lang w:bidi="fa-IR"/>
        </w:rPr>
        <w:t>].</w:t>
      </w:r>
    </w:p>
    <w:p>
      <w:pPr>
        <w:pStyle w:val="Heading5"/>
        <w:numPr>
          <w:ilvl w:val="4"/>
          <w:numId w:val="1"/>
        </w:numPr>
        <w:rPr/>
      </w:pPr>
      <w:bookmarkStart w:id="1179" w:name="__RefHeading___Toc3971965_1067777946"/>
      <w:bookmarkStart w:id="1180" w:name="_Toc490"/>
      <w:bookmarkEnd w:id="1179"/>
      <w:r>
        <w:rPr>
          <w:rtl w:val="true"/>
        </w:rPr>
        <w:t>شرط پنجم</w:t>
      </w:r>
      <w:r>
        <w:rPr>
          <w:rtl w:val="true"/>
        </w:rPr>
        <w:t xml:space="preserve">: </w:t>
      </w:r>
      <w:r>
        <w:rPr>
          <w:rtl w:val="true"/>
        </w:rPr>
        <w:t>ارتفاع تهمت</w:t>
      </w:r>
      <w:bookmarkEnd w:id="1180"/>
    </w:p>
    <w:p>
      <w:pPr>
        <w:pStyle w:val="Heading6"/>
        <w:numPr>
          <w:ilvl w:val="5"/>
          <w:numId w:val="1"/>
        </w:numPr>
        <w:rPr/>
      </w:pPr>
      <w:bookmarkStart w:id="1181" w:name="__RefHeading___Toc3971967_1067777946"/>
      <w:bookmarkStart w:id="1182" w:name="_Toc491"/>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شرط پنجم ارتفاع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مطلق تهمت، مانع از قبول شهادت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است از مقبوليت شهادت يكى از زوجين يا صديقين براى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نظر در مسائلى براى تعيين مرتبه مانعه از تهمت و موارد قبول شهادت با آن</w:t>
      </w:r>
      <w:r>
        <w:rPr>
          <w:rFonts w:eastAsia="IRNazanin" w:cs="IRNazanin"/>
          <w:color w:val="111111"/>
          <w:sz w:val="28"/>
          <w:szCs w:val="28"/>
          <w:rtl w:val="true"/>
          <w:lang w:bidi="fa-IR"/>
        </w:rPr>
        <w:t>:</w:t>
      </w:r>
    </w:p>
    <w:p>
      <w:pPr>
        <w:pStyle w:val="Heading6"/>
        <w:numPr>
          <w:ilvl w:val="5"/>
          <w:numId w:val="1"/>
        </w:numPr>
        <w:rPr/>
      </w:pPr>
      <w:bookmarkStart w:id="1183" w:name="__RefHeading___Toc3971969_1067777946"/>
      <w:bookmarkStart w:id="1184" w:name="_Toc492"/>
      <w:bookmarkEnd w:id="1183"/>
      <w:r>
        <w:rPr>
          <w:rtl w:val="true"/>
        </w:rPr>
        <w:t>عدم قبول شهادت صاحب نفع</w:t>
      </w:r>
      <w:bookmarkEnd w:id="1184"/>
    </w:p>
    <w:p>
      <w:pPr>
        <w:pStyle w:val="Heading6"/>
        <w:numPr>
          <w:ilvl w:val="5"/>
          <w:numId w:val="1"/>
        </w:numPr>
        <w:rPr/>
      </w:pPr>
      <w:bookmarkStart w:id="1185" w:name="__RefHeading___Toc3971971_1067777946"/>
      <w:bookmarkStart w:id="1186" w:name="_Toc493"/>
      <w:bookmarkEnd w:id="1185"/>
      <w:r>
        <w:rPr>
          <w:rtl w:val="true"/>
        </w:rPr>
        <w:t>اشاره</w:t>
      </w:r>
      <w:bookmarkEnd w:id="1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نمى شود شهادت كسى كه با شهادت، جرّ نفع مى نمايد، مانند شريك براى شريك خود در خصوص مورد شركت كه به منزلۀ شهادت خصم و مدّعى است؛ پس اگر مشهودٌ به مشترك باشد به نحوى كه شاهد هم مدعى بعض مشاع آن باشد، شهادت راجع است به دعوىٰ‌؛ به خلاف غير اين صورت پس اگر يكى از دو شريك شهادت دهد به اين كه نصف مشاع عين خارجه از يد آنها مال شريك است من غير مشاركه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نصف مشاع، مخصوص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شريك است در مالى كه نصف مشاع مخصوص به او است شهادت او جرّ نفع در نفس مشهودٌ به نمى نمايد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شهادت در صورت اشتراك بين سه نفر، هر دو نفر شهادت بدهند بر اين كه ثلث مشاع، مخصوص ثالث است، به همين طريق تمام اثلاث براى سه نفر ثابت مى شود؛ به خلاف اين كه بگويد ثلث معيّن، مال سوّم است به مشاركت كه دو </w:t>
      </w:r>
      <w:bookmarkStart w:id="1187" w:name="pg10275_96509"/>
    </w:p>
    <w:p>
      <w:pPr>
        <w:pStyle w:val="BookText"/>
        <w:rPr/>
      </w:pPr>
      <w:bookmarkEnd w:id="1187"/>
      <w:r>
        <w:rPr>
          <w:rFonts w:ascii="IRNazanin" w:hAnsi="IRNazanin" w:eastAsia="IRNazanin"/>
          <w:color w:val="111111"/>
          <w:sz w:val="28"/>
          <w:sz w:val="28"/>
          <w:szCs w:val="28"/>
          <w:rtl w:val="true"/>
          <w:lang w:bidi="fa-IR"/>
        </w:rPr>
        <w:t>نفر ديگر داخل در مشهودٌ به مى شوند، كه به جهت تهمتِ جرّ نفع، حتى خصوص ثلث آن ثلث معيّن ثابت نمى شود به شهادت مشتمله بر اتهام، فضلاً از ثابت شدن تمام ثلث معيّن از مال مشترك به اعتقاد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نهج اتمام مى شود تمييز موارد جرّ نفع در شهادت شريك براى شريك در مال مشترك، از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188" w:name="__RefHeading___Toc3971973_1067777946"/>
      <w:bookmarkStart w:id="1189" w:name="_Toc494"/>
      <w:bookmarkEnd w:id="1188"/>
      <w:r>
        <w:rPr>
          <w:rtl w:val="true"/>
        </w:rPr>
        <w:t>شهادت صاحب دين بر عليه مديون محجور عليه</w:t>
      </w:r>
      <w:bookmarkEnd w:id="1189"/>
    </w:p>
    <w:p>
      <w:pPr>
        <w:pStyle w:val="BookText"/>
        <w:rPr/>
      </w:pPr>
      <w:r>
        <w:rPr>
          <w:rFonts w:ascii="IRNazanin" w:hAnsi="IRNazanin" w:eastAsia="IRNazanin"/>
          <w:color w:val="111111"/>
          <w:sz w:val="28"/>
          <w:sz w:val="28"/>
          <w:szCs w:val="28"/>
          <w:rtl w:val="true"/>
          <w:lang w:bidi="fa-IR"/>
        </w:rPr>
        <w:t xml:space="preserve">و همچنين مورد تهمت است شهادت صاحب دَين براى مديون محجور عليه، كه به شهادت او عين مال، متعلق حق غرما مى شود كه شاهد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مديون غير محجور عليه كه دين از ذمّۀ مشهودٌ له خارج نيست و تفاوتى به سبب شهادت، حاصل نمى شود، به خلاف صورتى كه به سبب شهادت و تماميت آن موسر جايز المطالبه مى شود كه شهادت سبب جرّ نفع براى شاهد است در صورت وجود قراين وصول به نتيجه نافعه</w:t>
      </w:r>
      <w:r>
        <w:rPr>
          <w:rFonts w:eastAsia="IRNazanin" w:cs="IRNazanin"/>
          <w:color w:val="111111"/>
          <w:sz w:val="28"/>
          <w:szCs w:val="28"/>
          <w:rtl w:val="true"/>
          <w:lang w:bidi="fa-IR"/>
        </w:rPr>
        <w:t>.</w:t>
      </w:r>
    </w:p>
    <w:p>
      <w:pPr>
        <w:pStyle w:val="Heading6"/>
        <w:numPr>
          <w:ilvl w:val="5"/>
          <w:numId w:val="1"/>
        </w:numPr>
        <w:rPr/>
      </w:pPr>
      <w:bookmarkStart w:id="1190" w:name="__RefHeading___Toc3971975_1067777946"/>
      <w:bookmarkStart w:id="1191" w:name="_Toc495"/>
      <w:bookmarkEnd w:id="1190"/>
      <w:r>
        <w:rPr>
          <w:rtl w:val="true"/>
        </w:rPr>
        <w:t>شهادت مالك براى مملوك</w:t>
      </w:r>
      <w:bookmarkEnd w:id="1191"/>
    </w:p>
    <w:p>
      <w:pPr>
        <w:pStyle w:val="BookText"/>
        <w:rPr/>
      </w:pPr>
      <w:r>
        <w:rPr>
          <w:rFonts w:ascii="IRNazanin" w:hAnsi="IRNazanin" w:eastAsia="IRNazanin"/>
          <w:color w:val="111111"/>
          <w:sz w:val="28"/>
          <w:sz w:val="28"/>
          <w:szCs w:val="28"/>
          <w:rtl w:val="true"/>
          <w:lang w:bidi="fa-IR"/>
        </w:rPr>
        <w:t>و همچنين مورد تهمت است شهادت مالك براى مملوك مأذون خودش بنا بر مالكيّت مولى آن چه را كه در يد مملوك است و مملوك او محسوب مى شود؛ و در خصوص مكاتب، مختلف است موارد شهادت، مثل صورت وجود قرينه بر عجز او از تأديه مال الكتابه پس مشتمل بر تهمت است، يا غير آن كه مثل اجنبى است</w:t>
      </w:r>
      <w:r>
        <w:rPr>
          <w:rFonts w:eastAsia="IRNazanin" w:cs="IRNazanin"/>
          <w:color w:val="111111"/>
          <w:sz w:val="28"/>
          <w:szCs w:val="28"/>
          <w:rtl w:val="true"/>
          <w:lang w:bidi="fa-IR"/>
        </w:rPr>
        <w:t>.</w:t>
      </w:r>
    </w:p>
    <w:p>
      <w:pPr>
        <w:pStyle w:val="Heading6"/>
        <w:numPr>
          <w:ilvl w:val="5"/>
          <w:numId w:val="1"/>
        </w:numPr>
        <w:rPr/>
      </w:pPr>
      <w:bookmarkStart w:id="1192" w:name="__RefHeading___Toc3971977_1067777946"/>
      <w:bookmarkStart w:id="1193" w:name="_Toc496"/>
      <w:bookmarkEnd w:id="1192"/>
      <w:r>
        <w:rPr>
          <w:rtl w:val="true"/>
        </w:rPr>
        <w:t>شهادت وصى و وكيل</w:t>
      </w:r>
      <w:bookmarkEnd w:id="1193"/>
    </w:p>
    <w:p>
      <w:pPr>
        <w:pStyle w:val="BookText"/>
        <w:rPr/>
      </w:pPr>
      <w:r>
        <w:rPr>
          <w:rFonts w:ascii="IRNazanin" w:hAnsi="IRNazanin" w:eastAsia="IRNazanin"/>
          <w:color w:val="111111"/>
          <w:sz w:val="28"/>
          <w:sz w:val="28"/>
          <w:szCs w:val="28"/>
          <w:rtl w:val="true"/>
          <w:lang w:bidi="fa-IR"/>
        </w:rPr>
        <w:t>و همچنين شهادت وصىّ در آن چه در تحت وصايت و ولايت او است و به سبب شهادت، توسعه ولايت او مى شود در صورت تماميت شهادت به مالى براى ميت موصى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وصىّ است، وكيل مطلق در آن چه بر تقدير تماميت شهادت، در تحت وكالت او قرار مى گيرد در صورت اجرت براى وكالت و وصايت يا رجوع شهادت به </w:t>
      </w:r>
      <w:bookmarkStart w:id="1194" w:name="pg10275_96510"/>
    </w:p>
    <w:p>
      <w:pPr>
        <w:pStyle w:val="BookText"/>
        <w:rPr/>
      </w:pPr>
      <w:bookmarkEnd w:id="1194"/>
      <w:r>
        <w:rPr>
          <w:rFonts w:ascii="Amiri" w:hAnsi="Amiri" w:eastAsia="Amiri" w:cs="Amiri"/>
          <w:color w:val="111111"/>
          <w:sz w:val="28"/>
          <w:sz w:val="28"/>
          <w:szCs w:val="28"/>
          <w:rtl w:val="true"/>
          <w:lang w:bidi="ar-SA"/>
        </w:rPr>
        <w:t>دعوىٰ از شاهد؛ و مثل شهادت غرماى مفلّس به مالى براى او، و غرماى ميت براى او به مالى؛ و مثل شهادت عاقله به جرح شهود جنايت خطأ، و شهادت وكيل و وصىّ به جرح شهود بر موكّل و موصى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صحت شهادت وصىّ به حقّى براى وارث ميت، اگر چه صغير و مولّى عليه او باشد، به جهت اين كه اين شهادت، تضييق دايره وصايت ميت و توسعه دايره ولايت بر صغير است و به منزله تبديل طرف ولايت است، نه احداث ولايت محضاً؛ و در شهادت براى وارث كبير تضييق دايره است از دو جهت و مانعى از قبول شهادت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شهادت در اولى، مورد مكاتبه صفّار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رجوع شهادت براى صغير به 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مدّعى، ولىّ صغير است كه همان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قبول شهادت است؛ و لذا جمع بين مكاتبه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على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شهادت براى صغير بر ميت كه مذكور در اين است يا بر غير ميّت، به خلاف شهادت براى كبير بر ميت يا بر غير ميت كه از توسعه ولايت خارجند و ايضاً مذكورند، و در مكاتبه ديگر او توسعۀ ولايت است با مدعى بودن غير شاهد از ساير ورثه و اثبات يمين بر مدعى در آن، و موافقت مشهور با مستفاد از آنها، قابل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اوصياى متعدد باشند و يكى از آنها مدعى و ديگرى شاهد باشد؛ لكن حمل روايت بر خصوص اين صورت،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اين مطلب در وكيل خالى از وجه نيست در صورت تعدّد وكلاء شخص و ادّعاى بعضى و شهادت بعض ديگر يا وكيل غير مباشر دعوى و يا غير وكيل در دعوى يا اعم از آن، كه خالى است شهادت در اين فروض از رجوع به دعوىٰ‌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وصى بر ثلث، شهادت بدهد براى ورثه به خارج از ثلث، به سبب تعيّن ثلث در غير يا زيادتى مشهودٌ به بر ثلث بر هر تقدير</w:t>
      </w:r>
      <w:r>
        <w:rPr>
          <w:rFonts w:eastAsia="IRNazanin" w:cs="IRNazanin"/>
          <w:color w:val="111111"/>
          <w:sz w:val="28"/>
          <w:szCs w:val="28"/>
          <w:rtl w:val="true"/>
          <w:lang w:bidi="fa-IR"/>
        </w:rPr>
        <w:t>.</w:t>
      </w:r>
    </w:p>
    <w:p>
      <w:pPr>
        <w:pStyle w:val="Heading6"/>
        <w:numPr>
          <w:ilvl w:val="5"/>
          <w:numId w:val="1"/>
        </w:numPr>
        <w:rPr/>
      </w:pPr>
      <w:bookmarkStart w:id="1195" w:name="__RefHeading___Toc3971979_1067777946"/>
      <w:bookmarkStart w:id="1196" w:name="_Toc497"/>
      <w:bookmarkEnd w:id="1195"/>
      <w:r>
        <w:rPr>
          <w:rtl w:val="true"/>
        </w:rPr>
        <w:t>اتحاد دفع ضرر با جلب نفع</w:t>
      </w:r>
      <w:bookmarkEnd w:id="119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مثل جرّ نفع به شهادت است، دفع ضرر به سبب آن، مثل شهادت يكى از </w:t>
      </w:r>
      <w:bookmarkStart w:id="1197" w:name="pg10275_96511"/>
    </w:p>
    <w:p>
      <w:pPr>
        <w:pStyle w:val="BookText"/>
        <w:rPr/>
      </w:pPr>
      <w:bookmarkEnd w:id="1197"/>
      <w:r>
        <w:rPr>
          <w:rFonts w:ascii="IRNazanin" w:hAnsi="IRNazanin" w:eastAsia="IRNazanin"/>
          <w:color w:val="111111"/>
          <w:sz w:val="28"/>
          <w:sz w:val="28"/>
          <w:szCs w:val="28"/>
          <w:rtl w:val="true"/>
          <w:lang w:bidi="fa-IR"/>
        </w:rPr>
        <w:t>عاقله به جرح شهود جنايت، و شهادت وصى يا وكيل به جرح شهود مدّعىٖ بر موصىٖ يا موكّل؛ اما شهادت براى مورّث شاهد كه مشرف به موت است به سبب جراحت يا مرض ديگر پس مانعى از قبول آن نيست، چون فعلاً منتفع، مورّث است</w:t>
      </w:r>
      <w:r>
        <w:rPr>
          <w:rFonts w:eastAsia="IRNazanin" w:cs="IRNazanin"/>
          <w:color w:val="111111"/>
          <w:sz w:val="28"/>
          <w:szCs w:val="28"/>
          <w:rtl w:val="true"/>
          <w:lang w:bidi="fa-IR"/>
        </w:rPr>
        <w:t>.</w:t>
      </w:r>
    </w:p>
    <w:p>
      <w:pPr>
        <w:pStyle w:val="Heading6"/>
        <w:numPr>
          <w:ilvl w:val="5"/>
          <w:numId w:val="1"/>
        </w:numPr>
        <w:rPr/>
      </w:pPr>
      <w:bookmarkStart w:id="1198" w:name="__RefHeading___Toc3971981_1067777946"/>
      <w:bookmarkStart w:id="1199" w:name="_Toc498"/>
      <w:bookmarkEnd w:id="1198"/>
      <w:r>
        <w:rPr>
          <w:rtl w:val="true"/>
        </w:rPr>
        <w:t>عداوت دينى يا دنيوى</w:t>
      </w:r>
      <w:bookmarkEnd w:id="1199"/>
    </w:p>
    <w:p>
      <w:pPr>
        <w:pStyle w:val="Heading6"/>
        <w:numPr>
          <w:ilvl w:val="5"/>
          <w:numId w:val="1"/>
        </w:numPr>
        <w:rPr/>
      </w:pPr>
      <w:bookmarkStart w:id="1200" w:name="__RefHeading___Toc3971983_1067777946"/>
      <w:bookmarkStart w:id="1201" w:name="_Toc499"/>
      <w:bookmarkEnd w:id="1200"/>
      <w:r>
        <w:rPr>
          <w:rtl w:val="true"/>
        </w:rPr>
        <w:t>اشاره</w:t>
      </w:r>
      <w:bookmarkEnd w:id="12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مى شود شهادت صاحب عداوت دينيه مثل شهادت مسلم بر كافر؛ و اما عداوت دنيويه اگر متضمن فسق باشد مطلقاً مردود است شهادت فاسق؛ و اگر متضمن فسق نباشد مثل اختلافات عاديه بين خوبان از مؤمنين؛ پس شهادت بر عليه عدوّ مردود است به سبب تهمت، و براى او و براى غير او مقبول است به جهت عدم فسق و عدم تهمت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معادات از طرفين نباشد بلكه از يك طرف باشد مخصوص است منع از قبول شهادت به صاحب عداوت مانعه به نحو متقدم</w:t>
      </w:r>
      <w:r>
        <w:rPr>
          <w:rFonts w:eastAsia="IRNazanin" w:cs="IRNazanin"/>
          <w:color w:val="111111"/>
          <w:sz w:val="28"/>
          <w:szCs w:val="28"/>
          <w:rtl w:val="true"/>
          <w:lang w:bidi="fa-IR"/>
        </w:rPr>
        <w:t>.</w:t>
      </w:r>
    </w:p>
    <w:p>
      <w:pPr>
        <w:pStyle w:val="Heading6"/>
        <w:numPr>
          <w:ilvl w:val="5"/>
          <w:numId w:val="1"/>
        </w:numPr>
        <w:rPr/>
      </w:pPr>
      <w:bookmarkStart w:id="1202" w:name="__RefHeading___Toc3971985_1067777946"/>
      <w:bookmarkStart w:id="1203" w:name="_Toc500"/>
      <w:bookmarkEnd w:id="1202"/>
      <w:r>
        <w:rPr>
          <w:rtl w:val="true"/>
        </w:rPr>
        <w:t>قذف شاهد توسط مشهود عليه</w:t>
      </w:r>
      <w:bookmarkEnd w:id="1203"/>
    </w:p>
    <w:p>
      <w:pPr>
        <w:pStyle w:val="BookText"/>
        <w:rPr/>
      </w:pPr>
      <w:r>
        <w:rPr>
          <w:rFonts w:ascii="IRNazanin" w:hAnsi="IRNazanin" w:eastAsia="IRNazanin"/>
          <w:color w:val="111111"/>
          <w:sz w:val="28"/>
          <w:sz w:val="28"/>
          <w:szCs w:val="28"/>
          <w:rtl w:val="true"/>
          <w:lang w:bidi="fa-IR"/>
        </w:rPr>
        <w:t>اگر قذف نمود مشهودٌ عليه، شاهد را، قبل از شهادت، يا ايذا نمود، تا از او ظاهر شود چيزى كه مانع از قبول شهادت است و معلوم نشد از شاهد چيزى موجب عداوت او، ممنوع نيست شهادت او براى اين سبب</w:t>
      </w:r>
      <w:r>
        <w:rPr>
          <w:rFonts w:eastAsia="IRNazanin" w:cs="IRNazanin"/>
          <w:color w:val="111111"/>
          <w:sz w:val="28"/>
          <w:szCs w:val="28"/>
          <w:rtl w:val="true"/>
          <w:lang w:bidi="fa-IR"/>
        </w:rPr>
        <w:t>.</w:t>
      </w:r>
    </w:p>
    <w:p>
      <w:pPr>
        <w:pStyle w:val="Heading6"/>
        <w:numPr>
          <w:ilvl w:val="5"/>
          <w:numId w:val="1"/>
        </w:numPr>
        <w:rPr/>
      </w:pPr>
      <w:bookmarkStart w:id="1204" w:name="__RefHeading___Toc3971987_1067777946"/>
      <w:bookmarkStart w:id="1205" w:name="_Toc501"/>
      <w:bookmarkEnd w:id="1204"/>
      <w:r>
        <w:rPr>
          <w:rtl w:val="true"/>
        </w:rPr>
        <w:t>شهادت رفقا بر قاطع طريق</w:t>
      </w:r>
      <w:bookmarkEnd w:id="1205"/>
    </w:p>
    <w:p>
      <w:pPr>
        <w:pStyle w:val="BookText"/>
        <w:rPr/>
      </w:pPr>
      <w:r>
        <w:rPr>
          <w:rFonts w:ascii="IRNazanin" w:hAnsi="IRNazanin" w:eastAsia="IRNazanin"/>
          <w:color w:val="111111"/>
          <w:sz w:val="28"/>
          <w:sz w:val="28"/>
          <w:szCs w:val="28"/>
          <w:rtl w:val="true"/>
          <w:lang w:bidi="fa-IR"/>
        </w:rPr>
        <w:t>قبول نمى شود شهادت بعض رفقا بر قاطع طريق براى بعض ديگر، به سبب تهمت حاصله به عداوت ظاهره عامه بين رفقا و قاطع طريق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شهادت واحده، در بعض متعلق آن تهمت بود و در بعضى نبود، تبعيض در قبول شهادت و عدم آن متّجه است</w:t>
      </w:r>
      <w:r>
        <w:rPr>
          <w:rFonts w:eastAsia="IRNazanin" w:cs="IRNazanin"/>
          <w:color w:val="111111"/>
          <w:sz w:val="28"/>
          <w:szCs w:val="28"/>
          <w:rtl w:val="true"/>
          <w:lang w:bidi="fa-IR"/>
        </w:rPr>
        <w:t>.</w:t>
      </w:r>
    </w:p>
    <w:p>
      <w:pPr>
        <w:pStyle w:val="Heading6"/>
        <w:numPr>
          <w:ilvl w:val="5"/>
          <w:numId w:val="1"/>
        </w:numPr>
        <w:rPr/>
      </w:pPr>
      <w:bookmarkStart w:id="1206" w:name="__RefHeading___Toc3971989_1067777946"/>
      <w:bookmarkStart w:id="1207" w:name="_Toc502"/>
      <w:bookmarkEnd w:id="1206"/>
      <w:r>
        <w:rPr>
          <w:rtl w:val="true"/>
        </w:rPr>
        <w:t>عدم مانعيت نسب از قبول شهادت</w:t>
      </w:r>
      <w:bookmarkEnd w:id="1207"/>
    </w:p>
    <w:p>
      <w:pPr>
        <w:pStyle w:val="Heading6"/>
        <w:numPr>
          <w:ilvl w:val="5"/>
          <w:numId w:val="1"/>
        </w:numPr>
        <w:rPr/>
      </w:pPr>
      <w:bookmarkStart w:id="1208" w:name="__RefHeading___Toc3971991_1067777946"/>
      <w:bookmarkStart w:id="1209" w:name="_Toc503"/>
      <w:bookmarkEnd w:id="1208"/>
      <w:r>
        <w:rPr>
          <w:rtl w:val="true"/>
        </w:rPr>
        <w:t>اشاره</w:t>
      </w:r>
      <w:bookmarkEnd w:id="12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اگر چه قريب باشد مانع از قبول شهادت نيست، مثل شهادت والد براى ولد و</w:t>
      </w:r>
      <w:bookmarkStart w:id="1210" w:name="pg10275_96512"/>
    </w:p>
    <w:p>
      <w:pPr>
        <w:pStyle w:val="BookText"/>
        <w:rPr/>
      </w:pPr>
      <w:bookmarkEnd w:id="1210"/>
      <w:r>
        <w:rPr>
          <w:rFonts w:ascii="Amiri" w:hAnsi="Amiri" w:eastAsia="Amiri" w:cs="Amiri"/>
          <w:color w:val="111111"/>
          <w:sz w:val="28"/>
          <w:sz w:val="28"/>
          <w:szCs w:val="28"/>
          <w:rtl w:val="true"/>
          <w:lang w:bidi="ar-SA"/>
        </w:rPr>
        <w:t>بر او، و ولد براى والد و والده، و برادر براى برادر و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قبول شهادت ولد بر والد به حقى يا مالى خلاف است، و مشهور عدم قبول است، و اشبه به مستفاد از آيۀ شريفه و أخبار واصله و رجحان حق اللّٰه بر حق غير مطلقاً با موافقت مرتضى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محكىّ از اسكافى قبول است، و مانع اقتصار بر والد نسبى نموده است در مقابل جدّ و والده و والد رضاعى</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3971993_1067777946"/>
      <w:bookmarkStart w:id="1212" w:name="_Toc504"/>
      <w:bookmarkEnd w:id="1211"/>
      <w:r>
        <w:rPr>
          <w:rtl w:val="true"/>
        </w:rPr>
        <w:t>شهادت يكى از دو زوج بر له يا عليه ديگرى</w:t>
      </w:r>
      <w:bookmarkEnd w:id="1212"/>
    </w:p>
    <w:p>
      <w:pPr>
        <w:pStyle w:val="BookText"/>
        <w:rPr/>
      </w:pPr>
      <w:r>
        <w:rPr>
          <w:rFonts w:ascii="IRNazanin" w:hAnsi="IRNazanin" w:eastAsia="IRNazanin"/>
          <w:color w:val="111111"/>
          <w:sz w:val="28"/>
          <w:sz w:val="28"/>
          <w:szCs w:val="28"/>
          <w:rtl w:val="true"/>
          <w:lang w:bidi="fa-IR"/>
        </w:rPr>
        <w:t>و قبول مى شود شهادت احد الزوجين براى ديگرى و بر ديگرى، و احوط اعتبار ضميمه است در شهادت واحده زوجه براى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زوج براى زوجه با يمين زوجه كافى است بدون ضميمه، در آن چه شهادت واحد با يمين مدعى كافى است؛ و شهادت زوجه براى زوج در وصيت بدون ضميمه عدل، كافى نيست در اثبات چيزى با يمين زوج، به خلاف تقدير عدم اعتبار در زوجه مثل زوج كه كافى است در اثبات ربع با يمين مدعى</w:t>
      </w:r>
      <w:r>
        <w:rPr>
          <w:rFonts w:eastAsia="IRNazanin" w:cs="IRNazanin"/>
          <w:color w:val="111111"/>
          <w:sz w:val="28"/>
          <w:szCs w:val="28"/>
          <w:rtl w:val="true"/>
          <w:lang w:bidi="fa-IR"/>
        </w:rPr>
        <w:t>.</w:t>
      </w:r>
    </w:p>
    <w:p>
      <w:pPr>
        <w:pStyle w:val="Heading6"/>
        <w:numPr>
          <w:ilvl w:val="5"/>
          <w:numId w:val="1"/>
        </w:numPr>
        <w:rPr/>
      </w:pPr>
      <w:bookmarkStart w:id="1213" w:name="__RefHeading___Toc3971995_1067777946"/>
      <w:bookmarkStart w:id="1214" w:name="_Toc505"/>
      <w:bookmarkEnd w:id="1213"/>
      <w:r>
        <w:rPr>
          <w:rtl w:val="true"/>
        </w:rPr>
        <w:t>شهادت دوست براى دوست</w:t>
      </w:r>
      <w:bookmarkEnd w:id="1214"/>
    </w:p>
    <w:p>
      <w:pPr>
        <w:pStyle w:val="BookText"/>
        <w:rPr/>
      </w:pPr>
      <w:r>
        <w:rPr>
          <w:rFonts w:ascii="IRNazanin" w:hAnsi="IRNazanin" w:eastAsia="IRNazanin"/>
          <w:color w:val="111111"/>
          <w:sz w:val="28"/>
          <w:sz w:val="28"/>
          <w:szCs w:val="28"/>
          <w:rtl w:val="true"/>
          <w:lang w:bidi="fa-IR"/>
        </w:rPr>
        <w:t>و شهادت صديق براى صديق مقبول است اگر چه موادّه كامل باشد چنان چه مناسب اطلاقات است</w:t>
      </w:r>
      <w:r>
        <w:rPr>
          <w:rFonts w:eastAsia="IRNazanin" w:cs="IRNazanin"/>
          <w:color w:val="111111"/>
          <w:sz w:val="28"/>
          <w:szCs w:val="28"/>
          <w:rtl w:val="true"/>
          <w:lang w:bidi="fa-IR"/>
        </w:rPr>
        <w:t>.</w:t>
      </w:r>
    </w:p>
    <w:p>
      <w:pPr>
        <w:pStyle w:val="Heading6"/>
        <w:numPr>
          <w:ilvl w:val="5"/>
          <w:numId w:val="1"/>
        </w:numPr>
        <w:rPr/>
      </w:pPr>
      <w:bookmarkStart w:id="1215" w:name="__RefHeading___Toc3971997_1067777946"/>
      <w:bookmarkStart w:id="1216" w:name="_Toc506"/>
      <w:bookmarkEnd w:id="1215"/>
      <w:r>
        <w:rPr>
          <w:rtl w:val="true"/>
        </w:rPr>
        <w:t>شهادت گدا</w:t>
      </w:r>
      <w:bookmarkEnd w:id="121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 نمى شود شهادت سايل به كفّ بر تقدير عدالت او قبل از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بلكه متعين در اطلاق و تقييد حكم، حصول اتّهام به تحصيل رضاى مشهودٌ له معطى و حصول كراهت از مشهودٌ عليه مانع است، و آن با حرفه قرار دادن و عدم آن كه نادر و براى ضرورت باشد مختلف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مقتضاى اصل، عدم حرمت سؤال به كفّ است در صورت ضرورت، و حمل بر صحيح از مجهول الحال، با معلوميت حرمت در مدلِّس و كذّاب</w:t>
      </w:r>
      <w:r>
        <w:rPr>
          <w:rFonts w:eastAsia="Amiri" w:cs="Amiri" w:ascii="Amiri" w:hAnsi="Amiri"/>
          <w:color w:val="111111"/>
          <w:sz w:val="28"/>
          <w:szCs w:val="28"/>
          <w:rtl w:val="true"/>
          <w:lang w:bidi="ar-SA"/>
        </w:rPr>
        <w:t>.</w:t>
      </w:r>
      <w:bookmarkStart w:id="1217" w:name="pg10275_96513"/>
    </w:p>
    <w:p>
      <w:pPr>
        <w:pStyle w:val="Heading6"/>
        <w:numPr>
          <w:ilvl w:val="5"/>
          <w:numId w:val="1"/>
        </w:numPr>
        <w:rPr/>
      </w:pPr>
      <w:bookmarkStart w:id="1218" w:name="__RefHeading___Toc3971999_1067777946"/>
      <w:bookmarkStart w:id="1219" w:name="_Toc507"/>
      <w:bookmarkEnd w:id="1217"/>
      <w:bookmarkEnd w:id="1218"/>
      <w:r>
        <w:rPr>
          <w:rtl w:val="true"/>
        </w:rPr>
        <w:t>شهادت اجير و مهمان</w:t>
      </w:r>
      <w:bookmarkEnd w:id="121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 شهادت اجير و مهمان براى مستأجر و ميزبان و عدم آن، داير مدار حصول اتّهام و عدم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آن كه مطلقاً مقبول باشد نافع و مضرّ، يا آن كه مطلقاً مردود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احراز عدالت كه در آن خائن نبودن و داراى ملكه امانت بودن لازم است</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3972001_1067777946"/>
      <w:bookmarkStart w:id="1221" w:name="_Toc508"/>
      <w:bookmarkEnd w:id="1220"/>
      <w:r>
        <w:rPr>
          <w:rtl w:val="true"/>
        </w:rPr>
        <w:t>لواحق باب متقدم اشتراط ارتفاع تهمت</w:t>
      </w:r>
      <w:bookmarkEnd w:id="1221"/>
    </w:p>
    <w:p>
      <w:pPr>
        <w:pStyle w:val="Heading6"/>
        <w:numPr>
          <w:ilvl w:val="5"/>
          <w:numId w:val="1"/>
        </w:numPr>
        <w:rPr/>
      </w:pPr>
      <w:bookmarkStart w:id="1222" w:name="__RefHeading___Toc3972003_1067777946"/>
      <w:bookmarkStart w:id="1223" w:name="_Toc509"/>
      <w:bookmarkEnd w:id="1222"/>
      <w:r>
        <w:rPr>
          <w:rtl w:val="true"/>
        </w:rPr>
        <w:t>موارد مختلف رفع مانع قبول شهادت</w:t>
      </w:r>
      <w:bookmarkEnd w:id="1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صغير و كافر و فاسق معلن، اگر تحمّل نمودند مطلب مشهودٌ به را در حال مانع، پس از آن، مانع زايل شد و اقامه شهادت بعد از زوال مانع نمودند، قبول مى شود شهادت ايشان؛ و همچنين اگر اقامۀ شهادت در حال مانع نمودند و مردود شد پس اعاده شهادت بعد از زوال مانع نمودند، قبول مى شود قبل از حكم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مملوك اگر ردّ شد شهادت او بر مولى، پس از آن، عتق شد و اقامه شهادت كرد قبل از حكم،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ولد اگر ردّ شد شهادت او بر والد، پس از آن، وفات نمود والد، پس از آن، اعاده شهادت نمود قبل از حكم غير منقوض،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فاسق معلن يا متستّر، اگر ردّ شهادت او در حال فسق او شد، پس از آن، توبه او ثابت شد، پس از آن، شهادت داد، قبول مى شود شهادت او؛ و متّهم نبودن با قراينى به حدّ اتّهام در موارد مانعه، معتبر است در قبول عامّۀ شهادت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صاحب عداوت با شخصى، اگر شهادت بر عليه او داد و ردّ شد، پس از آن، سبب عداوت منتفى شد، پس از آن، اعاده شهادت كرد، قبول مى شود و مانعى ندارد، به جهت زوال تهمت خاصه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شهادت براى مكاتب خود مردود شد پس عتق شد پس اعاده شهادت نمود، قبول مى شود</w:t>
      </w:r>
      <w:r>
        <w:rPr>
          <w:rFonts w:eastAsia="IRNazanin" w:cs="IRNazanin"/>
          <w:color w:val="111111"/>
          <w:sz w:val="28"/>
          <w:szCs w:val="28"/>
          <w:rtl w:val="true"/>
          <w:lang w:bidi="fa-IR"/>
        </w:rPr>
        <w:t xml:space="preserve">. </w:t>
      </w:r>
      <w:bookmarkStart w:id="1224" w:name="pg10275_96514"/>
    </w:p>
    <w:p>
      <w:pPr>
        <w:pStyle w:val="BookText"/>
        <w:rPr/>
      </w:pPr>
      <w:bookmarkEnd w:id="1224"/>
      <w:r>
        <w:rPr>
          <w:rFonts w:ascii="IRNazanin" w:hAnsi="IRNazanin" w:eastAsia="IRNazanin"/>
          <w:color w:val="111111"/>
          <w:sz w:val="28"/>
          <w:sz w:val="28"/>
          <w:szCs w:val="28"/>
          <w:rtl w:val="true"/>
          <w:lang w:bidi="fa-IR"/>
        </w:rPr>
        <w:t>و همچنين اگر شهادت براى مكاتب خودش به مالى يا براى عبد خودش به نكاحى، مردود شد، پس از عتق او اعاده شهادت نمود،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دو شفيع شهادت به عفو سوّمى دادند قبل از آن دو، پس ردّ شد، پس عفو نمودند، پس از آن، اعاده شهادت كردند،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شهادت دادند دو نفر كه وارث شخصى مى شوند، بر او، به جراحتى قبل از اندمال آن، پس ردّ شد شهادت آنها، پس از آن، مندمل شد جراحت، پس اعاده شهادت كردند، قبول مى شود شهادت آنها، به جهت عدم تهمت در شهادت بر مورّث و زوال عدم اندمال مانع از قبول شهادت</w:t>
      </w:r>
      <w:r>
        <w:rPr>
          <w:rFonts w:eastAsia="IRNazanin" w:cs="IRNazanin"/>
          <w:color w:val="111111"/>
          <w:sz w:val="28"/>
          <w:szCs w:val="28"/>
          <w:rtl w:val="true"/>
          <w:lang w:bidi="fa-IR"/>
        </w:rPr>
        <w:t>.</w:t>
      </w:r>
    </w:p>
    <w:p>
      <w:pPr>
        <w:pStyle w:val="Heading6"/>
        <w:numPr>
          <w:ilvl w:val="5"/>
          <w:numId w:val="1"/>
        </w:numPr>
        <w:rPr/>
      </w:pPr>
      <w:bookmarkStart w:id="1225" w:name="__RefHeading___Toc3972005_1067777946"/>
      <w:bookmarkStart w:id="1226" w:name="_Toc510"/>
      <w:bookmarkEnd w:id="1225"/>
      <w:r>
        <w:rPr>
          <w:rtl w:val="true"/>
        </w:rPr>
        <w:t>شهادت مملوك</w:t>
      </w:r>
      <w:bookmarkEnd w:id="12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شهادت مملوك مطلقاً مردود است يا آن كه مطلقاً مقبول است، يا آن كه تفصيل است بين شهادت بر مولى و غير آن‌؟ مشهور اخير است؛ و اطلاق نفوذ، خالى از وجهِ موافقِ اطلاقات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مبتلا به مخالف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شهادت اختلاف به عدم حكم لزومى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چه احتياط با وجود غير، استشهاد حرّ است خصوصاً در شهادت بر مولى؛ و متهم از آنها در حد كافى در منع از قبول، معلوم است عدم قبول شهادتش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مملوك، منعتق شد بعد از شهادت و اعاده شهادت كرد، مقبول است مطلقاً، مثل ابتداى شهادت او بعد از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حكم مذكور، شريك است با مملوك قنّ‌، مدبّر و مكاتب مشروط و مكاتب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اداء نكرده چيزى از مال الكتابه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ولد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مطلق اگر ادا كرد بعض مال الكتابه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قبول شهادت او در بعض آزاد شده و به نسبت آن از مجموع، خالى از وجه نيست بنا بر قول به عدم قبول شهادت مملوك، لكن تبعيض در مشهودٌ به است بنا 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شهادت ديگر يا يمين مدّعى بعض مشهودٌ به ثابت مى شود؛ و بنا بر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در شاهد </w:t>
      </w:r>
      <w:bookmarkStart w:id="1227" w:name="pg10275_96515"/>
    </w:p>
    <w:p>
      <w:pPr>
        <w:pStyle w:val="BookText"/>
        <w:rPr/>
      </w:pPr>
      <w:bookmarkEnd w:id="1227"/>
      <w:r>
        <w:rPr>
          <w:rFonts w:ascii="IRNazanin" w:hAnsi="IRNazanin" w:eastAsia="IRNazanin"/>
          <w:color w:val="111111"/>
          <w:sz w:val="28"/>
          <w:sz w:val="28"/>
          <w:szCs w:val="28"/>
          <w:rtl w:val="true"/>
          <w:lang w:bidi="fa-IR"/>
        </w:rPr>
        <w:t>است؛ و با شاهدى ديگر اگر چه زن باشد با شاهد كافى يا يمين مدّعى، تمام مشهودٌ به ثابت مى شود؛ و بدون غير، هيچ ثابت نمى شود حتى با يمين مدّعى؛ و اين ثمرۀ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مقتضاى اصل در اين فرض، عدم تأثير شهادت است بر فرض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يكى موصوف به صحّت و ديگرى منسوب به ظاهر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جمع به كفايت احد التبعيضين يا وصول نوبت به تخيير فقيه در عمل به احد الخبرين؛ و اين اختلاف بيان، از فروع اختلاف بيان در شهادت مملوك است كه مذكور شد شهادت آن بر عدم حكم لزومى در مملوك، مغاير با غير 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جواز،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است اگر چه به صورت ترديد است قابل توجيه است، و آن چه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 مناقشه نيست، مخصوصاً احتمال عدم اشتراط انضمام رجل بر تقدير سماع به قدر حرّيت، با اين كه على اىّ تقدير، كافى نيست شهادت يك نفر كامل، فضلاً از ناقص الحرّيه الّا با ضميمۀ ديگرى، يا با ضميمۀ يمين مدّعى؛ و اطلاق روايات، محمول است بر عدم مانع از جهت مملوكيت مكاتب، نه كفايت يك مكاتب بدون ضميمه، پس احتياط نيست ضميمه، بلكه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محتمل نيست ثبوت نصف با ضميمه، بلكه متيقّن است، نه به صورت احتياط چنان چه نقل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قبول در سه ربع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عدم لزوم ضميمه و آن چه تفريع بر آن شده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عدم سماع الّا با تحرّر ربع فما زاد،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 سماع بر آن چه كافى است در آن شهادت امرأۀ واحده، متعين است لكن با ضميمه، به نحو متقدم در سابق در كلام موافق با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و اللّٰه العالم</w:t>
      </w:r>
      <w:r>
        <w:rPr>
          <w:rFonts w:eastAsia="IRNazanin" w:cs="IRNazanin"/>
          <w:color w:val="111111"/>
          <w:sz w:val="28"/>
          <w:szCs w:val="28"/>
          <w:rtl w:val="true"/>
          <w:lang w:bidi="fa-IR"/>
        </w:rPr>
        <w:t>.</w:t>
      </w:r>
    </w:p>
    <w:p>
      <w:pPr>
        <w:pStyle w:val="Heading6"/>
        <w:numPr>
          <w:ilvl w:val="5"/>
          <w:numId w:val="1"/>
        </w:numPr>
        <w:rPr/>
      </w:pPr>
      <w:bookmarkStart w:id="1228" w:name="__RefHeading___Toc3972007_1067777946"/>
      <w:bookmarkStart w:id="1229" w:name="_Toc511"/>
      <w:bookmarkEnd w:id="1228"/>
      <w:r>
        <w:rPr>
          <w:rtl w:val="true"/>
        </w:rPr>
        <w:t>عدم لزوم اشهاد در تحمّل شهادت</w:t>
      </w:r>
      <w:bookmarkEnd w:id="12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شاهد مقبول الشّهادة مى شود با ساير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اشهاد مشهودٌ له يا مشهودٌ عليه شاهد را، نيست؛ پس به هر صورتى كه عالم به وقوع</w:t>
      </w:r>
      <w:bookmarkStart w:id="1230" w:name="pg10275_96516"/>
    </w:p>
    <w:p>
      <w:pPr>
        <w:pStyle w:val="BookText"/>
        <w:rPr/>
      </w:pPr>
      <w:bookmarkEnd w:id="1230"/>
      <w:r>
        <w:rPr>
          <w:rFonts w:ascii="IRNazanin" w:hAnsi="IRNazanin" w:eastAsia="IRNazanin"/>
          <w:color w:val="111111"/>
          <w:sz w:val="28"/>
          <w:sz w:val="28"/>
          <w:szCs w:val="28"/>
          <w:rtl w:val="true"/>
          <w:lang w:bidi="fa-IR"/>
        </w:rPr>
        <w:t>امرى شد و احساس آن نمود، شاهد مى شود اگر چه اشهاد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عالم شد، حكم واجب كفايى در اقامۀ آن براى شاهد، به تحمّل، ثابت است، پس ساقط است وجوب اقامه با قيام غير و كافى در آن؛ و عينى است با عدم قيام غير يا عدم كفايت اقامۀ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مى توان گفت كه اشهاد، امارۀ احتياج و عدم قيام غير به نحو كافى است؛ و عدم 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طلب تحمّل سماع و اطلاع حسّى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استغنا و عدم احتياج به سبب وجود غير و كافى بودن شهادت غير است؛ پس با اشهاد براى تحمل، واجب است عينيّاً اقامه مگر با علم به عدم قيام غير و سقوط حقّ مظلوم بدون اقامه او؛ و با عدم اشهاد براى تحمل، واجب عينى نيست اقامه مگر با علم به حاجت و عدم قيام غير يا عدم كفايت اقامۀ غير و به سقوط حق مظلوم بر تقدير عدم اقامۀ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احتمالات منقوله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اعتماد نيست</w:t>
      </w:r>
      <w:r>
        <w:rPr>
          <w:rFonts w:eastAsia="IRNazanin" w:cs="IRNazanin"/>
          <w:color w:val="111111"/>
          <w:sz w:val="28"/>
          <w:szCs w:val="28"/>
          <w:rtl w:val="true"/>
          <w:lang w:bidi="fa-IR"/>
        </w:rPr>
        <w:t>.</w:t>
      </w:r>
    </w:p>
    <w:p>
      <w:pPr>
        <w:pStyle w:val="Heading6"/>
        <w:numPr>
          <w:ilvl w:val="5"/>
          <w:numId w:val="1"/>
        </w:numPr>
        <w:rPr/>
      </w:pPr>
      <w:bookmarkStart w:id="1231" w:name="__RefHeading___Toc3972009_1067777946"/>
      <w:bookmarkStart w:id="1232" w:name="_Toc512"/>
      <w:bookmarkEnd w:id="1231"/>
      <w:r>
        <w:rPr>
          <w:rtl w:val="true"/>
        </w:rPr>
        <w:t>تفصيل بين حقوق الهيّه و آدميين در قبول و ردّ</w:t>
      </w:r>
      <w:bookmarkEnd w:id="12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حاصلۀ از تبرع به شهادت در مجلس واحد، در حقوق آدميين، سبب ردّ شهادت است؛ و اگر فاقد اتّهام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شهادت بر شريك و صديق و براى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آن خالى از وجه نيست، چنان چه مستفاد از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زنا و شرب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قبول است با عدم اتهام نسبت به مشهودٌ عليه يا عدم بلوغ اتهام به درجۀ قطع به عدم قبول يا شكّ 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در حق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قبول است در صورت مذكوره</w:t>
      </w:r>
      <w:r>
        <w:rPr>
          <w:rFonts w:eastAsia="IRNazanin" w:cs="IRNazanin"/>
          <w:color w:val="111111"/>
          <w:sz w:val="28"/>
          <w:szCs w:val="28"/>
          <w:rtl w:val="true"/>
          <w:lang w:bidi="fa-IR"/>
        </w:rPr>
        <w:t>.</w:t>
      </w:r>
    </w:p>
    <w:p>
      <w:pPr>
        <w:pStyle w:val="Heading6"/>
        <w:numPr>
          <w:ilvl w:val="5"/>
          <w:numId w:val="1"/>
        </w:numPr>
        <w:rPr/>
      </w:pPr>
      <w:bookmarkStart w:id="1233" w:name="__RefHeading___Toc3972011_1067777946"/>
      <w:bookmarkStart w:id="1234" w:name="_Toc513"/>
      <w:bookmarkEnd w:id="1233"/>
      <w:r>
        <w:rPr>
          <w:rtl w:val="true"/>
        </w:rPr>
        <w:t>ظهور مانع از قبول شهادت بعد از حكم حاكم</w:t>
      </w:r>
      <w:bookmarkEnd w:id="123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ظاهر شد بعد از حكم حاكم، در شهود حكم، چيزى كه مانع از قبول شهادت مى شود، پس اگر آن مانع، متجدّد بعد از حكم باشد، ضررى در حكم و آثار آن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شهادت بوده و مستمر تا زمان شهادت بوده، پس اگر ظاهر شد خطاى حاكم در موازين حكم يا در اجتهادى كه حكم ناشى از آن بوده، نقض مى شود؛</w:t>
      </w:r>
      <w:bookmarkStart w:id="1235" w:name="pg10275_96517"/>
    </w:p>
    <w:p>
      <w:pPr>
        <w:pStyle w:val="BookText"/>
        <w:rPr/>
      </w:pPr>
      <w:bookmarkEnd w:id="1235"/>
      <w:r>
        <w:rPr>
          <w:rFonts w:ascii="IRNazanin" w:hAnsi="IRNazanin" w:eastAsia="IRNazanin"/>
          <w:color w:val="111111"/>
          <w:sz w:val="28"/>
          <w:sz w:val="28"/>
          <w:szCs w:val="28"/>
          <w:rtl w:val="true"/>
          <w:lang w:bidi="fa-IR"/>
        </w:rPr>
        <w:t xml:space="preserve">وگرنه ظاهر، عدم انتقاض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علم به خلاف واقع كه مطّرد است نوعاً در احد المتحاكمين كه نقض با آن، خلاف فاصليّت قضا است، بلى با علم به خلاف، عالم نمى تواند در عمل خودش مخالفت واقع نمايد، به خلاف اعلام نقض مطلق در حكم باقى در ظاهر، و اللّٰه العالم</w:t>
      </w:r>
      <w:r>
        <w:rPr>
          <w:rFonts w:eastAsia="IRNazanin" w:cs="IRNazanin"/>
          <w:color w:val="111111"/>
          <w:sz w:val="28"/>
          <w:szCs w:val="28"/>
          <w:rtl w:val="true"/>
          <w:lang w:bidi="fa-IR"/>
        </w:rPr>
        <w:t>.</w:t>
      </w:r>
    </w:p>
    <w:p>
      <w:pPr>
        <w:pStyle w:val="Heading6"/>
        <w:numPr>
          <w:ilvl w:val="5"/>
          <w:numId w:val="1"/>
        </w:numPr>
        <w:rPr/>
      </w:pPr>
      <w:bookmarkStart w:id="1236" w:name="__RefHeading___Toc3972013_1067777946"/>
      <w:bookmarkStart w:id="1237" w:name="_Toc514"/>
      <w:bookmarkEnd w:id="1236"/>
      <w:r>
        <w:rPr>
          <w:rtl w:val="true"/>
        </w:rPr>
        <w:t>بعضى از خصوصيات توبه</w:t>
      </w:r>
      <w:bookmarkEnd w:id="123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اگر ثابت شد در صورتى كه مقبول مى شود، محمول بر صحيح و ترتب آثار است مگر با علم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تائب مانند غير مذنب است در انتفاى آثار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رفع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تبدل آن به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شهادت تائب است مگر با علم به كذب يا اتهام آن در درجه مانعه از قبول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كه با آن، توبه محقق باشد، اظهار ندم بر ماضى و عدم عود به ذنب و خروج از حقوق ماليّه و نحو آنها به نحو مقدور كه موقع تكليف است</w:t>
      </w:r>
      <w:r>
        <w:rPr>
          <w:rFonts w:eastAsia="IRNazanin" w:cs="IRNazanin"/>
          <w:color w:val="111111"/>
          <w:sz w:val="28"/>
          <w:szCs w:val="28"/>
          <w:rtl w:val="true"/>
          <w:lang w:bidi="fa-IR"/>
        </w:rPr>
        <w:t>.</w:t>
      </w:r>
    </w:p>
    <w:p>
      <w:pPr>
        <w:pStyle w:val="Heading5"/>
        <w:numPr>
          <w:ilvl w:val="4"/>
          <w:numId w:val="1"/>
        </w:numPr>
        <w:rPr/>
      </w:pPr>
      <w:bookmarkStart w:id="1238" w:name="__RefHeading___Toc3972015_1067777946"/>
      <w:bookmarkStart w:id="1239" w:name="_Toc515"/>
      <w:bookmarkEnd w:id="1238"/>
      <w:r>
        <w:rPr>
          <w:rtl w:val="true"/>
        </w:rPr>
        <w:t>شرط ششم</w:t>
      </w:r>
      <w:r>
        <w:rPr>
          <w:rtl w:val="true"/>
        </w:rPr>
        <w:t xml:space="preserve">: </w:t>
      </w:r>
      <w:r>
        <w:rPr>
          <w:rtl w:val="true"/>
        </w:rPr>
        <w:t>طهارت مولد</w:t>
      </w:r>
      <w:bookmarkEnd w:id="123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الحال از حيث طهارت مولد، شهادتش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الحال از ولادت از زنا، منسوب به مشهور و مروىّ‌، عدم قبول شهادت او است؛ و حمل بر كراهت، و موافقت در اين حكم با غير مؤمن و عبد،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روايات،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أشدّيت از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غير مؤمن وارد شده است، و احتياج مخالفت با اطلاقات در مثل اين حكم، و عدم فحص از غير عدالت و صلاح، و احتياج حكم لزومى در اين مقام، به اوضح از اين بيانات مرويّه، تقويت مى نمايند مسلك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مسأله؛ اگر چه احوط ترك استشهاد او است با وجود غير و عدم توقف اثبات حق بر شهادت او</w:t>
      </w:r>
      <w:r>
        <w:rPr>
          <w:rFonts w:eastAsia="IRNazanin" w:cs="IRNazanin"/>
          <w:color w:val="111111"/>
          <w:sz w:val="28"/>
          <w:szCs w:val="28"/>
          <w:rtl w:val="true"/>
          <w:lang w:bidi="fa-IR"/>
        </w:rPr>
        <w:t xml:space="preserve">. </w:t>
      </w:r>
      <w:bookmarkStart w:id="1240" w:name="pg10275_96518"/>
    </w:p>
    <w:p>
      <w:pPr>
        <w:pStyle w:val="Heading3"/>
        <w:numPr>
          <w:ilvl w:val="2"/>
          <w:numId w:val="1"/>
        </w:numPr>
        <w:rPr/>
      </w:pPr>
      <w:bookmarkStart w:id="1241" w:name="__RefHeading___Toc3972017_1067777946"/>
      <w:bookmarkStart w:id="1242" w:name="_Toc516"/>
      <w:bookmarkEnd w:id="1240"/>
      <w:bookmarkEnd w:id="1241"/>
      <w:r>
        <w:rPr>
          <w:rtl w:val="true"/>
        </w:rPr>
        <w:t>فصل دوّم مستندات شهادت</w:t>
      </w:r>
      <w:bookmarkEnd w:id="1242"/>
    </w:p>
    <w:p>
      <w:pPr>
        <w:pStyle w:val="Heading4"/>
        <w:numPr>
          <w:ilvl w:val="3"/>
          <w:numId w:val="1"/>
        </w:numPr>
        <w:rPr/>
      </w:pPr>
      <w:bookmarkStart w:id="1243" w:name="__RefHeading___Toc3972019_1067777946"/>
      <w:bookmarkStart w:id="1244" w:name="_Toc517"/>
      <w:bookmarkEnd w:id="1243"/>
      <w:r>
        <w:rPr>
          <w:rtl w:val="true"/>
        </w:rPr>
        <w:t>اشاره</w:t>
      </w:r>
      <w:bookmarkEnd w:id="1244"/>
    </w:p>
    <w:p>
      <w:pPr>
        <w:pStyle w:val="BookText"/>
        <w:rPr/>
      </w:pPr>
      <w:r>
        <w:rPr>
          <w:rFonts w:ascii="Amiri" w:hAnsi="Amiri" w:eastAsia="Amiri" w:cs="Amiri"/>
          <w:color w:val="111111"/>
          <w:sz w:val="28"/>
          <w:sz w:val="28"/>
          <w:szCs w:val="28"/>
          <w:rtl w:val="true"/>
          <w:lang w:bidi="ar-SA"/>
        </w:rPr>
        <w:t>معتبر است در جواز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علم به مشهودٌ به از طريق مشاهده يا سماع يا شياع</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3972021_1067777946"/>
      <w:bookmarkStart w:id="1246" w:name="_Toc518"/>
      <w:bookmarkEnd w:id="1245"/>
      <w:r>
        <w:rPr>
          <w:rtl w:val="true"/>
        </w:rPr>
        <w:t>كفايت اطمينان شخصى</w:t>
      </w:r>
      <w:bookmarkEnd w:id="1246"/>
    </w:p>
    <w:p>
      <w:pPr>
        <w:pStyle w:val="BookText"/>
        <w:rPr/>
      </w:pPr>
      <w:r>
        <w:rPr>
          <w:rFonts w:ascii="IRNazanin" w:hAnsi="IRNazanin" w:eastAsia="IRNazanin"/>
          <w:color w:val="111111"/>
          <w:sz w:val="28"/>
          <w:sz w:val="28"/>
          <w:szCs w:val="28"/>
          <w:rtl w:val="true"/>
          <w:lang w:bidi="fa-IR"/>
        </w:rPr>
        <w:t>و اقرب كفايت اطمينان شخصى است به سبب مشاهدۀ كتابت خودش و امضاى خودش، اگر چه با اخبار مدّعى كه ثقه باشد اين اطمينان حاصل بشود، يا به سببى ديگر، و لازم نيست حصول علم وجدانى بالخصوص</w:t>
      </w:r>
      <w:r>
        <w:rPr>
          <w:rFonts w:eastAsia="IRNazanin" w:cs="IRNazanin"/>
          <w:color w:val="111111"/>
          <w:sz w:val="28"/>
          <w:szCs w:val="28"/>
          <w:rtl w:val="true"/>
          <w:lang w:bidi="fa-IR"/>
        </w:rPr>
        <w:t>.</w:t>
      </w:r>
    </w:p>
    <w:p>
      <w:pPr>
        <w:pStyle w:val="Heading4"/>
        <w:numPr>
          <w:ilvl w:val="3"/>
          <w:numId w:val="1"/>
        </w:numPr>
        <w:rPr/>
      </w:pPr>
      <w:bookmarkStart w:id="1247" w:name="__RefHeading___Toc3972023_1067777946"/>
      <w:bookmarkStart w:id="1248" w:name="_Toc519"/>
      <w:bookmarkEnd w:id="1247"/>
      <w:r>
        <w:rPr>
          <w:rtl w:val="true"/>
        </w:rPr>
        <w:t>ارجاع شهادت به استصحاب به علم سابق</w:t>
      </w:r>
      <w:bookmarkEnd w:id="1248"/>
    </w:p>
    <w:p>
      <w:pPr>
        <w:pStyle w:val="BookText"/>
        <w:rPr/>
      </w:pPr>
      <w:r>
        <w:rPr>
          <w:rFonts w:ascii="IRNazanin" w:hAnsi="IRNazanin" w:eastAsia="IRNazanin"/>
          <w:color w:val="111111"/>
          <w:sz w:val="28"/>
          <w:sz w:val="28"/>
          <w:szCs w:val="28"/>
          <w:rtl w:val="true"/>
          <w:lang w:bidi="fa-IR"/>
        </w:rPr>
        <w:t>و ممكن است ارجاع شهادت به استصحاب به علم به متيقّن سابق و به عدم علم شاهد به ارتفاع متيقن، كه عمل به استصحاب، وظيفه حاكم باشد، در صورت ثبوت متيقن نزد او به شهادت و شكّ او در بقاى متيقن ثابت به شهادت با توافق دو شاهد در يقين و شك، اگر چه صورت تأديۀ شهادت، عين اين مطلب نباشد بلكه كاشف از آن باشد؛ و اين بر خلاف شهادت فرع بر شهادت عدلين است، كه شهادت بر اصل ثابت به شهادت بيّنه نيست</w:t>
      </w:r>
      <w:r>
        <w:rPr>
          <w:rFonts w:eastAsia="IRNazanin" w:cs="IRNazanin"/>
          <w:color w:val="111111"/>
          <w:sz w:val="28"/>
          <w:szCs w:val="28"/>
          <w:rtl w:val="true"/>
          <w:lang w:bidi="fa-IR"/>
        </w:rPr>
        <w:t>.</w:t>
      </w:r>
    </w:p>
    <w:p>
      <w:pPr>
        <w:pStyle w:val="Heading4"/>
        <w:numPr>
          <w:ilvl w:val="3"/>
          <w:numId w:val="1"/>
        </w:numPr>
        <w:rPr/>
      </w:pPr>
      <w:bookmarkStart w:id="1249" w:name="__RefHeading___Toc3972025_1067777946"/>
      <w:bookmarkStart w:id="1250" w:name="_Toc520"/>
      <w:bookmarkEnd w:id="1249"/>
      <w:r>
        <w:rPr>
          <w:rtl w:val="true"/>
        </w:rPr>
        <w:t>عدم لزوم ابصار و سماع در مبصرات و مسموعات</w:t>
      </w:r>
      <w:bookmarkEnd w:id="12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نيست در مبصرات از افعال، خصوص علم حاصل از ابصار، بلكه كافى است علم حاصل از تواتر و هر چه كه مفيد قطع است؛ كما اين كه لازم نيست خصوص </w:t>
      </w:r>
      <w:bookmarkStart w:id="1251" w:name="pg10275_96519"/>
    </w:p>
    <w:p>
      <w:pPr>
        <w:pStyle w:val="BookText"/>
        <w:rPr/>
      </w:pPr>
      <w:bookmarkEnd w:id="1251"/>
      <w:r>
        <w:rPr>
          <w:rFonts w:ascii="IRNazanin" w:hAnsi="IRNazanin" w:eastAsia="IRNazanin"/>
          <w:color w:val="111111"/>
          <w:sz w:val="28"/>
          <w:sz w:val="28"/>
          <w:szCs w:val="28"/>
          <w:rtl w:val="true"/>
          <w:lang w:bidi="fa-IR"/>
        </w:rPr>
        <w:t>سماع در مسموع از اقوال، بلكه كافى است در شهادت، علم حاصل از تواتر و شياع مفيد علم؛ پس عبرت مطلقاً به علم به مشهودٌ به است، نه به خصوص ابصار در مبصرات در افعال و سماع در مسموعات از اقوال</w:t>
      </w:r>
      <w:r>
        <w:rPr>
          <w:rFonts w:eastAsia="IRNazanin" w:cs="IRNazanin"/>
          <w:color w:val="111111"/>
          <w:sz w:val="28"/>
          <w:szCs w:val="28"/>
          <w:rtl w:val="true"/>
          <w:lang w:bidi="fa-IR"/>
        </w:rPr>
        <w:t>.</w:t>
      </w:r>
    </w:p>
    <w:p>
      <w:pPr>
        <w:pStyle w:val="Heading4"/>
        <w:numPr>
          <w:ilvl w:val="3"/>
          <w:numId w:val="1"/>
        </w:numPr>
        <w:rPr/>
      </w:pPr>
      <w:bookmarkStart w:id="1252" w:name="__RefHeading___Toc3972027_1067777946"/>
      <w:bookmarkStart w:id="1253" w:name="_Toc521"/>
      <w:bookmarkEnd w:id="1252"/>
      <w:r>
        <w:rPr>
          <w:rtl w:val="true"/>
        </w:rPr>
        <w:t>شهادت كر و كور</w:t>
      </w:r>
      <w:bookmarkEnd w:id="1253"/>
    </w:p>
    <w:p>
      <w:pPr>
        <w:pStyle w:val="BookText"/>
        <w:rPr/>
      </w:pPr>
      <w:r>
        <w:rPr>
          <w:rFonts w:ascii="IRNazanin" w:hAnsi="IRNazanin" w:eastAsia="IRNazanin"/>
          <w:color w:val="111111"/>
          <w:sz w:val="28"/>
          <w:sz w:val="28"/>
          <w:szCs w:val="28"/>
          <w:rtl w:val="true"/>
          <w:lang w:bidi="fa-IR"/>
        </w:rPr>
        <w:t xml:space="preserve">و شهادت اصمّ در مبصرات و اعمىٰ در مسموعات مقبول است؛ بلكه مدار در شهادت، بر اخبار جازم موافق عقيده است، و مصحح آن، علم و اطمينان است اگر چه از حواسّ خمسه ناشى نباشد؛ بلكه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معقولات غير محسوسه و از حدسيّات مستفيضه كه آثار آنها محسوس است لكن مشهودٌ به سبب است نه مسبب، مثل نسب و موت و ملك مطلق و وقف و نكاح و ولايت و ولاء و عتق و رقّيت و نحو اينها، در حصول علم به آنها به تواتر و استفاضه در اغلب</w:t>
      </w:r>
      <w:r>
        <w:rPr>
          <w:rFonts w:eastAsia="IRNazanin" w:cs="IRNazanin"/>
          <w:color w:val="111111"/>
          <w:sz w:val="28"/>
          <w:szCs w:val="28"/>
          <w:rtl w:val="true"/>
          <w:lang w:bidi="fa-IR"/>
        </w:rPr>
        <w:t>.</w:t>
      </w:r>
    </w:p>
    <w:p>
      <w:pPr>
        <w:pStyle w:val="Heading4"/>
        <w:numPr>
          <w:ilvl w:val="3"/>
          <w:numId w:val="1"/>
        </w:numPr>
        <w:rPr/>
      </w:pPr>
      <w:bookmarkStart w:id="1254" w:name="__RefHeading___Toc3972029_1067777946"/>
      <w:bookmarkStart w:id="1255" w:name="_Toc522"/>
      <w:bookmarkEnd w:id="1254"/>
      <w:r>
        <w:rPr>
          <w:rtl w:val="true"/>
        </w:rPr>
        <w:t>حكم شهادت مطّلعِ بر شهادت عدلين</w:t>
      </w:r>
      <w:bookmarkEnd w:id="1255"/>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شهادت عدلين در مورد كفايت، مطّلع به آن شاهد اصل مى شود، يا آن كه جز شهادت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شهادت بر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نيست‌؟ اوّلى منسوب به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خالى از وجه نيست، چنان چه ارتكاز بر آن شهادت مى دهد، و اصل در اعتبار علم، طريقيّت است و لذا مذكور شد كفايت ظنّ اطمينانى حاصل به شياع و استفاضه در جواز و نفوذ شهادت</w:t>
      </w:r>
      <w:r>
        <w:rPr>
          <w:rFonts w:eastAsia="IRNazanin" w:cs="IRNazanin"/>
          <w:color w:val="111111"/>
          <w:sz w:val="28"/>
          <w:szCs w:val="28"/>
          <w:rtl w:val="true"/>
          <w:lang w:bidi="fa-IR"/>
        </w:rPr>
        <w:t>.</w:t>
      </w:r>
    </w:p>
    <w:p>
      <w:pPr>
        <w:pStyle w:val="Heading4"/>
        <w:numPr>
          <w:ilvl w:val="3"/>
          <w:numId w:val="1"/>
        </w:numPr>
        <w:rPr/>
      </w:pPr>
      <w:bookmarkStart w:id="1256" w:name="__RefHeading___Toc3972031_1067777946"/>
      <w:bookmarkStart w:id="1257" w:name="_Toc523"/>
      <w:bookmarkEnd w:id="1256"/>
      <w:r>
        <w:rPr>
          <w:rtl w:val="true"/>
        </w:rPr>
        <w:t>عدم دلالت سكوت بر تحمّل</w:t>
      </w:r>
      <w:bookmarkEnd w:id="1257"/>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ساكت شد،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سكوت، سبب تحمّل نيست، بلكه اگر مقرون به قراين مفيدۀ علم يا اطمينان بود متحمّل است به خلاف صورت فقد آنها</w:t>
      </w:r>
      <w:r>
        <w:rPr>
          <w:rFonts w:eastAsia="IRNazanin" w:cs="IRNazanin"/>
          <w:color w:val="111111"/>
          <w:sz w:val="28"/>
          <w:szCs w:val="28"/>
          <w:rtl w:val="true"/>
          <w:lang w:bidi="fa-IR"/>
        </w:rPr>
        <w:t>.</w:t>
      </w:r>
    </w:p>
    <w:p>
      <w:pPr>
        <w:pStyle w:val="Heading4"/>
        <w:numPr>
          <w:ilvl w:val="3"/>
          <w:numId w:val="1"/>
        </w:numPr>
        <w:rPr/>
      </w:pPr>
      <w:bookmarkStart w:id="1258" w:name="__RefHeading___Toc3972033_1067777946"/>
      <w:bookmarkStart w:id="1259" w:name="_Toc524"/>
      <w:bookmarkEnd w:id="1258"/>
      <w:r>
        <w:rPr>
          <w:rtl w:val="true"/>
        </w:rPr>
        <w:t>استفاضه</w:t>
      </w:r>
      <w:bookmarkEnd w:id="125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استفاضه كه مسوّغ شهادت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مفيد 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ملك مطلق </w:t>
      </w:r>
      <w:bookmarkStart w:id="1260" w:name="pg10275_96520"/>
    </w:p>
    <w:p>
      <w:pPr>
        <w:pStyle w:val="BookText"/>
        <w:rPr/>
      </w:pPr>
      <w:bookmarkEnd w:id="1260"/>
      <w:r>
        <w:rPr>
          <w:rFonts w:ascii="IRNazanin" w:hAnsi="IRNazanin" w:eastAsia="IRNazanin"/>
          <w:color w:val="111111"/>
          <w:sz w:val="28"/>
          <w:sz w:val="28"/>
          <w:szCs w:val="28"/>
          <w:rtl w:val="true"/>
          <w:lang w:bidi="fa-IR"/>
        </w:rPr>
        <w:t xml:space="preserve">محقق بود، چون در سبب، محقق نيست، نبايد مسوّغ شهادت بر سبب باشد اگر چه به سببى ديگر قابل شهادت نزد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 كه سبب، ضميمۀ شهادت بر مسبب باشد به نحو اقتران دو شهادت به خلاف اين كه شهادت واحده متعلقۀ به سبب و مسبّب باشد؛ لكن مذكور شد كه شهادت، از اطمينان شاهد يا حجّت شرعيّه نزد او بر مشهودٌ به خارج نيست به نحوى كه نافذ باشد؛ و انحصار مسبّب به استفاضه و عدم جريانش در سبب، موجب اسقاط شهادت واحده بر مسبب و سبب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بر ميراث، پس استفاضۀ وارث بودن، مستلزم استفاضۀ موت است، و در هر صورت نافذ در سبب و مسبب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ملكى كه سبب آن در مورد خاص منحصر به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كه شهادت بر سبب و مسبب بود و شهادت بر سبب، مدلول مطابقى بود و نافذ و مقبول نشد پس شهادت بر مسبّب كه مدلول التزامى است ساقط نمى شود، زيرا اخبار از آن تكويناً تابع اخبار تكوينى از سبب است نه آن كه تابع نفوذ اخبار از سبب است، پس دو دلالت در ثبوت، تابع و متبوع است نه در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ثمره دو قسم متقدم در صورت وجود معارض؛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تكافؤ بيّنتين در سبب و مسبب و اعتبار هر كدام در هر دو، تساقط مى نمايد؛ و با اختصاص يكى به يكى از سبب و مسبب، ترجيح داده مى شود آن بيّنه اى كه در زايد بر بيّنۀ معارض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مستند يك بيّنه استفاضه، و ديگرى غير استفاضه باشد، پس تقديم يك اماره بر ديگرى محتاج به تأمّل است، مثل ترجيح يد بر استفاضۀ غصب بنا بر اين كه استفاضۀ غصب، مثبت آن است</w:t>
      </w:r>
      <w:r>
        <w:rPr>
          <w:rFonts w:eastAsia="IRNazanin" w:cs="IRNazanin"/>
          <w:color w:val="111111"/>
          <w:sz w:val="28"/>
          <w:szCs w:val="28"/>
          <w:rtl w:val="true"/>
          <w:lang w:bidi="fa-IR"/>
        </w:rPr>
        <w:t>.</w:t>
      </w:r>
    </w:p>
    <w:p>
      <w:pPr>
        <w:pStyle w:val="Heading4"/>
        <w:numPr>
          <w:ilvl w:val="3"/>
          <w:numId w:val="1"/>
        </w:numPr>
        <w:rPr/>
      </w:pPr>
      <w:bookmarkStart w:id="1261" w:name="__RefHeading___Toc3972035_1067777946"/>
      <w:bookmarkStart w:id="1262" w:name="_Toc525"/>
      <w:bookmarkEnd w:id="1261"/>
      <w:r>
        <w:rPr>
          <w:rtl w:val="true"/>
        </w:rPr>
        <w:t>عدم احتياج استفاضه به يد و تصرّف</w:t>
      </w:r>
      <w:bookmarkEnd w:id="126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استفاضه در اعتبار آن و اثبات ملك مستفيض به آن، محتاج به يد و تصرّف نيست</w:t>
      </w:r>
      <w:r>
        <w:rPr>
          <w:rFonts w:eastAsia="Amiri" w:cs="Amiri" w:ascii="Amiri" w:hAnsi="Amiri"/>
          <w:color w:val="111111"/>
          <w:sz w:val="28"/>
          <w:szCs w:val="28"/>
          <w:rtl w:val="true"/>
          <w:lang w:bidi="ar-SA"/>
        </w:rPr>
        <w:t xml:space="preserve">. </w:t>
      </w:r>
      <w:bookmarkStart w:id="1263" w:name="pg10275_96521"/>
    </w:p>
    <w:p>
      <w:pPr>
        <w:pStyle w:val="BookText"/>
        <w:rPr/>
      </w:pPr>
      <w:bookmarkEnd w:id="1263"/>
      <w:r>
        <w:rPr>
          <w:rFonts w:ascii="IRNazanin" w:hAnsi="IRNazanin" w:eastAsia="IRNazanin"/>
          <w:color w:val="111111"/>
          <w:sz w:val="28"/>
          <w:sz w:val="28"/>
          <w:szCs w:val="28"/>
          <w:rtl w:val="true"/>
          <w:lang w:bidi="fa-IR"/>
        </w:rPr>
        <w:t>و در صورت معارضۀ استفاضه و يد براى دو نفر، محتاج به ترجيح خصوصى است؛ اگر چه لحوق استفاضه به بيّنۀ بر ملك و تشخيص منكر و احتياج به يمين در ذُو اليد، خالى از وجه نيست، مثل ساير موارد معارضۀ بيّنه و يد</w:t>
      </w:r>
      <w:r>
        <w:rPr>
          <w:rFonts w:eastAsia="IRNazanin" w:cs="IRNazanin"/>
          <w:color w:val="111111"/>
          <w:sz w:val="28"/>
          <w:szCs w:val="28"/>
          <w:rtl w:val="true"/>
          <w:lang w:bidi="fa-IR"/>
        </w:rPr>
        <w:t>.</w:t>
      </w:r>
    </w:p>
    <w:p>
      <w:pPr>
        <w:pStyle w:val="Heading4"/>
        <w:numPr>
          <w:ilvl w:val="3"/>
          <w:numId w:val="1"/>
        </w:numPr>
        <w:rPr/>
      </w:pPr>
      <w:bookmarkStart w:id="1264" w:name="__RefHeading___Toc3972037_1067777946"/>
      <w:bookmarkStart w:id="1265" w:name="_Toc526"/>
      <w:bookmarkEnd w:id="1264"/>
      <w:r>
        <w:rPr>
          <w:rtl w:val="true"/>
        </w:rPr>
        <w:t>چند مسأله</w:t>
      </w:r>
      <w:bookmarkEnd w:id="1265"/>
    </w:p>
    <w:p>
      <w:pPr>
        <w:pStyle w:val="Heading5"/>
        <w:numPr>
          <w:ilvl w:val="4"/>
          <w:numId w:val="1"/>
        </w:numPr>
        <w:rPr/>
      </w:pPr>
      <w:bookmarkStart w:id="1266" w:name="__RefHeading___Toc3972039_1067777946"/>
      <w:bookmarkStart w:id="1267" w:name="_Toc527"/>
      <w:bookmarkEnd w:id="1266"/>
      <w:r>
        <w:rPr>
          <w:rtl w:val="true"/>
        </w:rPr>
        <w:t>كفايت حجّت شرعيه بر ملك در جواز شهادت بر ملكيت</w:t>
      </w:r>
      <w:bookmarkEnd w:id="1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اظهر كفايت حجّت شرعيه بر ملك، در جواز شهادت به ملكيت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تصرفات مالكانه كه اخص از يد است با آن مى تواند شهادت بر ملكيت بدهد، چنان چه گذشت وجاهت آن در بيّنه و مروىّ است در روايت حفص كه مشهور است عملاً</w:t>
      </w:r>
      <w:r>
        <w:rPr>
          <w:rFonts w:eastAsia="IRNazanin" w:cs="IRNazanin"/>
          <w:color w:val="111111"/>
          <w:sz w:val="28"/>
          <w:szCs w:val="28"/>
          <w:rtl w:val="true"/>
          <w:lang w:bidi="fa-IR"/>
        </w:rPr>
        <w:t>.</w:t>
      </w:r>
    </w:p>
    <w:p>
      <w:pPr>
        <w:pStyle w:val="Heading5"/>
        <w:numPr>
          <w:ilvl w:val="4"/>
          <w:numId w:val="1"/>
        </w:numPr>
        <w:rPr/>
      </w:pPr>
      <w:bookmarkStart w:id="1268" w:name="__RefHeading___Toc3972041_1067777946"/>
      <w:bookmarkStart w:id="1269" w:name="_Toc528"/>
      <w:bookmarkEnd w:id="1268"/>
      <w:r>
        <w:rPr>
          <w:rtl w:val="true"/>
        </w:rPr>
        <w:t>آن چه با استفاضه ثابت مى شود</w:t>
      </w:r>
      <w:bookmarkEnd w:id="12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مى شود به استفاضه امورى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اوقاف و مناكح و ولايات و ذبايح و انساب و شهادات و ملك مطلق، در صورت افادۀ استفاضه علم يا اطمينان را؛ و اختصاصى به اين هفت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آن دو پس شهادت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ثابت بودن به مجرد شياع به نحوى كه جايز باشد ترتيب اثر غير شهادت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اشكال نيست</w:t>
      </w:r>
      <w:r>
        <w:rPr>
          <w:rFonts w:eastAsia="IRNazanin" w:cs="IRNazanin"/>
          <w:color w:val="111111"/>
          <w:sz w:val="28"/>
          <w:szCs w:val="28"/>
          <w:rtl w:val="true"/>
          <w:lang w:bidi="fa-IR"/>
        </w:rPr>
        <w:t>.</w:t>
      </w:r>
    </w:p>
    <w:p>
      <w:pPr>
        <w:pStyle w:val="Heading5"/>
        <w:numPr>
          <w:ilvl w:val="4"/>
          <w:numId w:val="1"/>
        </w:numPr>
        <w:rPr/>
      </w:pPr>
      <w:bookmarkStart w:id="1270" w:name="__RefHeading___Toc3972043_1067777946"/>
      <w:bookmarkStart w:id="1271" w:name="_Toc529"/>
      <w:bookmarkEnd w:id="1270"/>
      <w:r>
        <w:rPr>
          <w:rtl w:val="true"/>
        </w:rPr>
        <w:t>جواز تحمّل و اداى شهادت توسط اخرس</w:t>
      </w:r>
      <w:bookmarkEnd w:id="12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اخرس و هر عاجز از كلام مفيد، مى تواند تحمل و اداى شهادت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حاكم نفهميد مقصود اخرس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لسان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 شود به ترجمه عدلين كه مى فهمند از اشاره و نحو آن از شاهد، مقصود او را؛ و اكتفا به واحد موثوقٌ به در ترجمه،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تعدد و عدالت، مى تواند مترجم، شهادت بر شهادت بدهد تا نزد حاكم، شهادت عدلين ثابت بشود و به نظر خودش عمل نمايد اگر اشاره در حضور حاكم نبوده باشد بنا بر آن كه اعتبار ندارد شهادت بر شهادت با</w:t>
      </w:r>
      <w:bookmarkStart w:id="1272" w:name="pg10275_96522"/>
    </w:p>
    <w:p>
      <w:pPr>
        <w:pStyle w:val="BookText"/>
        <w:rPr/>
      </w:pPr>
      <w:bookmarkEnd w:id="1272"/>
      <w:r>
        <w:rPr>
          <w:rFonts w:ascii="IRNazanin" w:hAnsi="IRNazanin" w:eastAsia="IRNazanin"/>
          <w:color w:val="111111"/>
          <w:sz w:val="28"/>
          <w:sz w:val="28"/>
          <w:szCs w:val="28"/>
          <w:rtl w:val="true"/>
          <w:lang w:bidi="fa-IR"/>
        </w:rPr>
        <w:t xml:space="preserve">حضور شاهد نزد حاكم و امكان شهادت به نحو معلوم نزد حاكم يا مفسّر به تفسير دو عدل؛ و مى تواند شهادت بر اصل بدهد بنا بر اكتفاى در شهادت به استناد به شهادت عدلين، چنان چه گذشت؛ و مى تواند حاكم، به شهادت اصل كه ثابت به ترجمه شده است حكم نمايد؛ و بر هر تقدير، جواز حكم به اشاره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حاكم است اگر چه با ترجمه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pStyle w:val="Heading4"/>
        <w:numPr>
          <w:ilvl w:val="3"/>
          <w:numId w:val="1"/>
        </w:numPr>
        <w:rPr/>
      </w:pPr>
      <w:bookmarkStart w:id="1273" w:name="__RefHeading___Toc3972045_1067777946"/>
      <w:bookmarkStart w:id="1274" w:name="_Toc530"/>
      <w:bookmarkEnd w:id="1273"/>
      <w:r>
        <w:rPr>
          <w:rtl w:val="true"/>
        </w:rPr>
        <w:t>امرى كه محتاج به ديدن و شنيدن است</w:t>
      </w:r>
      <w:bookmarkEnd w:id="1274"/>
    </w:p>
    <w:p>
      <w:pPr>
        <w:pStyle w:val="BookText"/>
        <w:rPr/>
      </w:pPr>
      <w:r>
        <w:rPr>
          <w:rFonts w:ascii="Amiri" w:hAnsi="Amiri" w:eastAsia="Amiri" w:cs="Amiri"/>
          <w:color w:val="111111"/>
          <w:sz w:val="28"/>
          <w:sz w:val="28"/>
          <w:szCs w:val="28"/>
          <w:rtl w:val="true"/>
          <w:lang w:bidi="ar-SA"/>
        </w:rPr>
        <w:t>سوم از امورى كه استناد علم شاهد به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محتاج به سمع و بصر است، مثل عقود و ايقاعات كه محتاج به سماع لفظ و رؤيت لافظ مى باشند</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3972047_1067777946"/>
      <w:bookmarkStart w:id="1276" w:name="_Toc531"/>
      <w:bookmarkEnd w:id="1275"/>
      <w:r>
        <w:rPr>
          <w:rtl w:val="true"/>
        </w:rPr>
        <w:t>موارد شهادت اعمى</w:t>
      </w:r>
      <w:bookmarkEnd w:id="1276"/>
    </w:p>
    <w:p>
      <w:pPr>
        <w:pStyle w:val="BookText"/>
        <w:rPr/>
      </w:pPr>
      <w:r>
        <w:rPr>
          <w:rFonts w:ascii="IRNazanin" w:hAnsi="IRNazanin" w:eastAsia="IRNazanin"/>
          <w:color w:val="111111"/>
          <w:sz w:val="28"/>
          <w:sz w:val="28"/>
          <w:szCs w:val="28"/>
          <w:rtl w:val="true"/>
          <w:lang w:bidi="fa-IR"/>
        </w:rPr>
        <w:t>ممكن است اكتفا به شهادت اعمىٰ اگر شنيد تلفظ را و با معرفى دو عادل شناخت لافظ را پس شهادت داد به عقد لافظ به نحو شهادت اصل به معرفى و اثبات و تعيين دو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شهادت بر تلفظ حاضر بدهد و معرّف، شهادت بر حضور متلفظ بدهد، كه هر كدام شاهد اصل در جزئى از تلفظ زيد مثلاً به عقد باشند؛ و تعدد شاهد اگر معتبر است، در دومى همان معتبر و كافى است كه در اوّلى معتبر و كافى است؛ و چون در اين تقدير، مشهودٌ به مغايرت دارد، پس اصل و فرع در اينجا محل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دو معرّف نمى شنوند، شهادت بر حضور زيد مى دهند و شاهد اصل، شهادت بر تلفظ زيد مى دهد، ايضاً اصليت و فرعيت محل ندارد، بلكه محل آن شهادت بر شهادت است؛ بلى اگر معرّفين سامع و بصير باشند و نزد حاكم، عادل باشند شهادت آنها كافى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معرّفها نبودند يا آن كه شهادت ندادند لكن اعمىٰ كه شنيد عقد را از قراين علم حاصل كرد به تعيين عاقد، حاجتى به تعريف ندارد، و مى تواند شهادت بر عقد </w:t>
      </w:r>
      <w:bookmarkStart w:id="1277" w:name="pg10275_96523"/>
    </w:p>
    <w:p>
      <w:pPr>
        <w:pStyle w:val="BookText"/>
        <w:rPr/>
      </w:pPr>
      <w:bookmarkEnd w:id="1277"/>
      <w:r>
        <w:rPr>
          <w:rFonts w:ascii="IRNazanin" w:hAnsi="IRNazanin" w:eastAsia="IRNazanin"/>
          <w:color w:val="111111"/>
          <w:sz w:val="28"/>
          <w:sz w:val="28"/>
          <w:szCs w:val="28"/>
          <w:rtl w:val="true"/>
          <w:lang w:bidi="fa-IR"/>
        </w:rPr>
        <w:t>معيّن كه سامع جزئى و عالم به جزء ديگر است بدهد؛ و مخالفت در اين مطلب، مستلزم قول به جواز وطى اعمى زوجۀ خود را و عدم جواز شهادت او بر او به درهم است؛ پس اعمىٰ در تحمل شهادت و اداى آن و در اين كه مستند شهادت علم يا استفاضه باشد، مانند بصير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اگر اعتبار در شهادت، به استناد به علم و اطمينان است، پس اناطه به اسباب علم مثل ابصار در مبصرات و سمع در مسموعات ندارد؛ و شهادت اعمىٰ به مثل رؤيت هلال، وقتى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اخبار از ابصار خودش باشد، و همچنين شهادت اصمّ از سماع خودش، نه در صورتى كه اخبار از حصول علم به 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اعمى باشد و مشهودٌ به مبصر، يا آن كه اصمّ باشد و مشهودٌ به مسموع، چنان چه منسوب به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اخبار از ابصار جايز است در صورتى كه تحمل در زمان ابصار و شهادت در زمان عمىٰ باشد، و همچنين تحمل اصمّ در زمان سامع بودن و شهادت در زمان صمم؛ بلكه كافى است حصول علم به غير اين دو طريق رأساً چنان چه گذشت</w:t>
      </w:r>
      <w:r>
        <w:rPr>
          <w:rFonts w:eastAsia="IRNazanin" w:cs="IRNazanin"/>
          <w:color w:val="111111"/>
          <w:sz w:val="28"/>
          <w:szCs w:val="28"/>
          <w:rtl w:val="true"/>
          <w:lang w:bidi="fa-IR"/>
        </w:rPr>
        <w:t>.</w:t>
      </w:r>
    </w:p>
    <w:p>
      <w:pPr>
        <w:pStyle w:val="Heading4"/>
        <w:numPr>
          <w:ilvl w:val="3"/>
          <w:numId w:val="1"/>
        </w:numPr>
        <w:rPr/>
      </w:pPr>
      <w:bookmarkStart w:id="1278" w:name="__RefHeading___Toc3972049_1067777946"/>
      <w:bookmarkStart w:id="1279" w:name="_Toc532"/>
      <w:bookmarkEnd w:id="1278"/>
      <w:r>
        <w:rPr>
          <w:rtl w:val="true"/>
        </w:rPr>
        <w:t>كفايت شهادت اعمى درباره مقبوض به يد بدون اناطه بر ابصار</w:t>
      </w:r>
      <w:bookmarkEnd w:id="127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لوازم كفايت علم در شهادت اعمىٰ اين است كه شهادت اعمىٰ درباره مقبوض به يد، اناطه بر ابصار فعلى يا سابق ندارد، چون معلوم او است آن چه كه براى او يا بر او شهادت مى دهد، پس مقبول است شهادت او، و احتياجى به ترجمه و تعريف ندارد</w:t>
      </w:r>
      <w:r>
        <w:rPr>
          <w:rFonts w:eastAsia="IRNazanin" w:cs="IRNazanin"/>
          <w:color w:val="111111"/>
          <w:sz w:val="28"/>
          <w:szCs w:val="28"/>
          <w:rtl w:val="true"/>
          <w:lang w:bidi="fa-IR"/>
        </w:rPr>
        <w:t xml:space="preserve">. </w:t>
      </w:r>
      <w:bookmarkStart w:id="1280" w:name="pg10275_96524"/>
    </w:p>
    <w:p>
      <w:pPr>
        <w:pStyle w:val="Heading3"/>
        <w:numPr>
          <w:ilvl w:val="2"/>
          <w:numId w:val="1"/>
        </w:numPr>
        <w:rPr/>
      </w:pPr>
      <w:bookmarkStart w:id="1281" w:name="__RefHeading___Toc3972051_1067777946"/>
      <w:bookmarkStart w:id="1282" w:name="_Toc533"/>
      <w:bookmarkEnd w:id="1280"/>
      <w:bookmarkEnd w:id="1281"/>
      <w:r>
        <w:rPr>
          <w:rtl w:val="true"/>
        </w:rPr>
        <w:t>فصل سوّم اقسام حقوق</w:t>
      </w:r>
      <w:bookmarkEnd w:id="1282"/>
    </w:p>
    <w:p>
      <w:pPr>
        <w:pStyle w:val="Heading4"/>
        <w:numPr>
          <w:ilvl w:val="3"/>
          <w:numId w:val="1"/>
        </w:numPr>
        <w:rPr/>
      </w:pPr>
      <w:bookmarkStart w:id="1283" w:name="__RefHeading___Toc3972053_1067777946"/>
      <w:bookmarkStart w:id="1284" w:name="_Toc534"/>
      <w:bookmarkEnd w:id="1283"/>
      <w:r>
        <w:rPr>
          <w:rtl w:val="true"/>
        </w:rPr>
        <w:t>تعداد شاهد لازم در حق اللّٰه تعالى</w:t>
      </w:r>
      <w:bookmarkEnd w:id="1284"/>
    </w:p>
    <w:p>
      <w:pPr>
        <w:pStyle w:val="BookText"/>
        <w:rPr/>
      </w:pP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زنا و لواط و مساحقه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شاهد مرد ثابت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در اوّلى منصوص است، و نقل عدم خلاف در هر سه شده است در اعتبار چهار مرد در آنها، و اظهر و اشهر در اتيان بهايم كفايت شهادت دو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خصوص زنا، شهادت سه مرد با دو زن مقبول است و مثبت رجم است؛ و اما شهادت دو مرد با چهار زن پس مختار قبول آن است در غير رجم، به معناى مصرّح به در موثّق كه مثبت حد زنا است نه رجم، و آن موافق است با عموم آيه شريفه كه در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مشهودٌ به يا مقرٌّ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جلد فرموده و مقيد شده است به غير محصن كه مخصوص به شهادتهاى مقرره باشد، و در غير اين صورتهاى خارجۀ به يقين كه از آن جمله مورد شهادت دو مرد با چهار زن است اخذ به عموم آيۀ شريفه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قول، موافق با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نفى حدّ است رأساً، زيرا حكم زناى محصن، ثابت العدم و موضوع زناى غير محصن، مفروض العدم است، پس حكم آن بدون موضوع مى باشد، چنان 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مستند قول اول، صريح موثّق مؤيّد به عموم آيۀ شريفه است چنان چه ذكر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غير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لواط و سحق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بر قاعده اعتبار چهار مرد در ثبوت به شهادت مى شود</w:t>
      </w:r>
      <w:r>
        <w:rPr>
          <w:rFonts w:eastAsia="IRNazanin" w:cs="IRNazanin"/>
          <w:color w:val="111111"/>
          <w:sz w:val="28"/>
          <w:szCs w:val="28"/>
          <w:rtl w:val="true"/>
          <w:lang w:bidi="fa-IR"/>
        </w:rPr>
        <w:t xml:space="preserve">. </w:t>
      </w:r>
      <w:bookmarkStart w:id="1285" w:name="pg10275_96525"/>
    </w:p>
    <w:p>
      <w:pPr>
        <w:pStyle w:val="BookText"/>
        <w:rPr/>
      </w:pPr>
      <w:bookmarkEnd w:id="1285"/>
      <w:r>
        <w:rPr>
          <w:rFonts w:ascii="IRNazanin" w:hAnsi="IRNazanin" w:eastAsia="IRNazanin"/>
          <w:color w:val="111111"/>
          <w:sz w:val="28"/>
          <w:sz w:val="28"/>
          <w:szCs w:val="28"/>
          <w:rtl w:val="true"/>
          <w:lang w:bidi="fa-IR"/>
        </w:rPr>
        <w:t xml:space="preserve">و غير آن چه مذكور شد از 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سرقت و شرب خمر و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شوند با دو شاهد عادل؛ و همچنين ساير حقوق اللّٰه كه مورد حدّ نيستند، مانند زكات و خمس و كفّارات و نذور و اسلام؛ و همچنين مشتمل بر دو حق مثل بلوغ و ولاء و عدّه و جرح و تعديل و عفو از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اللّٰه مطلقاً با يك مرد و دو زن، ثابت نمى شود، و با يك شاهد و يمين مدّعى يا شهادت جمعى از زنها ثابت نمى شود</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3972055_1067777946"/>
      <w:bookmarkStart w:id="1287" w:name="_Toc535"/>
      <w:bookmarkEnd w:id="1286"/>
      <w:r>
        <w:rPr>
          <w:rtl w:val="true"/>
        </w:rPr>
        <w:t>آن چه فقط با دو مرد ثابت مى شود</w:t>
      </w:r>
      <w:bookmarkEnd w:id="1287"/>
    </w:p>
    <w:p>
      <w:pPr>
        <w:pStyle w:val="BookText"/>
        <w:rPr/>
      </w:pPr>
      <w:r>
        <w:rPr>
          <w:rFonts w:ascii="IRNazanin" w:hAnsi="IRNazanin" w:eastAsia="IRNazanin"/>
          <w:color w:val="111111"/>
          <w:sz w:val="28"/>
          <w:sz w:val="28"/>
          <w:szCs w:val="28"/>
          <w:rtl w:val="true"/>
          <w:lang w:bidi="fa-IR"/>
        </w:rPr>
        <w:t>و اما حقوق آدميين، پس قسمى از آنها ثابت نمى شود مگر با دو مرد عادل، پس شهادت زنها با انضمام يا شهادت مردى با يمين مدّعى اثرى ندارد، مانند طلاق، و خُلع اگر نزاع در خصوص مال نباشد، و رؤيت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وكالت و موصى اليه بودن و نسب و عتق و نكاح و قصاص، پس دور نيست قبول شهادت يك مرد و دو زن در آنها، و دور نيست حمل معارض در بعض آنها بر نفى قبول شهادت زنها بدون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اختصاص دارد نظر به آن، به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قبول شهادت زنها در آن بدون مرد مقبول است با رعايت نسبت و حساب دو زن به جاى يك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موردى از حقوق آدميين كه اكتفاى به يك شاهد و يمين مى شود پس اكتفاى به شهادت دو زن با يمين مدعى ثابت است بنا بر اظهر</w:t>
      </w:r>
      <w:r>
        <w:rPr>
          <w:rFonts w:eastAsia="IRNazanin" w:cs="IRNazanin"/>
          <w:color w:val="111111"/>
          <w:sz w:val="28"/>
          <w:szCs w:val="28"/>
          <w:rtl w:val="true"/>
          <w:lang w:bidi="fa-IR"/>
        </w:rPr>
        <w:t>.</w:t>
      </w:r>
    </w:p>
    <w:p>
      <w:pPr>
        <w:pStyle w:val="Heading4"/>
        <w:numPr>
          <w:ilvl w:val="3"/>
          <w:numId w:val="1"/>
        </w:numPr>
        <w:rPr/>
      </w:pPr>
      <w:bookmarkStart w:id="1288" w:name="__RefHeading___Toc3972057_1067777946"/>
      <w:bookmarkStart w:id="1289" w:name="_Toc536"/>
      <w:bookmarkEnd w:id="1288"/>
      <w:r>
        <w:rPr>
          <w:rtl w:val="true"/>
        </w:rPr>
        <w:t>دو مرد، يك شاهد و يمين، يك شاهد و دو زن</w:t>
      </w:r>
      <w:bookmarkEnd w:id="128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حقوق آدميين ثابت مى شود با دو شاهد مرد عادل و با يك شاهد و يمين مدعى و با يك شاهد و دو زن؛ و محل آن، صورت تعلق دعوى به مال يا آن چه با آن مال مقصود است، مثل قرض و قراض و غصب و عقود معاوضات مطلقاً و رهن و موصى له بودن و جنايتى كه موجب ديه باشد، مانند خطأ و شبه عمد و قتل حرّ عبد را </w:t>
      </w:r>
      <w:bookmarkStart w:id="1290" w:name="pg10275_96527"/>
    </w:p>
    <w:p>
      <w:pPr>
        <w:pStyle w:val="BookText"/>
        <w:rPr/>
      </w:pPr>
      <w:bookmarkEnd w:id="1290"/>
      <w:r>
        <w:rPr>
          <w:rFonts w:ascii="IRNazanin" w:hAnsi="IRNazanin" w:eastAsia="IRNazanin"/>
          <w:color w:val="111111"/>
          <w:sz w:val="28"/>
          <w:sz w:val="28"/>
          <w:szCs w:val="28"/>
          <w:rtl w:val="true"/>
          <w:lang w:bidi="fa-IR"/>
        </w:rPr>
        <w:t>و قتل اب ولد را و قتل مسلم ذمّى را و قتل صبىّ و مجنون و نحو آنها و مانند مأمومه و جائفه و شكستن استخوانها و هر چه ثابت در آن مال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ثبوت حق مالى با دو زن به جاى يك مرد با ضميمه يمين مدعى، در هر دو صورت، خالى از وجه نيست؛ پس به جاى دو مرد، يك مرد با يمين مدعى و يك مرد با دو زن و دو زن با يمين مدعى قرار مى گيرد</w:t>
      </w:r>
      <w:r>
        <w:rPr>
          <w:rFonts w:eastAsia="IRNazanin" w:cs="IRNazanin"/>
          <w:color w:val="111111"/>
          <w:sz w:val="28"/>
          <w:szCs w:val="28"/>
          <w:rtl w:val="true"/>
          <w:lang w:bidi="fa-IR"/>
        </w:rPr>
        <w:t>.</w:t>
      </w:r>
    </w:p>
    <w:p>
      <w:pPr>
        <w:pStyle w:val="Heading4"/>
        <w:numPr>
          <w:ilvl w:val="3"/>
          <w:numId w:val="1"/>
        </w:numPr>
        <w:rPr/>
      </w:pPr>
      <w:bookmarkStart w:id="1291" w:name="__RefHeading___Toc3972059_1067777946"/>
      <w:bookmarkStart w:id="1292" w:name="_Toc537"/>
      <w:bookmarkEnd w:id="1291"/>
      <w:r>
        <w:rPr>
          <w:rtl w:val="true"/>
        </w:rPr>
        <w:t>حكم وقف در تعداد شاهد</w:t>
      </w:r>
      <w:bookmarkEnd w:id="1292"/>
    </w:p>
    <w:p>
      <w:pPr>
        <w:pStyle w:val="BookText"/>
        <w:rPr/>
      </w:pPr>
      <w:r>
        <w:rPr>
          <w:rFonts w:ascii="IRNazanin" w:hAnsi="IRNazanin" w:eastAsia="IRNazanin"/>
          <w:color w:val="111111"/>
          <w:sz w:val="28"/>
          <w:sz w:val="28"/>
          <w:szCs w:val="28"/>
          <w:rtl w:val="true"/>
          <w:lang w:bidi="fa-IR"/>
        </w:rPr>
        <w:t xml:space="preserve">و اظهر محكوميت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مذكور در حقوق ماليّه آدميين در اثبات آن و زوال آن، و همچنين بقاى اجل يا زوال آن در مربوط به اموال، و در اشتراط يا انقضاى خيار در معاوضات، و حق شفعه، و فسخ عقد بر مال، و اداى نجوم مكاتبه، و غير اينها از حقوق آدميين كه مقصود از آنها ثبوت ملكيت مالى يا زوال آن است</w:t>
      </w:r>
      <w:r>
        <w:rPr>
          <w:rFonts w:eastAsia="IRNazanin" w:cs="IRNazanin"/>
          <w:color w:val="111111"/>
          <w:sz w:val="28"/>
          <w:szCs w:val="28"/>
          <w:rtl w:val="true"/>
          <w:lang w:bidi="fa-IR"/>
        </w:rPr>
        <w:t>.</w:t>
      </w:r>
    </w:p>
    <w:p>
      <w:pPr>
        <w:pStyle w:val="Heading4"/>
        <w:numPr>
          <w:ilvl w:val="3"/>
          <w:numId w:val="1"/>
        </w:numPr>
        <w:rPr/>
      </w:pPr>
      <w:bookmarkStart w:id="1293" w:name="__RefHeading___Toc3972061_1067777946"/>
      <w:bookmarkStart w:id="1294" w:name="_Toc538"/>
      <w:bookmarkEnd w:id="1293"/>
      <w:r>
        <w:rPr>
          <w:rtl w:val="true"/>
        </w:rPr>
        <w:t>آن چه با شهادت مردها و زنها ثابت مى شود</w:t>
      </w:r>
      <w:bookmarkEnd w:id="1294"/>
    </w:p>
    <w:p>
      <w:pPr>
        <w:pStyle w:val="BookText"/>
        <w:rPr/>
      </w:pPr>
      <w:r>
        <w:rPr>
          <w:rFonts w:ascii="IRNazanin" w:hAnsi="IRNazanin" w:eastAsia="IRNazanin"/>
          <w:color w:val="111111"/>
          <w:sz w:val="28"/>
          <w:sz w:val="28"/>
          <w:szCs w:val="28"/>
          <w:rtl w:val="true"/>
          <w:lang w:bidi="fa-IR"/>
        </w:rPr>
        <w:t>قسم سوم از حقوق الناس آن است كه ثابت مى شود به شهادت مردها، و زنها اگر چه منفرد از مردها باشند، مانند ولادت، و استهلال مولود، و عيوب باطنيۀ زنها كه متعسّر است اطّلاع مردها به آنها، به خلاف ظاهريه مثل عَرَج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رضاع كه تعذّر شرعى در مشاهده مردها است بر آن غالباً، شهادت زنها به تنهايى از مردها مقبول است با تحقق ساير شروط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بطريق اولىٰ جايز است در اين امور، شهادت زنها با انضمام به شهادت مردها، با صحّت فرض اجتماع شروط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قبول شهادت زنها بدون مرد شاهد در رضاع، خلاف است، و اقرب قبول است به ملاك تعسّر اطّلاع غير زنها غالباً بر آن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قبول مى شود شهادت يك زن در ربع ميراث مستهلّ‌، و دو زن در نصف آن، و سه زن در سه ربع، و چهار زن در تمام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دو مورد، </w:t>
      </w:r>
      <w:bookmarkStart w:id="1295" w:name="pg10275_96529"/>
    </w:p>
    <w:p>
      <w:pPr>
        <w:pStyle w:val="BookText"/>
        <w:rPr/>
      </w:pPr>
      <w:bookmarkEnd w:id="1295"/>
      <w:r>
        <w:rPr>
          <w:rFonts w:ascii="Amiri" w:hAnsi="Amiri" w:eastAsia="Amiri" w:cs="Amiri"/>
          <w:color w:val="111111"/>
          <w:sz w:val="28"/>
          <w:sz w:val="28"/>
          <w:szCs w:val="28"/>
          <w:rtl w:val="true"/>
          <w:lang w:bidi="ar-SA"/>
        </w:rPr>
        <w:t>قبول نمى شود شهادت يك زن در اثبات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ديه خلاف است و احوط صلح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وصيت به مال بلكه در هر موردى كه به شهادت دو زن نصف مال ثابت مى شود، اقرب قيام يك مرد مقام دو زن است با تحقق ساير شروط قبول شهادت، و صلح احوط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براى يك زن كه شهادت داد و ربع را حاكم، اثبات كرد هست تضعيف مشهودٌ به با تكرار شهادت تا اتمام ميراث‌؟ اظهر عدم است چنان چه اشاره به اين لازم دائمى نشده است در نص و فتوىٰ‌</w:t>
      </w:r>
      <w:r>
        <w:rPr>
          <w:rFonts w:eastAsia="IRNazanin" w:cs="IRNazanin"/>
          <w:color w:val="111111"/>
          <w:sz w:val="28"/>
          <w:szCs w:val="28"/>
          <w:rtl w:val="true"/>
          <w:lang w:bidi="fa-IR"/>
        </w:rPr>
        <w:t>.</w:t>
      </w:r>
    </w:p>
    <w:p>
      <w:pPr>
        <w:pStyle w:val="Heading4"/>
        <w:numPr>
          <w:ilvl w:val="3"/>
          <w:numId w:val="1"/>
        </w:numPr>
        <w:rPr/>
      </w:pPr>
      <w:bookmarkStart w:id="1296" w:name="__RefHeading___Toc3972063_1067777946"/>
      <w:bookmarkStart w:id="1297" w:name="_Toc539"/>
      <w:bookmarkEnd w:id="1296"/>
      <w:r>
        <w:rPr>
          <w:rtl w:val="true"/>
        </w:rPr>
        <w:t>شهادت خنثاى مشكل</w:t>
      </w:r>
      <w:bookmarkEnd w:id="1297"/>
    </w:p>
    <w:p>
      <w:pPr>
        <w:pStyle w:val="BookText"/>
        <w:rPr/>
      </w:pPr>
      <w:r>
        <w:rPr>
          <w:rFonts w:ascii="IRNazanin" w:hAnsi="IRNazanin" w:eastAsia="IRNazanin"/>
          <w:color w:val="111111"/>
          <w:sz w:val="28"/>
          <w:sz w:val="28"/>
          <w:szCs w:val="28"/>
          <w:rtl w:val="true"/>
          <w:lang w:bidi="fa-IR"/>
        </w:rPr>
        <w:t>اگر خنثاى مشكل شهادت بدهد در وصيت و استهلال، ربع ثابت مى شود كه متيقن على اىّ تقدير است بنا بر لحوق مرد به زن در حكم مذكور چنان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حق جمع بشود، هر كدام حكم خود را در شهادت دارد پس شهادت يك مرد و دو زن در سرقت، مثبت مال است نه قطع؛ و هكذا نظاير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موضعى كه شهادت زنها در آن مقبول است ثابت نمى شود تمام مشهودٌ به به كمتر از چهار زن، بر حسب مشهور مستفاد از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شهادت يك زن ربع مشهودٌ به ثابت مى شود، بر خلاف صحيح حلبى و عبد الله بن سنان، به جهت لغويت صحيح متقدّم بر تقدير تقديم مثل صحيح حلبى، بر خلاف عكس كه قابل حمل بر قبول فى الجمله و بالنسبه است</w:t>
      </w:r>
      <w:r>
        <w:rPr>
          <w:rFonts w:eastAsia="IRNazanin" w:cs="IRNazanin"/>
          <w:color w:val="111111"/>
          <w:sz w:val="28"/>
          <w:szCs w:val="28"/>
          <w:rtl w:val="true"/>
          <w:lang w:bidi="fa-IR"/>
        </w:rPr>
        <w:t>.</w:t>
      </w:r>
    </w:p>
    <w:p>
      <w:pPr>
        <w:pStyle w:val="Heading4"/>
        <w:numPr>
          <w:ilvl w:val="3"/>
          <w:numId w:val="1"/>
        </w:numPr>
        <w:rPr/>
      </w:pPr>
      <w:bookmarkStart w:id="1298" w:name="__RefHeading___Toc3972065_1067777946"/>
      <w:bookmarkStart w:id="1299" w:name="_Toc540"/>
      <w:bookmarkEnd w:id="1298"/>
      <w:r>
        <w:rPr>
          <w:rtl w:val="true"/>
        </w:rPr>
        <w:t>مسائل ثلاثه</w:t>
      </w:r>
      <w:bookmarkEnd w:id="1299"/>
    </w:p>
    <w:p>
      <w:pPr>
        <w:pStyle w:val="Heading5"/>
        <w:numPr>
          <w:ilvl w:val="4"/>
          <w:numId w:val="1"/>
        </w:numPr>
        <w:rPr/>
      </w:pPr>
      <w:bookmarkStart w:id="1300" w:name="__RefHeading___Toc3972067_1067777946"/>
      <w:bookmarkStart w:id="1301" w:name="_Toc541"/>
      <w:bookmarkEnd w:id="1300"/>
      <w:r>
        <w:rPr>
          <w:rtl w:val="true"/>
        </w:rPr>
        <w:t>موارد اناطۀ صحت به شهادت</w:t>
      </w:r>
      <w:bookmarkEnd w:id="1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شرط صحّت نيست در عقود و ايقاعات مگر در طلاق و ظهار، اگر چه مستحب است در نكاح و رجعت و بيع، بر حسب مذكور در مواضع مذكورات</w:t>
      </w:r>
      <w:r>
        <w:rPr>
          <w:rFonts w:eastAsia="IRNazanin" w:cs="IRNazanin"/>
          <w:color w:val="111111"/>
          <w:sz w:val="28"/>
          <w:szCs w:val="28"/>
          <w:rtl w:val="true"/>
          <w:lang w:bidi="fa-IR"/>
        </w:rPr>
        <w:t>.</w:t>
      </w:r>
      <w:bookmarkStart w:id="1302" w:name="pg10275_96531"/>
    </w:p>
    <w:p>
      <w:pPr>
        <w:pStyle w:val="Heading5"/>
        <w:numPr>
          <w:ilvl w:val="4"/>
          <w:numId w:val="1"/>
        </w:numPr>
        <w:rPr/>
      </w:pPr>
      <w:bookmarkStart w:id="1303" w:name="__RefHeading___Toc3972069_1067777946"/>
      <w:bookmarkStart w:id="1304" w:name="_Toc542"/>
      <w:bookmarkEnd w:id="1302"/>
      <w:bookmarkEnd w:id="1303"/>
      <w:r>
        <w:rPr>
          <w:rtl w:val="true"/>
        </w:rPr>
        <w:t>تابعيت نفوذ حكم در ظاهر و باطن از شهادت</w:t>
      </w:r>
      <w:bookmarkEnd w:id="13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تماميت و نفوذ حكم در ظاهر و باطن، تابع شهادت است، پس اگر شهادت، حق باشد، حكم هم مانند او است؛ و اگر باطل باشد، حكم نافذ است در ظاهر نه در باطن؛ پس نافذ است در حق عالم به حق بودن شهادت يا جاهل به باطل بودن آن، وگرنه فقط در حكم ظاهرى نافذ است و عالم به بطلان بايد در عمل خودش به حكم واقعى عمل نمايد يا حكم ظاهرى كه موضوع آن محقّق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نيست از اين قبيل باشد صورتى كه شهادت دادند عدلين نزد شخصى به ثبوت حق او بر زيد مثلاً، و با استناد به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علم، مشهودٌ 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حاكم نمود، و حاكم پس از شهادت همان عدلين يا بيّنۀ عادلۀ ديگر حكم نمود پس اخذ نمود مال را كه با حكم حاكم ثابت شده است، حتى در صورتى كه اثبات حق محتاج به حلف باشد مثل دعوىٰ بر ميّت براى اخذ از وارث مثلاً و بنا بر جواز حلف با مطلق حجت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لكن خالى از شائبه اشكال موجب احتياط نيست، و از احتياط است تراضى به صلح</w:t>
      </w:r>
      <w:r>
        <w:rPr>
          <w:rFonts w:eastAsia="IRNazanin" w:cs="IRNazanin"/>
          <w:color w:val="111111"/>
          <w:sz w:val="28"/>
          <w:szCs w:val="28"/>
          <w:rtl w:val="true"/>
          <w:lang w:bidi="fa-IR"/>
        </w:rPr>
        <w:t>.</w:t>
      </w:r>
    </w:p>
    <w:p>
      <w:pPr>
        <w:pStyle w:val="Heading5"/>
        <w:numPr>
          <w:ilvl w:val="4"/>
          <w:numId w:val="1"/>
        </w:numPr>
        <w:rPr/>
      </w:pPr>
      <w:bookmarkStart w:id="1305" w:name="__RefHeading___Toc3972071_1067777946"/>
      <w:bookmarkStart w:id="1306" w:name="_Toc543"/>
      <w:bookmarkEnd w:id="1305"/>
      <w:r>
        <w:rPr>
          <w:rtl w:val="true"/>
        </w:rPr>
        <w:t>استحباب تحمّل شهادت</w:t>
      </w:r>
      <w:bookmarkEnd w:id="13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تحمّل شهادت، با اهليت تحمل و ادا، بعد از دعوت به سوى آن، با عدم علم به وقوع ظلم در صورت عدم تحمل و ادا، و با عدم عسر و حرج شخصى، مرجوح و مكروه است عدم آن، و مستحب است فعل آن، و اظهر عدم حرمت ترك است؛ و وجوب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تقدير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اقامه و اداى شهادت، كفايى است نه عينى، بلكه دور نيست كفائيت بر تقدير استحباب كه اختيار شده است</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3972073_1067777946"/>
      <w:bookmarkStart w:id="1308" w:name="_Toc544"/>
      <w:bookmarkEnd w:id="1307"/>
      <w:r>
        <w:rPr>
          <w:rtl w:val="true"/>
        </w:rPr>
        <w:t>فرض وجوب اداى شهادت</w:t>
      </w:r>
      <w:bookmarkEnd w:id="13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اداى شهادت بعد از خواستن پس بدون عسر شخصىِ منفى، واجب است و وجوب آن كفايى است، آيا مشروط است وجوب اداى شهادت به طلب تحمل </w:t>
      </w:r>
      <w:bookmarkStart w:id="1309" w:name="pg10275_96534"/>
    </w:p>
    <w:p>
      <w:pPr>
        <w:pStyle w:val="BookText"/>
        <w:rPr/>
      </w:pPr>
      <w:bookmarkEnd w:id="1309"/>
      <w:r>
        <w:rPr>
          <w:rFonts w:ascii="IRNazanin" w:hAnsi="IRNazanin" w:eastAsia="IRNazanin"/>
          <w:color w:val="111111"/>
          <w:sz w:val="28"/>
          <w:sz w:val="28"/>
          <w:szCs w:val="28"/>
          <w:rtl w:val="true"/>
          <w:lang w:bidi="fa-IR"/>
        </w:rPr>
        <w:t>شهادت يا نه‌؟ گذشت تفصيل آن در مسأله سوم از مسائل ارتفاع تهمت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مقام زيادتى مذكوره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مى شود كه اظهر اين است كه وجوب اداى شهادت در غير مرافعات و مخاصمات نزد 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شهادت بر اجتهاد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كفايى است نه عينى، اگر چه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نفى بُعد عينيّت وجوب ادا است در اين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تقدير كفائيت وجوب در اين مورد و غير آن، احكام واجب كفايى مرتب است، از عينيت با عدم قيام غير يا عدم آنها، و سقوط با قيام عدد معتبر، و ثبوت عقاب بر همه بر تقدير عدم قيام بيّنه، و اين كه اگر يك نفر بيش نيايد وجوب ساقط است مگر آن كه حق با شهادت يكى با يمين مدعى ثابت باشد كه وجوب عينى ثابت است بر يك نفر، مگر با عدم حلف مدّعى اگر چه به سبب امتناع از آن باشد كه فايدۀ لزوميّه در اداى شهادت يك نفر نيست مگر با احتمال وجود متمّم عدد و تحقّق بيّنۀ معتبره</w:t>
      </w:r>
      <w:r>
        <w:rPr>
          <w:rFonts w:eastAsia="IRNazanin" w:cs="IRNazanin"/>
          <w:color w:val="111111"/>
          <w:sz w:val="28"/>
          <w:szCs w:val="28"/>
          <w:rtl w:val="true"/>
          <w:lang w:bidi="fa-IR"/>
        </w:rPr>
        <w:t>.</w:t>
      </w:r>
    </w:p>
    <w:p>
      <w:pPr>
        <w:pStyle w:val="Heading4"/>
        <w:numPr>
          <w:ilvl w:val="3"/>
          <w:numId w:val="1"/>
        </w:numPr>
        <w:rPr/>
      </w:pPr>
      <w:bookmarkStart w:id="1310" w:name="__RefHeading___Toc3972075_1067777946"/>
      <w:bookmarkStart w:id="1311" w:name="_Toc545"/>
      <w:bookmarkEnd w:id="1310"/>
      <w:r>
        <w:rPr>
          <w:rtl w:val="true"/>
        </w:rPr>
        <w:t>كفايت طلب عمومى صاحب حق در وجوب</w:t>
      </w:r>
      <w:bookmarkEnd w:id="1311"/>
    </w:p>
    <w:p>
      <w:pPr>
        <w:pStyle w:val="BookText"/>
        <w:rPr/>
      </w:pPr>
      <w:r>
        <w:rPr>
          <w:rFonts w:ascii="IRNazanin" w:hAnsi="IRNazanin" w:eastAsia="IRNazanin"/>
          <w:color w:val="111111"/>
          <w:sz w:val="28"/>
          <w:sz w:val="28"/>
          <w:szCs w:val="28"/>
          <w:rtl w:val="true"/>
          <w:lang w:bidi="fa-IR"/>
        </w:rPr>
        <w:t>اگر صاحب حق نداند شهادت شاهد را يا آن كه فراموش نمايد، پس با طلب شهادت اگر چه به طور عموم باشد، يا خوف ضايع شدن حق، در صورت عدم محذور ديگرى از قبيل عسر و حرج شخصى، واجب است اداى شاهد واقعى اگر چه بعد از تعريف به صاحب حق و طلب او اقامه شهادت را باشد</w:t>
      </w:r>
      <w:r>
        <w:rPr>
          <w:rFonts w:eastAsia="IRNazanin" w:cs="IRNazanin"/>
          <w:color w:val="111111"/>
          <w:sz w:val="28"/>
          <w:szCs w:val="28"/>
          <w:rtl w:val="true"/>
          <w:lang w:bidi="fa-IR"/>
        </w:rPr>
        <w:t>.</w:t>
      </w:r>
    </w:p>
    <w:p>
      <w:pPr>
        <w:pStyle w:val="Heading4"/>
        <w:numPr>
          <w:ilvl w:val="3"/>
          <w:numId w:val="1"/>
        </w:numPr>
        <w:rPr/>
      </w:pPr>
      <w:bookmarkStart w:id="1312" w:name="__RefHeading___Toc3972077_1067777946"/>
      <w:bookmarkStart w:id="1313" w:name="_Toc546"/>
      <w:bookmarkEnd w:id="1312"/>
      <w:r>
        <w:rPr>
          <w:rtl w:val="true"/>
        </w:rPr>
        <w:t>احتمال حصول عدالت به توبه</w:t>
      </w:r>
      <w:bookmarkEnd w:id="1313"/>
    </w:p>
    <w:p>
      <w:pPr>
        <w:pStyle w:val="BookText"/>
        <w:rPr/>
      </w:pPr>
      <w:r>
        <w:rPr>
          <w:rFonts w:ascii="IRNazanin" w:hAnsi="IRNazanin" w:eastAsia="IRNazanin"/>
          <w:color w:val="111111"/>
          <w:sz w:val="28"/>
          <w:sz w:val="28"/>
          <w:szCs w:val="28"/>
          <w:rtl w:val="true"/>
          <w:lang w:bidi="fa-IR"/>
        </w:rPr>
        <w:t>در مواردى كه تعدّد شهود لازم است، اگر همه آنها عادل نبودند پس با احتمال حصول عدالت به توبه، حكم متقدّم در واجب كفايى با احتمال وجود متمّم، ثابت است، و بايد تعريف و اعلام به شهادت خودش اگر چه به صاحب حق باشد بنمايد و پس از آن با طلب او شهادت بدهد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حاكم جور هم مثل حاكم عدل است در صورت انحصار وصول به حق در او، و </w:t>
      </w:r>
      <w:bookmarkStart w:id="1314" w:name="pg10275_96536"/>
    </w:p>
    <w:p>
      <w:pPr>
        <w:pStyle w:val="BookText"/>
        <w:rPr/>
      </w:pPr>
      <w:bookmarkEnd w:id="1314"/>
      <w:r>
        <w:rPr>
          <w:rFonts w:ascii="IRNazanin" w:hAnsi="IRNazanin" w:eastAsia="IRNazanin"/>
          <w:color w:val="111111"/>
          <w:sz w:val="28"/>
          <w:sz w:val="28"/>
          <w:szCs w:val="28"/>
          <w:rtl w:val="true"/>
          <w:lang w:bidi="fa-IR"/>
        </w:rPr>
        <w:t>آن كه حكم به حق و به ايصال حق به صاحبش بدون محذور ديگر بنمايد؛ و در صورت امكان وصول به حق به سبب حاكم عدل، مى تواند شاهد، امتناع از شهادت نزد حاكم جور نمايد</w:t>
      </w:r>
      <w:r>
        <w:rPr>
          <w:rFonts w:eastAsia="IRNazanin" w:cs="IRNazanin"/>
          <w:color w:val="111111"/>
          <w:sz w:val="28"/>
          <w:szCs w:val="28"/>
          <w:rtl w:val="true"/>
          <w:lang w:bidi="fa-IR"/>
        </w:rPr>
        <w:t>.</w:t>
      </w:r>
    </w:p>
    <w:p>
      <w:pPr>
        <w:pStyle w:val="Heading4"/>
        <w:numPr>
          <w:ilvl w:val="3"/>
          <w:numId w:val="1"/>
        </w:numPr>
        <w:rPr/>
      </w:pPr>
      <w:bookmarkStart w:id="1315" w:name="__RefHeading___Toc3972079_1067777946"/>
      <w:bookmarkStart w:id="1316" w:name="_Toc547"/>
      <w:bookmarkEnd w:id="1315"/>
      <w:r>
        <w:rPr>
          <w:rtl w:val="true"/>
        </w:rPr>
        <w:t>فرض ترتّب ضرر بر شهادت شاهد</w:t>
      </w:r>
      <w:bookmarkEnd w:id="1316"/>
    </w:p>
    <w:p>
      <w:pPr>
        <w:pStyle w:val="BookText"/>
        <w:rPr/>
      </w:pPr>
      <w:r>
        <w:rPr>
          <w:rFonts w:ascii="IRNazanin" w:hAnsi="IRNazanin" w:eastAsia="IRNazanin"/>
          <w:color w:val="111111"/>
          <w:sz w:val="28"/>
          <w:sz w:val="28"/>
          <w:szCs w:val="28"/>
          <w:rtl w:val="true"/>
          <w:lang w:bidi="fa-IR"/>
        </w:rPr>
        <w:t>و تخلّف از اداى شهادت در صورت وجوب، جايز نيست مگر با ضرر بر مؤمنين يا تضرّر شاهدها بدون استحقاق به ضرر غير واجب 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بر شاهد اگر مستحَق</w:t>
      </w:r>
      <w:r>
        <w:rPr>
          <w:rStyle w:val="FootnoteAnchor"/>
          <w:rtl w:val="true"/>
        </w:rPr>
        <w:footnoteReference w:id="16"/>
      </w:r>
      <w:r>
        <w:rPr>
          <w:rFonts w:ascii="Amiri" w:hAnsi="Amiri" w:eastAsia="Amiri" w:cs="Amiri"/>
          <w:color w:val="111111"/>
          <w:sz w:val="28"/>
          <w:sz w:val="28"/>
          <w:szCs w:val="28"/>
          <w:rtl w:val="true"/>
          <w:lang w:bidi="ar-SA"/>
        </w:rPr>
        <w:t>است مثل صورت مديون بودن شاهد به مشهودٌ عليه مى باشد با مطالبه و با امكان وفا در تقدير شهادت و مسامحه در تقدير عدم شهادت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واجب از تحمّل يا اداى شهادت، اگر شهادت محتاج به مؤونه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ركوب لازم يا مسافرت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شاهد نيست بلكه بر مشهودٌ له است اگر بخواهد شهادت را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نفس سعى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مؤونۀ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آن مشروط به عدم عسر شخصى است و در صورت عادل بودن حاكم است؛ و با عدم امكان، حاكم جور اگر ايصال حق و حكم به حق نمايد بدون محذور، مانند حاكم عدل است</w:t>
      </w:r>
      <w:r>
        <w:rPr>
          <w:rFonts w:eastAsia="IRNazanin" w:cs="IRNazanin"/>
          <w:color w:val="111111"/>
          <w:sz w:val="28"/>
          <w:szCs w:val="28"/>
          <w:rtl w:val="true"/>
          <w:lang w:bidi="fa-IR"/>
        </w:rPr>
        <w:t xml:space="preserve">. </w:t>
      </w:r>
      <w:bookmarkStart w:id="1317" w:name="pg10275_96538"/>
    </w:p>
    <w:p>
      <w:pPr>
        <w:pStyle w:val="Heading3"/>
        <w:numPr>
          <w:ilvl w:val="2"/>
          <w:numId w:val="1"/>
        </w:numPr>
        <w:rPr/>
      </w:pPr>
      <w:bookmarkStart w:id="1318" w:name="__RefHeading___Toc3972081_1067777946"/>
      <w:bookmarkStart w:id="1319" w:name="_Toc548"/>
      <w:bookmarkEnd w:id="1317"/>
      <w:bookmarkEnd w:id="1318"/>
      <w:r>
        <w:rPr>
          <w:rtl w:val="true"/>
        </w:rPr>
        <w:t>فصل چهارم شهادت بر شهادت</w:t>
      </w:r>
      <w:bookmarkEnd w:id="1319"/>
    </w:p>
    <w:p>
      <w:pPr>
        <w:pStyle w:val="Heading4"/>
        <w:numPr>
          <w:ilvl w:val="3"/>
          <w:numId w:val="1"/>
        </w:numPr>
        <w:rPr/>
      </w:pPr>
      <w:bookmarkStart w:id="1320" w:name="__RefHeading___Toc3972083_1067777946"/>
      <w:bookmarkStart w:id="1321" w:name="_Toc549"/>
      <w:bookmarkEnd w:id="1320"/>
      <w:r>
        <w:rPr>
          <w:rtl w:val="true"/>
        </w:rPr>
        <w:t>موارد قبول شهادت بر شهادت</w:t>
      </w:r>
      <w:bookmarkEnd w:id="1321"/>
    </w:p>
    <w:p>
      <w:pPr>
        <w:pStyle w:val="BookText"/>
        <w:rPr/>
      </w:pPr>
      <w:r>
        <w:rPr>
          <w:rFonts w:ascii="IRNazanin" w:hAnsi="IRNazanin" w:eastAsia="IRNazanin"/>
          <w:color w:val="111111"/>
          <w:sz w:val="28"/>
          <w:sz w:val="28"/>
          <w:szCs w:val="28"/>
          <w:rtl w:val="true"/>
          <w:lang w:bidi="fa-IR"/>
        </w:rPr>
        <w:t>و آن فى الجمله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دو نفر بر شهادت يك نفر، ثابت مى شود شهادت يك نفر در حقوق ماليّه، از قبيل قصاص و طلاق و نسب و عتق و قراض و ساير عقود معاوضيه و عيوب زنها و ولادت و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قبول نمى شود چه آن كه مخصوص به حق اللّٰه باشد مانند زنا و لواط و مساحقه يا مشترك باشد، مانند سرقت و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مى شود در مثل زكات و اوقاف مساجد و جهات عامه، از حقوق اللّٰه مختصه غير حدود</w:t>
      </w:r>
      <w:r>
        <w:rPr>
          <w:rFonts w:eastAsia="IRNazanin" w:cs="IRNazanin"/>
          <w:color w:val="111111"/>
          <w:sz w:val="28"/>
          <w:szCs w:val="28"/>
          <w:rtl w:val="true"/>
          <w:lang w:bidi="fa-IR"/>
        </w:rPr>
        <w:t>.</w:t>
      </w:r>
    </w:p>
    <w:p>
      <w:pPr>
        <w:pStyle w:val="Heading4"/>
        <w:numPr>
          <w:ilvl w:val="3"/>
          <w:numId w:val="1"/>
        </w:numPr>
        <w:rPr/>
      </w:pPr>
      <w:bookmarkStart w:id="1322" w:name="__RefHeading___Toc3972085_1067777946"/>
      <w:bookmarkStart w:id="1323" w:name="_Toc550"/>
      <w:bookmarkEnd w:id="1322"/>
      <w:r>
        <w:rPr>
          <w:rtl w:val="true"/>
        </w:rPr>
        <w:t>حكم قبول و يا عدم قبول شهادت بر شهادت در موارد گوناگون</w:t>
      </w:r>
      <w:bookmarkEnd w:id="1323"/>
    </w:p>
    <w:p>
      <w:pPr>
        <w:pStyle w:val="BookText"/>
        <w:rPr/>
      </w:pPr>
      <w:r>
        <w:rPr>
          <w:rFonts w:ascii="IRNazanin" w:hAnsi="IRNazanin" w:eastAsia="IRNazanin"/>
          <w:color w:val="111111"/>
          <w:sz w:val="28"/>
          <w:sz w:val="28"/>
          <w:szCs w:val="28"/>
          <w:rtl w:val="true"/>
          <w:lang w:bidi="fa-IR"/>
        </w:rPr>
        <w:t xml:space="preserve">و در قبول شهادت دوم بر شهادت در هلال،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از اطلاقات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 ما را بر عدم قبول در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خروج از اطلاقات به اجماع منقول،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مقبوليت در ساير احكام زنا و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 نشر حرمت در امّ موطوء و اخت او و بنت او، و در بنت عمه و خاله با زنا به امّ آنها، و ثبوت مهر براى مزنىّ بها با اكراه او؛ لكن رجحان ثبوت و مقبوليت در غير نفس حدّ، موافق اطلاق و اقتصار در عبائر بر ذكر حدود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مراد، موضوع حدّ است، و حكم آن كه تابع موضوع </w:t>
      </w:r>
      <w:bookmarkStart w:id="1324" w:name="pg10275_96540"/>
    </w:p>
    <w:p>
      <w:pPr>
        <w:pStyle w:val="BookText"/>
        <w:rPr/>
      </w:pPr>
      <w:bookmarkEnd w:id="1324"/>
      <w:r>
        <w:rPr>
          <w:rFonts w:ascii="IRNazanin" w:hAnsi="IRNazanin" w:eastAsia="IRNazanin"/>
          <w:color w:val="111111"/>
          <w:sz w:val="28"/>
          <w:sz w:val="28"/>
          <w:szCs w:val="28"/>
          <w:rtl w:val="true"/>
          <w:lang w:bidi="fa-IR"/>
        </w:rPr>
        <w:t xml:space="preserve">است كه فرضاً با غير چهار نفر ثابت نمى شود، پس شهادت چهار بر چهار لازم است در موضوع؛ يا آن كه شهادت ثانيه در موضوع حدود مطلقاً مقبول نيست حتى در حقوق ديگر غير حدّ؛ لكن اقرب، ثبوت شهادت اربعه است به شهادت دو نفر بر شهادت چهار نفر به موضوع زنا مثلاً براى غير اقامه حدّ از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نشر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لزوم اقتصار در خروج از اطلاقات به متيقّن،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الحاق تعزير در موارد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حيث عدم مقبوليت شهادت بر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احتمال شمول حدّ به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مقتضاى نقل اجماع از عده اى از كتب، موافق روايت مجبوره، عدم مقبوليت شهادت ثالثه است در موارد قبول شهادت ثانيه</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3972087_1067777946"/>
      <w:bookmarkStart w:id="1326" w:name="_Toc551"/>
      <w:bookmarkEnd w:id="1325"/>
      <w:r>
        <w:rPr>
          <w:rtl w:val="true"/>
        </w:rPr>
        <w:t>لزوم تعدد در شهادت فرع</w:t>
      </w:r>
      <w:bookmarkEnd w:id="1326"/>
    </w:p>
    <w:p>
      <w:pPr>
        <w:pStyle w:val="BookText"/>
        <w:rPr/>
      </w:pPr>
      <w:r>
        <w:rPr>
          <w:rFonts w:ascii="IRNazanin" w:hAnsi="IRNazanin" w:eastAsia="IRNazanin"/>
          <w:color w:val="111111"/>
          <w:sz w:val="28"/>
          <w:sz w:val="28"/>
          <w:szCs w:val="28"/>
          <w:rtl w:val="true"/>
          <w:lang w:bidi="fa-IR"/>
        </w:rPr>
        <w:t>لازم است تعدّد در شهادت فرع، به اين كه به شهادت هر شاهد اصلى، دو نفر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اثبات شهادت اصل، چهار شهادت لازم است اگر چه به دو شاهد فرع باشد؛ اگر بر هر يك از دو شاهد اصل، دو شاهد فرع، شهادت بدهند ثابت مى شود شهادت اصل، و همچنين اگر دو شاهد فرع، شهادت بدهند بر شهادت هر كدام از دو شاهد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شهادت بدهد شاهد اصل بر اصل و شهادت بدهد او با شاهدى ديگر بر شهادت اصل دوم، اثبات مى نمايد شهادت دو شاهد اصل را، شهادت يك نفر بر اصل كه وجدانى است، و شهادت شاهد دوم به ضميمه شاهد اصل با شاهد فرع بر شهادت شاهد دوم اصل؛ كه جمع شود در يك شاهد اصل، شاهد فرع بودن و شاهد اصل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شهادت دو نفر بر جماعتى مخصوص، ثابت مى شود به شهادت دو نفر بر هر يك از آن جماعت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شهود اصل، يك شاهد و دو زن بوده، ثابت مى شود شهادت آنها به شهادت دو نفر</w:t>
      </w:r>
      <w:r>
        <w:rPr>
          <w:rFonts w:eastAsia="IRNazanin" w:cs="IRNazanin"/>
          <w:color w:val="111111"/>
          <w:sz w:val="28"/>
          <w:szCs w:val="28"/>
          <w:rtl w:val="true"/>
          <w:lang w:bidi="fa-IR"/>
        </w:rPr>
        <w:t xml:space="preserve">. </w:t>
      </w:r>
      <w:bookmarkStart w:id="1327" w:name="pg10275_96542"/>
    </w:p>
    <w:p>
      <w:pPr>
        <w:pStyle w:val="BookText"/>
        <w:rPr/>
      </w:pPr>
      <w:bookmarkEnd w:id="1327"/>
      <w:r>
        <w:rPr>
          <w:rFonts w:ascii="IRNazanin" w:hAnsi="IRNazanin" w:eastAsia="IRNazanin"/>
          <w:color w:val="111111"/>
          <w:sz w:val="28"/>
          <w:sz w:val="28"/>
          <w:szCs w:val="28"/>
          <w:rtl w:val="true"/>
          <w:lang w:bidi="fa-IR"/>
        </w:rPr>
        <w:t>و همچنين اگر شاهد اصل، همه زن بودند و مقبول بود شهادت آنها به انفراد از مردها، كافى است شهادت دو مرد بر شهادت آن زنها و ثابت مى نمايند شهادت آنها را</w:t>
      </w:r>
      <w:r>
        <w:rPr>
          <w:rFonts w:eastAsia="IRNazanin" w:cs="IRNazanin"/>
          <w:color w:val="111111"/>
          <w:sz w:val="28"/>
          <w:szCs w:val="28"/>
          <w:rtl w:val="true"/>
          <w:lang w:bidi="fa-IR"/>
        </w:rPr>
        <w:t>.</w:t>
      </w:r>
    </w:p>
    <w:p>
      <w:pPr>
        <w:pStyle w:val="Heading4"/>
        <w:numPr>
          <w:ilvl w:val="3"/>
          <w:numId w:val="1"/>
        </w:numPr>
        <w:rPr/>
      </w:pPr>
      <w:bookmarkStart w:id="1328" w:name="__RefHeading___Toc3972089_1067777946"/>
      <w:bookmarkStart w:id="1329" w:name="_Toc552"/>
      <w:bookmarkEnd w:id="1328"/>
      <w:r>
        <w:rPr>
          <w:rtl w:val="true"/>
        </w:rPr>
        <w:t>استرعا و سماع</w:t>
      </w:r>
      <w:bookmarkEnd w:id="1329"/>
    </w:p>
    <w:p>
      <w:pPr>
        <w:pStyle w:val="BookText"/>
        <w:rPr/>
      </w:pPr>
      <w:r>
        <w:rPr>
          <w:rFonts w:ascii="IRNazanin" w:hAnsi="IRNazanin" w:eastAsia="IRNazanin"/>
          <w:color w:val="111111"/>
          <w:sz w:val="28"/>
          <w:sz w:val="28"/>
          <w:szCs w:val="28"/>
          <w:rtl w:val="true"/>
          <w:lang w:bidi="fa-IR"/>
        </w:rPr>
        <w:t xml:space="preserve">بالاترين انحاى شهادت 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شاهد اصل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 يا شاهد قرار دادم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شاهد بر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 من بر فلان، كه عبارت از استشهاد بر شهادت شاهد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پايين تر از آن اين است كه شهادت شخص را نزد حاكم شرع سماع نمايد؛ و مى تواند به مجرد اين سماع، شهادت بر شهادت او بدهد؛ و تمام احكام شهادت بر شهادت بر اين تحمل بدون تحميل مترتب است؛ و از اين قسم است شهادت حاكم نزد حاكم ديگر بر شهادت مقبولۀ نزد خودش از زيد مثلاً نزد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بگويد نزد غير حاكم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خواهم داد نزد حاكم، بر فلان، به امر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تحمل به مجرد اين قول، محل تأمل است، منشأ آن احتمال سامع است كه قول قايل، وعد غير متعقب به وفا باشد به علتى از علل، زيرا محتمل است مراد قايل، اخبار از شهادت آينده نزد حاكم باشد نه انشاى شهادت نزد حاكم يا غير او در صورتى كه معتقد نباشد كه ثابت شدن مشهودٌ به منوط به شهادت نزد حاكم و حكم حاكم به مقتضاى آن است؛ و هيچ كدام از اخبار و انشا در مشتركات لفظيه، خلاف ظهور وضعى نيست، بلكه بايد با قراين، تشخيص داده شود، پس با تشخيص انشا، شهادت بر شهادت صادق است، و با تشخيص اخبار، صدق نمى كند</w:t>
      </w:r>
      <w:r>
        <w:rPr>
          <w:rFonts w:eastAsia="IRNazanin" w:cs="IRNazanin"/>
          <w:color w:val="111111"/>
          <w:sz w:val="28"/>
          <w:szCs w:val="28"/>
          <w:rtl w:val="true"/>
          <w:lang w:bidi="fa-IR"/>
        </w:rPr>
        <w:t>.</w:t>
      </w:r>
    </w:p>
    <w:p>
      <w:pPr>
        <w:pStyle w:val="Heading4"/>
        <w:numPr>
          <w:ilvl w:val="3"/>
          <w:numId w:val="1"/>
        </w:numPr>
        <w:rPr/>
      </w:pPr>
      <w:bookmarkStart w:id="1330" w:name="__RefHeading___Toc3972091_1067777946"/>
      <w:bookmarkStart w:id="1331" w:name="_Toc553"/>
      <w:bookmarkEnd w:id="1330"/>
      <w:r>
        <w:rPr>
          <w:rtl w:val="true"/>
        </w:rPr>
        <w:t>اولويت و احوطيّت تأكيد و توضيح در شهادت بر شهادت</w:t>
      </w:r>
      <w:bookmarkEnd w:id="13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اولىٰ و احوط در تأديۀ شهادت بر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جميع مواردى كه ممكن است شاهد و حاكم، اختلاف نظر در جواز وضعى شهادت و حكم به سبب آن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مشهودٌ به و ذكر سبب آن و عدم عدول از واقع به عبارت متعارفه است؛ پس در </w:t>
      </w:r>
      <w:bookmarkStart w:id="1332" w:name="pg10275_96544"/>
    </w:p>
    <w:p>
      <w:pPr>
        <w:pStyle w:val="BookText"/>
        <w:rPr/>
      </w:pPr>
      <w:bookmarkEnd w:id="1332"/>
      <w:r>
        <w:rPr>
          <w:rFonts w:ascii="IRNazanin" w:hAnsi="IRNazanin" w:eastAsia="IRNazanin"/>
          <w:color w:val="111111"/>
          <w:sz w:val="28"/>
          <w:sz w:val="28"/>
          <w:szCs w:val="28"/>
          <w:rtl w:val="true"/>
          <w:lang w:bidi="fa-IR"/>
        </w:rPr>
        <w:t>صورت استرعا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أشهدنى فلان علىٰ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سماع شهادت نزد حاكم بدون استشهاد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فلاناً شهد عند الحاكم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سماع نزد غير حاكم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فلاناً شهد علىٰ فلان بكذا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كفايت صدق شهادت بر شهادت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آن در شهادت به غير آن از ساير امور مشهودٌ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 كه مبالغۀ در خصوصيات متقدمه احتياط و مستحب است</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3972093_1067777946"/>
      <w:bookmarkStart w:id="1334" w:name="_Toc554"/>
      <w:bookmarkEnd w:id="1333"/>
      <w:r>
        <w:rPr>
          <w:rtl w:val="true"/>
        </w:rPr>
        <w:t>شهادت فرع در وقت امكان حضور شاهد اصل</w:t>
      </w:r>
      <w:bookmarkEnd w:id="1334"/>
    </w:p>
    <w:p>
      <w:pPr>
        <w:pStyle w:val="BookText"/>
        <w:rPr/>
      </w:pPr>
      <w:r>
        <w:rPr>
          <w:rFonts w:ascii="IRNazanin" w:hAnsi="IRNazanin" w:eastAsia="IRNazanin"/>
          <w:color w:val="111111"/>
          <w:sz w:val="28"/>
          <w:sz w:val="28"/>
          <w:szCs w:val="28"/>
          <w:rtl w:val="true"/>
          <w:lang w:bidi="fa-IR"/>
        </w:rPr>
        <w:t xml:space="preserve">مشهور عدم قبول شهادت فرع است مگر در وقت تعذّر حضور شاهد اصل نزد حاكم و اقامه شهادت؛ و اين قول مشهور، موافق با مستفاد از روايت محمد بن مسلم است و موافق با اعتبار و ارتكاز و اقرب است؛ لكن مقتضاى اشتراط، عدم نفوذ حكم بر طبق شهادت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امتناع شهادت اصل، و اگر ممكن شد و فعليت پيدا كرد، ملاحظه شهادت ها با هم مى شود و ترجيح به اعدليّت داده مى شود نه اين كه مطلقاً شهادت فرع ساقط مى شود؛ پس جايز است شهادت فرع با امتناع شهادت اصل مطلقاً، و جايز است فى الجمله با حضور شاهد اصل و شهادت او بر خلاف شهادت فرع فى الجمله يعنى با ملاحظۀ اعدليّت شهود</w:t>
      </w:r>
      <w:r>
        <w:rPr>
          <w:rFonts w:eastAsia="IRNazanin" w:cs="IRNazanin"/>
          <w:color w:val="111111"/>
          <w:sz w:val="28"/>
          <w:szCs w:val="28"/>
          <w:rtl w:val="true"/>
          <w:lang w:bidi="fa-IR"/>
        </w:rPr>
        <w:t>.</w:t>
      </w:r>
    </w:p>
    <w:p>
      <w:pPr>
        <w:pStyle w:val="Heading4"/>
        <w:numPr>
          <w:ilvl w:val="3"/>
          <w:numId w:val="1"/>
        </w:numPr>
        <w:rPr/>
      </w:pPr>
      <w:bookmarkStart w:id="1335" w:name="__RefHeading___Toc3972095_1067777946"/>
      <w:bookmarkStart w:id="1336" w:name="_Toc555"/>
      <w:bookmarkEnd w:id="1335"/>
      <w:r>
        <w:rPr>
          <w:rtl w:val="true"/>
        </w:rPr>
        <w:t>حدّ تعذّر</w:t>
      </w:r>
      <w:bookmarkEnd w:id="1336"/>
    </w:p>
    <w:p>
      <w:pPr>
        <w:pStyle w:val="BookText"/>
        <w:rPr/>
      </w:pPr>
      <w:r>
        <w:rPr>
          <w:rFonts w:ascii="IRNazanin" w:hAnsi="IRNazanin" w:eastAsia="IRNazanin"/>
          <w:color w:val="111111"/>
          <w:sz w:val="28"/>
          <w:sz w:val="28"/>
          <w:szCs w:val="28"/>
          <w:rtl w:val="true"/>
          <w:lang w:bidi="fa-IR"/>
        </w:rPr>
        <w:t>و حدّ تعذّر آن است كه، بر تقدير وجوب اداى شهادت، عذر موجب سقوط ايجاب محقق بشود اگر چه هنوز عقلايى است استشهاد فرع و شهادت او</w:t>
      </w:r>
      <w:r>
        <w:rPr>
          <w:rFonts w:eastAsia="IRNazanin" w:cs="IRNazanin"/>
          <w:color w:val="111111"/>
          <w:sz w:val="28"/>
          <w:szCs w:val="28"/>
          <w:rtl w:val="true"/>
          <w:lang w:bidi="fa-IR"/>
        </w:rPr>
        <w:t>.</w:t>
      </w:r>
    </w:p>
    <w:p>
      <w:pPr>
        <w:pStyle w:val="Heading4"/>
        <w:numPr>
          <w:ilvl w:val="3"/>
          <w:numId w:val="1"/>
        </w:numPr>
        <w:rPr/>
      </w:pPr>
      <w:bookmarkStart w:id="1337" w:name="__RefHeading___Toc3972097_1067777946"/>
      <w:bookmarkStart w:id="1338" w:name="_Toc556"/>
      <w:bookmarkEnd w:id="1337"/>
      <w:r>
        <w:rPr>
          <w:rtl w:val="true"/>
        </w:rPr>
        <w:t>حضور اصل بعد از اقامۀ شهادت توسط فرع</w:t>
      </w:r>
      <w:bookmarkEnd w:id="13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صورتى كه شاهد فرع، اقامه شهادت نمايد با مصحّح عرفى و شرعى، پس از آن اصل حاضر بشود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تكذيب شاهد نمايد، پس موضوعاً از عنوان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شهادت متخالفه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مروىّ در صحيح، اعتبار قول </w:t>
      </w:r>
      <w:bookmarkStart w:id="1339" w:name="pg10275_96546"/>
    </w:p>
    <w:p>
      <w:pPr>
        <w:pStyle w:val="BookText"/>
        <w:rPr/>
      </w:pPr>
      <w:bookmarkEnd w:id="1339"/>
      <w:r>
        <w:rPr>
          <w:rFonts w:ascii="Amiri" w:hAnsi="Amiri" w:eastAsia="Amiri" w:cs="Amiri"/>
          <w:color w:val="111111"/>
          <w:sz w:val="28"/>
          <w:sz w:val="28"/>
          <w:szCs w:val="28"/>
          <w:rtl w:val="true"/>
          <w:lang w:bidi="ar-SA"/>
        </w:rPr>
        <w:t>أعدل است، و سقوط شهادت ثانيه در صورت تساوى، و حكم، تابع اعدليت شاهد بر شهادت است، لكن عمل به آن خالى از شائبۀ اشكال نيست، و صلح مناسب، احوط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جمع بين ادله اشتراط و عدم اشتراط، به التزام به اشتراط قبل از اقامه، و به عدم بعد از اقامه، پس در غايت بُعد است ثبوتاً و اثباتاً، به جهت عدم مناسبت با سؤال و جواب در روايات، مگر آن كه تقريب شود به آن چه مذكور داشتيم؛ و چون دو روايت ترجيح در دو</w:t>
      </w:r>
    </w:p>
    <w:p>
      <w:pPr>
        <w:pStyle w:val="Heading4"/>
        <w:numPr>
          <w:ilvl w:val="3"/>
          <w:numId w:val="1"/>
        </w:numPr>
        <w:rPr/>
      </w:pPr>
      <w:bookmarkStart w:id="1340" w:name="__RefHeading___Toc3972099_1067777946"/>
      <w:bookmarkStart w:id="1341" w:name="_Toc557"/>
      <w:bookmarkEnd w:id="1340"/>
      <w:r>
        <w:rPr>
          <w:rtl w:val="true"/>
        </w:rPr>
        <w:t>عدم ثبوت احكام تعارض در شهادت</w:t>
      </w:r>
      <w:bookmarkEnd w:id="1341"/>
    </w:p>
    <w:p>
      <w:pPr>
        <w:pStyle w:val="BookText"/>
        <w:rPr/>
      </w:pPr>
      <w:r>
        <w:rPr>
          <w:rFonts w:ascii="IRNazanin" w:hAnsi="IRNazanin" w:eastAsia="IRNazanin"/>
          <w:color w:val="111111"/>
          <w:sz w:val="28"/>
          <w:sz w:val="28"/>
          <w:szCs w:val="28"/>
          <w:rtl w:val="true"/>
          <w:lang w:bidi="fa-IR"/>
        </w:rPr>
        <w:t xml:space="preserve">شهادت، متعارضه نيست پس اكتفاى به آن در تعدّى به ترجيح به اعدليت در دو شهادت فرع يا دو شاهد اصل، مبنىّ بر ترجيح به اعدليت در تعارض بيّنتين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نيست اين دو روايت در اين مورد براى سنديّت براى ترجيح اين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به اعدليت، متوقف بر اعتبار عدالت است، و آن در شهادت است، پس با شاهد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اخبار از عدم شهادت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شهادت كرده است در اين دو روايت و ترجيح به اعدليت داده است، پس چنين اختلافى در دو شاهد فرع، موجب تعارض و ترجيح به اعدليت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دو شاهد اصل كه شهادت بر ثبوت و لاثبوت يك امر بدهند ترجيح به اعدليت،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اصل كه مخالف با هر كدام از دو شاهد فرع باشد، با اعدليت، ترجيح شهادت آن شاهد داده مى شود، چه اصل باشد و چه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ذكر شد، در صورت عدم علم حاكم به خلاف شهادتى مى باشد، و الّا حكم بر طبق شهادت معلوم الخلاف با واقع نمى دهد</w:t>
      </w:r>
      <w:r>
        <w:rPr>
          <w:rFonts w:eastAsia="IRNazanin" w:cs="IRNazanin"/>
          <w:color w:val="111111"/>
          <w:sz w:val="28"/>
          <w:szCs w:val="28"/>
          <w:rtl w:val="true"/>
          <w:lang w:bidi="fa-IR"/>
        </w:rPr>
        <w:t>.</w:t>
      </w:r>
    </w:p>
    <w:p>
      <w:pPr>
        <w:pStyle w:val="Heading4"/>
        <w:numPr>
          <w:ilvl w:val="3"/>
          <w:numId w:val="1"/>
        </w:numPr>
        <w:rPr/>
      </w:pPr>
      <w:bookmarkStart w:id="1342" w:name="__RefHeading___Toc3972101_1067777946"/>
      <w:bookmarkStart w:id="1343" w:name="_Toc558"/>
      <w:bookmarkEnd w:id="1342"/>
      <w:r>
        <w:rPr>
          <w:rtl w:val="true"/>
        </w:rPr>
        <w:t>حضور اصل بعد از شهادت دو فرع</w:t>
      </w:r>
      <w:bookmarkEnd w:id="13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فرع شهادت دادند پس شاهد اصل حاضر شد و شهادت بر خلاف داد، پس </w:t>
      </w:r>
      <w:bookmarkStart w:id="1344" w:name="pg10275_96548"/>
    </w:p>
    <w:p>
      <w:pPr>
        <w:pStyle w:val="BookText"/>
        <w:rPr/>
      </w:pPr>
      <w:bookmarkEnd w:id="1344"/>
      <w:r>
        <w:rPr>
          <w:rFonts w:ascii="IRNazanin" w:hAnsi="IRNazanin" w:eastAsia="IRNazanin"/>
          <w:color w:val="111111"/>
          <w:sz w:val="28"/>
          <w:sz w:val="28"/>
          <w:szCs w:val="28"/>
          <w:rtl w:val="true"/>
          <w:lang w:bidi="fa-IR"/>
        </w:rPr>
        <w:t>اگر بعد از حكم، حاضر بشود، اعتبار به شهادت او نيست؛ و اگر قبل از حكم، شهادت بدهد پس استفاده مى شود حكم آن از آن چه مذكور شد از ترجيح به اعدليت يا سقوط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متجدّد شد فسق يا كفر شاهد اصل بعد از حكم، اثرى در نقض حكم به غير شروط نقض ندارد؛ و اگر قبل از شهادت و حكم، حاصل شد، شهادت فرع كه مثبت شهادت اصل است مقبول نيست، زيرا حكم شهادت اصل است كه ثابت مى شود به سبب شهادت فرع، و شهادت بر شهادت فاسق غير مقبول الشهادة مقبول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تغيير حال به فسق يا كفر در شاهد اصل، بعد از شهادت فرع و قبل از حكم به اين شهادت باشد، پس منسوب به مشهور، عدم حكم به اين شهادت است، زيرا حكم به شهادت اصل است كه ثابت به شهادت فرع است كه در زمان حكم فاسق است، و اين مبنىّ بر اضرار فسق به حكم به شهادت اصل است در صورتى كه بعد از شهادت، فاسق بشود و حكم به شهادت او بنفسه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حال متغير در شاهد اصل، زايل شد قبل از شهادت فرع، اظهر جواز شهادت فرع و مقبوليت آن است</w:t>
      </w:r>
      <w:r>
        <w:rPr>
          <w:rFonts w:eastAsia="IRNazanin" w:cs="IRNazanin"/>
          <w:color w:val="111111"/>
          <w:sz w:val="28"/>
          <w:szCs w:val="28"/>
          <w:rtl w:val="true"/>
          <w:lang w:bidi="fa-IR"/>
        </w:rPr>
        <w:t>.</w:t>
      </w:r>
    </w:p>
    <w:p>
      <w:pPr>
        <w:pStyle w:val="Heading4"/>
        <w:numPr>
          <w:ilvl w:val="3"/>
          <w:numId w:val="1"/>
        </w:numPr>
        <w:rPr/>
      </w:pPr>
      <w:bookmarkStart w:id="1345" w:name="__RefHeading___Toc3972103_1067777946"/>
      <w:bookmarkStart w:id="1346" w:name="_Toc559"/>
      <w:bookmarkEnd w:id="1345"/>
      <w:r>
        <w:rPr>
          <w:rtl w:val="true"/>
        </w:rPr>
        <w:t>حصول عمى و جنون و غير آن در شاهد اصل</w:t>
      </w:r>
      <w:bookmarkEnd w:id="134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عمى و جنون و موت در شاهد اصل حاصل شد، اظهر جواز حكم به شهادت فرع است، مثل آن كه حكم به شهادت اصل باشد و قبل از حكم و بعد از شهادت، اين عوارض حاصل بشوند؛ به خلاف آن كه عمى در حال شهادت اصل بوده باشد در آن چه بصير بودن شرط شهادت است در آن، كه شهادت فرع در اين صورت مثبت شهادت غير مقبوله است و معتبر نيست، و محلى براى استغنا به بصير بودن فرع نيست، به خلاف آن كه عمى در اصل بعد از شهادت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شكّ‌،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اصالة الصحّة در شهادت فرع، حكم به وقوع شهادت اصل قبل از عمى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عدم افتقار شهادت اصل بر ابصار، حكم واضح است</w:t>
      </w:r>
      <w:r>
        <w:rPr>
          <w:rFonts w:eastAsia="IRNazanin" w:cs="IRNazanin"/>
          <w:color w:val="111111"/>
          <w:sz w:val="28"/>
          <w:szCs w:val="28"/>
          <w:rtl w:val="true"/>
          <w:lang w:bidi="fa-IR"/>
        </w:rPr>
        <w:t xml:space="preserve">. </w:t>
      </w:r>
      <w:bookmarkStart w:id="1347" w:name="pg10275_96550"/>
    </w:p>
    <w:p>
      <w:pPr>
        <w:pStyle w:val="BookText"/>
        <w:rPr/>
      </w:pPr>
      <w:bookmarkEnd w:id="1347"/>
      <w:r>
        <w:rPr>
          <w:rFonts w:ascii="Amiri" w:hAnsi="Amiri" w:eastAsia="Amiri" w:cs="Amiri"/>
          <w:color w:val="111111"/>
          <w:sz w:val="28"/>
          <w:sz w:val="28"/>
          <w:szCs w:val="28"/>
          <w:rtl w:val="true"/>
          <w:lang w:bidi="ar-SA"/>
        </w:rPr>
        <w:t xml:space="preserve">و فرق بين فسق و كفر و بين جنون و موت كه متخلّل بين شهادت و حكم باشند اين است كه معتبر است بقاى بر شهادت در صورت اهليت 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رجوع عادل از شهادت براى عذرى، مانع از 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صورت زوال اهليت به سبب جنون يا موت</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3972105_1067777946"/>
      <w:bookmarkStart w:id="1349" w:name="_Toc560"/>
      <w:bookmarkEnd w:id="1348"/>
      <w:r>
        <w:rPr>
          <w:rtl w:val="true"/>
        </w:rPr>
        <w:t>موارد قبول شهادت زنها بر شهادت</w:t>
      </w:r>
      <w:bookmarkEnd w:id="1349"/>
    </w:p>
    <w:p>
      <w:pPr>
        <w:pStyle w:val="BookText"/>
        <w:rPr/>
      </w:pPr>
      <w:r>
        <w:rPr>
          <w:rFonts w:ascii="IRNazanin" w:hAnsi="IRNazanin" w:eastAsia="IRNazanin"/>
          <w:color w:val="111111"/>
          <w:sz w:val="28"/>
          <w:sz w:val="28"/>
          <w:szCs w:val="28"/>
          <w:rtl w:val="true"/>
          <w:lang w:bidi="fa-IR"/>
        </w:rPr>
        <w:t xml:space="preserve">قبول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اگر چه بر شهادت مردها باشد، در آن چه قبول مى شود شهادت آنها به 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عيوب باطنه و استهلال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اعتبار شهادت دو زن به جاى شهادت يك مرد، پس اگر شهادت دو مرد بر يك مرد معتبر است شهادت چهار زن بر شهادت يك مرد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عموم اگر چه مخالف با منسوب به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وجه موافق با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همچنين اطلاق قبول شهادت زنها كه شامل اصل و فرع است، و انصراف به اوّل ممنوع است؛ بلى در مواردى كه قبول نمى شود شهادت زنها به دليل خاص به نحوى كه دلالت بر اصل و فرع دارد، كافى است مستفاد از آن أدلّه در منع</w:t>
      </w:r>
      <w:r>
        <w:rPr>
          <w:rFonts w:eastAsia="IRNazanin" w:cs="IRNazanin"/>
          <w:color w:val="111111"/>
          <w:sz w:val="28"/>
          <w:szCs w:val="28"/>
          <w:rtl w:val="true"/>
          <w:lang w:bidi="fa-IR"/>
        </w:rPr>
        <w:t>.</w:t>
      </w:r>
    </w:p>
    <w:p>
      <w:pPr>
        <w:pStyle w:val="Heading4"/>
        <w:numPr>
          <w:ilvl w:val="3"/>
          <w:numId w:val="1"/>
        </w:numPr>
        <w:rPr/>
      </w:pPr>
      <w:bookmarkStart w:id="1350" w:name="__RefHeading___Toc3972107_1067777946"/>
      <w:bookmarkStart w:id="1351" w:name="_Toc561"/>
      <w:bookmarkEnd w:id="1350"/>
      <w:r>
        <w:rPr>
          <w:rtl w:val="true"/>
        </w:rPr>
        <w:t>شهادت بر اقرار</w:t>
      </w:r>
      <w:bookmarkEnd w:id="135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شاهد فرع كه عادل باشند اگر تسميه كردند شاهد اصل را، و تعديل نمودند او را در حال تحمل او و اداى شهادت، قبول مى شود در مقام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تسميه كردند لكن تعديل ننمودند، حاكم فحص از عدالت شاهد اصل مى نمايد و حكم مى نمايد با ثبوت مقتضى قبول و حكم، و طرح مى نمايد با عدم ثبوت آن به نحوى كه اگر خودش حاضر بود و شهادت مى داد قبول نمى شد؛ و اگر ثابت شد فسق او در حال شهادت ثابته او، و پس از آن در زمان حكم عادل شد، پس با علم به بقاى او بر شهادت خودش حكم مى شود، و با شك و استصحاب بقاى بر شهادت تا زمان عدالت و حكم پس </w:t>
      </w:r>
      <w:bookmarkStart w:id="1352" w:name="pg10275_96552"/>
    </w:p>
    <w:p>
      <w:pPr>
        <w:pStyle w:val="BookText"/>
        <w:rPr/>
      </w:pPr>
      <w:bookmarkEnd w:id="1352"/>
      <w:r>
        <w:rPr>
          <w:rFonts w:ascii="Amiri" w:hAnsi="Amiri" w:eastAsia="Amiri" w:cs="Amiri"/>
          <w:color w:val="111111"/>
          <w:sz w:val="28"/>
          <w:sz w:val="28"/>
          <w:szCs w:val="28"/>
          <w:rtl w:val="true"/>
          <w:lang w:bidi="ar-SA"/>
        </w:rPr>
        <w:t>قبول 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شهود بر شهادت، تعديل كردند و تسميه نكردند شاهد اصل را، كافى در حكم نيست، زيرا حاكم بايد بشناسد شاهد اصل و معدّل و جارح را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تعديل ننمايند شاهد اصل را با تسميه او، كه بايد حاكم، فحص از عدالت و جرح نسبت به شاهد اصل بنمايد</w:t>
      </w:r>
      <w:r>
        <w:rPr>
          <w:rFonts w:eastAsia="IRNazanin" w:cs="IRNazanin"/>
          <w:color w:val="111111"/>
          <w:sz w:val="28"/>
          <w:szCs w:val="28"/>
          <w:rtl w:val="true"/>
          <w:lang w:bidi="fa-IR"/>
        </w:rPr>
        <w:t>.</w:t>
      </w:r>
    </w:p>
    <w:p>
      <w:pPr>
        <w:pStyle w:val="Heading4"/>
        <w:numPr>
          <w:ilvl w:val="3"/>
          <w:numId w:val="1"/>
        </w:numPr>
        <w:rPr/>
      </w:pPr>
      <w:bookmarkStart w:id="1353" w:name="__RefHeading___Toc3972109_1067777946"/>
      <w:bookmarkStart w:id="1354" w:name="_Toc562"/>
      <w:bookmarkEnd w:id="1353"/>
      <w:r>
        <w:rPr>
          <w:rtl w:val="true"/>
        </w:rPr>
        <w:t>تسميه و تعديل شاهد اصل</w:t>
      </w:r>
      <w:bookmarkEnd w:id="1354"/>
    </w:p>
    <w:p>
      <w:pPr>
        <w:pStyle w:val="BookText"/>
        <w:rPr/>
      </w:pPr>
      <w:r>
        <w:rPr>
          <w:rFonts w:ascii="IRNazanin" w:hAnsi="IRNazanin" w:eastAsia="IRNazanin"/>
          <w:color w:val="111111"/>
          <w:sz w:val="28"/>
          <w:sz w:val="28"/>
          <w:szCs w:val="28"/>
          <w:rtl w:val="true"/>
          <w:lang w:bidi="fa-IR"/>
        </w:rPr>
        <w:t>اگر اقرار به لواط، يا زنا به عمه يا خاله، يا به وطى بهيمه نمود، ثابت مى شود اقرار او با شهادت بر شهادت بر اقرار؛ و ثابت به اين شهادت، حدّ نيست، بلكه نشر حرمت و ساير احكام اقرار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تعزير در وطى بهيمه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احتساب آن از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نمى شود به شهادت ثانيه، و ثابت مى شود تحريم اكل در مأكوله، و وجوب بيع در بلد ديگر در غير مأكوله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 در خصوصيات مذكوره، شهادت بر شهادت بر نفس فعل، همين حكم را دارد يا نه‌؟ اظهر اتحاد حكم است و اختصاص شهادت ثانيه بر اثبات غير حدّ</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3972111_1067777946"/>
      <w:bookmarkStart w:id="1356" w:name="_Toc563"/>
      <w:bookmarkEnd w:id="1355"/>
      <w:r>
        <w:rPr>
          <w:rtl w:val="true"/>
        </w:rPr>
        <w:t>عدم اعتبار اربعه در شاهد فرع</w:t>
      </w:r>
      <w:bookmarkEnd w:id="135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عدم اعتبار اربعه در شاهد فرع است بعد از تحقق آنها به حسب شهادت ثانيه در شهود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سه نفر شاهد اصل بودند، و يك نفر شهادت او به دو نفر شاهد فرع ثابت شده باشد</w:t>
      </w:r>
      <w:r>
        <w:rPr>
          <w:rFonts w:eastAsia="IRNazanin" w:cs="IRNazanin"/>
          <w:color w:val="111111"/>
          <w:sz w:val="28"/>
          <w:szCs w:val="28"/>
          <w:rtl w:val="true"/>
          <w:lang w:bidi="fa-IR"/>
        </w:rPr>
        <w:t xml:space="preserve">. </w:t>
      </w:r>
      <w:bookmarkStart w:id="1357" w:name="pg10275_96554"/>
    </w:p>
    <w:p>
      <w:pPr>
        <w:pStyle w:val="Heading3"/>
        <w:numPr>
          <w:ilvl w:val="2"/>
          <w:numId w:val="1"/>
        </w:numPr>
        <w:rPr/>
      </w:pPr>
      <w:bookmarkStart w:id="1358" w:name="__RefHeading___Toc3972113_1067777946"/>
      <w:bookmarkStart w:id="1359" w:name="_Toc564"/>
      <w:bookmarkEnd w:id="1357"/>
      <w:bookmarkEnd w:id="1358"/>
      <w:r>
        <w:rPr>
          <w:rtl w:val="true"/>
        </w:rPr>
        <w:t>فصل پنجم توارد شهود بر معناى واحد</w:t>
      </w:r>
      <w:bookmarkEnd w:id="1359"/>
    </w:p>
    <w:p>
      <w:pPr>
        <w:pStyle w:val="Heading4"/>
        <w:numPr>
          <w:ilvl w:val="3"/>
          <w:numId w:val="1"/>
        </w:numPr>
        <w:rPr/>
      </w:pPr>
      <w:bookmarkStart w:id="1360" w:name="__RefHeading___Toc3972115_1067777946"/>
      <w:bookmarkStart w:id="1361" w:name="_Toc565"/>
      <w:bookmarkEnd w:id="1360"/>
      <w:r>
        <w:rPr>
          <w:rtl w:val="true"/>
        </w:rPr>
        <w:t>اعتبار وحدت مضمون شهادت</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است در قبول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معنى در مشهودٌ به از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لفظى با وضوح معنى مراد، ضرر به وحدت ندارد، مثل اين كه يكى شهادت بر غصب و ديگرى شهادت به انتزاع عدوانى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اختلاف معنوى، قبول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شهادت يكى بر بيع و ديگرى بر اقرار به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مختصه؛ و در آثار مشتركه، قبول خالى از وجه نيست اگر مورد شك يا تنازع لو لا الشهادة باشد و صدق مشهودٌ به بر مشترك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يكى شهادت بر غصب از زيد يا اقرار به آن بدهد و ديگرى شهادت بر مالكيّت زيد قبل از غاصب يا مقِرّ به آن، به جهت عموم ملك از غصب و غصب از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اختلاف به مثل بيع و صلح باشد، و در آثار مشتركه قبول توجيه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اختلاف، مى تواند شاهد، تصحيح نمايد نزد حاكم به نحوى كه به نتيجه برسد، مثل اين كه شاهد بيع، بعد از شهادت ديگرى به ملك، او هم شهادت بر ملك بدون ذكر سببيّت بيع بدهد؛ بلكه هر دو عبارت ممكن است نزد حاكم ايراد شود و رجوع و اختلافى نمى شود در شهادت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اختلاف غير مصحح، با شهادت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مدّعى ضميمه بشود و مورد ثابت با شهادت واحد و يمين بشود، حكم در محل خودش </w:t>
      </w:r>
      <w:bookmarkStart w:id="1362" w:name="pg10275_96556"/>
    </w:p>
    <w:p>
      <w:pPr>
        <w:pStyle w:val="BookText"/>
        <w:rPr/>
      </w:pPr>
      <w:bookmarkEnd w:id="1362"/>
      <w:r>
        <w:rPr>
          <w:rFonts w:ascii="IRNazanin" w:hAnsi="IRNazanin" w:eastAsia="IRNazanin"/>
          <w:color w:val="111111"/>
          <w:sz w:val="28"/>
          <w:sz w:val="28"/>
          <w:szCs w:val="28"/>
          <w:rtl w:val="true"/>
          <w:lang w:bidi="fa-IR"/>
        </w:rPr>
        <w:t>واقع مى شود، و تكاذب در شاهدين بى اثر است، اگر چه مؤثر است در دو بيّنۀ كامله و محتاج به ترجيح مى شود در فصل خصومت</w:t>
      </w:r>
      <w:r>
        <w:rPr>
          <w:rFonts w:eastAsia="IRNazanin" w:cs="IRNazanin"/>
          <w:color w:val="111111"/>
          <w:sz w:val="28"/>
          <w:szCs w:val="28"/>
          <w:rtl w:val="true"/>
          <w:lang w:bidi="fa-IR"/>
        </w:rPr>
        <w:t>.</w:t>
      </w:r>
    </w:p>
    <w:p>
      <w:pPr>
        <w:pStyle w:val="Heading4"/>
        <w:numPr>
          <w:ilvl w:val="3"/>
          <w:numId w:val="1"/>
        </w:numPr>
        <w:rPr/>
      </w:pPr>
      <w:bookmarkStart w:id="1363" w:name="__RefHeading___Toc3972117_1067777946"/>
      <w:bookmarkStart w:id="1364" w:name="_Toc566"/>
      <w:bookmarkEnd w:id="1363"/>
      <w:r>
        <w:rPr>
          <w:rtl w:val="true"/>
        </w:rPr>
        <w:t>اختلاف در زمان تحقق مورد شهادت</w:t>
      </w:r>
      <w:bookmarkEnd w:id="13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شهادت بدهد كه نصابى را صبح سرقت كرده و ديگرى شهادت بدهد كه نصابى را شام سرقت كرده، حكم به قطع نمى شود، به جهت قيام احتمال تعدّد نصاب مشهودٌ به و تعدّد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شهادت بدهد كه نصاب معيّنى را كه اوّلى شهادت به سرقت آن در صبح داده بود، در شام سرقت كرده، حكم نمى شود، به جهت قيام احتمال سرقت بعد از عود به مالك پس توارد بر فعل واحد به سرقت واحده ندارد؛ و اگر اختلاف در زمان سرقت معين با اتّفاق در وحدت سرقت باشد، توارد بر خصوصيت عمل واحد مشهودٌ به ندارد؛ به خلاف آن كه مشهودٌ به در دو شهادت، يك عمل واقع در يك زمان بوده باشد</w:t>
      </w:r>
      <w:r>
        <w:rPr>
          <w:rFonts w:eastAsia="IRNazanin" w:cs="IRNazanin"/>
          <w:color w:val="111111"/>
          <w:sz w:val="28"/>
          <w:szCs w:val="28"/>
          <w:rtl w:val="true"/>
          <w:lang w:bidi="fa-IR"/>
        </w:rPr>
        <w:t>.</w:t>
      </w:r>
    </w:p>
    <w:p>
      <w:pPr>
        <w:pStyle w:val="Heading4"/>
        <w:numPr>
          <w:ilvl w:val="3"/>
          <w:numId w:val="1"/>
        </w:numPr>
        <w:rPr/>
      </w:pPr>
      <w:bookmarkStart w:id="1365" w:name="__RefHeading___Toc3972119_1067777946"/>
      <w:bookmarkStart w:id="1366" w:name="_Toc567"/>
      <w:bookmarkEnd w:id="1365"/>
      <w:r>
        <w:rPr>
          <w:rtl w:val="true"/>
        </w:rPr>
        <w:t>اختلاف در جنس و نوع مسروق</w:t>
      </w:r>
      <w:bookmarkEnd w:id="1366"/>
    </w:p>
    <w:p>
      <w:pPr>
        <w:pStyle w:val="Heading5"/>
        <w:numPr>
          <w:ilvl w:val="4"/>
          <w:numId w:val="1"/>
        </w:numPr>
        <w:rPr/>
      </w:pPr>
      <w:bookmarkStart w:id="1367" w:name="__RefHeading___Toc3972121_1067777946"/>
      <w:bookmarkStart w:id="1368" w:name="_Toc568"/>
      <w:bookmarkEnd w:id="1367"/>
      <w:r>
        <w:rPr>
          <w:rtl w:val="true"/>
        </w:rPr>
        <w:t>اشاره</w:t>
      </w:r>
      <w:bookmarkEnd w:id="13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كردند دو شاهد، در مسروق كه درهم بوده يا دينار، يا آن كه ثوب ابيض بود يا ثوب اسود، هيچ ثابت نمى شود به اين شهادت؛ بلى با هر كدام يمين مدّعى باشد ثابت مى شود غرامت ماليّه نه حدّ، به سبب محدوديت آن چه با شاهد و يمين ثابت مى شود</w:t>
      </w:r>
      <w:r>
        <w:rPr>
          <w:rFonts w:eastAsia="IRNazanin" w:cs="IRNazanin"/>
          <w:color w:val="111111"/>
          <w:sz w:val="28"/>
          <w:szCs w:val="28"/>
          <w:rtl w:val="true"/>
          <w:lang w:bidi="fa-IR"/>
        </w:rPr>
        <w:t>.</w:t>
      </w:r>
    </w:p>
    <w:p>
      <w:pPr>
        <w:pStyle w:val="Heading5"/>
        <w:numPr>
          <w:ilvl w:val="4"/>
          <w:numId w:val="1"/>
        </w:numPr>
        <w:rPr/>
      </w:pPr>
      <w:bookmarkStart w:id="1369" w:name="__RefHeading___Toc3972123_1067777946"/>
      <w:bookmarkStart w:id="1370" w:name="_Toc569"/>
      <w:bookmarkEnd w:id="1369"/>
      <w:r>
        <w:rPr>
          <w:rtl w:val="true"/>
        </w:rPr>
        <w:t>تعارض دو بيّنه</w:t>
      </w:r>
      <w:bookmarkEnd w:id="137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بيّنۀ كامله تعارض نمودند در عين واحده كه قابل جمع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در دو وقت باشد سرقت عين معيّنه به طورى كه قابل دو سرقت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ساقط است براى شبهه، و لكن غرامت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اثر مشترك است براى سرقت عين معيّنه، لكن خالى از اشكال نيست اگر دو شهادت تحليليه نباشد يعنى بر اصل و وقت</w:t>
      </w:r>
      <w:r>
        <w:rPr>
          <w:rFonts w:eastAsia="IRNazanin" w:cs="IRNazanin"/>
          <w:color w:val="111111"/>
          <w:sz w:val="28"/>
          <w:szCs w:val="28"/>
          <w:rtl w:val="true"/>
          <w:lang w:bidi="fa-IR"/>
        </w:rPr>
        <w:t xml:space="preserve">. </w:t>
      </w:r>
      <w:bookmarkStart w:id="1371" w:name="pg10275_96558"/>
    </w:p>
    <w:p>
      <w:pPr>
        <w:pStyle w:val="BookText"/>
        <w:rPr/>
      </w:pPr>
      <w:bookmarkEnd w:id="1371"/>
      <w:r>
        <w:rPr>
          <w:rFonts w:ascii="IRNazanin" w:hAnsi="IRNazanin" w:eastAsia="IRNazanin"/>
          <w:color w:val="111111"/>
          <w:sz w:val="28"/>
          <w:sz w:val="28"/>
          <w:szCs w:val="28"/>
          <w:rtl w:val="true"/>
          <w:lang w:bidi="fa-IR"/>
        </w:rPr>
        <w:t>و اگر تعارض دو بيّنه به سبب اختلاف مذكور بر عين معيّنه نباشد، مشهودٌ به از دو بيّنه ثابت مى شود، مگر آن كه شهادت بر سرقت واقعۀ در وقت واحد باشد كه قابل تعدد سرقت نيست، يا آن كه توافق بر اتحاد سرقت بوده كه در اين صورت حد ساقط است براى صدق شبهه؛ و در آن شبهه است با علم يا حجّت اجماليه به صدق يكى از دو بيّنه و تحقّق شرط قطع، و لكن غرامت ثابت است در صورت اتفاق بر اصل و اختلاف در غير اصل كه وقت يا غير آن باشد، نه در صورت عدم اتفاق بر اصل به تقويم خصوصيت مشهودٌ به را، با اشكال در صورت علم به صدق يكى از آن دو در شهادت بر خصوصيت يا حجت اجماليه غير معيّنه كه قابل ترتيب اثر مشترك است</w:t>
      </w:r>
      <w:r>
        <w:rPr>
          <w:rFonts w:eastAsia="IRNazanin" w:cs="IRNazanin"/>
          <w:color w:val="111111"/>
          <w:sz w:val="28"/>
          <w:szCs w:val="28"/>
          <w:rtl w:val="true"/>
          <w:lang w:bidi="fa-IR"/>
        </w:rPr>
        <w:t>.</w:t>
      </w:r>
    </w:p>
    <w:p>
      <w:pPr>
        <w:pStyle w:val="Heading4"/>
        <w:numPr>
          <w:ilvl w:val="3"/>
          <w:numId w:val="1"/>
        </w:numPr>
        <w:rPr/>
      </w:pPr>
      <w:bookmarkStart w:id="1372" w:name="__RefHeading___Toc3972125_1067777946"/>
      <w:bookmarkStart w:id="1373" w:name="_Toc570"/>
      <w:bookmarkEnd w:id="1372"/>
      <w:r>
        <w:rPr>
          <w:rtl w:val="true"/>
        </w:rPr>
        <w:t>قبول يا عدم قبول مورد متّفق عليه در دو شهادت</w:t>
      </w:r>
      <w:bookmarkEnd w:id="137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شهادت داد يكى از دو نفر بر اين كه ثوب معين را در وقت معين بيع كرد به يك دينار، و ديگرى بر اين كه بيع كرده است به دو دينار، ممكن است گفته شود توافق در دينار موجب تماميت بيّنه در يك دينار است، و تكاذب مسقط در زايد است؛ لكن اگر ضميمه شود با شاهد دو دينار، يمين مدّعى، مثبت تمام دو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مناقشه در اين، به اين كه شهادت در زايد، به سبب معارضه ساقط مى شود در زايد، پس سالم نيست شهادت يك نفر تا با ضميمۀ يمين اثبات نمايد؛ و خواهد آمد آن چه مربوط به اين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شهادت دهد با هر كدام از شاهدين، شاهد ديگرى، دو دينار ثابت مى شود اگر مدّعى آن باشد؛ لكن ممكن است گفته شود كه بر بيع به دينار، علم يا حجّت اجماليه قائم است، و در زايد، تكاذب بيّنتين است و موجب سقوط هر دو در زايد است، اگر چه يكى موافق دعواى بايع است لكن معارضه محقّق است در اين صورت و در صورت اختلاف بين بايع و مشترى؛ و فحواى يك شاهد با يمين، در اينجا موجود است و مناقشه هم در اين مورد وارد است؛ و خواهد مذكور شد توضيح در اين فرع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اظهر وقوع تكاذب در شاهدين است و عدم بيّنه براى هيچ يك، فقط مدّعى </w:t>
      </w:r>
      <w:bookmarkStart w:id="1374" w:name="pg10275_96560"/>
    </w:p>
    <w:p>
      <w:pPr>
        <w:pStyle w:val="BookText"/>
        <w:rPr/>
      </w:pPr>
      <w:bookmarkEnd w:id="1374"/>
      <w:r>
        <w:rPr>
          <w:rFonts w:ascii="Amiri" w:hAnsi="Amiri" w:eastAsia="Amiri" w:cs="Amiri"/>
          <w:color w:val="111111"/>
          <w:sz w:val="28"/>
          <w:sz w:val="28"/>
          <w:szCs w:val="28"/>
          <w:rtl w:val="true"/>
          <w:lang w:bidi="ar-SA"/>
        </w:rPr>
        <w:t>مى تواند با يمين خودش اثبات نمايد مشهودٌ به در يكى از آن دو را؛ و تعارض، بمعنى دفع بيّنۀ كامله است نه تعارض بينتين كاملتين، و منشأ، تباين مراتب اعداد در واقع خارجى واحد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بينتين كاملتين پس همين تعارض برقرار است و مقتضاى آن، سقوط هر دو است، لكن ممكن نيست دو بيّنۀ متخالفه براى يك مدّعىٖ‌، فقهراً مدّعاى او با يك بيّنۀ موافقۀ با دعواى او ثابت مى شود؛ مگر آن كه دو مدّعى باشد و تداعى بشود و بيّنه از هر كدام مطلوب باشد و در واقع تكاذب داشته باشند، كه هر دو با عدم قدر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مى نمايند، و نوبت به تحالف يا قرعه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صورت، فرقى بين صورت وحدت شاهد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محتاج به يمين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تعدّد شاهد در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مثبت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4"/>
        <w:numPr>
          <w:ilvl w:val="3"/>
          <w:numId w:val="1"/>
        </w:numPr>
        <w:rPr/>
      </w:pPr>
      <w:bookmarkStart w:id="1375" w:name="__RefHeading___Toc3972127_1067777946"/>
      <w:bookmarkStart w:id="1376" w:name="_Toc571"/>
      <w:bookmarkEnd w:id="1375"/>
      <w:r>
        <w:rPr>
          <w:rtl w:val="true"/>
        </w:rPr>
        <w:t>شهادت يكى بر هزار و ديگرى بر دو هزار</w:t>
      </w:r>
      <w:bookmarkEnd w:id="1376"/>
    </w:p>
    <w:p>
      <w:pPr>
        <w:pStyle w:val="BookText"/>
        <w:rPr/>
      </w:pPr>
      <w:r>
        <w:rPr>
          <w:rFonts w:ascii="IRNazanin" w:hAnsi="IRNazanin" w:eastAsia="IRNazanin"/>
          <w:color w:val="111111"/>
          <w:sz w:val="28"/>
          <w:sz w:val="28"/>
          <w:szCs w:val="28"/>
          <w:rtl w:val="true"/>
          <w:lang w:bidi="fa-IR"/>
        </w:rPr>
        <w:t>و همچنين اگر يكى شهادت بر اقرار به الف و ديگرى بر اقرار به الفين داد، كه تكاذب در اقرار واحد، متعلق به دو حدّ است و تساقط مى نمايند؛ و با يمين مدّعى يكى، بر يكى از دو اقرار، مدّعاى او ثابت مى شود، يا اين كه براى مدّعاى او دو شاهد باشد</w:t>
      </w:r>
      <w:r>
        <w:rPr>
          <w:rFonts w:eastAsia="IRNazanin" w:cs="IRNazanin"/>
          <w:color w:val="111111"/>
          <w:sz w:val="28"/>
          <w:szCs w:val="28"/>
          <w:rtl w:val="true"/>
          <w:lang w:bidi="fa-IR"/>
        </w:rPr>
        <w:t>.</w:t>
      </w:r>
    </w:p>
    <w:p>
      <w:pPr>
        <w:pStyle w:val="Heading4"/>
        <w:numPr>
          <w:ilvl w:val="3"/>
          <w:numId w:val="1"/>
        </w:numPr>
        <w:rPr/>
      </w:pPr>
      <w:bookmarkStart w:id="1377" w:name="__RefHeading___Toc3972129_1067777946"/>
      <w:bookmarkStart w:id="1378" w:name="_Toc572"/>
      <w:bookmarkEnd w:id="1377"/>
      <w:r>
        <w:rPr>
          <w:rtl w:val="true"/>
        </w:rPr>
        <w:t>وظيفه در صورت سقوط بينتين</w:t>
      </w:r>
      <w:bookmarkEnd w:id="1378"/>
    </w:p>
    <w:p>
      <w:pPr>
        <w:pStyle w:val="BookText"/>
        <w:rPr/>
      </w:pPr>
      <w:r>
        <w:rPr>
          <w:rFonts w:ascii="IRNazanin" w:hAnsi="IRNazanin" w:eastAsia="IRNazanin"/>
          <w:color w:val="111111"/>
          <w:sz w:val="28"/>
          <w:sz w:val="28"/>
          <w:szCs w:val="28"/>
          <w:rtl w:val="true"/>
          <w:lang w:bidi="fa-IR"/>
        </w:rPr>
        <w:t>و در صورت تعدّد مدّعى اقرار، و سقوط دو شهادت و عدم ضميمه، يا تعارض با ضميمه ايضاً و سقوط به معارضه، در صورت كمال دو بيّنه، جارى است مذكور در شهادت بر بيع؛ چنان چه اگر يك مدّعىٖ باشد و بيّنۀ او كامل باشد، ثابت مى شود اقرار موافق، بدون حاجت به ضميمۀ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معارضه و سقوط، عدم امكانِ بودنِ ما فى الخارج، دو صورت متباينه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بيان، ظاهر مى شود وجه نظر در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است؛ مگر آن كه توجيه شود به اين كه، اگر چه اختلاف در آن چه در خارج است واقع است و مراتب </w:t>
      </w:r>
      <w:bookmarkStart w:id="1379" w:name="pg10275_96562"/>
    </w:p>
    <w:p>
      <w:pPr>
        <w:pStyle w:val="BookText"/>
        <w:rPr/>
      </w:pPr>
      <w:bookmarkEnd w:id="1379"/>
      <w:r>
        <w:rPr>
          <w:rFonts w:ascii="IRNazanin" w:hAnsi="IRNazanin" w:eastAsia="IRNazanin"/>
          <w:color w:val="111111"/>
          <w:sz w:val="28"/>
          <w:sz w:val="28"/>
          <w:szCs w:val="28"/>
          <w:rtl w:val="true"/>
          <w:lang w:bidi="fa-IR"/>
        </w:rPr>
        <w:t xml:space="preserve">عدد تباين دارند، لكن اتفاق دارند بر اين كه كمتر از اقل الامرين نيست، و در اين مدلول التزامى، بيّنه كامل است؛ پس در زايد، محتاج به يمين مدّعىٖ يا كمال بيّنۀ غير معارَضه است؛ و با اين توجيه تمام است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جارى است آن چه مذكور شد از اشكال و دفع، در اين كه يكى شهادت بدهد كه سرقت نموده است جامه اى را كه قيمتش يك دينار است و ديگرى شهادت بدهد كه سرقت نموده است جامه اى را كه قيمتش دو دينار است، كه يك دينار مشترك، محل توافق است به تقريبى كه اخيراً ذكر شد، و زايد، محتاج به ضمّ يمين يا كمال بيّنۀ غير معارضه است</w:t>
      </w:r>
      <w:r>
        <w:rPr>
          <w:rFonts w:eastAsia="IRNazanin" w:cs="IRNazanin"/>
          <w:color w:val="111111"/>
          <w:sz w:val="28"/>
          <w:szCs w:val="28"/>
          <w:rtl w:val="true"/>
          <w:lang w:bidi="fa-IR"/>
        </w:rPr>
        <w:t>.</w:t>
      </w:r>
    </w:p>
    <w:p>
      <w:pPr>
        <w:pStyle w:val="Heading4"/>
        <w:numPr>
          <w:ilvl w:val="3"/>
          <w:numId w:val="1"/>
        </w:numPr>
        <w:rPr/>
      </w:pPr>
      <w:bookmarkStart w:id="1380" w:name="__RefHeading___Toc3972131_1067777946"/>
      <w:bookmarkStart w:id="1381" w:name="_Toc573"/>
      <w:bookmarkEnd w:id="1380"/>
      <w:r>
        <w:rPr>
          <w:rtl w:val="true"/>
        </w:rPr>
        <w:t>شهادت يكى بر وقوع فعلى در صبح و ديگرى در شب</w:t>
      </w:r>
      <w:bookmarkEnd w:id="1381"/>
    </w:p>
    <w:p>
      <w:pPr>
        <w:pStyle w:val="BookText"/>
        <w:rPr/>
      </w:pPr>
      <w:r>
        <w:rPr>
          <w:rFonts w:ascii="IRNazanin" w:hAnsi="IRNazanin" w:eastAsia="IRNazanin"/>
          <w:color w:val="111111"/>
          <w:sz w:val="28"/>
          <w:sz w:val="28"/>
          <w:szCs w:val="28"/>
          <w:rtl w:val="true"/>
          <w:lang w:bidi="fa-IR"/>
        </w:rPr>
        <w:t>اگر شهادت بدهد يكى بر وقوع قذف يا قتل در صبح و ديگرى بر وقوع در شام، بيّنه تكميل نمى شود، به جهت عدم محفوظيت خصوصيّت در مشهودٌ به، پس مشهودٌ به دو فعل است و براى هر كدام يك شاهد، و در قتل خاص تكاذب واقع است به جهت عدم امكان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مدلول التزامى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عدم خروج از مجموع يك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دارند و در خصوصيت، اختلاف، پس خصوصيت ثابت نمى شود و احكام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آثار ديگر غير قصاص و ديه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نمى شود، به خلاف اصل قتل در اين قطعه از زمان بدون تخصيص قطعه به روز و شب</w:t>
      </w:r>
      <w:r>
        <w:rPr>
          <w:rFonts w:eastAsia="IRNazanin" w:cs="IRNazanin"/>
          <w:color w:val="111111"/>
          <w:sz w:val="28"/>
          <w:szCs w:val="28"/>
          <w:rtl w:val="true"/>
          <w:lang w:bidi="fa-IR"/>
        </w:rPr>
        <w:t>.</w:t>
      </w:r>
    </w:p>
    <w:p>
      <w:pPr>
        <w:pStyle w:val="Heading4"/>
        <w:numPr>
          <w:ilvl w:val="3"/>
          <w:numId w:val="1"/>
        </w:numPr>
        <w:rPr/>
      </w:pPr>
      <w:bookmarkStart w:id="1382" w:name="__RefHeading___Toc3972133_1067777946"/>
      <w:bookmarkStart w:id="1383" w:name="_Toc574"/>
      <w:bookmarkEnd w:id="1382"/>
      <w:r>
        <w:rPr>
          <w:rtl w:val="true"/>
        </w:rPr>
        <w:t>شهادت يكى بر اقرار به عربيّت و ديگرى بر اقرار به عجميّت</w:t>
      </w:r>
      <w:bookmarkEnd w:id="138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يكى از دو، شهادت داد بر اقرار شخصى به عربيت، و ديگرى بر اقرار او به عجميت، با اطلاق يا ذكر دو وقت، قبول مى شود به جهت توافق در لازم به نحوى كه ذكر شد؛ و همچنين اگر در وقت واحد باشد، به جهت اتّفاق بر مضمون مشهودٌ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خصوصيت دالّ ثابت نمى شود و حكمى داشته باشد مرتّب نمى شود، بر خلاف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bookmarkStart w:id="1384" w:name="pg10275_96565"/>
    </w:p>
    <w:p>
      <w:pPr>
        <w:pStyle w:val="Heading4"/>
        <w:numPr>
          <w:ilvl w:val="3"/>
          <w:numId w:val="1"/>
        </w:numPr>
        <w:rPr/>
      </w:pPr>
      <w:bookmarkStart w:id="1385" w:name="__RefHeading___Toc3972135_1067777946"/>
      <w:bookmarkStart w:id="1386" w:name="_Toc575"/>
      <w:bookmarkEnd w:id="1384"/>
      <w:bookmarkEnd w:id="1385"/>
      <w:r>
        <w:rPr>
          <w:rtl w:val="true"/>
        </w:rPr>
        <w:t>فرض ديگر اختلاف در زمان</w:t>
      </w:r>
      <w:bookmarkEnd w:id="1386"/>
    </w:p>
    <w:p>
      <w:pPr>
        <w:pStyle w:val="BookText"/>
        <w:rPr/>
      </w:pPr>
      <w:r>
        <w:rPr>
          <w:rFonts w:ascii="IRNazanin" w:hAnsi="IRNazanin" w:eastAsia="IRNazanin"/>
          <w:color w:val="111111"/>
          <w:sz w:val="28"/>
          <w:sz w:val="28"/>
          <w:szCs w:val="28"/>
          <w:rtl w:val="true"/>
          <w:lang w:bidi="fa-IR"/>
        </w:rPr>
        <w:t>اگر يكى شهادت بدهد كه زيد از عمرو استدانه كرد يا به او بيع كرد يا او را كُشت يا از او غصب كرد چيزى را در يوم خميس، و ديگرى شهادت بر وقوع در يوم جمعه داد، پس بنا بر تعدّد مشهودٌ به، هيچ كدام ثابت نمى شود مگر با ضميمۀ يمين يا كمال بيّنۀ غير معارَضه؛ و بنا بر اخذ به مدلول التزامى، ثابت مى شود اصل، نه خصوصيت كه اگر منتهى به تكاذب هم نشود كافى در اثبات مدلول نيست</w:t>
      </w:r>
      <w:r>
        <w:rPr>
          <w:rFonts w:eastAsia="IRNazanin" w:cs="IRNazanin"/>
          <w:color w:val="111111"/>
          <w:sz w:val="28"/>
          <w:szCs w:val="28"/>
          <w:rtl w:val="true"/>
          <w:lang w:bidi="fa-IR"/>
        </w:rPr>
        <w:t>.</w:t>
      </w:r>
    </w:p>
    <w:p>
      <w:pPr>
        <w:pStyle w:val="Heading4"/>
        <w:numPr>
          <w:ilvl w:val="3"/>
          <w:numId w:val="1"/>
        </w:numPr>
        <w:rPr/>
      </w:pPr>
      <w:bookmarkStart w:id="1387" w:name="__RefHeading___Toc3972137_1067777946"/>
      <w:bookmarkStart w:id="1388" w:name="_Toc576"/>
      <w:bookmarkEnd w:id="1387"/>
      <w:r>
        <w:rPr>
          <w:rtl w:val="true"/>
        </w:rPr>
        <w:t>فرض قابليت براى تعدّد</w:t>
      </w:r>
      <w:bookmarkEnd w:id="1388"/>
    </w:p>
    <w:p>
      <w:pPr>
        <w:pStyle w:val="BookText"/>
        <w:rPr/>
      </w:pPr>
      <w:r>
        <w:rPr>
          <w:rFonts w:ascii="IRNazanin" w:hAnsi="IRNazanin" w:eastAsia="IRNazanin"/>
          <w:color w:val="111111"/>
          <w:sz w:val="28"/>
          <w:sz w:val="28"/>
          <w:szCs w:val="28"/>
          <w:rtl w:val="true"/>
          <w:lang w:bidi="fa-IR"/>
        </w:rPr>
        <w:t>و همچنين اگر مورد، قابل تعدّد باشد، اثبات هيچ كدام نمى شود مگر با ضميمۀ آن چه ذكر شد، مثل آن كه مشهودٌ به قتل شخص خاص باشد در دو روز، يا اقرار شخص واحد در روز اول و دوم ماه در بغداد و مصر با عدم امكان تعدد</w:t>
      </w:r>
      <w:r>
        <w:rPr>
          <w:rFonts w:eastAsia="IRNazanin" w:cs="IRNazanin"/>
          <w:color w:val="111111"/>
          <w:sz w:val="28"/>
          <w:szCs w:val="28"/>
          <w:rtl w:val="true"/>
          <w:lang w:bidi="fa-IR"/>
        </w:rPr>
        <w:t>.</w:t>
      </w:r>
    </w:p>
    <w:p>
      <w:pPr>
        <w:pStyle w:val="Heading4"/>
        <w:numPr>
          <w:ilvl w:val="3"/>
          <w:numId w:val="1"/>
        </w:numPr>
        <w:rPr/>
      </w:pPr>
      <w:bookmarkStart w:id="1389" w:name="__RefHeading___Toc3972139_1067777946"/>
      <w:bookmarkStart w:id="1390" w:name="_Toc577"/>
      <w:bookmarkEnd w:id="1389"/>
      <w:r>
        <w:rPr>
          <w:rtl w:val="true"/>
        </w:rPr>
        <w:t>شهادت دو نفر بر فعلى و دو نفر ديگر بر غير آن</w:t>
      </w:r>
      <w:bookmarkEnd w:id="13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شهادت بر فعلى بدهند و دو نفر شهادت بر غير آن، پس با امكان اجتماع، هر دو ثابت مى شود؛ و اگر ممكن الاجتماع نيست يا آن كه هر دو مدّعى ندارد، همان كه مدّعى دارد مدعاى او ثابت مى شود و آن بيّنۀ ديگر الغا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ممكن الاجتماع مثل قتل شخصى در صبح يا در شام، و مثل آن چه مكرّر نمى شود مثل ولادت و حج در يك سال از دو نفر؛ و در آن چه هر دو مدّعى دارد يا ممكن الصدق به اجتماع نيست تساقط مى نمايند به تعارض و تكاذب، پس فى الجمله با تحالف و قرعه فصل مى شود</w:t>
      </w:r>
      <w:r>
        <w:rPr>
          <w:rFonts w:eastAsia="IRNazanin" w:cs="IRNazanin"/>
          <w:color w:val="111111"/>
          <w:sz w:val="28"/>
          <w:szCs w:val="28"/>
          <w:rtl w:val="true"/>
          <w:lang w:bidi="fa-IR"/>
        </w:rPr>
        <w:t xml:space="preserve">. </w:t>
      </w:r>
      <w:bookmarkStart w:id="1391" w:name="pg10275_96567"/>
    </w:p>
    <w:p>
      <w:pPr>
        <w:pStyle w:val="Heading3"/>
        <w:numPr>
          <w:ilvl w:val="2"/>
          <w:numId w:val="1"/>
        </w:numPr>
        <w:rPr/>
      </w:pPr>
      <w:bookmarkStart w:id="1392" w:name="__RefHeading___Toc3972141_1067777946"/>
      <w:bookmarkStart w:id="1393" w:name="_Toc578"/>
      <w:bookmarkEnd w:id="1391"/>
      <w:bookmarkEnd w:id="1392"/>
      <w:r>
        <w:rPr>
          <w:rtl w:val="true"/>
        </w:rPr>
        <w:t>فصل ششم عوارض شهادت</w:t>
      </w:r>
      <w:bookmarkEnd w:id="1393"/>
    </w:p>
    <w:p>
      <w:pPr>
        <w:pStyle w:val="Heading4"/>
        <w:numPr>
          <w:ilvl w:val="3"/>
          <w:numId w:val="1"/>
        </w:numPr>
        <w:rPr/>
      </w:pPr>
      <w:bookmarkStart w:id="1394" w:name="__RefHeading___Toc3972143_1067777946"/>
      <w:bookmarkStart w:id="1395" w:name="_Toc579"/>
      <w:bookmarkEnd w:id="1394"/>
      <w:r>
        <w:rPr>
          <w:rtl w:val="true"/>
        </w:rPr>
        <w:t>فوت يا جنون شاهد بعد از شهادت و قبل از حكم</w:t>
      </w:r>
      <w:bookmarkEnd w:id="1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شهادت دادند نزد حاكم، و قبل از حكم مُردند يا مُرد يكى از دو شاهد، يا آن كه ديوانه شدند، يا مغمى عليه شدند، يا يكى از آنها، حاكم به شهادت سابقه حكم مى نمايد، چون محقق و محكوم به صحت و بقاى صحت است، چه آن كه در مورد حقوق و اموال يا 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قبلاً شهادت دادند و بعد از ادا و موت مثلاً تزكيه و تعديل شدند كه حين الشهادة عادل بوده اند</w:t>
      </w:r>
      <w:r>
        <w:rPr>
          <w:rFonts w:eastAsia="IRNazanin" w:cs="IRNazanin"/>
          <w:color w:val="111111"/>
          <w:sz w:val="28"/>
          <w:szCs w:val="28"/>
          <w:rtl w:val="true"/>
          <w:lang w:bidi="fa-IR"/>
        </w:rPr>
        <w:t>.</w:t>
      </w:r>
    </w:p>
    <w:p>
      <w:pPr>
        <w:pStyle w:val="Heading4"/>
        <w:numPr>
          <w:ilvl w:val="3"/>
          <w:numId w:val="1"/>
        </w:numPr>
        <w:rPr/>
      </w:pPr>
      <w:bookmarkStart w:id="1396" w:name="__RefHeading___Toc3972145_1067777946"/>
      <w:bookmarkStart w:id="1397" w:name="_Toc580"/>
      <w:bookmarkEnd w:id="1396"/>
      <w:r>
        <w:rPr>
          <w:rtl w:val="true"/>
        </w:rPr>
        <w:t>فسق شاهد بعد از شهادت و قبل از حكم</w:t>
      </w:r>
      <w:bookmarkEnd w:id="13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عادل شهادت دادند و بعد از اقامه و قبل از حكم فاسق شدند، اظهر قبول شهادت و جواز حكم به آن است، زيرا عدالت در وقت شهادت، كافى است، و گذشت مخالفت مشهور در حكم به شهادت فرع و طروّ فسق شاهد اصل بعد از شهادت فرع و قبل از حكم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ردّ شهادت و عدم جواز حكم به آن، محتاج به دليل است بر خلاف 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حق اللّٰه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 زنا و لواط و شرب 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احتياط در ترك حكم است به جهت وقوع شبهه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مشترك باشد بين حق اللّٰه و حق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 قذف و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w:t>
      </w:r>
      <w:bookmarkStart w:id="1398" w:name="pg10275_96569"/>
    </w:p>
    <w:p>
      <w:pPr>
        <w:pStyle w:val="BookText"/>
        <w:rPr/>
      </w:pPr>
      <w:bookmarkEnd w:id="1398"/>
      <w:r>
        <w:rPr>
          <w:rFonts w:ascii="IRNazanin" w:hAnsi="IRNazanin" w:eastAsia="IRNazanin"/>
          <w:color w:val="111111"/>
          <w:sz w:val="28"/>
          <w:sz w:val="28"/>
          <w:szCs w:val="28"/>
          <w:rtl w:val="true"/>
          <w:lang w:bidi="fa-IR"/>
        </w:rPr>
        <w:t>تأمل است، اگر چه رجحان حق آدمى خالى از وجه نيست، و احتياط مناسب در محل آن است</w:t>
      </w:r>
      <w:r>
        <w:rPr>
          <w:rFonts w:eastAsia="IRNazanin" w:cs="IRNazanin"/>
          <w:color w:val="111111"/>
          <w:sz w:val="28"/>
          <w:szCs w:val="28"/>
          <w:rtl w:val="true"/>
          <w:lang w:bidi="fa-IR"/>
        </w:rPr>
        <w:t>.</w:t>
      </w:r>
    </w:p>
    <w:p>
      <w:pPr>
        <w:pStyle w:val="Heading4"/>
        <w:numPr>
          <w:ilvl w:val="3"/>
          <w:numId w:val="1"/>
        </w:numPr>
        <w:rPr/>
      </w:pPr>
      <w:bookmarkStart w:id="1399" w:name="__RefHeading___Toc3972147_1067777946"/>
      <w:bookmarkStart w:id="1400" w:name="_Toc581"/>
      <w:bookmarkEnd w:id="1399"/>
      <w:r>
        <w:rPr>
          <w:rtl w:val="true"/>
        </w:rPr>
        <w:t>شهادت مدّعى براى نفس</w:t>
      </w:r>
      <w:bookmarkEnd w:id="14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شهادت دادند براى كسى كه بر تقدير موت، شاهد، وارث او است، پس وفات كرد مشهودٌ له و مال منتقل به شاهد شد،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اتفاق بر آن شده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جواز حكم به شهادت آنها است كه مصداق شهادت مدعى براى نفس است؛ و همچنين براى شركاى در ميراث، به شهادت شريك، حتى در حصه ساير شركا؛ لكن قبول و جواز حكم، موافق قاعده است، و احتمال آن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حتى در حق نفس شاهد، و اللّٰه العالم</w:t>
      </w:r>
      <w:r>
        <w:rPr>
          <w:rFonts w:eastAsia="IRNazanin" w:cs="IRNazanin"/>
          <w:color w:val="111111"/>
          <w:sz w:val="28"/>
          <w:szCs w:val="28"/>
          <w:rtl w:val="true"/>
          <w:lang w:bidi="fa-IR"/>
        </w:rPr>
        <w:t>.</w:t>
      </w:r>
    </w:p>
    <w:p>
      <w:pPr>
        <w:pStyle w:val="Heading4"/>
        <w:numPr>
          <w:ilvl w:val="3"/>
          <w:numId w:val="1"/>
        </w:numPr>
        <w:rPr/>
      </w:pPr>
      <w:bookmarkStart w:id="1401" w:name="__RefHeading___Toc3972149_1067777946"/>
      <w:bookmarkStart w:id="1402" w:name="_Toc582"/>
      <w:bookmarkEnd w:id="1401"/>
      <w:r>
        <w:rPr>
          <w:rtl w:val="true"/>
        </w:rPr>
        <w:t>رجوع شاهد از شهادت</w:t>
      </w:r>
      <w:bookmarkEnd w:id="1402"/>
    </w:p>
    <w:p>
      <w:pPr>
        <w:pStyle w:val="Heading5"/>
        <w:numPr>
          <w:ilvl w:val="4"/>
          <w:numId w:val="1"/>
        </w:numPr>
        <w:rPr/>
      </w:pPr>
      <w:bookmarkStart w:id="1403" w:name="__RefHeading___Toc3972151_1067777946"/>
      <w:bookmarkStart w:id="1404" w:name="_Toc583"/>
      <w:bookmarkEnd w:id="1403"/>
      <w:r>
        <w:rPr>
          <w:rtl w:val="true"/>
        </w:rPr>
        <w:t>اشاره</w:t>
      </w:r>
      <w:bookmarkEnd w:id="14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شاهد، از شهادت رجوع كرد قبل از حكم، جايز نيست حكم به شهادت سابقۀ بر رجوع، و غرامتى هم بر آنها نيست؛ به خلاف رجوع بعد از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تغريم مى شود با شروط آن در ماليات، و نقض حكم نمى شود و ضمان مثل يا قيمت و قصاص يا ديه با شروط آنها ثابت مى شود</w:t>
      </w:r>
      <w:r>
        <w:rPr>
          <w:rFonts w:eastAsia="IRNazanin" w:cs="IRNazanin"/>
          <w:color w:val="111111"/>
          <w:sz w:val="28"/>
          <w:szCs w:val="28"/>
          <w:rtl w:val="true"/>
          <w:lang w:bidi="fa-IR"/>
        </w:rPr>
        <w:t>.</w:t>
      </w:r>
    </w:p>
    <w:p>
      <w:pPr>
        <w:pStyle w:val="Heading5"/>
        <w:numPr>
          <w:ilvl w:val="4"/>
          <w:numId w:val="1"/>
        </w:numPr>
        <w:rPr/>
      </w:pPr>
      <w:bookmarkStart w:id="1405" w:name="__RefHeading___Toc3972153_1067777946"/>
      <w:bookmarkStart w:id="1406" w:name="_Toc584"/>
      <w:bookmarkEnd w:id="1405"/>
      <w:r>
        <w:rPr>
          <w:rtl w:val="true"/>
        </w:rPr>
        <w:t>حكم رجوع كنندۀ از شهادت</w:t>
      </w:r>
      <w:bookmarkEnd w:id="140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وقوع رجوع، موجب فسق مى شود به شهادت زور در صورت اعتراف به عمد؛ و در صورت دعواى اشتباه، به استصحاب، عدالت باقى مى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عدم فسق، قبول شهادت بعد از رجوع مذكور، در هر امرى، مبنى بر بقاى ضابطيت به استصحاب و عدم بقاى به جهت اماريت شهادت بر زوال آن است؛ و شايد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حضرت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رجوع و تغريم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نفرمودند، محمول بر اماره بر زوال ضابط بودن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و عدم آن، فرقى در آن بين رجوع قبل از حكم يا بعد از آن نيست</w:t>
      </w:r>
      <w:r>
        <w:rPr>
          <w:rFonts w:eastAsia="Amiri" w:cs="Amiri" w:ascii="Amiri" w:hAnsi="Amiri"/>
          <w:color w:val="111111"/>
          <w:sz w:val="28"/>
          <w:szCs w:val="28"/>
          <w:rtl w:val="true"/>
          <w:lang w:bidi="ar-SA"/>
        </w:rPr>
        <w:t xml:space="preserve">. </w:t>
      </w:r>
      <w:bookmarkStart w:id="1407" w:name="pg10275_96571"/>
    </w:p>
    <w:p>
      <w:pPr>
        <w:pStyle w:val="BookText"/>
        <w:rPr/>
      </w:pPr>
      <w:bookmarkEnd w:id="1407"/>
      <w:r>
        <w:rPr>
          <w:rFonts w:ascii="IRNazanin" w:hAnsi="IRNazanin" w:eastAsia="IRNazanin"/>
          <w:color w:val="111111"/>
          <w:sz w:val="28"/>
          <w:sz w:val="28"/>
          <w:szCs w:val="28"/>
          <w:rtl w:val="true"/>
          <w:lang w:bidi="fa-IR"/>
        </w:rPr>
        <w:t>و اگر مشهودٌ به زنا بود و بعد از اقامه حد به حكم حاكم، رجوع كرد شاهد، پس اگر اعتراف به عمد كرد، حد قذف بر او اقامه مى شود، و تغريم ديه ثابت است، و قبول شهادت بعد آن منتفى است؛ و اگر دعواى اشتباه ممكن كرد، فسق محقق نمى شود، و قبول شهادت مبنى بر عدم اماريت شهادت سابقه بر زوال ضبط است، و تغريم ديه هم ثابت است</w:t>
      </w:r>
      <w:r>
        <w:rPr>
          <w:rFonts w:eastAsia="IRNazanin" w:cs="IRNazanin"/>
          <w:color w:val="111111"/>
          <w:sz w:val="28"/>
          <w:szCs w:val="28"/>
          <w:rtl w:val="true"/>
          <w:lang w:bidi="fa-IR"/>
        </w:rPr>
        <w:t>.</w:t>
      </w:r>
    </w:p>
    <w:p>
      <w:pPr>
        <w:pStyle w:val="Heading5"/>
        <w:numPr>
          <w:ilvl w:val="4"/>
          <w:numId w:val="1"/>
        </w:numPr>
        <w:rPr/>
      </w:pPr>
      <w:bookmarkStart w:id="1408" w:name="__RefHeading___Toc3972155_1067777946"/>
      <w:bookmarkStart w:id="1409" w:name="_Toc585"/>
      <w:bookmarkEnd w:id="1408"/>
      <w:r>
        <w:rPr>
          <w:rtl w:val="true"/>
        </w:rPr>
        <w:t>رجوع بين حكم و استيفا</w:t>
      </w:r>
      <w:bookmarkEnd w:id="1409"/>
    </w:p>
    <w:p>
      <w:pPr>
        <w:pStyle w:val="BookText"/>
        <w:rPr/>
      </w:pPr>
      <w:r>
        <w:rPr>
          <w:rFonts w:ascii="IRNazanin" w:hAnsi="IRNazanin" w:eastAsia="IRNazanin"/>
          <w:color w:val="111111"/>
          <w:sz w:val="28"/>
          <w:sz w:val="28"/>
          <w:szCs w:val="28"/>
          <w:rtl w:val="true"/>
          <w:lang w:bidi="fa-IR"/>
        </w:rPr>
        <w:t xml:space="preserve">و اگر رجوع، بين حكم و استيفا شد، شبهۀ دارئۀ حدّ در موجب حدّى كه حق اللّٰه محض است، مانع از استيفا است؛ و اگر حق آدمى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 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مشترك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درء مى شود يا نه‌؟ و عموم درء اقرب است و محل نفى خلاف جزمى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ساير لوازم حكم در شرع، مرتب مى شود غير از اقامه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حرمت اخت موطوء و اُمّ و بنت او، و حرمت اكل بهيمۀ موطوئۀ مأكوله، و لزوم بيع غير مأكوله در بلد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به سبب رجوع، علم حاصل نشود كه نقض حكم بنمايد قبل از ترتيب اثر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آن كه قصاص، حد است يا به حكم آن است، پس سقوط قصاص به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خالى از وجه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انتقال به ديه نمى شود، چون كه مورد شهادت و حكم، نفس قاتل بوده و مؤثر واقع نشد در مشهودٌ به، و محكومٌ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در بدل آن مگر به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ساير حقوق غير حدود، اگر رجوع بين حكم و استيفا باشد، آيا نقض حكم مى شود يا نه‌؟ محل تأمل است، و احتياط به صلحِ مناسب ترك نشود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تأمل در صورت تسليم عين محكومٌ بها به محكومٌ له كه آيا نقض و استعاده مى شود يا نه‌؟ موافق مشهور، عدم نقض و عدم استعاده است در مفروض؛ و در خصوص شاهد زور كه عام است به مقام در صورت تصريح به تعمّد كذب، مروىّ نقض و استعادۀ عين است</w:t>
      </w:r>
      <w:r>
        <w:rPr>
          <w:rFonts w:eastAsia="IRNazanin" w:cs="IRNazanin"/>
          <w:color w:val="111111"/>
          <w:sz w:val="28"/>
          <w:szCs w:val="28"/>
          <w:rtl w:val="true"/>
          <w:lang w:bidi="fa-IR"/>
        </w:rPr>
        <w:t xml:space="preserve">. </w:t>
      </w:r>
      <w:bookmarkStart w:id="1410" w:name="pg10275_96573"/>
    </w:p>
    <w:p>
      <w:pPr>
        <w:pStyle w:val="Heading4"/>
        <w:numPr>
          <w:ilvl w:val="3"/>
          <w:numId w:val="1"/>
        </w:numPr>
        <w:rPr/>
      </w:pPr>
      <w:bookmarkStart w:id="1411" w:name="__RefHeading___Toc3972157_1067777946"/>
      <w:bookmarkStart w:id="1412" w:name="_Toc586"/>
      <w:bookmarkEnd w:id="1410"/>
      <w:bookmarkEnd w:id="1411"/>
      <w:r>
        <w:rPr>
          <w:rtl w:val="true"/>
        </w:rPr>
        <w:t>رجوع بعد از استيفا</w:t>
      </w:r>
      <w:bookmarkEnd w:id="1412"/>
    </w:p>
    <w:p>
      <w:pPr>
        <w:pStyle w:val="Heading5"/>
        <w:numPr>
          <w:ilvl w:val="4"/>
          <w:numId w:val="1"/>
        </w:numPr>
        <w:rPr/>
      </w:pPr>
      <w:bookmarkStart w:id="1413" w:name="__RefHeading___Toc3972159_1067777946"/>
      <w:bookmarkStart w:id="1414" w:name="_Toc587"/>
      <w:bookmarkEnd w:id="1413"/>
      <w:r>
        <w:rPr>
          <w:rtl w:val="true"/>
        </w:rPr>
        <w:t>اشاره</w:t>
      </w:r>
      <w:bookmarkEnd w:id="141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مشهودٌ به اگر قتل يا جرح باشد كه موجب قصاص است، پس بعد از حكم، استيفا شد، پس از استيفا، شهود رجوع نمودند، پس اگر گفتند تعمّد كرديم به شهادت زور، قصاص مى شود از آنها با ساير شروط قصاص و با امكان آن؛ و اگر گفتند خطأ كرديم، بر آنها است ديه كامله شبيه عمد؛ و اگر ممكن نشد بعد از رجوع، تصريح به عمد يا خطأ بنمايند، احوط جمع بين حقوق معلومۀ اجمالاً به اختيار صلح به ديه است</w:t>
      </w:r>
      <w:r>
        <w:rPr>
          <w:rFonts w:eastAsia="IRNazanin" w:cs="IRNazanin"/>
          <w:color w:val="111111"/>
          <w:sz w:val="28"/>
          <w:szCs w:val="28"/>
          <w:rtl w:val="true"/>
          <w:lang w:bidi="fa-IR"/>
        </w:rPr>
        <w:t>.</w:t>
      </w:r>
    </w:p>
    <w:p>
      <w:pPr>
        <w:pStyle w:val="Heading5"/>
        <w:numPr>
          <w:ilvl w:val="4"/>
          <w:numId w:val="1"/>
        </w:numPr>
        <w:rPr/>
      </w:pPr>
      <w:bookmarkStart w:id="1415" w:name="__RefHeading___Toc3972161_1067777946"/>
      <w:bookmarkStart w:id="1416" w:name="_Toc588"/>
      <w:bookmarkEnd w:id="1415"/>
      <w:r>
        <w:rPr>
          <w:rtl w:val="true"/>
        </w:rPr>
        <w:t>اقرار بعضى بر عمد و بعض ديگر بر خطأ</w:t>
      </w:r>
      <w:bookmarkEnd w:id="1416"/>
    </w:p>
    <w:p>
      <w:pPr>
        <w:pStyle w:val="BookText"/>
        <w:rPr/>
      </w:pPr>
      <w:r>
        <w:rPr>
          <w:rFonts w:ascii="IRNazanin" w:hAnsi="IRNazanin" w:eastAsia="IRNazanin"/>
          <w:color w:val="111111"/>
          <w:sz w:val="28"/>
          <w:sz w:val="28"/>
          <w:szCs w:val="28"/>
          <w:rtl w:val="true"/>
          <w:lang w:bidi="fa-IR"/>
        </w:rPr>
        <w:t xml:space="preserve">و اگر بعضى گفتند تعمّد كرديم و بعض شهود گفتند خطأ كرديم، پس مُقِرّ به خطأ، نصيب خود را از ديه تأديه مى نمايد؛ و از مُقِرّ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مى شود با اختيار ولىّ‌، و بر ولىّ ردّ فاضل از ديۀ مقتصّ منه بر جنايت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ولىّ است قتل بعض مُقِرّين بعمد و اخذ ديه از بقيۀ مُقِرّين به قدر جنايت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مقرر در كتاب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اشتراك در قتل، با اتفاق در عمد يا خطأ يا اختلاف در آنها</w:t>
      </w:r>
      <w:r>
        <w:rPr>
          <w:rFonts w:eastAsia="IRNazanin" w:cs="IRNazanin"/>
          <w:color w:val="111111"/>
          <w:sz w:val="28"/>
          <w:szCs w:val="28"/>
          <w:rtl w:val="true"/>
          <w:lang w:bidi="fa-IR"/>
        </w:rPr>
        <w:t>.</w:t>
      </w:r>
    </w:p>
    <w:p>
      <w:pPr>
        <w:pStyle w:val="Heading5"/>
        <w:numPr>
          <w:ilvl w:val="4"/>
          <w:numId w:val="1"/>
        </w:numPr>
        <w:rPr/>
      </w:pPr>
      <w:bookmarkStart w:id="1417" w:name="__RefHeading___Toc3972163_1067777946"/>
      <w:bookmarkStart w:id="1418" w:name="_Toc589"/>
      <w:bookmarkEnd w:id="1417"/>
      <w:r>
        <w:rPr>
          <w:rtl w:val="true"/>
        </w:rPr>
        <w:t>رجوع شهود از شهادت بعد از رجم</w:t>
      </w:r>
      <w:bookmarkEnd w:id="14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بعض شهود زنا بگويد متعمّد بودم در كذب در شهادت، بعد از رجم مشهودٌ عليه، و ديگران هم موافقت و تصديق كردند يعنى همه تعمّد را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دم مى توانند همه را بكشند، و ردّ مى نمايند فاضل از ديه مرجوم را به ورثه مقتولين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خواستند، يكى را به قتل مى رسانند، و بقيۀ شهود، تكملۀ ديه را تأديه مى نمايند بعد از استثناى نصيب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خواستند، بيش از يكى را به قتل مى رسانند و ردّ مى نمايند فاضل از ديۀ مرجوم را، و بقيۀ شهود، تكميل ناقص مى نمايند بعد از وضع نصيب مقتولين، چون مقابل ديۀ مرجوم، استيفا شده به قصاص از بعض و بعض ديه از بعض، و در قدر جنايت، بر اهل قصاص ديه نيست؛ پس در قتل سه نفر و اخذ ديه از يك نفر، دو ديه لازم است كه با ضميمۀ ربع ديه از حىّ‌، تأديۀ به ورثۀ مقتولين از شهود </w:t>
      </w:r>
      <w:bookmarkStart w:id="1419" w:name="pg10275_96575"/>
    </w:p>
    <w:p>
      <w:pPr>
        <w:pStyle w:val="BookText"/>
        <w:rPr/>
      </w:pPr>
      <w:bookmarkEnd w:id="1419"/>
      <w:r>
        <w:rPr>
          <w:rFonts w:ascii="Amiri" w:hAnsi="Amiri" w:eastAsia="Amiri" w:cs="Amiri"/>
          <w:color w:val="111111"/>
          <w:sz w:val="28"/>
          <w:sz w:val="28"/>
          <w:szCs w:val="28"/>
          <w:rtl w:val="true"/>
          <w:lang w:bidi="ar-SA"/>
        </w:rPr>
        <w:t xml:space="preserve">زور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نمايند بين خودشان بالسّويه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ردّ و خصوصيات آن، مطلوب از كتاب قصاص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تصديق نكردند و اقرار به عمد يا خطأ در شهادت نكردند، اقرار يكى فقط بر خود او نافذ است؛ پس ولىّ مى تواند او را به قتل برساند و فاضل ديه را بر او ردّ مى نمايد، و مى تواند ربع ديه را از او اخذ نمايد و بقيه را از شهود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محكىّ از أبو على، ردّ بقيۀ سه ربع ديه را، بر مقتول از شهود است، و مستند آنها روايت محمولۀ بر صورت تصديق بقيه است تا با قواعد موافق باشد</w:t>
      </w:r>
      <w:r>
        <w:rPr>
          <w:rFonts w:eastAsia="IRNazanin" w:cs="IRNazanin"/>
          <w:color w:val="111111"/>
          <w:sz w:val="28"/>
          <w:szCs w:val="28"/>
          <w:rtl w:val="true"/>
          <w:lang w:bidi="fa-IR"/>
        </w:rPr>
        <w:t>.</w:t>
      </w:r>
    </w:p>
    <w:p>
      <w:pPr>
        <w:pStyle w:val="Heading5"/>
        <w:numPr>
          <w:ilvl w:val="4"/>
          <w:numId w:val="1"/>
        </w:numPr>
        <w:rPr/>
      </w:pPr>
      <w:bookmarkStart w:id="1420" w:name="__RefHeading___Toc3972165_1067777946"/>
      <w:bookmarkStart w:id="1421" w:name="_Toc590"/>
      <w:bookmarkEnd w:id="1420"/>
      <w:r>
        <w:rPr>
          <w:rtl w:val="true"/>
        </w:rPr>
        <w:t>ادّعاى كذب با گمان عدم قبول شهادت</w:t>
      </w:r>
      <w:bookmarkEnd w:id="1421"/>
    </w:p>
    <w:p>
      <w:pPr>
        <w:pStyle w:val="BookText"/>
        <w:rPr/>
      </w:pPr>
      <w:r>
        <w:rPr>
          <w:rFonts w:ascii="IRNazanin" w:hAnsi="IRNazanin" w:eastAsia="IRNazanin"/>
          <w:color w:val="111111"/>
          <w:sz w:val="28"/>
          <w:sz w:val="28"/>
          <w:szCs w:val="28"/>
          <w:rtl w:val="true"/>
          <w:lang w:bidi="fa-IR"/>
        </w:rPr>
        <w:t xml:space="preserve">اگر شاهد بگويد تعمّد كذب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مشهودٌ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گمان نمى كردم شهادت من در اين موضوع خاص قبول مى شود، و محتمل بود در بارۀ او اين شبهه، اظهر سقوط قصاص است و ثبوت ديۀ مغلظه به واسطۀ خطأ شبيه عمد</w:t>
      </w:r>
      <w:r>
        <w:rPr>
          <w:rFonts w:eastAsia="IRNazanin" w:cs="IRNazanin"/>
          <w:color w:val="111111"/>
          <w:sz w:val="28"/>
          <w:szCs w:val="28"/>
          <w:rtl w:val="true"/>
          <w:lang w:bidi="fa-IR"/>
        </w:rPr>
        <w:t>.</w:t>
      </w:r>
    </w:p>
    <w:p>
      <w:pPr>
        <w:pStyle w:val="Heading5"/>
        <w:numPr>
          <w:ilvl w:val="4"/>
          <w:numId w:val="1"/>
        </w:numPr>
        <w:rPr/>
      </w:pPr>
      <w:bookmarkStart w:id="1422" w:name="__RefHeading___Toc3972167_1067777946"/>
      <w:bookmarkStart w:id="1423" w:name="_Toc591"/>
      <w:bookmarkEnd w:id="1422"/>
      <w:r>
        <w:rPr>
          <w:rtl w:val="true"/>
        </w:rPr>
        <w:t>زدن مريض و فوت او</w:t>
      </w:r>
      <w:bookmarkEnd w:id="1423"/>
    </w:p>
    <w:p>
      <w:pPr>
        <w:pStyle w:val="BookText"/>
        <w:rPr/>
      </w:pPr>
      <w:r>
        <w:rPr>
          <w:rFonts w:ascii="IRNazanin" w:hAnsi="IRNazanin" w:eastAsia="IRNazanin"/>
          <w:color w:val="111111"/>
          <w:sz w:val="28"/>
          <w:sz w:val="28"/>
          <w:szCs w:val="28"/>
          <w:rtl w:val="true"/>
          <w:lang w:bidi="fa-IR"/>
        </w:rPr>
        <w:t>و اگر مريض را بزند به اندازه اى كه غير صحيح طاقت ندارد، پس وفات كرد در موردى كه قصاص و ديه دارد، در صورت عدم مسامحه در تشخيص صحيح از مريض، اظهر سقوط قصاص است و ثبوت ديۀ شبيه به عمد، به سبب اندراج در آن چه غالباً به قتل نمى رساند</w:t>
      </w:r>
      <w:r>
        <w:rPr>
          <w:rFonts w:eastAsia="IRNazanin" w:cs="IRNazanin"/>
          <w:color w:val="111111"/>
          <w:sz w:val="28"/>
          <w:szCs w:val="28"/>
          <w:rtl w:val="true"/>
          <w:lang w:bidi="fa-IR"/>
        </w:rPr>
        <w:t>.</w:t>
      </w:r>
    </w:p>
    <w:p>
      <w:pPr>
        <w:pStyle w:val="Heading5"/>
        <w:numPr>
          <w:ilvl w:val="4"/>
          <w:numId w:val="1"/>
        </w:numPr>
        <w:rPr/>
      </w:pPr>
      <w:bookmarkStart w:id="1424" w:name="__RefHeading___Toc3972169_1067777946"/>
      <w:bookmarkStart w:id="1425" w:name="_Toc592"/>
      <w:bookmarkEnd w:id="1424"/>
      <w:r>
        <w:rPr>
          <w:rtl w:val="true"/>
        </w:rPr>
        <w:t>تصديق فرد راجع توسط بقيۀ شهود</w:t>
      </w:r>
      <w:bookmarkEnd w:id="142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تصديق كردند بقيه شهود، يك نفرى را كه رجوع كرده است و معترف به تعمّد كذب شده است و شاهد قضيۀ زنا نبوده است و از روى تعمّد كذب، شهادت داده است، بعضى فرموده اند قتل مخصوص به همان يك نفر رجوع كننده است و فاضل ديه به او ردّ مى شود؛ و اظهر عموم تسبّب به قتل است با عدم تكامل شهود بر حق در واقع</w:t>
      </w:r>
      <w:r>
        <w:rPr>
          <w:rFonts w:eastAsia="IRNazanin" w:cs="IRNazanin"/>
          <w:color w:val="111111"/>
          <w:sz w:val="28"/>
          <w:szCs w:val="28"/>
          <w:rtl w:val="true"/>
          <w:lang w:bidi="fa-IR"/>
        </w:rPr>
        <w:t xml:space="preserve">. </w:t>
      </w:r>
      <w:bookmarkStart w:id="1426" w:name="pg10275_96577"/>
    </w:p>
    <w:p>
      <w:pPr>
        <w:pStyle w:val="Heading5"/>
        <w:numPr>
          <w:ilvl w:val="4"/>
          <w:numId w:val="1"/>
        </w:numPr>
        <w:rPr/>
      </w:pPr>
      <w:bookmarkStart w:id="1427" w:name="__RefHeading___Toc3972171_1067777946"/>
      <w:bookmarkStart w:id="1428" w:name="_Toc593"/>
      <w:bookmarkEnd w:id="1426"/>
      <w:bookmarkEnd w:id="1427"/>
      <w:r>
        <w:rPr>
          <w:rtl w:val="true"/>
        </w:rPr>
        <w:t>شهادت بر عتق يا تدبير و رجوع از آن</w:t>
      </w:r>
      <w:bookmarkEnd w:id="1428"/>
    </w:p>
    <w:p>
      <w:pPr>
        <w:pStyle w:val="BookText"/>
        <w:rPr/>
      </w:pPr>
      <w:r>
        <w:rPr>
          <w:rFonts w:ascii="IRNazanin" w:hAnsi="IRNazanin" w:eastAsia="IRNazanin"/>
          <w:color w:val="111111"/>
          <w:sz w:val="28"/>
          <w:sz w:val="28"/>
          <w:szCs w:val="28"/>
          <w:rtl w:val="true"/>
          <w:lang w:bidi="fa-IR"/>
        </w:rPr>
        <w:t>اگر شهادت بر عتق مملوكى دادند، و بعد از حكم حاكم به انعتاق، رجوع نمودند با اعتراف بتعمّد كذب يا خطأ، پس نقض نمى شود در صورت عدم علم به مملوكيت فعليه، و تضمين مى شوند قيمت مملوك را براى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جواز نقض حكم به حكم، اگر حاكم ديگر با علم ببقاى مملوكيت، حكم به آن نمايد ممكن است گفته شود عود برقيّت مى شود و غرامت مردوده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شهادت بر تدبير مملوك دادند، و بعد از حكم بر طبق شهادت، رجوع نمودند، پس بنا بر صحت حكم با مبادى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شهادت به فعل غير كه ابصر به فعل خودش از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رجوع بعد از رجوع شاهد، يا آن كه شهادت بر عتق منذور بوده و در تقدير موت معتِق به حسب شهادت، ضامن بودن شاهدها قيمت مملوك مدبّر به شهادت را خالى از وجه نيست اگر چه رجوع از شهادت قبل از موت مولى باشد؛ مگر آن كه بعد از رجوع و اطلاع مولى از تدبير به شهادت بر غير عتق منذور، رجوع نمايد يا آن كه ترك رجوع نمايد كه تفويت مستند به شهادت فقط نباشد</w:t>
      </w:r>
      <w:r>
        <w:rPr>
          <w:rFonts w:eastAsia="IRNazanin" w:cs="IRNazanin"/>
          <w:color w:val="111111"/>
          <w:sz w:val="28"/>
          <w:szCs w:val="28"/>
          <w:rtl w:val="true"/>
          <w:lang w:bidi="fa-IR"/>
        </w:rPr>
        <w:t>.</w:t>
      </w:r>
    </w:p>
    <w:p>
      <w:pPr>
        <w:pStyle w:val="Heading5"/>
        <w:numPr>
          <w:ilvl w:val="4"/>
          <w:numId w:val="1"/>
        </w:numPr>
        <w:rPr/>
      </w:pPr>
      <w:bookmarkStart w:id="1429" w:name="__RefHeading___Toc3972173_1067777946"/>
      <w:bookmarkStart w:id="1430" w:name="_Toc594"/>
      <w:bookmarkEnd w:id="1429"/>
      <w:r>
        <w:rPr>
          <w:rtl w:val="true"/>
        </w:rPr>
        <w:t>رجوع از شهادت بر كتابت</w:t>
      </w:r>
      <w:bookmarkEnd w:id="143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شهادت دادند به كتابت مملوك خود، پس از آن رجوع نمودند بعد از حكم به كتابت مشروطه، پس اگر عاجز شد از تأديۀ مال الكتابه، غرامتى بر شاهد نيست مگر غرامت زمان حيلولت؛ و اگر ادا كرد و معتَق شد، ضامن قيمت مملوك هستند در آن چه زايد است از قيمت مملوك بر مال الكتابه، و اما نفس مال الكتابه پس محتمل است احتساب مؤدّىٰ در نجوم از جملۀ قيمت مضمونه اگر چه به اعتقاد ملكِ مطلقِ خودش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رجوع به رقّيت، مؤدّىٰ به مولىٰ از او استعاده نمى شود چون در واقع و ظاهر فايده مملوك او بوده، و زوال عيب حاصل به كتابت حاصله از شهادت، به سبب رجوعى بوده كه نتيجه اشتراط در كتابت يا عدم كتابت بوده نه به سبب رجوع شاهد</w:t>
      </w:r>
      <w:r>
        <w:rPr>
          <w:rFonts w:eastAsia="IRNazanin" w:cs="IRNazanin"/>
          <w:color w:val="111111"/>
          <w:sz w:val="28"/>
          <w:szCs w:val="28"/>
          <w:rtl w:val="true"/>
          <w:lang w:bidi="fa-IR"/>
        </w:rPr>
        <w:t xml:space="preserve">. </w:t>
      </w:r>
      <w:bookmarkStart w:id="1431" w:name="pg10275_96579"/>
    </w:p>
    <w:p>
      <w:pPr>
        <w:pStyle w:val="BookText"/>
        <w:rPr/>
      </w:pPr>
      <w:bookmarkEnd w:id="1431"/>
      <w:r>
        <w:rPr>
          <w:rFonts w:ascii="IRNazanin" w:hAnsi="IRNazanin" w:eastAsia="IRNazanin"/>
          <w:color w:val="111111"/>
          <w:sz w:val="28"/>
          <w:sz w:val="28"/>
          <w:szCs w:val="28"/>
          <w:rtl w:val="true"/>
          <w:lang w:bidi="fa-IR"/>
        </w:rPr>
        <w:t xml:space="preserve">اگر كتابت ثابتۀ به شهادت، مطلقه بود، و رجوع از شهادت، بعد از حكم به آن بود، پس هر مقدار ادا شود حرّيت همان مقدار در ظاهر ثابت است، و شاهدها ضامن فائت بر مولى از مقدار حرّيت ظاهريه هستند، و مضمون، قيمت شقص است يا قيمت زايد از قيمت شقص بر نجم مؤدىٰ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ضامن اجرت مدّت حيلولت مى شوند اگر زيادتى بر نجوم ادا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بر عتق بر مال كمتر از قيمت مملوك، مثل شهادت بر مكاتبه است در آن چه ذكر شد</w:t>
      </w:r>
      <w:r>
        <w:rPr>
          <w:rFonts w:eastAsia="IRNazanin" w:cs="IRNazanin"/>
          <w:color w:val="111111"/>
          <w:sz w:val="28"/>
          <w:szCs w:val="28"/>
          <w:rtl w:val="true"/>
          <w:lang w:bidi="fa-IR"/>
        </w:rPr>
        <w:t>.</w:t>
      </w:r>
    </w:p>
    <w:p>
      <w:pPr>
        <w:pStyle w:val="Heading5"/>
        <w:numPr>
          <w:ilvl w:val="4"/>
          <w:numId w:val="1"/>
        </w:numPr>
        <w:rPr/>
      </w:pPr>
      <w:bookmarkStart w:id="1432" w:name="__RefHeading___Toc3972175_1067777946"/>
      <w:bookmarkStart w:id="1433" w:name="_Toc595"/>
      <w:bookmarkEnd w:id="1432"/>
      <w:r>
        <w:rPr>
          <w:rtl w:val="true"/>
        </w:rPr>
        <w:t>شهادت بر وقف مسجد و رجوع از آن</w:t>
      </w:r>
      <w:bookmarkEnd w:id="1433"/>
    </w:p>
    <w:p>
      <w:pPr>
        <w:pStyle w:val="BookText"/>
        <w:rPr/>
      </w:pPr>
      <w:r>
        <w:rPr>
          <w:rFonts w:ascii="Amiri" w:hAnsi="Amiri" w:eastAsia="Amiri" w:cs="Amiri"/>
          <w:color w:val="111111"/>
          <w:sz w:val="28"/>
          <w:sz w:val="28"/>
          <w:szCs w:val="28"/>
          <w:rtl w:val="true"/>
          <w:lang w:bidi="ar-SA"/>
        </w:rPr>
        <w:t>و شهادت بر وقف مسجدى يا جهت عامّه، مثل شهادت بر عتق است، و به رجوع از شهادت، ردّ وقف به ملك نمى شود در تقدير عدم شروط نقض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شهادت بر استيلاد امه دادند، پس از آن رجوع از شهادت در زمان حيات مولى نمودند، تغريم مى شوند ناقص از قيمت مملوكه به سبب استيلاد 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ولد فوت نمود، استعاده نمى شود غرامت، چون زوال عيب به فعل خدا است؛ به خلاف صورتى كه موت به قاتليت شهود باشد، با احتمال عدم استعاده، زيرا زوال عيب بقايى بوده و عيب حادث، به حدوث آن در وقت سابق بر رجوع، مضمون بوده است، و اللّٰه العالم</w:t>
      </w:r>
      <w:r>
        <w:rPr>
          <w:rFonts w:eastAsia="IRNazanin" w:cs="IRNazanin"/>
          <w:color w:val="111111"/>
          <w:sz w:val="28"/>
          <w:szCs w:val="28"/>
          <w:rtl w:val="true"/>
          <w:lang w:bidi="fa-IR"/>
        </w:rPr>
        <w:t>.</w:t>
      </w:r>
    </w:p>
    <w:p>
      <w:pPr>
        <w:pStyle w:val="Heading4"/>
        <w:numPr>
          <w:ilvl w:val="3"/>
          <w:numId w:val="1"/>
        </w:numPr>
        <w:rPr/>
      </w:pPr>
      <w:bookmarkStart w:id="1434" w:name="__RefHeading___Toc3972177_1067777946"/>
      <w:bookmarkStart w:id="1435" w:name="_Toc596"/>
      <w:bookmarkEnd w:id="1434"/>
      <w:r>
        <w:rPr>
          <w:rtl w:val="true"/>
        </w:rPr>
        <w:t>اگر ثابت شود كه شهادت باطل بوده است</w:t>
      </w:r>
      <w:bookmarkEnd w:id="14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ثابت شد كه حكم به سبب شهادت زور واقع شده است و حاكم عالم به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مثل بيّنه و اقرار كه تعارض و رجوع بعد از حكم مؤثر نيست در نقض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حاكم نقض مى نمايد حكم خود را كه در واقع، ميزان حكم در آن مختل بوده؛ و مال مأخوذ به حكم، استعاده مى شود؛ و اگر متعذّر شد، تغريم مى شوند شهود زور به حسب دخالت در آن حكم و لوازم آن</w:t>
      </w:r>
      <w:r>
        <w:rPr>
          <w:rFonts w:eastAsia="IRNazanin" w:cs="IRNazanin"/>
          <w:color w:val="111111"/>
          <w:sz w:val="28"/>
          <w:szCs w:val="28"/>
          <w:rtl w:val="true"/>
          <w:lang w:bidi="fa-IR"/>
        </w:rPr>
        <w:t>.</w:t>
      </w:r>
      <w:bookmarkStart w:id="1436" w:name="pg10275_96581"/>
    </w:p>
    <w:p>
      <w:pPr>
        <w:pStyle w:val="BookText"/>
        <w:rPr/>
      </w:pPr>
      <w:bookmarkEnd w:id="1436"/>
      <w:r>
        <w:rPr>
          <w:rFonts w:ascii="IRNazanin" w:hAnsi="IRNazanin" w:eastAsia="IRNazanin"/>
          <w:color w:val="111111"/>
          <w:sz w:val="28"/>
          <w:sz w:val="28"/>
          <w:szCs w:val="28"/>
          <w:rtl w:val="true"/>
          <w:lang w:bidi="fa-IR"/>
        </w:rPr>
        <w:t>و اگر شهادت بر قتل بوده و قصاص واقع شده بعد از حكم بر طبق شهادت از قاتل، قصاص بر شهود زور ثابت است مثل ثبوت آن در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مباشر قصاص ولىّ دم بود بعد از شهادت و حكم، و خصوص او معترف به تزوير شهود شد، شهود كه اعتراف نكرده اند ضامن نيستند اگر چه معلوم شده است تزوير ايشان، و خصوص مباشر، بر او قصاص است يا ديه صلحى؛ لكن اگر محل قصاص، مدّعىِ لحوق انكشاف و سبق توهّم باشد، در ثبوت قصاص اشكال متقدم است، و اظهر عدم با عذر محتمل در خطأ، و ثبوت 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رجوع مباشر و اعتراف به كذب عمدى يا خطايى با رجوع شهود و اعتراف مذكور، دو وجه مذكور است؛ در صورتى كه به مجرّد علم به تزوير، قصاص از شهود يا ديه، در صورت عدم مباشرت ولىّ مذكور است، و اعتراف شهود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دو وجه، در ايجاب مباشرت ولىّ دم، قصاص را با علم به تزوير شهود در ثبوت قصاص يا ديه بر خصوص او، در مقابل اشتراك همه در آن چه ثابت است خواه از ناحيه رجوع شهود و اعتراف به تزوير باشد، يا از علم حاكم به تزوير شهود باشد؛ و آن مبنى است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با مباشر، حال مُعطى سيف و قاتل باشد، يا مشتركين در قتل مباشرى، و اقرب اول است</w:t>
      </w:r>
      <w:r>
        <w:rPr>
          <w:rFonts w:eastAsia="IRNazanin" w:cs="IRNazanin"/>
          <w:color w:val="111111"/>
          <w:sz w:val="28"/>
          <w:szCs w:val="28"/>
          <w:rtl w:val="true"/>
          <w:lang w:bidi="fa-IR"/>
        </w:rPr>
        <w:t>.</w:t>
      </w:r>
    </w:p>
    <w:p>
      <w:pPr>
        <w:pStyle w:val="Heading4"/>
        <w:numPr>
          <w:ilvl w:val="3"/>
          <w:numId w:val="1"/>
        </w:numPr>
        <w:rPr/>
      </w:pPr>
      <w:bookmarkStart w:id="1437" w:name="__RefHeading___Toc3972179_1067777946"/>
      <w:bookmarkStart w:id="1438" w:name="_Toc597"/>
      <w:bookmarkEnd w:id="1437"/>
      <w:r>
        <w:rPr>
          <w:rtl w:val="true"/>
        </w:rPr>
        <w:t>رجوع از شهادت بر طلاق</w:t>
      </w:r>
      <w:bookmarkEnd w:id="143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شهادت دادند به طلاق زنى، پس از حكم به طلاق، رجوع نمودند از شهادت، پس اگر شهادت، بعد از دخول زوج باشد، ضامن چيزى نيستند، زيرا تفويت مال نكرده، به جهت استحقاق زوجه مهر را و عدم استحقاق زوج، مالى را در مقابل بضع فائت به سبب شهادت غير منقوضه در فرض عدم حصول علم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شهادت، قبل از دخول زوج بوده، ضامن هستند، به سبب رجوع نصف مهر مسمّى را كه به سبب حكم به شهادت، دفع نموده آن را زوج به زوجه؛ و به سبب رجوع، ضامن مى شوند مدفوع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فعل شاهدهاى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تسميه </w:t>
      </w:r>
      <w:bookmarkStart w:id="1439" w:name="pg10275_96583"/>
    </w:p>
    <w:p>
      <w:pPr>
        <w:pStyle w:val="BookText"/>
        <w:rPr/>
      </w:pPr>
      <w:bookmarkEnd w:id="1439"/>
      <w:r>
        <w:rPr>
          <w:rFonts w:ascii="IRNazanin" w:hAnsi="IRNazanin" w:eastAsia="IRNazanin"/>
          <w:color w:val="111111"/>
          <w:sz w:val="28"/>
          <w:sz w:val="28"/>
          <w:szCs w:val="28"/>
          <w:rtl w:val="true"/>
          <w:lang w:bidi="fa-IR"/>
        </w:rPr>
        <w:t>نبوده باشد و ضامن نصف مسمّى بوده اند بر تقدير تسميه، پس ضمان نصف مهر المثل و نصف متعه بر تقدير وجوب، محتمل است</w:t>
      </w:r>
      <w:r>
        <w:rPr>
          <w:rFonts w:eastAsia="IRNazanin" w:cs="IRNazanin"/>
          <w:color w:val="111111"/>
          <w:sz w:val="28"/>
          <w:szCs w:val="28"/>
          <w:rtl w:val="true"/>
          <w:lang w:bidi="fa-IR"/>
        </w:rPr>
        <w:t>.</w:t>
      </w:r>
    </w:p>
    <w:p>
      <w:pPr>
        <w:pStyle w:val="Heading4"/>
        <w:numPr>
          <w:ilvl w:val="3"/>
          <w:numId w:val="1"/>
        </w:numPr>
        <w:rPr/>
      </w:pPr>
      <w:bookmarkStart w:id="1440" w:name="__RefHeading___Toc3972181_1067777946"/>
      <w:bookmarkStart w:id="1441" w:name="_Toc598"/>
      <w:bookmarkEnd w:id="1440"/>
      <w:r>
        <w:rPr>
          <w:rtl w:val="true"/>
        </w:rPr>
        <w:t>رجوع از شهادت بر نكاح زن</w:t>
      </w:r>
      <w:bookmarkEnd w:id="144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شهادت به نكاح زنى دادند با مدّعى بودن مرد، و پس از حكم حاكم به نكاح، رجوع نمودند، پس اگر طلاق داد قبل از دخول، بر شهود غرامتى نيست، به جهت عدم تفويت چيزى با سبق حكم و لحوق رجوع و اعتراف مغترم به اين كه اخذ نصف از روى استحقاق بر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طلاق بعد از دخول بود، و مسمّى به قدر مهر المثل يا ازيد بود، و واصل به زوجه شده بود، چيزى براى زن نيست، به جهت وصول عوض بضع تفويت شده به حسب شهادت اگر معترف به زوجيّت نبوده و ضمان بضع ثابت بوده؛ و اگر مسمّى كمتر از مهر المثل بوده، پس تفاوت بر شهود رجوع كننده است كه سبب اقتصار بر مسمّى به شهادت باطلۀ خودشان شده بودند؛ و اگر مسمّى واصل به زوجه نبوده، پس ضمان مهر المثل بر شهود محتمل است؛ و محتمل است ضمان مسمّى كه مستحَق به اعتراف زوج است و آن كه تفاوت بر شهود باشد اگر مسمّى اقل از مهر المثل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مدعى نكاح مشهودٌ به، مرئه بوده، پس اگر طلاق تعليقى زوج، قبل از دخول باشد، رجوع كننده ها ضامن نصف مسمّى براى زوج ظاهرى هستند؛ و اگر طلاق بعد از دخول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جواز دخول در ظاهر به نحو 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مسمّى ازيد از مهر المثل بوده، ضامن هستند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زوج، تفاوت را</w:t>
      </w:r>
      <w:r>
        <w:rPr>
          <w:rFonts w:eastAsia="IRNazanin" w:cs="IRNazanin"/>
          <w:color w:val="111111"/>
          <w:sz w:val="28"/>
          <w:szCs w:val="28"/>
          <w:rtl w:val="true"/>
          <w:lang w:bidi="fa-IR"/>
        </w:rPr>
        <w:t>.</w:t>
      </w:r>
    </w:p>
    <w:p>
      <w:pPr>
        <w:pStyle w:val="Heading4"/>
        <w:numPr>
          <w:ilvl w:val="3"/>
          <w:numId w:val="1"/>
        </w:numPr>
        <w:rPr/>
      </w:pPr>
      <w:bookmarkStart w:id="1442" w:name="__RefHeading___Toc3972183_1067777946"/>
      <w:bookmarkStart w:id="1443" w:name="_Toc599"/>
      <w:bookmarkEnd w:id="1442"/>
      <w:r>
        <w:rPr>
          <w:rtl w:val="true"/>
        </w:rPr>
        <w:t>رجوع از شهادت به عتق زوجه</w:t>
      </w:r>
      <w:bookmarkEnd w:id="144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شهادت دادند به عتق زوجه، و بعد از حكم به شهادت، فسخ كرد زن، نكاح را، پس از آن رجوع كردند شهود، پس اغترام مى نمايند براى مولى قيمت معتَق ظاهرى را</w:t>
      </w:r>
      <w:r>
        <w:rPr>
          <w:rFonts w:eastAsia="IRNazanin" w:cs="IRNazanin"/>
          <w:color w:val="111111"/>
          <w:sz w:val="28"/>
          <w:szCs w:val="28"/>
          <w:rtl w:val="true"/>
          <w:lang w:bidi="fa-IR"/>
        </w:rPr>
        <w:t>.</w:t>
      </w:r>
      <w:bookmarkStart w:id="1444" w:name="pg10275_96585"/>
    </w:p>
    <w:p>
      <w:pPr>
        <w:pStyle w:val="Heading4"/>
        <w:numPr>
          <w:ilvl w:val="3"/>
          <w:numId w:val="1"/>
        </w:numPr>
        <w:rPr/>
      </w:pPr>
      <w:bookmarkStart w:id="1445" w:name="__RefHeading___Toc3972185_1067777946"/>
      <w:bookmarkStart w:id="1446" w:name="_Toc600"/>
      <w:bookmarkEnd w:id="1444"/>
      <w:bookmarkEnd w:id="1445"/>
      <w:r>
        <w:rPr>
          <w:rtl w:val="true"/>
        </w:rPr>
        <w:t>رجوع از شهادت بر رضاع موجب حرمت</w:t>
      </w:r>
      <w:bookmarkEnd w:id="144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شهادت دادند به رضاع موجب حرمت، بعد از نكاح، پس حاكم تفرقه بين زوجين نمود، پس از آن رجوع نمودند، تأثير نكاح سابق در اثر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مسمّى يا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باقى است در تقدير تأثير تفرقه مثل تأثير طلاق، و ضمان ديگرى حادث نشده است موجِب آن، و اللّٰه العالم</w:t>
      </w:r>
      <w:r>
        <w:rPr>
          <w:rFonts w:eastAsia="IRNazanin" w:cs="IRNazanin"/>
          <w:color w:val="111111"/>
          <w:sz w:val="28"/>
          <w:szCs w:val="28"/>
          <w:rtl w:val="true"/>
          <w:lang w:bidi="fa-IR"/>
        </w:rPr>
        <w:t>.</w:t>
      </w:r>
    </w:p>
    <w:p>
      <w:pPr>
        <w:pStyle w:val="Heading4"/>
        <w:numPr>
          <w:ilvl w:val="3"/>
          <w:numId w:val="1"/>
        </w:numPr>
        <w:rPr/>
      </w:pPr>
      <w:bookmarkStart w:id="1447" w:name="__RefHeading___Toc3972187_1067777946"/>
      <w:bookmarkStart w:id="1448" w:name="_Toc601"/>
      <w:bookmarkEnd w:id="1447"/>
      <w:r>
        <w:rPr>
          <w:rtl w:val="true"/>
        </w:rPr>
        <w:t>فروعى در اين باب مذكور مى شود</w:t>
      </w:r>
      <w:bookmarkEnd w:id="1448"/>
    </w:p>
    <w:p>
      <w:pPr>
        <w:pStyle w:val="Heading5"/>
        <w:numPr>
          <w:ilvl w:val="4"/>
          <w:numId w:val="1"/>
        </w:numPr>
        <w:rPr/>
      </w:pPr>
      <w:bookmarkStart w:id="1449" w:name="__RefHeading___Toc3972189_1067777946"/>
      <w:bookmarkStart w:id="1450" w:name="_Toc602"/>
      <w:bookmarkEnd w:id="1449"/>
      <w:r>
        <w:rPr>
          <w:rtl w:val="true"/>
        </w:rPr>
        <w:t>اشاره</w:t>
      </w:r>
      <w:bookmarkEnd w:id="1450"/>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Heading5"/>
        <w:numPr>
          <w:ilvl w:val="4"/>
          <w:numId w:val="1"/>
        </w:numPr>
        <w:rPr/>
      </w:pPr>
      <w:bookmarkStart w:id="1451" w:name="__RefHeading___Toc3972191_1067777946"/>
      <w:bookmarkStart w:id="1452" w:name="_Toc603"/>
      <w:bookmarkEnd w:id="1451"/>
      <w:r>
        <w:rPr>
          <w:rtl w:val="true"/>
        </w:rPr>
        <w:t>ضمان در فرض رجوع از شهادت ماليّه</w:t>
      </w:r>
      <w:bookmarkEnd w:id="1452"/>
    </w:p>
    <w:p>
      <w:pPr>
        <w:pStyle w:val="Heading6"/>
        <w:numPr>
          <w:ilvl w:val="5"/>
          <w:numId w:val="1"/>
        </w:numPr>
        <w:rPr/>
      </w:pPr>
      <w:bookmarkStart w:id="1453" w:name="__RefHeading___Toc3972193_1067777946"/>
      <w:bookmarkStart w:id="1454" w:name="_Toc604"/>
      <w:bookmarkEnd w:id="1453"/>
      <w:r>
        <w:rPr>
          <w:rtl w:val="true"/>
        </w:rPr>
        <w:t>اشاره</w:t>
      </w:r>
      <w:bookmarkEnd w:id="1454"/>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شاهد اگر شهادت دادند در ماليات، و حكم به سبب شهادت آنها جارى شد و مال استيفا شد، پس از آن اگر رجوع از شهادت كردند با هم، ضامن تمام مال مى شوند براى مشهودٌ عليه بالسويه؛ و اگر خصوص يكى از آنها رجوع نمود، ضامن نصف آن 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ثبوت مال، به يك شاهد و دو زن بوده، مرد ضامن نصف، و هر يك از دو زن ضامن ربع آن مال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ثبوت مشهودٌ به با يك شاهد و يمين مدعى بوده، پس از حكم و استيفاى مال رجوع نمود، اظهر ضمان شاهد، نصف آن مال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تكذيب كرد، مخصوص به ضمان تمام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رجوع نمايد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غرامتى بر شاهد نيست، و اثبات با حلف مدعى كاذب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شهود، به حسب عدد، اقل آن چه ثابت مى كند نباشد، بلكه زايد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 نفر در مال و قصاص، و شش نفر در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كرد قدر زايد، قبل از حكم و استيفا، ظاهر عدم مانعيّت از حكم و استيفا، و عدم ضمان بر احدى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رجوع بعد از حكم و استيفا باشد، پس در شهادت سه نفر و رجوع يك نفر، ضمان </w:t>
      </w:r>
      <w:bookmarkStart w:id="1455" w:name="pg10275_96587"/>
    </w:p>
    <w:p>
      <w:pPr>
        <w:pStyle w:val="BookText"/>
        <w:rPr/>
      </w:pPr>
      <w:bookmarkEnd w:id="1455"/>
      <w:r>
        <w:rPr>
          <w:rFonts w:ascii="IRNazanin" w:hAnsi="IRNazanin" w:eastAsia="IRNazanin"/>
          <w:color w:val="111111"/>
          <w:sz w:val="28"/>
          <w:sz w:val="28"/>
          <w:szCs w:val="28"/>
          <w:rtl w:val="true"/>
          <w:lang w:bidi="fa-IR"/>
        </w:rPr>
        <w:t xml:space="preserve">رجوع كننده يك سوم مال تلف شده را، خالى از وجه موافق با صحيحۀ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عموم غير آن نيست؛ و همچنين اگر سه نفر رجوع كردند، بر هر كدام ضمان ثلث است</w:t>
      </w:r>
      <w:r>
        <w:rPr>
          <w:rFonts w:eastAsia="IRNazanin" w:cs="IRNazanin"/>
          <w:color w:val="111111"/>
          <w:sz w:val="28"/>
          <w:szCs w:val="28"/>
          <w:rtl w:val="true"/>
          <w:lang w:bidi="fa-IR"/>
        </w:rPr>
        <w:t>.</w:t>
      </w:r>
    </w:p>
    <w:p>
      <w:pPr>
        <w:pStyle w:val="Heading6"/>
        <w:numPr>
          <w:ilvl w:val="5"/>
          <w:numId w:val="1"/>
        </w:numPr>
        <w:rPr/>
      </w:pPr>
      <w:bookmarkStart w:id="1456" w:name="__RefHeading___Toc3972195_1067777946"/>
      <w:bookmarkStart w:id="1457" w:name="_Toc605"/>
      <w:bookmarkEnd w:id="1456"/>
      <w:r>
        <w:rPr>
          <w:rtl w:val="true"/>
        </w:rPr>
        <w:t>رجوع يك يا چند نفر از شش شاهد بر زنا</w:t>
      </w:r>
      <w:bookmarkEnd w:id="1457"/>
    </w:p>
    <w:p>
      <w:pPr>
        <w:pStyle w:val="BookText"/>
        <w:rPr/>
      </w:pPr>
      <w:r>
        <w:rPr>
          <w:rFonts w:ascii="IRNazanin" w:hAnsi="IRNazanin" w:eastAsia="IRNazanin"/>
          <w:color w:val="111111"/>
          <w:sz w:val="28"/>
          <w:sz w:val="28"/>
          <w:szCs w:val="28"/>
          <w:rtl w:val="true"/>
          <w:lang w:bidi="fa-IR"/>
        </w:rPr>
        <w:t xml:space="preserve">و اگر در زنا شش نفر شهادت دادند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بعد از قتل، رجوع كردند با اعتراف به تعمّد، پس بر حسب آن چه ذكر شد بر آنها قصاص است با ردّ دو ثلث ديه به آنها بالسّويه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گفتند خطأ نموديم، پس بر هر دو، ثلث ديه است بالسّويه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از شش نفر رجوع نمود، پس ديه بر او سدس است، يا ردّ آن مى كند يا قصاص مى شود بعد از ردّ پنج سدس ديه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نفر رجوع كردند از روى خطأ، ضامن نصف ديه هستند بر حسب مبناى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چهار از شش شاهد رجوع كردند بعد از حكم و اجراى به قتل، ضامن دو ثلث ديه بالسويه هستند در صورت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پنج شاهد رجوع نمودند، ضامن پنج خمس ديه براى ورثه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باطله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اعتراف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شش شاهد رجوع كردند و مخطئ بودند، بر هر كدام سدس ديه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ده زن با يك شاهد مرد شهادت دادند در موردى كه شهادت زن به انفراد كافى نيست، پس مرد رجوع نمود، مرد ضامن سدس است، و اسداس ديگر بر زنها توزيع مى شود بالسّويه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زن از ده زن با مرد رجوع نمود، بر مرد سدس ديه، و بر زن نصف سدس ديه است</w:t>
      </w:r>
      <w:r>
        <w:rPr>
          <w:rFonts w:eastAsia="IRNazanin" w:cs="IRNazanin"/>
          <w:color w:val="111111"/>
          <w:sz w:val="28"/>
          <w:szCs w:val="28"/>
          <w:rtl w:val="true"/>
          <w:lang w:bidi="fa-IR"/>
        </w:rPr>
        <w:t>.</w:t>
      </w:r>
    </w:p>
    <w:p>
      <w:pPr>
        <w:pStyle w:val="Heading5"/>
        <w:numPr>
          <w:ilvl w:val="4"/>
          <w:numId w:val="1"/>
        </w:numPr>
        <w:rPr/>
      </w:pPr>
      <w:bookmarkStart w:id="1458" w:name="__RefHeading___Toc3972197_1067777946"/>
      <w:bookmarkStart w:id="1459" w:name="_Toc606"/>
      <w:bookmarkEnd w:id="1458"/>
      <w:r>
        <w:rPr>
          <w:rtl w:val="true"/>
        </w:rPr>
        <w:t>رجوع سه نفر در امرى كه دو نفر كافى است</w:t>
      </w:r>
      <w:bookmarkEnd w:id="145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شهود بر امرى كه دو نفر شاهد در آن كافى در اثبات است، سه نفر باشند، هر </w:t>
      </w:r>
      <w:bookmarkStart w:id="1460" w:name="pg10275_96589"/>
    </w:p>
    <w:p>
      <w:pPr>
        <w:pStyle w:val="BookText"/>
        <w:rPr/>
      </w:pPr>
      <w:bookmarkEnd w:id="1460"/>
      <w:r>
        <w:rPr>
          <w:rFonts w:ascii="IRNazanin" w:hAnsi="IRNazanin" w:eastAsia="IRNazanin"/>
          <w:color w:val="111111"/>
          <w:sz w:val="28"/>
          <w:sz w:val="28"/>
          <w:szCs w:val="28"/>
          <w:rtl w:val="true"/>
          <w:lang w:bidi="fa-IR"/>
        </w:rPr>
        <w:t xml:space="preserve">يك از آنها ضامن ثلث مال مى باشد اگر چه يك نفر از آنها منفرداً رجوع نمايد از شهادت، چنان چه منسوب به شيخ و ابن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موافق با مستفاد 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يك مرد و ده زن شهادت دادند و هشت زن رجوع نمودند، هر كدام به تنهايى ضامن نصف سدس هستند در صورت رجوع او، به ترتيبى كه ذكر شد مثل آن در رجوع يكى از سه نفر</w:t>
      </w:r>
      <w:r>
        <w:rPr>
          <w:rFonts w:eastAsia="IRNazanin" w:cs="IRNazanin"/>
          <w:color w:val="111111"/>
          <w:sz w:val="28"/>
          <w:szCs w:val="28"/>
          <w:rtl w:val="true"/>
          <w:lang w:bidi="fa-IR"/>
        </w:rPr>
        <w:t>.</w:t>
      </w:r>
    </w:p>
    <w:p>
      <w:pPr>
        <w:pStyle w:val="Heading5"/>
        <w:numPr>
          <w:ilvl w:val="4"/>
          <w:numId w:val="1"/>
        </w:numPr>
        <w:rPr/>
      </w:pPr>
      <w:bookmarkStart w:id="1461" w:name="__RefHeading___Toc3972199_1067777946"/>
      <w:bookmarkStart w:id="1462" w:name="_Toc607"/>
      <w:bookmarkEnd w:id="1461"/>
      <w:r>
        <w:rPr>
          <w:rtl w:val="true"/>
        </w:rPr>
        <w:t>قيام بيّنه بر جرح شهود بعد از حكم</w:t>
      </w:r>
      <w:bookmarkEnd w:id="1462"/>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حكم، بيّنه قائم بر جرح بعض شهود شد بدون تعيين وقت، حكم منقوض نمى شود، به سبب احتمال تجدّد آن امر بعد از حكم؛ و اگر معيّن بود به وقتى قبل از شهادت، نقض حكم مى نمايد، مگر آن كه عدالت به سبب معلوم در وقت متأخّر از بيّنۀ جرح معيّن بوده باشد كه اختلال ميزان حكم به آن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فسق بعد از شهادت و قبل از حكم ثابت باشد پس گذشت حكم آن در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نقض حكم به سبب متجدّد و ظاهر بعد از حكم و اجرا، پس اگر حدّى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يا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قود بر حاكم نيست، و همچنين وكيل حاكم در اقامۀ حدّ؛ بلكه براى محدود، ديه در بيت المال است كه معدّ براى مصالح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حكم حاكم و اذن او به خصوص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مباشر مذكور، ولىّ دم بود، اظهر عدم ضمان او است؛ چنان چه اگر مباشرت بعد از حكم و قبل از اذن حاكم به مباشرت باشد، محتمل است ضمان ولىّ ديه را؛ در صورتى كه غير ولىّ مباشرت نمايد بعد از اطلاع به حكم و قبل از اذن حاكم به خصوص آن مباشر، ضامن ديه خواهد بود؛ و اتحاد حكم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ولىّ باشد يا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حكم و قبل از اذن، اقرب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محكومٌ به مال باشد، پس با قيام بيّنه بر جرح شهود به نحوى كه موجب نقض حكم است، استعاده مى شود عين مال در صورت بقا، به جهت تبيّن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مبادى و مقدمات حكم منقوض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تلف شده است در يد محكومٌ له، پس ضمان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 با محكومٌ له براى محكومٌ عليه است يا ضمان اتلاف تسبيبى بر حاكم در بيت المال‌؟ هر دو محتمل است؛ و وجه اوّل، تبيّنِ بودنِ حكم، كالعدم است و فقط شرعاً معذور بوده صاحب يد اگر چه او هم متلف بوده؛ لكن عموم ضمان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متقدّم بر ساير ادلّۀ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حاكم را، اقتضا دارد عدم ضمان محكومٌ له را بعد از حكم متبيّن الخطأ، پس وجه دوم اقرب است</w:t>
      </w:r>
      <w:r>
        <w:rPr>
          <w:rFonts w:eastAsia="IRNazanin" w:cs="IRNazanin"/>
          <w:color w:val="111111"/>
          <w:sz w:val="28"/>
          <w:szCs w:val="28"/>
          <w:rtl w:val="true"/>
          <w:lang w:bidi="fa-IR"/>
        </w:rPr>
        <w:t xml:space="preserve">. </w:t>
      </w:r>
      <w:bookmarkStart w:id="1463" w:name="pg10275_96593"/>
    </w:p>
    <w:p>
      <w:pPr>
        <w:pStyle w:val="Heading3"/>
        <w:numPr>
          <w:ilvl w:val="2"/>
          <w:numId w:val="1"/>
        </w:numPr>
        <w:rPr/>
      </w:pPr>
      <w:bookmarkStart w:id="1464" w:name="__RefHeading___Toc3972201_1067777946"/>
      <w:bookmarkStart w:id="1465" w:name="_Toc608"/>
      <w:bookmarkEnd w:id="1463"/>
      <w:bookmarkEnd w:id="1464"/>
      <w:r>
        <w:rPr>
          <w:rtl w:val="true"/>
        </w:rPr>
        <w:t>فصل هفتم چند مسأله</w:t>
      </w:r>
      <w:bookmarkEnd w:id="1465"/>
    </w:p>
    <w:p>
      <w:pPr>
        <w:pStyle w:val="Heading4"/>
        <w:numPr>
          <w:ilvl w:val="3"/>
          <w:numId w:val="1"/>
        </w:numPr>
        <w:rPr/>
      </w:pPr>
      <w:bookmarkStart w:id="1466" w:name="__RefHeading___Toc3972203_1067777946"/>
      <w:bookmarkStart w:id="1467" w:name="_Toc609"/>
      <w:bookmarkEnd w:id="1466"/>
      <w:r>
        <w:rPr/>
        <w:t>1</w:t>
      </w:r>
      <w:r>
        <w:rPr>
          <w:rtl w:val="true"/>
        </w:rPr>
        <w:t xml:space="preserve">. </w:t>
      </w:r>
      <w:r>
        <w:rPr>
          <w:rtl w:val="true"/>
        </w:rPr>
        <w:t>شهادت بر عتق مملوك و اختلاف در خصوصيّات</w:t>
      </w:r>
      <w:bookmarkEnd w:id="14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شهادت دادند كه ميّت در مرض موت، عتق كرده است مملوك معيّن را كه قيمت آن مطابق ثلث است، و دو نفر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معتبر است شهادت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كه عتق كرده است در مرض موت، مملوك معين ديگرى را و قيمت آن هم مطابق با ثلث بوده، و نفى غير يك عتق در شهادت هيچ كدام نبوده، پس اگر قايل بشويم كه منجّزات از اصل اخراج مى شوند، هر دو محكوم به عتق مى شوند؛ و اگر قايل شديم كه از ثلث اخراج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يا در خصوص عتق كه تفصيل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عتق يكى متيقّن است، پس اگر عتق سابق، تشخيص داده شد به سبب تاريخ دو بيّنه، پس عتق سابق صحيح است و عتق ديگر موقوف به اجازه ورثه است؛ و اگر مجهول شد تاريخ معلوم السبق، و در سابق و لاحق تردد واقع شد، پس اگر تاريخ عتق يكى معلوم است اظهر صحت عتق معلوم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استصحاب عدم مجهول التاريخ تا زمان تحقق معلوم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اثبات تقدّم و تأخّر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تحقق عتق يكى در زمانى كه متعبد بعدم وقوع عتق ديگرى در آن زمان مى باشيم؛ و اگر معلوم نبود تاريخ هيچ كدام، پس مثل صورتى كه علم به تقارن دو عتق داشته باشيم، با قرعه تعيين معتَق به عتق نافذ مى نماييم، اين در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تقارن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سبق،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ابتداءً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 </w:t>
      </w:r>
    </w:p>
    <w:p>
      <w:pPr>
        <w:pStyle w:val="BookText"/>
        <w:rPr/>
      </w:pPr>
      <w:r>
        <w:rPr>
          <w:rFonts w:ascii="Amiri" w:hAnsi="Amiri" w:eastAsia="Amiri" w:cs="Amiri"/>
          <w:color w:val="111111"/>
          <w:sz w:val="28"/>
          <w:sz w:val="28"/>
          <w:szCs w:val="28"/>
          <w:rtl w:val="true"/>
          <w:lang w:bidi="ar-SA"/>
        </w:rPr>
        <w:t xml:space="preserve">بعينه غير معلوم بود، ايضاً با قرعه تعيين عتق سابق مى نماييم، و تنصيف محكىّ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همين صورت تعيين با قرعه، اگر آن دو مختلف القيمة بودند، بعضى موافق ثلث و بعضى مخالف به زيادتى يا نقص از ثلث بود، پس خارج از قرعه اگر به قدر ثلث بود، عتق مى شود، و غير آن، عتق او موقوف به اجازه ورثه است؛ و اگر ازيد از ثلث بود، فقط مطابق ثلث او عتق مى شود؛ و اگر ناقص بود، عتق مى شود، و تكميل مى شود ثلث از معتَق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احتياج به محاسبه بر تقدير عدم قول به اقراع، منسوب به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مدّعىٰ عليه بودن وارث پس قبول نمى شود بيّنۀ او، پس 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عدم حكم، مأخوذيت مال از ورثه بر تقدير تماميت علّت حكم بر طبق شهادت اُولى است، و مفروض، شهادت مضادّه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است به نحوى كه جرّ نفع نمى شود، و تعلق آن به عدم شهادت اُولى نيست بلكه به تعلق عتق بر غير متعلَّق در شهادت اُولى است، پس به آن جهت، دو دعوى است از دو مدعى و براى هر كدام دو شاهد است، و مقتضاى تعارض، اقراع است؛ و به جهت شهادت، معتبر است عدالت، و اما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آن مخالف با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نيست در آن عدالت و معتبر است اين كه از جميع ورثه باشد، لكن اقرار به عتق نافذ از ثلث، مثل شهادت است در معارضه با شهادت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فرقى نيست بين اين كه شهادت ثانيه تكذيب اُولى بكند يا نه يا آن كه خروج هر دو از ثلث ممكن نباشد، و بايد با شروط شهادت، تعيين معتَق با قرعه بشود؛ و مربوط به نفوذ اقرار در جميع مُقَرّ به بدون اعتبار عدالت مقِرّ نيست، بلكه به حيثيتِ اخبارِ شهادت از واقع، تعارض واقع مى شود و با اقراع، تعيين مى شود، و براى اقرار مطلقاً حكم او ثابت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معارضه، اقراع متعيّن است؛ پس دور نيست گفته شود كه شهادت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bookmarkStart w:id="1468" w:name="pg10275_96597"/>
    </w:p>
    <w:p>
      <w:pPr>
        <w:pStyle w:val="BookText"/>
        <w:rPr/>
      </w:pPr>
      <w:bookmarkEnd w:id="1468"/>
      <w:r>
        <w:rPr>
          <w:rFonts w:ascii="Amiri" w:hAnsi="Amiri" w:eastAsia="Amiri" w:cs="Amiri"/>
          <w:color w:val="111111"/>
          <w:sz w:val="28"/>
          <w:sz w:val="28"/>
          <w:szCs w:val="28"/>
          <w:rtl w:val="true"/>
          <w:lang w:bidi="ar-SA"/>
        </w:rPr>
        <w:t>جهت كه اقرار است حكمى دارد و معتبر نيست در آن عدالت، بلكه عموم اقرار از همه ورثه در تمام متعلق؛ و به آن جهت كه شهادت به له مدعى ثانى است معتبر است در آن تعدد و عدالت، و معارضۀ منتهيۀ به اقراع، محقق است با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كفايت از تعدد مى كند انضمام يمين با يك شاهد عادل با اختلاف مشهودٌ به</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3972205_1067777946"/>
      <w:bookmarkStart w:id="1470" w:name="_Toc610"/>
      <w:bookmarkEnd w:id="1469"/>
      <w:r>
        <w:rPr/>
        <w:t>2</w:t>
      </w:r>
      <w:r>
        <w:rPr>
          <w:rtl w:val="true"/>
        </w:rPr>
        <w:t xml:space="preserve">. </w:t>
      </w:r>
      <w:r>
        <w:rPr>
          <w:rtl w:val="true"/>
        </w:rPr>
        <w:t>فرض ديگر اختلاف در شهادت</w:t>
      </w:r>
      <w:bookmarkEnd w:id="1470"/>
    </w:p>
    <w:p>
      <w:pPr>
        <w:pStyle w:val="BookText"/>
        <w:rPr/>
      </w:pPr>
      <w:r>
        <w:rPr>
          <w:rFonts w:ascii="IRNazanin" w:hAnsi="IRNazanin" w:eastAsia="IRNazanin"/>
          <w:color w:val="111111"/>
          <w:sz w:val="28"/>
          <w:sz w:val="28"/>
          <w:szCs w:val="28"/>
          <w:rtl w:val="true"/>
          <w:lang w:bidi="fa-IR"/>
        </w:rPr>
        <w:t>اگر دو نفر عادل شهادت دادند به وصيت شخصى براى زيد، و دو نفر عادل از ورثه شهادت دادند به رجوع از آن وصيت و وصيت براى خالد، پس به حسب آن چه گذشت با قرعه تعيين مى شود موصى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حكم، مفروض نيست پس دو شهادتها متعارض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شهادت بر وصيت، و شهادت بر رجوع و وصيت براى شخص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اعتبار عدم امكان انفاذ هر دو از ثلث، بلكه به اعتبار عدم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انفاذ وصيتى و انفاذ وصيت ديگرى كه مبنى بر رجوع در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 و جواب، معلوم از مذكور در مسألۀ سابقه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گفته شود در اين مسأله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رجوع، غير از شهادت بر ضد مشهودٌ به به شهادت اُولىٰ است، چون شهادت است بر زوال وصيت در بقا؛ و اُولىٰ شهادت بر حدوث وصيت است و متعرض بقا و مُثبِت آن نيست بلكه مثبت آن استصحاب است، و شهادت دوم اثبات حدوث و نفى بقا مى نمايد؛ پس تعارض ملجئ به اقراع ندارند، و بايد انفاذ شود على التعيين شهادت ثانيه</w:t>
      </w:r>
      <w:r>
        <w:rPr>
          <w:rFonts w:eastAsia="IRNazanin" w:cs="IRNazanin"/>
          <w:color w:val="111111"/>
          <w:sz w:val="28"/>
          <w:szCs w:val="28"/>
          <w:rtl w:val="true"/>
          <w:lang w:bidi="fa-IR"/>
        </w:rPr>
        <w:t>.</w:t>
      </w:r>
    </w:p>
    <w:p>
      <w:pPr>
        <w:pStyle w:val="Heading4"/>
        <w:numPr>
          <w:ilvl w:val="3"/>
          <w:numId w:val="1"/>
        </w:numPr>
        <w:rPr/>
      </w:pPr>
      <w:bookmarkStart w:id="1471" w:name="__RefHeading___Toc3972207_1067777946"/>
      <w:bookmarkStart w:id="1472" w:name="_Toc611"/>
      <w:bookmarkEnd w:id="1471"/>
      <w:r>
        <w:rPr/>
        <w:t>3</w:t>
      </w:r>
      <w:r>
        <w:rPr>
          <w:rtl w:val="true"/>
        </w:rPr>
        <w:t xml:space="preserve">. </w:t>
      </w:r>
      <w:r>
        <w:rPr>
          <w:rtl w:val="true"/>
        </w:rPr>
        <w:t>شهادت دو نفر بر وصيت و يكى ديگر بر رجوع</w:t>
      </w:r>
      <w:bookmarkEnd w:id="147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شهادت دادند دو نفر عادل براى زيد به وصيتى، و شاهد واحدى عادل به رجوع موصى و وصيت براى عمرو به عين موصى به در شهادت اولى بر وصيت، مى تواند عمرو با يمين خودش با شاهد واحد، اثبات وصيت براى خودش نمايد، به جهت عدم معارضه چنان چه ذكر شد؛ پس اختلاف مشهودٌ به مانع از تعارض از ترجيح شاهدين است بر شهادت واحد؛ و تصديق شاهد ثانى شهادت اُولى را و ادّعاى رجوع </w:t>
      </w:r>
      <w:bookmarkStart w:id="1473" w:name="pg10275_96599"/>
    </w:p>
    <w:p>
      <w:pPr>
        <w:pStyle w:val="BookText"/>
        <w:rPr/>
      </w:pPr>
      <w:bookmarkEnd w:id="1473"/>
      <w:r>
        <w:rPr>
          <w:rFonts w:ascii="Amiri" w:hAnsi="Amiri" w:eastAsia="Amiri" w:cs="Amiri"/>
          <w:color w:val="111111"/>
          <w:sz w:val="28"/>
          <w:sz w:val="28"/>
          <w:szCs w:val="28"/>
          <w:rtl w:val="true"/>
          <w:lang w:bidi="ar-SA"/>
        </w:rPr>
        <w:t>از آن در بقا، و تكميل با يمين، موجب طرح شهادت اُولى و انفاذ شهادت ثانيه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اين را در مسأله ثانيه ذكر كرديم</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3972209_1067777946"/>
      <w:bookmarkStart w:id="1475" w:name="_Toc612"/>
      <w:bookmarkEnd w:id="1474"/>
      <w:r>
        <w:rPr/>
        <w:t>4</w:t>
      </w:r>
      <w:r>
        <w:rPr>
          <w:rtl w:val="true"/>
        </w:rPr>
        <w:t xml:space="preserve"> </w:t>
      </w:r>
      <w:r>
        <w:rPr>
          <w:rtl w:val="true"/>
        </w:rPr>
        <w:t xml:space="preserve">و </w:t>
      </w:r>
      <w:r>
        <w:rPr/>
        <w:t>5</w:t>
      </w:r>
      <w:r>
        <w:rPr>
          <w:rtl w:val="true"/>
        </w:rPr>
        <w:t xml:space="preserve">. </w:t>
      </w:r>
      <w:r>
        <w:rPr>
          <w:rtl w:val="true"/>
        </w:rPr>
        <w:t>شهادت بر رجوع از يكى از دو وصيت</w:t>
      </w:r>
      <w:bookmarkEnd w:id="1475"/>
    </w:p>
    <w:p>
      <w:pPr>
        <w:pStyle w:val="Heading5"/>
        <w:numPr>
          <w:ilvl w:val="4"/>
          <w:numId w:val="1"/>
        </w:numPr>
        <w:rPr/>
      </w:pPr>
      <w:bookmarkStart w:id="1476" w:name="__RefHeading___Toc3972211_1067777946"/>
      <w:bookmarkStart w:id="1477" w:name="_Toc613"/>
      <w:bookmarkEnd w:id="1476"/>
      <w:r>
        <w:rPr>
          <w:rtl w:val="true"/>
        </w:rPr>
        <w:t>اشاره</w:t>
      </w:r>
      <w:bookmarkEnd w:id="1477"/>
    </w:p>
    <w:p>
      <w:pPr>
        <w:pStyle w:val="BookText"/>
        <w:rPr/>
      </w:pPr>
      <w:r>
        <w:rPr>
          <w:rFonts w:ascii="IRNazanin" w:hAnsi="IRNazanin" w:eastAsia="IRNazanin"/>
          <w:color w:val="111111"/>
          <w:sz w:val="28"/>
          <w:sz w:val="28"/>
          <w:szCs w:val="28"/>
          <w:rtl w:val="true"/>
          <w:lang w:bidi="fa-IR"/>
        </w:rPr>
        <w:t xml:space="preserve">اگر دو وصيت جداگانه نمود، پس دو شاهد شهادت دادند بر رجوع موصى از يكى از آن دو وصيت، پس محتمل است عدم قبول شهادت ثالثه به جهت عدم تعيين؛ و محتمل است مصالحه به تقسيم؛ و محتمل است تعيين مورد رجوع يا عدم آن در واقع با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خصوصيات موارد مختلفه، ترجيح يكى از اين سه وجه داده بشود؛ و در صورت عدم ترجيح، تراضى خصمين بر صلح به تقسيم يا بر اقراع و تعيين به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مملوك، ادّعاى عتق كرد و بيّنه اقامه نمود و محتاج به فحص و بحث از تزكيه بود، و قبل از تزكيه و حكم، سؤال نمود مدعى، تفريق بين او و مولاى او را، محكىّ از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تفريق است</w:t>
      </w:r>
      <w:r>
        <w:rPr>
          <w:rFonts w:eastAsia="IRNazanin" w:cs="IRNazanin"/>
          <w:color w:val="111111"/>
          <w:sz w:val="28"/>
          <w:szCs w:val="28"/>
          <w:rtl w:val="true"/>
          <w:lang w:bidi="fa-IR"/>
        </w:rPr>
        <w:t>.</w:t>
      </w:r>
    </w:p>
    <w:p>
      <w:pPr>
        <w:pStyle w:val="Heading5"/>
        <w:numPr>
          <w:ilvl w:val="4"/>
          <w:numId w:val="1"/>
        </w:numPr>
        <w:rPr/>
      </w:pPr>
      <w:bookmarkStart w:id="1478" w:name="__RefHeading___Toc3972213_1067777946"/>
      <w:bookmarkStart w:id="1479" w:name="_Toc614"/>
      <w:bookmarkEnd w:id="1478"/>
      <w:r>
        <w:rPr>
          <w:rtl w:val="true"/>
        </w:rPr>
        <w:t>اقامۀ يك شاهد و ادّعاى بودن شاهد ديگر</w:t>
      </w:r>
      <w:bookmarkEnd w:id="1479"/>
    </w:p>
    <w:p>
      <w:pPr>
        <w:pStyle w:val="BookText"/>
        <w:rPr/>
      </w:pPr>
      <w:r>
        <w:rPr>
          <w:rFonts w:ascii="IRNazanin" w:hAnsi="IRNazanin" w:eastAsia="IRNazanin"/>
          <w:color w:val="111111"/>
          <w:sz w:val="28"/>
          <w:sz w:val="28"/>
          <w:szCs w:val="28"/>
          <w:rtl w:val="true"/>
          <w:lang w:bidi="fa-IR"/>
        </w:rPr>
        <w:t xml:space="preserve">و همچنين اگر اقامه كرد مدعى مال، يك شاهد را، و ادّعا نمود شاهدى ديگر هم دارد، و سؤال كرد حبس غريم را كه متمكن مى داند خودش را از اثبات حق خودش در همين حال با يمين، اگر به داعى و بعنوان عقوبت و مجازات باشد، جايز نيست قبل از حكم با تماميت مقدّمات؛ و اگر بعنوان ترجيح ضرر حبس تا مدتى، بر ضرر مخوف از فوت مال يا مملوك معتَق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حسب موارد در غايت اختلاف، و متّبع، نظر حاكم است و اگر در تجويز، مقلّد باشد، در تشخيص مورد جواز، خودش بايد اعمال نظر خاص در واقعه خاصّه بنمايد</w:t>
      </w:r>
      <w:r>
        <w:rPr>
          <w:rFonts w:eastAsia="IRNazanin" w:cs="IRNazanin"/>
          <w:color w:val="111111"/>
          <w:sz w:val="28"/>
          <w:szCs w:val="28"/>
          <w:rtl w:val="true"/>
          <w:lang w:bidi="fa-IR"/>
        </w:rPr>
        <w:t>.</w:t>
      </w:r>
    </w:p>
    <w:p>
      <w:pPr>
        <w:pStyle w:val="Heading4"/>
        <w:numPr>
          <w:ilvl w:val="3"/>
          <w:numId w:val="1"/>
        </w:numPr>
        <w:rPr/>
      </w:pPr>
      <w:bookmarkStart w:id="1480" w:name="__RefHeading___Toc3972215_1067777946"/>
      <w:bookmarkStart w:id="1481" w:name="_Toc615"/>
      <w:bookmarkEnd w:id="1480"/>
      <w:r>
        <w:rPr/>
        <w:t>6</w:t>
      </w:r>
      <w:r>
        <w:rPr>
          <w:rtl w:val="true"/>
        </w:rPr>
        <w:t xml:space="preserve">. </w:t>
      </w:r>
      <w:r>
        <w:rPr>
          <w:rtl w:val="true"/>
        </w:rPr>
        <w:t>ضمان شهود و تزكيه</w:t>
      </w:r>
      <w:bookmarkEnd w:id="1481"/>
    </w:p>
    <w:p>
      <w:pPr>
        <w:pStyle w:val="Heading5"/>
        <w:numPr>
          <w:ilvl w:val="4"/>
          <w:numId w:val="1"/>
        </w:numPr>
        <w:rPr/>
      </w:pPr>
      <w:bookmarkStart w:id="1482" w:name="__RefHeading___Toc3972217_1067777946"/>
      <w:bookmarkStart w:id="1483" w:name="_Toc616"/>
      <w:bookmarkEnd w:id="1482"/>
      <w:r>
        <w:rPr>
          <w:rtl w:val="true"/>
        </w:rPr>
        <w:t>اشاره</w:t>
      </w:r>
      <w:bookmarkEnd w:id="14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الحاقات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موردى كه شهود امرى ضامن مى شوند، شهود تزكيه با همان </w:t>
      </w:r>
    </w:p>
    <w:p>
      <w:pPr>
        <w:pStyle w:val="BookText"/>
        <w:rPr/>
      </w:pPr>
      <w:r>
        <w:rPr>
          <w:rFonts w:ascii="Amiri" w:hAnsi="Amiri" w:eastAsia="Amiri" w:cs="Amiri"/>
          <w:color w:val="111111"/>
          <w:sz w:val="28"/>
          <w:sz w:val="28"/>
          <w:szCs w:val="28"/>
          <w:rtl w:val="true"/>
          <w:lang w:bidi="ar-SA"/>
        </w:rPr>
        <w:t xml:space="preserve">شروط در همان مورد ضامن خواهند بود، بر حسب اختيار فاضل و غير او از متأخرين از ايشان، و اين است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زكّى الاثنان شهود الزنا ثم ظهر فسقهم او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يخفى عن المزكّيين فالاقرب انه لا يضمن أحد منهم شيئاً، و يجب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بيت المال لانّه من خطأ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حكم بشهود كفّار او 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خطأ الحاكم فى بيت المال لانّهم، محسنون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لقول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اخطأت القضاة فى دم او قطع فهو على 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روى من تضمين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فلتة عمر فلأنّه لم يكن حاكماً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ضمانها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ضمان المزكّيين لانّهما لو لم يزكّياهم لم يتمّ الحكم فهما قتلا المشهود عليه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يخفى عنهما فسقهم او كفرهم فالضمان على المزكّيين فانهما انما يحكم بالقتل بتزكيتهما من يعلمان فسقه او كفره او يمكنهما العلم ففرّطا؛ و تردّد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ذلك و من كون التزكية شرطاً لا سبباً بل السبب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قصاص على أحد، اذ لم يظهر القتل عدواناً لاحتمال حقّيّة المشهود به؛ و كذا لو رجعوا عن التزكية سواء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انما تعمدوا الكذب فى التزكية و هو ليس من الكذب فى الشهادة على الزنا فى شىء، مع ما يجب من الاحتياط فى الدماء؛ و استشكل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القصاص، من ذلك و من انه كالكذب فى الشهادة، لأنّ التزكية بمنزلة الشهادة بما يشهد به الشهود، و فى انه هل يضمنان تمام الدية لجريانهما مجرى الشاهدين ام نصفها لجريانهما مجرىٰ واحد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ظهر فسق المزكّيين فالضمان على الحاكم فى بيت المال كظهور فسق الشهود، لانه فرّط بقبول شهادة الفاسق، هذا إن لم يفرّط فى البحث عن عدالة الشاهدين او </w:t>
      </w:r>
      <w:bookmarkStart w:id="1484" w:name="pg10275_96603"/>
    </w:p>
    <w:p>
      <w:pPr>
        <w:pStyle w:val="BookText"/>
        <w:rPr/>
      </w:pPr>
      <w:bookmarkEnd w:id="1484"/>
      <w:r>
        <w:rPr>
          <w:rFonts w:ascii="Amiri" w:hAnsi="Amiri" w:eastAsia="Amiri" w:cs="Amiri"/>
          <w:color w:val="111111"/>
          <w:sz w:val="28"/>
          <w:sz w:val="28"/>
          <w:szCs w:val="28"/>
          <w:rtl w:val="true"/>
          <w:lang w:bidi="ar-SA"/>
        </w:rPr>
        <w:t>المزكّيين؛ أمّا مع التفريط فالضمان عليه فى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يضمن الحاكم اثر الضرب فى ماله او بيت المال لو جلد بشهادة من ظهر فسقه أو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 الشاهد او المزكّى، اختص الضمان بالراجع دون الآخر، اذ لا يؤخذ أحد باقرار الآخر، هذا على القول بضمان المزكّى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رجعا معاً ضمنا، لان الشهادة و التزكية معاً سبب للحكم و كل منهما جزء لسببه، لا انّ السبب هو الشهادة و التزكية شرط او سبب بعيد، لتساويهما فى التوقف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سبب القتل فهما سببان بعيدان فى مرتبة واحدة و قد اعترفا بالتزوير؛ و يحتمل قصاص الشاهد بالضمان بناء على أن سبب الحكم هو البيّنة بشرط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فإن رجع الولىّ على الشاهد، كان له قتله إن تعمّد التزوير، لاعترافه بتسبيبه القتل عدواناً؛ و لو طالب المزكّى، لم يكن عليه قصاص، بل الدية، لانه لم يعترف بكون القتل عدواناً و هو لا يؤخذ بإقرار الشاهد، فربّما استحق المقتول عنده القتل و ربما زكّى الشاهد و هو غافل عما شهد به أو عن موجب الشهادة فغايته الخطأ كخطإ الحاكم او كخطإ من رمى صيداً فاصاب انساناً، و حينئذٍ كان للولىّ مطالبتهما؛ فليس للولىّ جمعهما فى الطلب و إلّا اجتمع له القصاص و الدية، و ليس له توزيعهما عليهما حتى إن اقتص من الشاهد، أعطاه نصف الدية و اخذه ممّن زكّى لانهما و إن تساويا فى سببية الحكم لكن تباينا فى المشهود به، فكل منهما مستقل فى جنايته</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3972219_1067777946"/>
      <w:bookmarkStart w:id="1486" w:name="_Toc617"/>
      <w:bookmarkEnd w:id="1485"/>
      <w:r>
        <w:rPr>
          <w:rtl w:val="true"/>
        </w:rPr>
        <w:t>احتمال عدم اثبات احكام شاهد زور براى شهود تزكيه</w:t>
      </w:r>
      <w:bookmarkEnd w:id="14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گفته شود، احكام مذكوره، براى شاهد زور و شهودى كه فسق آنها ظاهر شده و شهودى كه رجوع كردند در شهود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 يا مال يا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شامل شهود تزكيه نخواهد بود، و اشتراك در سببيت، اشتراك در احكام مذكوره را ايجاب نمى كند وگرنه در كسانى كه سبب شناسايى شهود تزكيه باشند جارى مى شود؛ بلكه قصاص و ديه و غرامت ضمان، در شهود شىء كه مشهودٌ به و محكومٌ به </w:t>
      </w:r>
      <w:bookmarkStart w:id="1487" w:name="pg10275_96605"/>
    </w:p>
    <w:p>
      <w:pPr>
        <w:pStyle w:val="BookText"/>
        <w:rPr/>
      </w:pPr>
      <w:bookmarkEnd w:id="148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تفصيلى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شود، و امّا لوازم و كمك دهنده ها از شروط اتفاقيه پس داير است حكم آنها مدار تسبيب به اتلاف با شروط تسبيب در نفس يا مال يا نحو اينها در اقسام جنايات، و اللّٰه العالم</w:t>
      </w:r>
      <w:r>
        <w:rPr>
          <w:rFonts w:eastAsia="IRNazanin" w:cs="IRNazanin"/>
          <w:color w:val="111111"/>
          <w:sz w:val="28"/>
          <w:szCs w:val="28"/>
          <w:rtl w:val="true"/>
          <w:lang w:bidi="fa-IR"/>
        </w:rPr>
        <w:t>.</w:t>
      </w:r>
    </w:p>
    <w:p>
      <w:pPr>
        <w:pStyle w:val="Heading4"/>
        <w:numPr>
          <w:ilvl w:val="3"/>
          <w:numId w:val="1"/>
        </w:numPr>
        <w:rPr/>
      </w:pPr>
      <w:bookmarkStart w:id="1488" w:name="__RefHeading___Toc3972221_1067777946"/>
      <w:bookmarkStart w:id="1489" w:name="_Toc618"/>
      <w:bookmarkEnd w:id="1488"/>
      <w:r>
        <w:rPr/>
        <w:t>7</w:t>
      </w:r>
      <w:r>
        <w:rPr>
          <w:rtl w:val="true"/>
        </w:rPr>
        <w:t xml:space="preserve">. </w:t>
      </w:r>
      <w:r>
        <w:rPr>
          <w:rtl w:val="true"/>
        </w:rPr>
        <w:t>رجوع شهود احصان بعد از رجم</w:t>
      </w:r>
      <w:bookmarkEnd w:id="1489"/>
    </w:p>
    <w:p>
      <w:pPr>
        <w:pStyle w:val="Heading5"/>
        <w:numPr>
          <w:ilvl w:val="4"/>
          <w:numId w:val="1"/>
        </w:numPr>
        <w:rPr/>
      </w:pPr>
      <w:bookmarkStart w:id="1490" w:name="__RefHeading___Toc3972223_1067777946"/>
      <w:bookmarkStart w:id="1491" w:name="_Toc619"/>
      <w:bookmarkEnd w:id="1490"/>
      <w:r>
        <w:rPr>
          <w:rtl w:val="true"/>
        </w:rPr>
        <w:t>اشاره</w:t>
      </w:r>
      <w:bookmarkEnd w:id="1491"/>
    </w:p>
    <w:p>
      <w:pPr>
        <w:pStyle w:val="BookText"/>
        <w:rPr/>
      </w:pPr>
      <w:r>
        <w:rPr>
          <w:rFonts w:ascii="IRNazanin" w:hAnsi="IRNazanin" w:eastAsia="IRNazanin"/>
          <w:color w:val="111111"/>
          <w:sz w:val="28"/>
          <w:sz w:val="28"/>
          <w:szCs w:val="28"/>
          <w:rtl w:val="true"/>
          <w:lang w:bidi="fa-IR"/>
        </w:rPr>
        <w:t>اگر شهادت دادند چهار نفر بر زنا و دو نفر ديگر بر محصن بودن زانى، پس بعد از رجم رجوع نمودند خصوص شهود احصان، پس شهود زنا از قصاص و غرامت خارج مى باشند؛ و فقط قصاص در صورت تعمد و غرامت در صورت خطأ يا مصالحه، براى شهود احصان مى باشد، و قدر غرامت مذكور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قصاص شد از شهود احصان، رجوع مى شود به سوى آنها از ديه به قدر نصيب شهود زنا از غرامت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ديۀ مأخوذه از غير اهل قصاص، مردود مى شود به مقتصّ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شركت آنها مساوى است در شش شاهد، يا آن كه تنصيف مى شود بين دو شاهد احصان و چهار شاهد زنا</w:t>
      </w:r>
      <w:r>
        <w:rPr>
          <w:rFonts w:eastAsia="IRNazanin" w:cs="IRNazanin"/>
          <w:color w:val="111111"/>
          <w:sz w:val="28"/>
          <w:szCs w:val="28"/>
          <w:rtl w:val="true"/>
          <w:lang w:bidi="fa-IR"/>
        </w:rPr>
        <w:t>.</w:t>
      </w:r>
    </w:p>
    <w:p>
      <w:pPr>
        <w:pStyle w:val="Heading5"/>
        <w:numPr>
          <w:ilvl w:val="4"/>
          <w:numId w:val="1"/>
        </w:numPr>
        <w:rPr/>
      </w:pPr>
      <w:bookmarkStart w:id="1492" w:name="__RefHeading___Toc3972225_1067777946"/>
      <w:bookmarkStart w:id="1493" w:name="_Toc620"/>
      <w:bookmarkEnd w:id="1492"/>
      <w:r>
        <w:rPr>
          <w:rtl w:val="true"/>
        </w:rPr>
        <w:t>رجوع شهود زنا بعد از رجم</w:t>
      </w:r>
      <w:bookmarkEnd w:id="1493"/>
    </w:p>
    <w:p>
      <w:pPr>
        <w:pStyle w:val="BookText"/>
        <w:rPr/>
      </w:pPr>
      <w:r>
        <w:rPr>
          <w:rFonts w:ascii="IRNazanin" w:hAnsi="IRNazanin" w:eastAsia="IRNazanin"/>
          <w:color w:val="111111"/>
          <w:sz w:val="28"/>
          <w:sz w:val="28"/>
          <w:szCs w:val="28"/>
          <w:rtl w:val="true"/>
          <w:lang w:bidi="fa-IR"/>
        </w:rPr>
        <w:t>و اگر خصوص شهود زنا رجوع نمودند، پس شهود احصان از قصاص و غرامت خارج مى باشد؛ و منحصر است ضمان و قصاص، در شهود زنا پس با تعمّد، قصاص مى شود از ايشان، و با خطأ يا مصالحه، ديه از آنها اخذ مى شود؛ و بر تقدير قصاص، رجوع مى شود به آنها از ديه به قدر نصيب شهود احصان كه نصف يا ثلث باشد، چون كه ديۀ مأخوذه از غير اهل قصاص، مردود مى شود به اهل قصاص تا اخذ نمايند زايد بر مقدار جنايت خودشان را از ديۀ مقتول به شهادت ايشان</w:t>
      </w:r>
      <w:r>
        <w:rPr>
          <w:rFonts w:eastAsia="IRNazanin" w:cs="IRNazanin"/>
          <w:color w:val="111111"/>
          <w:sz w:val="28"/>
          <w:szCs w:val="28"/>
          <w:rtl w:val="true"/>
          <w:lang w:bidi="fa-IR"/>
        </w:rPr>
        <w:t>.</w:t>
      </w:r>
    </w:p>
    <w:p>
      <w:pPr>
        <w:pStyle w:val="Heading5"/>
        <w:numPr>
          <w:ilvl w:val="4"/>
          <w:numId w:val="1"/>
        </w:numPr>
        <w:rPr/>
      </w:pPr>
      <w:bookmarkStart w:id="1494" w:name="__RefHeading___Toc3972227_1067777946"/>
      <w:bookmarkStart w:id="1495" w:name="_Toc621"/>
      <w:bookmarkEnd w:id="1494"/>
      <w:r>
        <w:rPr>
          <w:rtl w:val="true"/>
        </w:rPr>
        <w:t>رجوع هر دو دسته</w:t>
      </w:r>
      <w:bookmarkEnd w:id="149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هر دو طايفه رجوع نمودند، همه ضامن مى باشند، و از معترف به 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مى شود، و از غير او يا با مصالحه به او، ديه مأخوذ مى شود؛ و گذشت </w:t>
      </w:r>
      <w:bookmarkStart w:id="1496" w:name="pg10275_96607"/>
    </w:p>
    <w:p>
      <w:pPr>
        <w:pStyle w:val="BookText"/>
        <w:rPr/>
      </w:pPr>
      <w:bookmarkEnd w:id="1496"/>
      <w:r>
        <w:rPr>
          <w:rFonts w:ascii="IRNazanin" w:hAnsi="IRNazanin" w:eastAsia="IRNazanin"/>
          <w:color w:val="111111"/>
          <w:sz w:val="28"/>
          <w:sz w:val="28"/>
          <w:szCs w:val="28"/>
          <w:rtl w:val="true"/>
          <w:lang w:bidi="fa-IR"/>
        </w:rPr>
        <w:t xml:space="preserve">كه شهود بر شروط و خصوصيات، مغايرت دارد با شهود شىء، مثل زنا و غير آن، و داير است ضمان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لازمه در ترتّب اثر بر شهود شىء مدار تسبيب عمدى يا خطايى؛ پس با مساوات در تسبيب با شهود زنا، تسويۀ ديه و اشتراك در قصاص، حاصل مى شود، و با اختلاف، تنصيف بين دو طايفه ترتب آن خالى از وجه نيست؛ پس در اخذ و اعطاى ديه همين فرق حاصل است در مقدار آن چه به قصاص شده ردّ مى شود و از آن كه قصاص نشده از او مأخوذ مى شود</w:t>
      </w:r>
      <w:r>
        <w:rPr>
          <w:rFonts w:eastAsia="IRNazanin" w:cs="IRNazanin"/>
          <w:color w:val="111111"/>
          <w:sz w:val="28"/>
          <w:szCs w:val="28"/>
          <w:rtl w:val="true"/>
          <w:lang w:bidi="fa-IR"/>
        </w:rPr>
        <w:t>.</w:t>
      </w:r>
    </w:p>
    <w:p>
      <w:pPr>
        <w:pStyle w:val="Heading5"/>
        <w:numPr>
          <w:ilvl w:val="4"/>
          <w:numId w:val="1"/>
        </w:numPr>
        <w:rPr/>
      </w:pPr>
      <w:bookmarkStart w:id="1497" w:name="__RefHeading___Toc3972229_1067777946"/>
      <w:bookmarkStart w:id="1498" w:name="_Toc622"/>
      <w:bookmarkEnd w:id="1497"/>
      <w:r>
        <w:rPr>
          <w:rtl w:val="true"/>
        </w:rPr>
        <w:t>شهادت چهار نفر بر زنا و دو نفر ايشان بر احصان</w:t>
      </w:r>
      <w:bookmarkEnd w:id="1498"/>
    </w:p>
    <w:p>
      <w:pPr>
        <w:pStyle w:val="BookText"/>
        <w:rPr/>
      </w:pPr>
      <w:r>
        <w:rPr>
          <w:rFonts w:ascii="IRNazanin" w:hAnsi="IRNazanin" w:eastAsia="IRNazanin"/>
          <w:color w:val="111111"/>
          <w:sz w:val="28"/>
          <w:sz w:val="28"/>
          <w:szCs w:val="28"/>
          <w:rtl w:val="true"/>
          <w:lang w:bidi="fa-IR"/>
        </w:rPr>
        <w:t xml:space="preserve">و اگر چهار نفر شهادت به زنا دادند و دو نفر از ايشان شهادت به احصان دادند، پس بنا بر تنصيف در ضمان بين دو طايفه، بر دو شاهد احصان، دو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ربع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به جهت شهادت به احصان، و ربع به جهت آن كه دو نفر از شهود زنا هستند، كه نصف ديه توزيع بر چهار نفر مى شود و نصيب دو نفر نصف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مجموع سه ربع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ربع باقيمانده نصيب دو نفر ديگر كه شهود احصان نيستند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كه شراكت دو طايفه بالسّويه به عدد رءوس شهود است، دو ثلث بر دو شاهد احصان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به جهت شهادت بر زنا، و ثلث ديگر به جهت شهادت بر 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ثلث باقى راجع به دو شاهد زنا كه از شهود احصان نيستند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تقدير قول به اين كه تقسيط ديه بر عدد رءوس اهل جنايت است نه به عدد جنايات، پس تسويه و تشريك بر هر تقدير بين دو طايفه، ثابت خواهد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رجوع شهود احصان، بعد از موت صحيح به سبب جلد باشد، پس بر احدى ضمان نيست، زيرا تأثير شهادت بر احصان، در جلد نبوده، و تأثير شهادت به زنا در جلد متعقب به موت، موجب ضمان نيست</w:t>
      </w:r>
      <w:r>
        <w:rPr>
          <w:rFonts w:eastAsia="IRNazanin" w:cs="IRNazanin"/>
          <w:color w:val="111111"/>
          <w:sz w:val="28"/>
          <w:szCs w:val="28"/>
          <w:rtl w:val="true"/>
          <w:lang w:bidi="fa-IR"/>
        </w:rPr>
        <w:t xml:space="preserve">. </w:t>
      </w:r>
      <w:bookmarkStart w:id="1499" w:name="pg10275_96609"/>
    </w:p>
    <w:p>
      <w:pPr>
        <w:pStyle w:val="Heading4"/>
        <w:numPr>
          <w:ilvl w:val="3"/>
          <w:numId w:val="1"/>
        </w:numPr>
        <w:rPr/>
      </w:pPr>
      <w:bookmarkStart w:id="1500" w:name="__RefHeading___Toc3972231_1067777946"/>
      <w:bookmarkStart w:id="1501" w:name="_Toc623"/>
      <w:bookmarkEnd w:id="1499"/>
      <w:bookmarkEnd w:id="1500"/>
      <w:r>
        <w:rPr/>
        <w:t>8</w:t>
      </w:r>
      <w:r>
        <w:rPr>
          <w:rtl w:val="true"/>
        </w:rPr>
        <w:t xml:space="preserve">. </w:t>
      </w:r>
      <w:r>
        <w:rPr>
          <w:rtl w:val="true"/>
        </w:rPr>
        <w:t>رجوع دو معرِّف مشهودٌ عليه</w:t>
      </w:r>
      <w:bookmarkEnd w:id="1501"/>
    </w:p>
    <w:p>
      <w:pPr>
        <w:pStyle w:val="BookText"/>
        <w:rPr/>
      </w:pPr>
      <w:r>
        <w:rPr>
          <w:rFonts w:ascii="IRNazanin" w:hAnsi="IRNazanin" w:eastAsia="IRNazanin"/>
          <w:color w:val="111111"/>
          <w:sz w:val="28"/>
          <w:sz w:val="28"/>
          <w:szCs w:val="28"/>
          <w:rtl w:val="true"/>
          <w:lang w:bidi="fa-IR"/>
        </w:rPr>
        <w:t>اگر رجوع از شهادت كردند دو معرّف مشهودٌ عليه از حيث نسب و وصف؛ ضامن تلف مشهودٌ به بعد از حكم هستند؛ و رجحان ضمان نصف به سبب دخالت در حكم خاص بر مشهودٌ عليه براى مجموع شهادت به شىء و شهادت به نسب و وصف، خالى از وجه نيست</w:t>
      </w:r>
      <w:r>
        <w:rPr>
          <w:rFonts w:eastAsia="IRNazanin" w:cs="IRNazanin"/>
          <w:color w:val="111111"/>
          <w:sz w:val="28"/>
          <w:szCs w:val="28"/>
          <w:rtl w:val="true"/>
          <w:lang w:bidi="fa-IR"/>
        </w:rPr>
        <w:t>.</w:t>
      </w:r>
    </w:p>
    <w:p>
      <w:pPr>
        <w:pStyle w:val="Heading4"/>
        <w:numPr>
          <w:ilvl w:val="3"/>
          <w:numId w:val="1"/>
        </w:numPr>
        <w:rPr/>
      </w:pPr>
      <w:bookmarkStart w:id="1502" w:name="__RefHeading___Toc3972233_1067777946"/>
      <w:bookmarkStart w:id="1503" w:name="_Toc624"/>
      <w:bookmarkEnd w:id="1502"/>
      <w:r>
        <w:rPr/>
        <w:t>9</w:t>
      </w:r>
      <w:r>
        <w:rPr>
          <w:rtl w:val="true"/>
        </w:rPr>
        <w:t xml:space="preserve">. </w:t>
      </w:r>
      <w:r>
        <w:rPr>
          <w:rtl w:val="true"/>
        </w:rPr>
        <w:t>موارد مختلف رجوع شاهد فرع</w:t>
      </w:r>
      <w:bookmarkEnd w:id="1503"/>
    </w:p>
    <w:p>
      <w:pPr>
        <w:pStyle w:val="BookText"/>
        <w:rPr/>
      </w:pPr>
      <w:r>
        <w:rPr>
          <w:rFonts w:ascii="IRNazanin" w:hAnsi="IRNazanin" w:eastAsia="IRNazanin"/>
          <w:color w:val="111111"/>
          <w:sz w:val="28"/>
          <w:sz w:val="28"/>
          <w:szCs w:val="28"/>
          <w:rtl w:val="true"/>
          <w:lang w:bidi="fa-IR"/>
        </w:rPr>
        <w:t xml:space="preserve">اگر ثابت شد حكم با شهادت فرع، پس از آن شاهد فرع رجوع نمود، پس اگر شاهد اصل تكذيب كرد او را در رجوع، محتمل است عدم ضمان هيچ يك؛ و اظهر ضمان شاهد فرع است، به جهت تسبيب لازم رجوع و عدم تأثير تكذيب شاهد اصل بعد از تماميت حكم و لوازم آن در غير صورت علم حاكم به حكم به خلاف واقع، و اين تسبيب مورد اعتراف راجع است؛ بلى در صورت اعتراف به تعمّد،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شبهه در 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مى شود و ضمان مالى از ديه و نحو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تصديق كرد يا تكذيب نكرد، ضمان راجع،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ضمان، اگر شهادت دادند دو فرع بر دو اصل، پس از آن رجوع نمودند دو فرع، هر يكى ضامن نصف است، و قصاص در تعمد اعترافى از هر دو در غير شبهه مى شود با لازم آن از اخذ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رجوع نمود، ضامن نصيب خودش است، و قصاص تعمد با اخذ ديه زايد بر جنايت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رجوع نمودند از شهادت بر يك اصل فقط، پس ملحق است به رجوع يك شاهد اصل؛ پس بر هر دو، نصف ضمان است، مثل يك اصل؛ و بر هر يك ضمان ربع و حكم آن مرتب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يكى رجوع نمود از شهادت بر يك اصل و ديگرى رجوع نمود از شهادت بر اصل ديگر، اظهر توزيع ضمان نصف است بر مجموع و هر يك ضامن ربع خواهد </w:t>
      </w:r>
      <w:bookmarkStart w:id="1504" w:name="pg10275_96611"/>
    </w:p>
    <w:p>
      <w:pPr>
        <w:pStyle w:val="BookText"/>
        <w:rPr/>
      </w:pPr>
      <w:bookmarkEnd w:id="1504"/>
      <w:r>
        <w:rPr>
          <w:rFonts w:ascii="IRNazanin" w:hAnsi="IRNazanin" w:eastAsia="IRNazanin"/>
          <w:color w:val="111111"/>
          <w:sz w:val="28"/>
          <w:sz w:val="28"/>
          <w:szCs w:val="28"/>
          <w:rtl w:val="true"/>
          <w:lang w:bidi="fa-IR"/>
        </w:rPr>
        <w:t>بود؛ و چون رجوع بعد از حكم و استيفا است پس قياس به رجوع قبل از حكم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رجوع كرد يكى از دو شاهد فرع از شهادت بر يك اصل، اظهر ضمان ربع است؛ به خلاف رجوع هر دو از شهادت بر يك اصل، كه ضمان نصف براى مجموع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شاهد بر هر دو اصل بودند، يكى رجوع كرد از شهادت بر هر دو، اظهر ضمان نصف است كما اين كه مثبت نصف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اگر هر دو رجوع نمودند، ضمان كل توزيع بر دو نفر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شهادت بدهد بر يكى، دو نفر، پس رجوع نمايند همه، هر كدام از چهار شاهد فرع، ضامن ربع مى شود، و قصاص با اعتراف به تعمّد،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مذكور در سابق</w:t>
      </w:r>
      <w:r>
        <w:rPr>
          <w:rFonts w:eastAsia="IRNazanin" w:cs="IRNazanin"/>
          <w:color w:val="111111"/>
          <w:sz w:val="28"/>
          <w:szCs w:val="28"/>
          <w:rtl w:val="true"/>
          <w:lang w:bidi="fa-IR"/>
        </w:rPr>
        <w:t>.</w:t>
      </w:r>
    </w:p>
    <w:p>
      <w:pPr>
        <w:pStyle w:val="Heading4"/>
        <w:numPr>
          <w:ilvl w:val="3"/>
          <w:numId w:val="1"/>
        </w:numPr>
        <w:rPr/>
      </w:pPr>
      <w:bookmarkStart w:id="1505" w:name="__RefHeading___Toc3972235_1067777946"/>
      <w:bookmarkStart w:id="1506" w:name="_Toc625"/>
      <w:bookmarkEnd w:id="1505"/>
      <w:r>
        <w:rPr/>
        <w:t>10</w:t>
      </w:r>
      <w:r>
        <w:rPr>
          <w:rtl w:val="true"/>
        </w:rPr>
        <w:t xml:space="preserve">. </w:t>
      </w:r>
      <w:r>
        <w:rPr>
          <w:rtl w:val="true"/>
        </w:rPr>
        <w:t>وجوب تعزير شاهد زور</w:t>
      </w:r>
      <w:bookmarkEnd w:id="1506"/>
    </w:p>
    <w:p>
      <w:pPr>
        <w:pStyle w:val="BookText"/>
        <w:rPr/>
      </w:pPr>
      <w:r>
        <w:rPr>
          <w:rFonts w:ascii="IRNazanin" w:hAnsi="IRNazanin" w:eastAsia="IRNazanin"/>
          <w:color w:val="111111"/>
          <w:sz w:val="28"/>
          <w:sz w:val="28"/>
          <w:szCs w:val="28"/>
          <w:rtl w:val="true"/>
          <w:lang w:bidi="fa-IR"/>
        </w:rPr>
        <w:t>واجب است تعزير شاهد زور كه بر خلاف واقع عمداً شهادت داده و به شهادت او حكم شده است، به حسب آن چه امام يا نايب او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تازيانه، و از طواف دادن در قبيله و محله و سوق او، و معرفى كردن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بشناسند و مرتدع بشود از اين گونه عمل</w:t>
      </w:r>
      <w:r>
        <w:rPr>
          <w:rFonts w:eastAsia="IRNazanin" w:cs="IRNazanin"/>
          <w:color w:val="111111"/>
          <w:sz w:val="28"/>
          <w:szCs w:val="28"/>
          <w:rtl w:val="true"/>
          <w:lang w:bidi="fa-IR"/>
        </w:rPr>
        <w:t>.</w:t>
      </w:r>
    </w:p>
    <w:p>
      <w:pPr>
        <w:pStyle w:val="Heading4"/>
        <w:numPr>
          <w:ilvl w:val="3"/>
          <w:numId w:val="1"/>
        </w:numPr>
        <w:rPr/>
      </w:pPr>
      <w:bookmarkStart w:id="1507" w:name="__RefHeading___Toc3972237_1067777946"/>
      <w:bookmarkStart w:id="1508" w:name="_Toc626"/>
      <w:bookmarkEnd w:id="1507"/>
      <w:r>
        <w:rPr/>
        <w:t>11</w:t>
      </w:r>
      <w:r>
        <w:rPr>
          <w:rtl w:val="true"/>
        </w:rPr>
        <w:t xml:space="preserve">. </w:t>
      </w:r>
      <w:r>
        <w:rPr>
          <w:rtl w:val="true"/>
        </w:rPr>
        <w:t>ضمان و عدم ضمان در فرض كتمان شهادت واجب</w:t>
      </w:r>
      <w:bookmarkEnd w:id="150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اداى شهادت، واجب است و كتمان آن حرام است و موجب اثم است و بدلى براى اقامه آن نيست و ترك ادا، سبب اتلاف مالى يا غير مال بشود و مباشر اضعف از سبب باشد به واسطۀ جهل مباشر به موضوع يا نحو آن و در صورتى كه با شهادت تمام مى شود سبب حكم و واقع مى شود حكم، آيا كتمان، موجب ضمان است به قصاص يا ديه يا آن كه مجرد عقوبت اخرويه ثابت است‌؟ ممكن است از قبيل </w:t>
      </w:r>
    </w:p>
    <w:p>
      <w:pPr>
        <w:pStyle w:val="BookText"/>
        <w:rPr/>
      </w:pPr>
      <w:r>
        <w:rPr>
          <w:rFonts w:ascii="IRNazanin" w:hAnsi="IRNazanin" w:eastAsia="IRNazanin"/>
          <w:color w:val="111111"/>
          <w:sz w:val="28"/>
          <w:sz w:val="28"/>
          <w:szCs w:val="28"/>
          <w:rtl w:val="true"/>
          <w:lang w:bidi="fa-IR"/>
        </w:rPr>
        <w:t xml:space="preserve">اعطاى عصا به ظالم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اگر اعطا نمى كرد متمكّن نبود و اگر بكند ظلم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ايجاب ضمان مضاف به عقوبت بدون فرق بين وجوديات از مقدمات و عدميات،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تفاصيل و خصوصات مسائل مذكوره، مبين در كتب فاضل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اولاً و آخراً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العبد محمد تقي بن محمود عفى عنهما</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9" w:name="pg10275_96617"/>
      <w:bookmarkStart w:id="1510" w:name="pg10275_96617"/>
      <w:bookmarkEnd w:id="1510"/>
    </w:p>
    <w:p>
      <w:pPr>
        <w:pStyle w:val="Heading2"/>
        <w:numPr>
          <w:ilvl w:val="1"/>
          <w:numId w:val="1"/>
        </w:numPr>
        <w:rPr/>
      </w:pPr>
      <w:bookmarkStart w:id="1511" w:name="pg10275_96617"/>
      <w:bookmarkStart w:id="1512" w:name="__RefHeading___Toc3972239_1067777946"/>
      <w:bookmarkStart w:id="1513" w:name="_Toc627"/>
      <w:bookmarkEnd w:id="1511"/>
      <w:bookmarkEnd w:id="1512"/>
      <w:r>
        <w:rPr>
          <w:rtl w:val="true"/>
        </w:rPr>
        <w:t>كتاب حدود و تعزيرات</w:t>
      </w:r>
      <w:bookmarkEnd w:id="1513"/>
    </w:p>
    <w:p>
      <w:pPr>
        <w:pStyle w:val="Heading3"/>
        <w:numPr>
          <w:ilvl w:val="2"/>
          <w:numId w:val="1"/>
        </w:numPr>
        <w:rPr/>
      </w:pPr>
      <w:bookmarkStart w:id="1514" w:name="__RefHeading___Toc3972241_1067777946"/>
      <w:bookmarkStart w:id="1515" w:name="_Toc628"/>
      <w:bookmarkEnd w:id="1514"/>
      <w:r>
        <w:rPr>
          <w:rtl w:val="true"/>
        </w:rPr>
        <w:t>اشاره</w:t>
      </w:r>
      <w:bookmarkEnd w:id="1515"/>
    </w:p>
    <w:p>
      <w:pPr>
        <w:pStyle w:val="BookText"/>
        <w:rPr/>
      </w:pPr>
      <w:r>
        <w:rPr>
          <w:rFonts w:ascii="IRNazanin" w:hAnsi="IRNazanin" w:eastAsia="IRNazanin"/>
          <w:color w:val="111111"/>
          <w:sz w:val="28"/>
          <w:sz w:val="28"/>
          <w:szCs w:val="28"/>
          <w:rtl w:val="true"/>
          <w:lang w:bidi="fa-IR"/>
        </w:rPr>
        <w:t>حد زنا</w:t>
      </w:r>
    </w:p>
    <w:p>
      <w:pPr>
        <w:pStyle w:val="BookText"/>
        <w:rPr/>
      </w:pPr>
      <w:r>
        <w:rPr>
          <w:rFonts w:ascii="Amiri" w:hAnsi="Amiri" w:eastAsia="Amiri" w:cs="Amiri"/>
          <w:color w:val="111111"/>
          <w:sz w:val="28"/>
          <w:sz w:val="28"/>
          <w:szCs w:val="28"/>
          <w:rtl w:val="true"/>
          <w:lang w:bidi="ar-SA"/>
        </w:rPr>
        <w:t>لواط، مساحقه و قيادت</w:t>
      </w:r>
    </w:p>
    <w:p>
      <w:pPr>
        <w:pStyle w:val="BookText"/>
        <w:rPr/>
      </w:pPr>
      <w:r>
        <w:rPr>
          <w:rFonts w:ascii="IRNazanin" w:hAnsi="IRNazanin" w:eastAsia="IRNazanin"/>
          <w:color w:val="111111"/>
          <w:sz w:val="28"/>
          <w:sz w:val="28"/>
          <w:szCs w:val="28"/>
          <w:rtl w:val="true"/>
          <w:lang w:bidi="fa-IR"/>
        </w:rPr>
        <w:t>حد قذف</w:t>
      </w:r>
    </w:p>
    <w:p>
      <w:pPr>
        <w:pStyle w:val="BookText"/>
        <w:rPr/>
      </w:pPr>
      <w:r>
        <w:rPr>
          <w:rFonts w:ascii="Amiri" w:hAnsi="Amiri" w:eastAsia="Amiri" w:cs="Amiri"/>
          <w:color w:val="111111"/>
          <w:sz w:val="28"/>
          <w:sz w:val="28"/>
          <w:szCs w:val="28"/>
          <w:rtl w:val="true"/>
          <w:lang w:bidi="ar-SA"/>
        </w:rPr>
        <w:t>حد شرب مسكر و فقاع</w:t>
      </w:r>
    </w:p>
    <w:p>
      <w:pPr>
        <w:pStyle w:val="BookText"/>
        <w:rPr/>
      </w:pPr>
      <w:r>
        <w:rPr>
          <w:rFonts w:ascii="IRNazanin" w:hAnsi="IRNazanin" w:eastAsia="IRNazanin"/>
          <w:color w:val="111111"/>
          <w:sz w:val="28"/>
          <w:sz w:val="28"/>
          <w:szCs w:val="28"/>
          <w:rtl w:val="true"/>
          <w:lang w:bidi="fa-IR"/>
        </w:rPr>
        <w:t>حد سرقت</w:t>
      </w:r>
    </w:p>
    <w:p>
      <w:pPr>
        <w:pStyle w:val="BookText"/>
        <w:rPr/>
      </w:pPr>
      <w:r>
        <w:rPr>
          <w:rFonts w:ascii="IRNazanin" w:hAnsi="IRNazanin" w:eastAsia="IRNazanin"/>
          <w:color w:val="111111"/>
          <w:sz w:val="28"/>
          <w:sz w:val="28"/>
          <w:szCs w:val="28"/>
          <w:rtl w:val="true"/>
          <w:lang w:bidi="fa-IR"/>
        </w:rPr>
        <w:t>حد محارب</w:t>
      </w:r>
    </w:p>
    <w:p>
      <w:pPr>
        <w:pStyle w:val="BookText"/>
        <w:rPr/>
      </w:pPr>
      <w:r>
        <w:rPr>
          <w:rFonts w:ascii="IRNazanin" w:hAnsi="IRNazanin" w:eastAsia="IRNazanin"/>
          <w:color w:val="111111"/>
          <w:sz w:val="28"/>
          <w:sz w:val="28"/>
          <w:szCs w:val="28"/>
          <w:rtl w:val="true"/>
          <w:lang w:bidi="fa-IR"/>
        </w:rPr>
        <w:t>ارتداد</w:t>
      </w:r>
    </w:p>
    <w:p>
      <w:pPr>
        <w:pStyle w:val="BookText"/>
        <w:rPr/>
      </w:pPr>
      <w:r>
        <w:rPr>
          <w:rFonts w:ascii="Amiri" w:hAnsi="Amiri" w:eastAsia="Amiri" w:cs="Amiri"/>
          <w:color w:val="111111"/>
          <w:sz w:val="28"/>
          <w:sz w:val="28"/>
          <w:szCs w:val="28"/>
          <w:rtl w:val="true"/>
          <w:lang w:bidi="ar-SA"/>
        </w:rPr>
        <w:t>حد وطى بهايم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دفاع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6" w:name="pg10275_96621"/>
      <w:bookmarkStart w:id="1517" w:name="pg10275_96621"/>
      <w:bookmarkEnd w:id="1517"/>
    </w:p>
    <w:p>
      <w:pPr>
        <w:pStyle w:val="BookText"/>
        <w:rPr/>
      </w:pPr>
      <w:bookmarkStart w:id="1518" w:name="pg10275_96621"/>
      <w:bookmarkEnd w:id="151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أنبيائه محمّد و آله الطاهرين</w:t>
      </w:r>
    </w:p>
    <w:p>
      <w:pPr>
        <w:pStyle w:val="BookText"/>
        <w:rPr/>
      </w:pPr>
      <w:r>
        <w:rPr>
          <w:rFonts w:ascii="Amiri" w:hAnsi="Amiri" w:eastAsia="Amiri" w:cs="Amiri"/>
          <w:color w:val="111111"/>
          <w:sz w:val="28"/>
          <w:sz w:val="28"/>
          <w:szCs w:val="28"/>
          <w:rtl w:val="true"/>
          <w:lang w:bidi="ar-SA"/>
        </w:rPr>
        <w:t>و اللعن الدائم على أعدائهم أجمعين</w:t>
      </w:r>
      <w:r>
        <w:rPr>
          <w:rStyle w:val="FootnoteAnchor"/>
          <w:rtl w:val="true"/>
        </w:rPr>
        <w:footnoteReference w:id="18"/>
      </w:r>
    </w:p>
    <w:p>
      <w:pPr>
        <w:pStyle w:val="Heading3"/>
        <w:numPr>
          <w:ilvl w:val="2"/>
          <w:numId w:val="1"/>
        </w:numPr>
        <w:rPr/>
      </w:pPr>
      <w:bookmarkStart w:id="1519" w:name="__RefHeading___Toc3972243_1067777946"/>
      <w:bookmarkStart w:id="1520" w:name="_Toc629"/>
      <w:bookmarkEnd w:id="1519"/>
      <w:r>
        <w:rPr>
          <w:rtl w:val="true"/>
        </w:rPr>
        <w:t>مراد از حد و تعزير</w:t>
      </w:r>
      <w:bookmarkEnd w:id="1520"/>
    </w:p>
    <w:p>
      <w:pPr>
        <w:pStyle w:val="BookText"/>
        <w:rPr/>
      </w:pPr>
      <w:r>
        <w:rPr>
          <w:rFonts w:ascii="Amiri" w:hAnsi="Amiri" w:eastAsia="Amiri" w:cs="Amiri"/>
          <w:color w:val="111111"/>
          <w:sz w:val="28"/>
          <w:sz w:val="28"/>
          <w:szCs w:val="28"/>
          <w:rtl w:val="true"/>
          <w:lang w:bidi="ar-SA"/>
        </w:rPr>
        <w:t xml:space="preserve">و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حدّ و تعزير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عقوبتهاى دنيويه مقدّرۀ معيّنه، و غير معيّنه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3972245_1067777946"/>
      <w:bookmarkStart w:id="1522" w:name="_Toc630"/>
      <w:bookmarkEnd w:id="1521"/>
      <w:r>
        <w:rPr>
          <w:rtl w:val="true"/>
        </w:rPr>
        <w:t>اسباب حد</w:t>
      </w:r>
      <w:bookmarkEnd w:id="1522"/>
    </w:p>
    <w:p>
      <w:pPr>
        <w:pStyle w:val="BookText"/>
        <w:rPr/>
      </w:pPr>
      <w:r>
        <w:rPr>
          <w:rFonts w:ascii="Amiri" w:hAnsi="Amiri" w:eastAsia="Amiri" w:cs="Amiri"/>
          <w:color w:val="111111"/>
          <w:sz w:val="28"/>
          <w:sz w:val="28"/>
          <w:szCs w:val="28"/>
          <w:rtl w:val="true"/>
          <w:lang w:bidi="ar-SA"/>
        </w:rPr>
        <w:t>و اسباب اول شش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و قذف، و شرب خمر، و سرقت، و قطع طريق</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3972247_1067777946"/>
      <w:bookmarkStart w:id="1524" w:name="_Toc631"/>
      <w:bookmarkEnd w:id="1523"/>
      <w:r>
        <w:rPr>
          <w:rtl w:val="true"/>
        </w:rPr>
        <w:t>اسباب تعزير</w:t>
      </w:r>
      <w:bookmarkEnd w:id="1524"/>
    </w:p>
    <w:p>
      <w:pPr>
        <w:pStyle w:val="BookText"/>
        <w:rPr/>
      </w:pPr>
      <w:r>
        <w:rPr>
          <w:rFonts w:ascii="IRNazanin" w:hAnsi="IRNazanin" w:eastAsia="IRNazanin"/>
          <w:color w:val="111111"/>
          <w:sz w:val="28"/>
          <w:sz w:val="28"/>
          <w:szCs w:val="28"/>
          <w:rtl w:val="true"/>
          <w:lang w:bidi="fa-IR"/>
        </w:rPr>
        <w:t>و اسباب دوم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و ردّه، و اتيان بهيمه، و ارتكاب محرّماتى غير از اينها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تسميه بعض و تبويب، اختلافى است در كتب، فاقد ثمرۀ عمليّه</w:t>
      </w:r>
      <w:r>
        <w:rPr>
          <w:rFonts w:eastAsia="Amiri" w:cs="Amiri" w:ascii="Amiri" w:hAnsi="Amiri"/>
          <w:color w:val="111111"/>
          <w:sz w:val="28"/>
          <w:szCs w:val="28"/>
          <w:rtl w:val="true"/>
          <w:lang w:bidi="ar-SA"/>
        </w:rPr>
        <w:t xml:space="preserve">. </w:t>
      </w:r>
      <w:bookmarkStart w:id="1525" w:name="pg10275_96623"/>
    </w:p>
    <w:p>
      <w:pPr>
        <w:pStyle w:val="Heading3"/>
        <w:numPr>
          <w:ilvl w:val="2"/>
          <w:numId w:val="1"/>
        </w:numPr>
        <w:rPr/>
      </w:pPr>
      <w:bookmarkStart w:id="1526" w:name="__RefHeading___Toc3972249_1067777946"/>
      <w:bookmarkStart w:id="1527" w:name="_Toc632"/>
      <w:bookmarkEnd w:id="1525"/>
      <w:bookmarkEnd w:id="1526"/>
      <w:r>
        <w:rPr>
          <w:rtl w:val="true"/>
        </w:rPr>
        <w:t>فصل اوّل حد زنا</w:t>
      </w:r>
      <w:bookmarkEnd w:id="1527"/>
    </w:p>
    <w:p>
      <w:pPr>
        <w:pStyle w:val="Heading4"/>
        <w:numPr>
          <w:ilvl w:val="3"/>
          <w:numId w:val="1"/>
        </w:numPr>
        <w:rPr/>
      </w:pPr>
      <w:bookmarkStart w:id="1528" w:name="__RefHeading___Toc3972251_1067777946"/>
      <w:bookmarkStart w:id="1529" w:name="_Toc633"/>
      <w:bookmarkEnd w:id="1528"/>
      <w:r>
        <w:rPr/>
        <w:t>1</w:t>
      </w:r>
      <w:r>
        <w:rPr>
          <w:rtl w:val="true"/>
        </w:rPr>
        <w:t xml:space="preserve">. </w:t>
      </w:r>
      <w:r>
        <w:rPr>
          <w:rtl w:val="true"/>
        </w:rPr>
        <w:t>موجِب حدّ زنا</w:t>
      </w:r>
      <w:bookmarkEnd w:id="1529"/>
    </w:p>
    <w:p>
      <w:pPr>
        <w:pStyle w:val="Heading5"/>
        <w:numPr>
          <w:ilvl w:val="4"/>
          <w:numId w:val="1"/>
        </w:numPr>
        <w:rPr/>
      </w:pPr>
      <w:bookmarkStart w:id="1530" w:name="__RefHeading___Toc3972253_1067777946"/>
      <w:bookmarkStart w:id="1531" w:name="_Toc634"/>
      <w:bookmarkEnd w:id="1530"/>
      <w:r>
        <w:rPr>
          <w:rtl w:val="true"/>
        </w:rPr>
        <w:t>اشاره</w:t>
      </w:r>
      <w:bookmarkEnd w:id="1531"/>
    </w:p>
    <w:p>
      <w:pPr>
        <w:pStyle w:val="BookText"/>
        <w:rPr/>
      </w:pP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نحوى كه حدّ بر آن مرتّب بشود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ادخال مرد آلت رجوليت را، در فرج زنى كه محرّم است بر او به تحريم اصلى، بدون عقد و ملك عين يا منفعت يا شبهه عقد يا ملك، با اختيار و عدم اكراه، به مقدار غايب شدن حشفه در قُبل يا دُبر زن، يا مقدار حشفه از مقطوع الحشفه، با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عمل غير بالغ يا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به تكليف به نحو اعم از قطع و اجتهاد و 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جهل به آن و به بطلان عقد بر محارم مثلاً</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3972255_1067777946"/>
      <w:bookmarkStart w:id="1533" w:name="_Toc635"/>
      <w:bookmarkEnd w:id="1532"/>
      <w:r>
        <w:rPr>
          <w:rtl w:val="true"/>
        </w:rPr>
        <w:t>لزوم علم</w:t>
      </w:r>
      <w:bookmarkEnd w:id="1533"/>
    </w:p>
    <w:p>
      <w:pPr>
        <w:pStyle w:val="BookText"/>
        <w:rPr/>
      </w:pPr>
      <w:r>
        <w:rPr>
          <w:rFonts w:ascii="IRNazanin" w:hAnsi="IRNazanin" w:eastAsia="IRNazanin"/>
          <w:color w:val="111111"/>
          <w:sz w:val="28"/>
          <w:sz w:val="28"/>
          <w:szCs w:val="28"/>
          <w:rtl w:val="true"/>
          <w:lang w:bidi="fa-IR"/>
        </w:rPr>
        <w:t xml:space="preserve">و اگر عالم به تحريم بود و شبهه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ظن به اباحه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زنا و حكم آن حاصل است؛ و ممكن است مختلف باشد نسبت به مرد و زن، مثل اين كه خود را شبيه به زوجه كرد و او به اعتقاد و ظنّ زوجيت وطى كرد، بر زن حدّ است نه 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خصوصيات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آنها موجب سقوط حد است از 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نكاح گذشت</w:t>
      </w:r>
      <w:r>
        <w:rPr>
          <w:rFonts w:eastAsia="IRNazanin" w:cs="IRNazanin"/>
          <w:color w:val="111111"/>
          <w:sz w:val="28"/>
          <w:szCs w:val="28"/>
          <w:rtl w:val="true"/>
          <w:lang w:bidi="fa-IR"/>
        </w:rPr>
        <w:t>.</w:t>
      </w:r>
    </w:p>
    <w:p>
      <w:pPr>
        <w:pStyle w:val="Heading5"/>
        <w:numPr>
          <w:ilvl w:val="4"/>
          <w:numId w:val="1"/>
        </w:numPr>
        <w:rPr/>
      </w:pPr>
      <w:bookmarkStart w:id="1534" w:name="__RefHeading___Toc3972257_1067777946"/>
      <w:bookmarkStart w:id="1535" w:name="_Toc636"/>
      <w:bookmarkEnd w:id="1534"/>
      <w:r>
        <w:rPr>
          <w:rtl w:val="true"/>
        </w:rPr>
        <w:t>سقوط با اكراه</w:t>
      </w:r>
      <w:bookmarkEnd w:id="153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ساقط مى شود حد زنا، با اكراه 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اكراه بر زنا، محقق مى شود در زن و مرد بنا بر اظهر</w:t>
      </w:r>
      <w:r>
        <w:rPr>
          <w:rFonts w:eastAsia="Amiri" w:cs="Amiri" w:ascii="Amiri" w:hAnsi="Amiri"/>
          <w:color w:val="111111"/>
          <w:sz w:val="28"/>
          <w:szCs w:val="28"/>
          <w:rtl w:val="true"/>
          <w:lang w:bidi="ar-SA"/>
        </w:rPr>
        <w:t xml:space="preserve">. </w:t>
      </w:r>
      <w:bookmarkStart w:id="1536" w:name="pg10275_96625"/>
    </w:p>
    <w:p>
      <w:pPr>
        <w:pStyle w:val="BookText"/>
        <w:rPr/>
      </w:pPr>
      <w:bookmarkEnd w:id="1536"/>
      <w:r>
        <w:rPr>
          <w:rFonts w:ascii="Amiri" w:hAnsi="Amiri" w:eastAsia="Amiri" w:cs="Amiri"/>
          <w:color w:val="111111"/>
          <w:sz w:val="28"/>
          <w:sz w:val="28"/>
          <w:szCs w:val="28"/>
          <w:rtl w:val="true"/>
          <w:lang w:bidi="ar-SA"/>
        </w:rPr>
        <w:t>و بر مرد در صورت اكراه زن بر زنا، ثبوت مهر المثل، خالى از وجه نيست، و حدّ نيست بر 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لحوق ولد بر آن كه اكراه در او محقق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مكرَه يا مكرَهه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واطى و موطوئه باشد، مهر بر اكراه كننده است، يا در ابتدا يا بعد از رجوع زانى مكرَه بر او اگر رجوع به او شد</w:t>
      </w:r>
      <w:r>
        <w:rPr>
          <w:rFonts w:eastAsia="IRNazanin" w:cs="IRNazanin"/>
          <w:color w:val="111111"/>
          <w:sz w:val="28"/>
          <w:szCs w:val="28"/>
          <w:rtl w:val="true"/>
          <w:lang w:bidi="fa-IR"/>
        </w:rPr>
        <w:t>.</w:t>
      </w:r>
    </w:p>
    <w:p>
      <w:pPr>
        <w:pStyle w:val="Heading5"/>
        <w:numPr>
          <w:ilvl w:val="4"/>
          <w:numId w:val="1"/>
        </w:numPr>
        <w:rPr/>
      </w:pPr>
      <w:bookmarkStart w:id="1537" w:name="__RefHeading___Toc3972259_1067777946"/>
      <w:bookmarkStart w:id="1538" w:name="_Toc637"/>
      <w:bookmarkEnd w:id="1537"/>
      <w:r>
        <w:rPr>
          <w:rtl w:val="true"/>
        </w:rPr>
        <w:t>اعتبار بلوغ و مورد اعتبار احصان</w:t>
      </w:r>
      <w:bookmarkEnd w:id="1538"/>
    </w:p>
    <w:p>
      <w:pPr>
        <w:pStyle w:val="BookText"/>
        <w:rPr/>
      </w:pPr>
      <w:r>
        <w:rPr>
          <w:rFonts w:ascii="IRNazanin" w:hAnsi="IRNazanin" w:eastAsia="IRNazanin"/>
          <w:color w:val="111111"/>
          <w:sz w:val="28"/>
          <w:sz w:val="28"/>
          <w:szCs w:val="28"/>
          <w:rtl w:val="true"/>
          <w:lang w:bidi="fa-IR"/>
        </w:rPr>
        <w:t xml:space="preserve">معتبر است در حدّ، در هر كدام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معلوم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خصوص رجم در هر يك از زانى و زانيه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احصان حاصل مى شود در مرد، در صورتى كه در حال بلوغ و حرّيت، وطى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مملوك به عقد دائم يا رقّيت با تمكن از آن در هر وقت كه بخواهد؛ پس اگر زنا نمود بعد از تحقق اين قيدها، رجم كه حدّ محصن است متعين و متيقن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لحوق تحليل به متعه است در عدم احصان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ثبوت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جلد يا رجم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ساير شروط آنها، بر مجنون اگر زنا نمايد، خلاف است، اظهر انتفاى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ساقط مى شود حدّ به ادّعاى زوجيت يا شراى امه از مالك، و مطالبۀ بيّنه يا يمين نمى شود اگر چه ساير احكام وطى مرتّب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است در احصان زن، آن چه معتبر است در احصان مرد، با رعايت مناسبت در تمكن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مجنونۀ در حال زنا اگر چه با عاقل باشد و محصنه باشد، بر او حدّى نيست، به جهت آن چه گذشت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و علم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زنا</w:t>
      </w:r>
      <w:r>
        <w:rPr>
          <w:rFonts w:eastAsia="IRNazanin" w:cs="IRNazanin"/>
          <w:color w:val="111111"/>
          <w:sz w:val="28"/>
          <w:szCs w:val="28"/>
          <w:rtl w:val="true"/>
          <w:lang w:bidi="fa-IR"/>
        </w:rPr>
        <w:t>.</w:t>
      </w:r>
    </w:p>
    <w:p>
      <w:pPr>
        <w:pStyle w:val="Heading5"/>
        <w:numPr>
          <w:ilvl w:val="4"/>
          <w:numId w:val="1"/>
        </w:numPr>
        <w:rPr/>
      </w:pPr>
      <w:bookmarkStart w:id="1539" w:name="__RefHeading___Toc3972261_1067777946"/>
      <w:bookmarkStart w:id="1540" w:name="_Toc638"/>
      <w:bookmarkEnd w:id="1539"/>
      <w:r>
        <w:rPr>
          <w:rtl w:val="true"/>
        </w:rPr>
        <w:t>حكم مطلّقۀ رجعيّه</w:t>
      </w:r>
      <w:bookmarkEnd w:id="154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مطلّقۀ رجعيه از احصان خارج نمى شود؛ پس اگر تزويج كرد با علم، و دخول شد، بر </w:t>
      </w:r>
      <w:bookmarkStart w:id="1541" w:name="pg10275_96627"/>
    </w:p>
    <w:p>
      <w:pPr>
        <w:pStyle w:val="BookText"/>
        <w:rPr/>
      </w:pPr>
      <w:bookmarkEnd w:id="1541"/>
      <w:r>
        <w:rPr>
          <w:rFonts w:ascii="IRNazanin" w:hAnsi="IRNazanin" w:eastAsia="IRNazanin"/>
          <w:color w:val="111111"/>
          <w:sz w:val="28"/>
          <w:sz w:val="28"/>
          <w:szCs w:val="28"/>
          <w:rtl w:val="true"/>
          <w:lang w:bidi="fa-IR"/>
        </w:rPr>
        <w:t xml:space="preserve">او حدّ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 شوهر ديگر اگر عالم به تحريم و عدّه باشد با ساير شروط احصان، و اگر جاهل به يكى از آنها بود به سبب شبهه حدّ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عالم بود، بر او حدّ تام است نه بر جاهل؛ و ادّعاى جهالت در مورد ممكن، قبول مى شود</w:t>
      </w:r>
      <w:r>
        <w:rPr>
          <w:rFonts w:eastAsia="IRNazanin" w:cs="IRNazanin"/>
          <w:color w:val="111111"/>
          <w:sz w:val="28"/>
          <w:szCs w:val="28"/>
          <w:rtl w:val="true"/>
          <w:lang w:bidi="fa-IR"/>
        </w:rPr>
        <w:t>.</w:t>
      </w:r>
    </w:p>
    <w:p>
      <w:pPr>
        <w:pStyle w:val="Heading5"/>
        <w:numPr>
          <w:ilvl w:val="4"/>
          <w:numId w:val="1"/>
        </w:numPr>
        <w:rPr/>
      </w:pPr>
      <w:bookmarkStart w:id="1542" w:name="__RefHeading___Toc3972263_1067777946"/>
      <w:bookmarkStart w:id="1543" w:name="_Toc639"/>
      <w:bookmarkEnd w:id="1542"/>
      <w:r>
        <w:rPr>
          <w:rtl w:val="true"/>
        </w:rPr>
        <w:t>خروج از احصان توسط طلاق باين</w:t>
      </w:r>
      <w:bookmarkEnd w:id="1543"/>
    </w:p>
    <w:p>
      <w:pPr>
        <w:pStyle w:val="BookText"/>
        <w:rPr/>
      </w:pPr>
      <w:r>
        <w:rPr>
          <w:rFonts w:ascii="IRNazanin" w:hAnsi="IRNazanin" w:eastAsia="IRNazanin"/>
          <w:color w:val="111111"/>
          <w:sz w:val="28"/>
          <w:sz w:val="28"/>
          <w:szCs w:val="28"/>
          <w:rtl w:val="true"/>
          <w:lang w:bidi="fa-IR"/>
        </w:rPr>
        <w:t>و به طلاق باين، هر دو از احصان خارج مى شوند، و به هر سبب بينونت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خالع رجوع كرد، به احصان برنمى گردد، مگر از بعد از وطى پس اگر زنا كرد محصن است و رجم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بعد از عتق مملوك و تحرير مكاتب و بلوغ صبى و افاقۀ مجنون، بايد وطى نمايند تا محصن بشوند تا رجم بعد از زناى لاحق، ثابت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دو قسم حدّ براى نابينا ثابت است، و ادّعاى شبهه از او مسموع و موجب انتفاى حدّ است</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3972265_1067777946"/>
      <w:bookmarkStart w:id="1545" w:name="_Toc640"/>
      <w:bookmarkEnd w:id="1544"/>
      <w:r>
        <w:rPr/>
        <w:t>2</w:t>
      </w:r>
      <w:r>
        <w:rPr>
          <w:rtl w:val="true"/>
        </w:rPr>
        <w:t xml:space="preserve">. </w:t>
      </w:r>
      <w:r>
        <w:rPr>
          <w:rtl w:val="true"/>
        </w:rPr>
        <w:t>آن چه با آن، زنا ثابت مى شود</w:t>
      </w:r>
      <w:bookmarkEnd w:id="1545"/>
    </w:p>
    <w:p>
      <w:pPr>
        <w:pStyle w:val="Heading5"/>
        <w:numPr>
          <w:ilvl w:val="4"/>
          <w:numId w:val="1"/>
        </w:numPr>
        <w:rPr/>
      </w:pPr>
      <w:bookmarkStart w:id="1546" w:name="__RefHeading___Toc3972267_1067777946"/>
      <w:bookmarkStart w:id="1547" w:name="_Toc641"/>
      <w:bookmarkEnd w:id="1546"/>
      <w:r>
        <w:rPr>
          <w:rtl w:val="true"/>
        </w:rPr>
        <w:t>اشاره</w:t>
      </w:r>
      <w:bookmarkEnd w:id="1547"/>
    </w:p>
    <w:p>
      <w:pPr>
        <w:pStyle w:val="BookText"/>
        <w:rPr/>
      </w:pPr>
      <w:r>
        <w:rPr>
          <w:rFonts w:ascii="Amiri" w:hAnsi="Amiri" w:eastAsia="Amiri" w:cs="Amiri"/>
          <w:color w:val="111111"/>
          <w:sz w:val="28"/>
          <w:sz w:val="28"/>
          <w:szCs w:val="28"/>
          <w:rtl w:val="true"/>
          <w:lang w:bidi="ar-SA"/>
        </w:rPr>
        <w:t>ثابت مى شود زنا به اقرار و بيّنه</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3972269_1067777946"/>
      <w:bookmarkStart w:id="1549" w:name="_Toc642"/>
      <w:bookmarkEnd w:id="1548"/>
      <w:r>
        <w:rPr>
          <w:rtl w:val="true"/>
        </w:rPr>
        <w:t>الف</w:t>
      </w:r>
      <w:r>
        <w:rPr>
          <w:rtl w:val="true"/>
        </w:rPr>
        <w:t xml:space="preserve">. </w:t>
      </w:r>
      <w:r>
        <w:rPr>
          <w:rtl w:val="true"/>
        </w:rPr>
        <w:t>اقرار</w:t>
      </w:r>
      <w:bookmarkEnd w:id="1549"/>
    </w:p>
    <w:p>
      <w:pPr>
        <w:pStyle w:val="Heading6"/>
        <w:numPr>
          <w:ilvl w:val="5"/>
          <w:numId w:val="1"/>
        </w:numPr>
        <w:rPr/>
      </w:pPr>
      <w:bookmarkStart w:id="1550" w:name="__RefHeading___Toc3972271_1067777946"/>
      <w:bookmarkStart w:id="1551" w:name="_Toc643"/>
      <w:bookmarkEnd w:id="1550"/>
      <w:r>
        <w:rPr>
          <w:rtl w:val="true"/>
        </w:rPr>
        <w:t>شرايط مُقرّ</w:t>
      </w:r>
      <w:bookmarkEnd w:id="1551"/>
    </w:p>
    <w:p>
      <w:pPr>
        <w:pStyle w:val="BookText"/>
        <w:rPr/>
      </w:pPr>
      <w:r>
        <w:rPr>
          <w:rFonts w:ascii="IRNazanin" w:hAnsi="IRNazanin" w:eastAsia="IRNazanin"/>
          <w:color w:val="111111"/>
          <w:sz w:val="28"/>
          <w:sz w:val="28"/>
          <w:szCs w:val="28"/>
          <w:rtl w:val="true"/>
          <w:lang w:bidi="fa-IR"/>
        </w:rPr>
        <w:t>و مسموع است اقرار بالغ و كامل در عقل، مگر آن كه مجنون در حال افاقه اش اقرار بصدور آن در حال افاقه نمايد كه قبول مى شود، و مختار يعنى غير مكرَه پس اقرار مكرَه به تخويف و تهديد و مثل آنها مؤثر و مثبت نيست، و همچنين اقرار سكران و نائم و ساهى و غافل؛ و آزاد پس اقرار عبد و امه بدون تصديق مالك يا تصديق خودش بعد از عتق، مثبت نيست</w:t>
      </w:r>
      <w:r>
        <w:rPr>
          <w:rFonts w:eastAsia="IRNazanin" w:cs="IRNazanin"/>
          <w:color w:val="111111"/>
          <w:sz w:val="28"/>
          <w:szCs w:val="28"/>
          <w:rtl w:val="true"/>
          <w:lang w:bidi="fa-IR"/>
        </w:rPr>
        <w:t>.</w:t>
      </w:r>
    </w:p>
    <w:p>
      <w:pPr>
        <w:pStyle w:val="Heading6"/>
        <w:numPr>
          <w:ilvl w:val="5"/>
          <w:numId w:val="1"/>
        </w:numPr>
        <w:rPr/>
      </w:pPr>
      <w:bookmarkStart w:id="1552" w:name="__RefHeading___Toc3972273_1067777946"/>
      <w:bookmarkStart w:id="1553" w:name="_Toc644"/>
      <w:bookmarkEnd w:id="1552"/>
      <w:r>
        <w:rPr>
          <w:rtl w:val="true"/>
        </w:rPr>
        <w:t>اعتبار تكرار مرتبه</w:t>
      </w:r>
      <w:bookmarkEnd w:id="155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است در ثبوت حدّ به اقرار، تكرار اقرار چهار مرتبه؛ و آن احوط و اظهر است </w:t>
      </w:r>
      <w:bookmarkStart w:id="1554" w:name="pg10275_96629"/>
    </w:p>
    <w:p>
      <w:pPr>
        <w:pStyle w:val="BookText"/>
        <w:rPr/>
      </w:pPr>
      <w:bookmarkEnd w:id="1554"/>
      <w:r>
        <w:rPr>
          <w:rFonts w:ascii="IRNazanin" w:hAnsi="IRNazanin" w:eastAsia="IRNazanin"/>
          <w:color w:val="111111"/>
          <w:sz w:val="28"/>
          <w:sz w:val="28"/>
          <w:szCs w:val="28"/>
          <w:rtl w:val="true"/>
          <w:lang w:bidi="fa-IR"/>
        </w:rPr>
        <w:t>در مطلق حد زنا، و قوىّ است در خصوص رجم با 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تكرار در چهار مجلس، احوط است 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اقرار و شرط آن، مساوى است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اشارۀ 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مفيد اقرار باشد، قائم است مقام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شاهد عادل بر اقرار متكرر تا چهار مرتبه، اثبات آن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مترجم عادل از لغت اقراركننده، اثبات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عفيفه زنا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 موقوف به تكرار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ثبوت قذف و حدّ آن به سبب اين عبارت، تأمل است و اظهر عدم ثبوت است؛ به خلاف آن كه اگر زن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نمود به من فلان</w:t>
      </w:r>
      <w:r>
        <w:rPr>
          <w:rFonts w:eastAsia="IRNazanin" w:cs="IRNazanin"/>
          <w:color w:val="111111"/>
          <w:sz w:val="28"/>
          <w:szCs w:val="28"/>
          <w:rtl w:val="true"/>
          <w:lang w:bidi="fa-IR"/>
        </w:rPr>
        <w:t>».</w:t>
      </w:r>
    </w:p>
    <w:p>
      <w:pPr>
        <w:pStyle w:val="Heading6"/>
        <w:numPr>
          <w:ilvl w:val="5"/>
          <w:numId w:val="1"/>
        </w:numPr>
        <w:rPr/>
      </w:pPr>
      <w:bookmarkStart w:id="1555" w:name="__RefHeading___Toc3972275_1067777946"/>
      <w:bookmarkStart w:id="1556" w:name="_Toc645"/>
      <w:bookmarkEnd w:id="1555"/>
      <w:r>
        <w:rPr>
          <w:rtl w:val="true"/>
        </w:rPr>
        <w:t>اقرار به اثبات مطلق حدّ</w:t>
      </w:r>
      <w:bookmarkEnd w:id="1556"/>
    </w:p>
    <w:p>
      <w:pPr>
        <w:pStyle w:val="BookText"/>
        <w:rPr/>
      </w:pP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 بر من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مكلف به بيان آن نمى شود و مكلف به استفسار نمى شود؛ و مروىّ است كه مى زنند او را تا از خود منع نمايد، و عمل به اين روايت شده است، و احوط تعيين همين قدر است اگر چه يك دفعه بگويد</w:t>
      </w:r>
      <w:r>
        <w:rPr>
          <w:rFonts w:eastAsia="IRNazanin" w:cs="IRNazanin"/>
          <w:color w:val="111111"/>
          <w:sz w:val="28"/>
          <w:szCs w:val="28"/>
          <w:rtl w:val="true"/>
          <w:lang w:bidi="fa-IR"/>
        </w:rPr>
        <w:t>.</w:t>
      </w:r>
    </w:p>
    <w:p>
      <w:pPr>
        <w:pStyle w:val="Heading6"/>
        <w:numPr>
          <w:ilvl w:val="5"/>
          <w:numId w:val="1"/>
        </w:numPr>
        <w:rPr/>
      </w:pPr>
      <w:bookmarkStart w:id="1557" w:name="__RefHeading___Toc3972277_1067777946"/>
      <w:bookmarkStart w:id="1558" w:name="_Toc646"/>
      <w:bookmarkEnd w:id="1557"/>
      <w:r>
        <w:rPr>
          <w:rtl w:val="true"/>
        </w:rPr>
        <w:t>اقرار به موجِب رجم و رجوع از آن</w:t>
      </w:r>
      <w:bookmarkEnd w:id="1558"/>
    </w:p>
    <w:p>
      <w:pPr>
        <w:pStyle w:val="BookText"/>
        <w:rPr/>
      </w:pPr>
      <w:r>
        <w:rPr>
          <w:rFonts w:ascii="IRNazanin" w:hAnsi="IRNazanin" w:eastAsia="IRNazanin"/>
          <w:color w:val="111111"/>
          <w:sz w:val="28"/>
          <w:sz w:val="28"/>
          <w:szCs w:val="28"/>
          <w:rtl w:val="true"/>
          <w:lang w:bidi="fa-IR"/>
        </w:rPr>
        <w:t>اگر اقرار كرد به موجِب رجم، پس از آن انكار كرد، رجم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الحاق اقرار بموجب قتل و انكار آن، به اقرار به موجب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اقرار به حدّى غير رجم و قتل كرد پس از آن انكار نمود، ساقط نمى شود حد</w:t>
      </w:r>
      <w:r>
        <w:rPr>
          <w:rFonts w:eastAsia="IRNazanin" w:cs="IRNazanin"/>
          <w:color w:val="111111"/>
          <w:sz w:val="28"/>
          <w:szCs w:val="28"/>
          <w:rtl w:val="true"/>
          <w:lang w:bidi="fa-IR"/>
        </w:rPr>
        <w:t>.</w:t>
      </w:r>
    </w:p>
    <w:p>
      <w:pPr>
        <w:pStyle w:val="Heading6"/>
        <w:numPr>
          <w:ilvl w:val="5"/>
          <w:numId w:val="1"/>
        </w:numPr>
        <w:rPr/>
      </w:pPr>
      <w:bookmarkStart w:id="1559" w:name="__RefHeading___Toc3972279_1067777946"/>
      <w:bookmarkStart w:id="1560" w:name="_Toc647"/>
      <w:bookmarkEnd w:id="1559"/>
      <w:r>
        <w:rPr>
          <w:rtl w:val="true"/>
        </w:rPr>
        <w:t>اقرار به حدّ و توبه از آن</w:t>
      </w:r>
      <w:bookmarkEnd w:id="1560"/>
    </w:p>
    <w:p>
      <w:pPr>
        <w:pStyle w:val="BookText"/>
        <w:rPr/>
      </w:pPr>
      <w:r>
        <w:rPr>
          <w:rFonts w:ascii="IRNazanin" w:hAnsi="IRNazanin" w:eastAsia="IRNazanin"/>
          <w:color w:val="111111"/>
          <w:sz w:val="28"/>
          <w:sz w:val="28"/>
          <w:szCs w:val="28"/>
          <w:rtl w:val="true"/>
          <w:lang w:bidi="fa-IR"/>
        </w:rPr>
        <w:t>اگر اقرار به حدى نمود پس از آن توبه كرد، امام و نايب او اختيار در اقامۀ آن و عفو دارد، رجم باشد يا جلد؛ و در عموم حكم، به حدّى كه حق الناس باشد، در غير امام اصل، تأمل است</w:t>
      </w:r>
      <w:r>
        <w:rPr>
          <w:rFonts w:eastAsia="IRNazanin" w:cs="IRNazanin"/>
          <w:color w:val="111111"/>
          <w:sz w:val="28"/>
          <w:szCs w:val="28"/>
          <w:rtl w:val="true"/>
          <w:lang w:bidi="fa-IR"/>
        </w:rPr>
        <w:t>.</w:t>
      </w:r>
    </w:p>
    <w:p>
      <w:pPr>
        <w:pStyle w:val="Heading6"/>
        <w:numPr>
          <w:ilvl w:val="5"/>
          <w:numId w:val="1"/>
        </w:numPr>
        <w:rPr/>
      </w:pPr>
      <w:bookmarkStart w:id="1561" w:name="__RefHeading___Toc3972281_1067777946"/>
      <w:bookmarkStart w:id="1562" w:name="_Toc648"/>
      <w:bookmarkEnd w:id="1561"/>
      <w:r>
        <w:rPr>
          <w:rtl w:val="true"/>
        </w:rPr>
        <w:t>ثبوت تعزير در اقرار به محرّماتى كه موجب حدّ نمى باشند</w:t>
      </w:r>
      <w:bookmarkEnd w:id="156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محرماتى كه موجب حدّ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تقبيل و استمتاع بما دون فرج، از محرّمات </w:t>
      </w:r>
      <w:r>
        <w:rPr>
          <w:rFonts w:eastAsia="Amiri" w:cs="Amiri" w:ascii="Amiri" w:hAnsi="Amiri"/>
          <w:color w:val="111111"/>
          <w:sz w:val="28"/>
          <w:szCs w:val="28"/>
          <w:rtl w:val="true"/>
          <w:lang w:bidi="ar-SA"/>
        </w:rPr>
        <w:t xml:space="preserve">- </w:t>
      </w:r>
      <w:bookmarkStart w:id="1563" w:name="pg10275_96631"/>
    </w:p>
    <w:p>
      <w:pPr>
        <w:pStyle w:val="BookText"/>
        <w:rPr/>
      </w:pPr>
      <w:bookmarkEnd w:id="1563"/>
      <w:r>
        <w:rPr>
          <w:rFonts w:ascii="IRNazanin" w:hAnsi="IRNazanin" w:eastAsia="IRNazanin"/>
          <w:color w:val="111111"/>
          <w:sz w:val="28"/>
          <w:sz w:val="28"/>
          <w:szCs w:val="28"/>
          <w:rtl w:val="true"/>
          <w:lang w:bidi="fa-IR"/>
        </w:rPr>
        <w:t>تعزير است به آن چه حاكم صلاح بداند از كمتر از حدّ يعنى نرسيده به يك صد تازيانه</w:t>
      </w:r>
      <w:r>
        <w:rPr>
          <w:rFonts w:eastAsia="IRNazanin" w:cs="IRNazanin"/>
          <w:color w:val="111111"/>
          <w:sz w:val="28"/>
          <w:szCs w:val="28"/>
          <w:rtl w:val="true"/>
          <w:lang w:bidi="fa-IR"/>
        </w:rPr>
        <w:t>.</w:t>
      </w:r>
    </w:p>
    <w:p>
      <w:pPr>
        <w:pStyle w:val="Heading6"/>
        <w:numPr>
          <w:ilvl w:val="5"/>
          <w:numId w:val="1"/>
        </w:numPr>
        <w:rPr/>
      </w:pPr>
      <w:bookmarkStart w:id="1564" w:name="__RefHeading___Toc3972283_1067777946"/>
      <w:bookmarkStart w:id="1565" w:name="_Toc649"/>
      <w:bookmarkEnd w:id="1564"/>
      <w:r>
        <w:rPr>
          <w:rtl w:val="true"/>
        </w:rPr>
        <w:t>عدم جريان حدّ بر زن حاملۀ بدون شوهر</w:t>
      </w:r>
      <w:bookmarkEnd w:id="1565"/>
    </w:p>
    <w:p>
      <w:pPr>
        <w:pStyle w:val="BookText"/>
        <w:rPr/>
      </w:pPr>
      <w:r>
        <w:rPr>
          <w:rFonts w:ascii="IRNazanin" w:hAnsi="IRNazanin" w:eastAsia="IRNazanin"/>
          <w:color w:val="111111"/>
          <w:sz w:val="28"/>
          <w:sz w:val="28"/>
          <w:szCs w:val="28"/>
          <w:rtl w:val="true"/>
          <w:lang w:bidi="fa-IR"/>
        </w:rPr>
        <w:t>اگر زن ديده شد كه حامل است و شوهر نداشته است، حدّ بر او جارى نمى كنند مگر با اقرار يا بيّنه، و سؤال و جواب لازم نيست</w:t>
      </w:r>
      <w:r>
        <w:rPr>
          <w:rFonts w:eastAsia="IRNazanin" w:cs="IRNazanin"/>
          <w:color w:val="111111"/>
          <w:sz w:val="28"/>
          <w:szCs w:val="28"/>
          <w:rtl w:val="true"/>
          <w:lang w:bidi="fa-IR"/>
        </w:rPr>
        <w:t>.</w:t>
      </w:r>
    </w:p>
    <w:p>
      <w:pPr>
        <w:pStyle w:val="Heading6"/>
        <w:numPr>
          <w:ilvl w:val="5"/>
          <w:numId w:val="1"/>
        </w:numPr>
        <w:rPr/>
      </w:pPr>
      <w:bookmarkStart w:id="1566" w:name="__RefHeading___Toc3972285_1067777946"/>
      <w:bookmarkStart w:id="1567" w:name="_Toc650"/>
      <w:bookmarkEnd w:id="1566"/>
      <w:r>
        <w:rPr>
          <w:rtl w:val="true"/>
        </w:rPr>
        <w:t>اقرار بر زنان و ادّعاى مطاوعۀ زن</w:t>
      </w:r>
      <w:bookmarkEnd w:id="1567"/>
    </w:p>
    <w:p>
      <w:pPr>
        <w:pStyle w:val="BookText"/>
        <w:rPr/>
      </w:pPr>
      <w:r>
        <w:rPr>
          <w:rFonts w:ascii="IRNazanin" w:hAnsi="IRNazanin" w:eastAsia="IRNazanin"/>
          <w:color w:val="111111"/>
          <w:sz w:val="28"/>
          <w:sz w:val="28"/>
          <w:szCs w:val="28"/>
          <w:rtl w:val="true"/>
          <w:lang w:bidi="fa-IR"/>
        </w:rPr>
        <w:t>اگر اقرار كرد كه با زن معيّنى زنا نمود و او مطاوعه كرد، بر خودش حدّ جارى مى كنند، و بر زن جارى نمى كنند با تكذيب او، و اقرار كسى در بارۀ غير،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اقرار مجنون در حال افاقه، به زنا در حال افاقه، اشكالى نيست؛ و اگر مقيد نكرد به حال افاقه، بى تأمل نيست</w:t>
      </w:r>
      <w:r>
        <w:rPr>
          <w:rFonts w:eastAsia="IRNazanin" w:cs="IRNazanin"/>
          <w:color w:val="111111"/>
          <w:sz w:val="28"/>
          <w:szCs w:val="28"/>
          <w:rtl w:val="true"/>
          <w:lang w:bidi="fa-IR"/>
        </w:rPr>
        <w:t>.</w:t>
      </w:r>
    </w:p>
    <w:p>
      <w:pPr>
        <w:pStyle w:val="Heading6"/>
        <w:numPr>
          <w:ilvl w:val="5"/>
          <w:numId w:val="1"/>
        </w:numPr>
        <w:rPr/>
      </w:pPr>
      <w:bookmarkStart w:id="1568" w:name="__RefHeading___Toc3972287_1067777946"/>
      <w:bookmarkStart w:id="1569" w:name="_Toc651"/>
      <w:bookmarkEnd w:id="1568"/>
      <w:r>
        <w:rPr>
          <w:rtl w:val="true"/>
        </w:rPr>
        <w:t>اقرار به وطى با ادّعاى زوجيّت و انكار زن</w:t>
      </w:r>
      <w:bookmarkEnd w:id="1569"/>
    </w:p>
    <w:p>
      <w:pPr>
        <w:pStyle w:val="BookText"/>
        <w:rPr/>
      </w:pPr>
      <w:r>
        <w:rPr>
          <w:rFonts w:ascii="IRNazanin" w:hAnsi="IRNazanin" w:eastAsia="IRNazanin"/>
          <w:color w:val="111111"/>
          <w:sz w:val="28"/>
          <w:sz w:val="28"/>
          <w:szCs w:val="28"/>
          <w:rtl w:val="true"/>
          <w:lang w:bidi="fa-IR"/>
        </w:rPr>
        <w:t xml:space="preserve">اگر عاقل اقرار كرد به وطى زنى، و ادّعاى زوجيت او نمود، و زن زوجيت و وطى را انكار كرد، بر مرد حدّى نيست اگر چه مكرر باشد اقرار او، و زن هم مستحق مهر نيست به جهت انكار وطى؛ و اگر زن اعتراف به وطى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و مطاوعه نمود پس مهر براى او نيست، و حدّ بر مرد نيست، و حدّ زن هم موقوف به تكرار اقرار است چهار مرتبه؛ و اگر زن ادّعاى اكراه يا اشتباه نمود، حدّ بر هيچ كدام نيست و مهر ثابت است</w:t>
      </w:r>
      <w:r>
        <w:rPr>
          <w:rFonts w:eastAsia="IRNazanin" w:cs="IRNazanin"/>
          <w:color w:val="111111"/>
          <w:sz w:val="28"/>
          <w:szCs w:val="28"/>
          <w:rtl w:val="true"/>
          <w:lang w:bidi="fa-IR"/>
        </w:rPr>
        <w:t>.</w:t>
      </w:r>
    </w:p>
    <w:p>
      <w:pPr>
        <w:pStyle w:val="Heading5"/>
        <w:numPr>
          <w:ilvl w:val="4"/>
          <w:numId w:val="1"/>
        </w:numPr>
        <w:rPr/>
      </w:pPr>
      <w:bookmarkStart w:id="1570" w:name="__RefHeading___Toc3972289_1067777946"/>
      <w:bookmarkStart w:id="1571" w:name="_Toc652"/>
      <w:bookmarkEnd w:id="1570"/>
      <w:r>
        <w:rPr>
          <w:rtl w:val="true"/>
        </w:rPr>
        <w:t>ب</w:t>
      </w:r>
      <w:r>
        <w:rPr>
          <w:rtl w:val="true"/>
        </w:rPr>
        <w:t xml:space="preserve">. </w:t>
      </w:r>
      <w:r>
        <w:rPr>
          <w:rtl w:val="true"/>
        </w:rPr>
        <w:t>بيّنه</w:t>
      </w:r>
      <w:bookmarkEnd w:id="1571"/>
    </w:p>
    <w:p>
      <w:pPr>
        <w:pStyle w:val="Heading6"/>
        <w:numPr>
          <w:ilvl w:val="5"/>
          <w:numId w:val="1"/>
        </w:numPr>
        <w:rPr/>
      </w:pPr>
      <w:bookmarkStart w:id="1572" w:name="__RefHeading___Toc3972291_1067777946"/>
      <w:bookmarkStart w:id="1573" w:name="_Toc653"/>
      <w:bookmarkEnd w:id="1572"/>
      <w:r>
        <w:rPr>
          <w:rtl w:val="true"/>
        </w:rPr>
        <w:t>عدد لازم در بيّنه</w:t>
      </w:r>
      <w:bookmarkEnd w:id="157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ثابت شدن زنا با بيّنه، پس با چهار مرد 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عادل و دو زن عادله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زنها بدون مرد اثبات نمى نمايد، و همچنين اگر يك مرد و شش زن باشند</w:t>
      </w:r>
      <w:r>
        <w:rPr>
          <w:rFonts w:eastAsia="IRNazanin" w:cs="IRNazanin"/>
          <w:color w:val="111111"/>
          <w:sz w:val="28"/>
          <w:szCs w:val="28"/>
          <w:rtl w:val="true"/>
          <w:lang w:bidi="fa-IR"/>
        </w:rPr>
        <w:t xml:space="preserve">. </w:t>
      </w:r>
      <w:bookmarkStart w:id="1574" w:name="pg10275_96633"/>
    </w:p>
    <w:p>
      <w:pPr>
        <w:pStyle w:val="BookText"/>
        <w:rPr/>
      </w:pPr>
      <w:bookmarkEnd w:id="1574"/>
      <w:r>
        <w:rPr>
          <w:rFonts w:ascii="IRNazanin" w:hAnsi="IRNazanin" w:eastAsia="IRNazanin"/>
          <w:color w:val="111111"/>
          <w:sz w:val="28"/>
          <w:sz w:val="28"/>
          <w:szCs w:val="28"/>
          <w:rtl w:val="true"/>
          <w:lang w:bidi="fa-IR"/>
        </w:rPr>
        <w:t>و اگر دو مرد و چهار زن شهادت بدهند پس رجم به آن اثبات نمى شود و لكن زنا و جلد به آن اثبات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كمتر از عدد لازم شهادت دادند، قبول نمى شود و اثبات نمى نمايد، و بر هر كدام از شهود، حدّ افترا جارى است</w:t>
      </w:r>
      <w:r>
        <w:rPr>
          <w:rFonts w:eastAsia="IRNazanin" w:cs="IRNazanin"/>
          <w:color w:val="111111"/>
          <w:sz w:val="28"/>
          <w:szCs w:val="28"/>
          <w:rtl w:val="true"/>
          <w:lang w:bidi="fa-IR"/>
        </w:rPr>
        <w:t>.</w:t>
      </w:r>
    </w:p>
    <w:p>
      <w:pPr>
        <w:pStyle w:val="Heading6"/>
        <w:numPr>
          <w:ilvl w:val="5"/>
          <w:numId w:val="1"/>
        </w:numPr>
        <w:rPr/>
      </w:pPr>
      <w:bookmarkStart w:id="1575" w:name="__RefHeading___Toc3972293_1067777946"/>
      <w:bookmarkStart w:id="1576" w:name="_Toc654"/>
      <w:bookmarkEnd w:id="1575"/>
      <w:r>
        <w:rPr>
          <w:rtl w:val="true"/>
        </w:rPr>
        <w:t>آن چه ذكر آن در شهادت بر زنا لازم است</w:t>
      </w:r>
      <w:bookmarkEnd w:id="1576"/>
    </w:p>
    <w:p>
      <w:pPr>
        <w:pStyle w:val="BookText"/>
        <w:rPr/>
      </w:pPr>
      <w:r>
        <w:rPr>
          <w:rFonts w:ascii="IRNazanin" w:hAnsi="IRNazanin" w:eastAsia="IRNazanin"/>
          <w:color w:val="111111"/>
          <w:sz w:val="28"/>
          <w:sz w:val="28"/>
          <w:szCs w:val="28"/>
          <w:rtl w:val="true"/>
          <w:lang w:bidi="fa-IR"/>
        </w:rPr>
        <w:t xml:space="preserve">و در شهادت بر زنا لازم است ذكر ادخال و مشاهدۀ آن به طور دخول ميل در سرمه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يقين به آن از طريق مشاهده بعض لوازم غير منفكه از ادخال و 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انتفاى عقد و ملك و شبهه و اكراه، يعنى ذكر نمايند اجنبى بودن را با عدم علم به سبب تحليل، اگر چه از فاعل، قبول مى شود ادّعاى تحقق سبب تحليل اگر ممكن باشد، پس بنا بر عدم در فعل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شهادت بر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وجود در ادّعاى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نفى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Heading6"/>
        <w:numPr>
          <w:ilvl w:val="5"/>
          <w:numId w:val="1"/>
        </w:numPr>
        <w:rPr/>
      </w:pPr>
      <w:bookmarkStart w:id="1577" w:name="__RefHeading___Toc3972295_1067777946"/>
      <w:bookmarkStart w:id="1578" w:name="_Toc655"/>
      <w:bookmarkEnd w:id="1577"/>
      <w:r>
        <w:rPr>
          <w:rtl w:val="true"/>
        </w:rPr>
        <w:t>شهادت فاقد خصوصيت معتبره</w:t>
      </w:r>
      <w:bookmarkEnd w:id="1578"/>
    </w:p>
    <w:p>
      <w:pPr>
        <w:pStyle w:val="BookText"/>
        <w:rPr/>
      </w:pPr>
      <w:r>
        <w:rPr>
          <w:rFonts w:ascii="IRNazanin" w:hAnsi="IRNazanin" w:eastAsia="IRNazanin"/>
          <w:color w:val="111111"/>
          <w:sz w:val="28"/>
          <w:sz w:val="28"/>
          <w:szCs w:val="28"/>
          <w:rtl w:val="true"/>
          <w:lang w:bidi="fa-IR"/>
        </w:rPr>
        <w:t xml:space="preserve">و اگر شهادت، فاقد بعض خصوصيات معتبره در نزد حاكم بود يا شهادتها در مورد واحد با خصوصيت زمان و مكان نبود، حدّ زنا بر مشهودٌ عليه ثابت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احوط در اختلاف به ذكر و عدم، و بنا بر صحيح در اختلاف موجب علم به كذب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بر شاهد، حدّ قذف جارى است در صورت نسبت زنا در كلام</w:t>
      </w:r>
      <w:r>
        <w:rPr>
          <w:rFonts w:eastAsia="IRNazanin" w:cs="IRNazanin"/>
          <w:color w:val="111111"/>
          <w:sz w:val="28"/>
          <w:szCs w:val="28"/>
          <w:rtl w:val="true"/>
          <w:lang w:bidi="fa-IR"/>
        </w:rPr>
        <w:t>.</w:t>
      </w:r>
    </w:p>
    <w:p>
      <w:pPr>
        <w:pStyle w:val="Heading6"/>
        <w:numPr>
          <w:ilvl w:val="5"/>
          <w:numId w:val="1"/>
        </w:numPr>
        <w:rPr/>
      </w:pPr>
      <w:bookmarkStart w:id="1579" w:name="__RefHeading___Toc3972297_1067777946"/>
      <w:bookmarkStart w:id="1580" w:name="_Toc656"/>
      <w:bookmarkEnd w:id="1579"/>
      <w:r>
        <w:rPr>
          <w:rtl w:val="true"/>
        </w:rPr>
        <w:t>شهادت دو نفر بر اكراه و دو نفر ديگر بر مطاوعه</w:t>
      </w:r>
      <w:bookmarkEnd w:id="158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شهادت دادند بر زنا با اكراه مرد، مزنىّ بها را، و دو نفر شهادت دادند بر زنا با مطاوعه، حدّ بر زن ثابت نيست؛ و در مرد اختلاف است، در صورت احراز وحدت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ساير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ثبوت اصل زنا و حدّ آن است؛ و اين اختلاف اگر چه علم به كذب در يكى از آنها مى آورد لكن مثل اختلاف در برهنگى و پوشيدن در حال زنا است يا آن كه پيراهن او در آن حال سفيد بود يا سياه با معلوميت وحدت عمل، </w:t>
      </w:r>
      <w:bookmarkStart w:id="1581" w:name="pg10275_96634"/>
    </w:p>
    <w:p>
      <w:pPr>
        <w:pStyle w:val="BookText"/>
        <w:rPr/>
      </w:pPr>
      <w:bookmarkEnd w:id="1581"/>
      <w:r>
        <w:rPr>
          <w:rFonts w:ascii="Amiri" w:hAnsi="Amiri" w:eastAsia="Amiri" w:cs="Amiri"/>
          <w:color w:val="111111"/>
          <w:sz w:val="28"/>
          <w:sz w:val="28"/>
          <w:szCs w:val="28"/>
          <w:rtl w:val="true"/>
          <w:lang w:bidi="ar-SA"/>
        </w:rPr>
        <w:t>مؤثر در شهادت در اصل زنا نيست و از اين جهت حدّ بر شهود جارى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قبول نشود شهادت، حدّ جارى است بر شهود، براى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قذف زن، پس شاهد اكراه، قاذف نيست؛ و شاهد مطاوعه با عدم شبهه از طرف زن، قاذف او است بنا بر اظهر و حدّ قذف بر او جارى است</w:t>
      </w:r>
      <w:r>
        <w:rPr>
          <w:rFonts w:eastAsia="IRNazanin" w:cs="IRNazanin"/>
          <w:color w:val="111111"/>
          <w:sz w:val="28"/>
          <w:szCs w:val="28"/>
          <w:rtl w:val="true"/>
          <w:lang w:bidi="fa-IR"/>
        </w:rPr>
        <w:t>.</w:t>
      </w:r>
    </w:p>
    <w:p>
      <w:pPr>
        <w:pStyle w:val="Heading6"/>
        <w:numPr>
          <w:ilvl w:val="5"/>
          <w:numId w:val="1"/>
        </w:numPr>
        <w:rPr/>
      </w:pPr>
      <w:bookmarkStart w:id="1582" w:name="__RefHeading___Toc3972299_1067777946"/>
      <w:bookmarkStart w:id="1583" w:name="_Toc657"/>
      <w:bookmarkEnd w:id="1582"/>
      <w:r>
        <w:rPr>
          <w:rtl w:val="true"/>
        </w:rPr>
        <w:t>اعتبار اتصال عرفى شهادت چهار نفر</w:t>
      </w:r>
      <w:bookmarkEnd w:id="1583"/>
    </w:p>
    <w:p>
      <w:pPr>
        <w:pStyle w:val="BookText"/>
        <w:rPr/>
      </w:pPr>
      <w:r>
        <w:rPr>
          <w:rFonts w:ascii="IRNazanin" w:hAnsi="IRNazanin" w:eastAsia="IRNazanin"/>
          <w:color w:val="111111"/>
          <w:sz w:val="28"/>
          <w:sz w:val="28"/>
          <w:szCs w:val="28"/>
          <w:rtl w:val="true"/>
          <w:lang w:bidi="fa-IR"/>
        </w:rPr>
        <w:t>و بايد شهادت چهار شاهد، اتصال عرفى داشته باشد در يك مجلس يا مجالس متلاحقه بدون تراخى، پس با شهادت بعضى و عدم حضور بعضى، شهادت دهنده را به حدّ قذف محدود مى نمايند</w:t>
      </w:r>
      <w:r>
        <w:rPr>
          <w:rFonts w:eastAsia="IRNazanin" w:cs="IRNazanin"/>
          <w:color w:val="111111"/>
          <w:sz w:val="28"/>
          <w:szCs w:val="28"/>
          <w:rtl w:val="true"/>
          <w:lang w:bidi="fa-IR"/>
        </w:rPr>
        <w:t>.</w:t>
      </w:r>
    </w:p>
    <w:p>
      <w:pPr>
        <w:pStyle w:val="Heading6"/>
        <w:numPr>
          <w:ilvl w:val="5"/>
          <w:numId w:val="1"/>
        </w:numPr>
        <w:rPr/>
      </w:pPr>
      <w:bookmarkStart w:id="1584" w:name="__RefHeading___Toc3972301_1067777946"/>
      <w:bookmarkStart w:id="1585" w:name="_Toc658"/>
      <w:bookmarkEnd w:id="1584"/>
      <w:r>
        <w:rPr>
          <w:rtl w:val="true"/>
        </w:rPr>
        <w:t>فرض ردّ شهادت و جريان حدّ قذف</w:t>
      </w:r>
      <w:bookmarkEnd w:id="1585"/>
    </w:p>
    <w:p>
      <w:pPr>
        <w:pStyle w:val="BookText"/>
        <w:rPr/>
      </w:pPr>
      <w:r>
        <w:rPr>
          <w:rFonts w:ascii="IRNazanin" w:hAnsi="IRNazanin" w:eastAsia="IRNazanin"/>
          <w:color w:val="111111"/>
          <w:sz w:val="28"/>
          <w:sz w:val="28"/>
          <w:szCs w:val="28"/>
          <w:rtl w:val="true"/>
          <w:lang w:bidi="fa-IR"/>
        </w:rPr>
        <w:t>و همچنين با شهادت بعضى و ردّ شهادت او به واسطۀ فسق ظاهر و نحو آن، شهادت دهنده به حدّ قذف محدود مى شود</w:t>
      </w:r>
      <w:r>
        <w:rPr>
          <w:rFonts w:eastAsia="IRNazanin" w:cs="IRNazanin"/>
          <w:color w:val="111111"/>
          <w:sz w:val="28"/>
          <w:szCs w:val="28"/>
          <w:rtl w:val="true"/>
          <w:lang w:bidi="fa-IR"/>
        </w:rPr>
        <w:t>.</w:t>
      </w:r>
    </w:p>
    <w:p>
      <w:pPr>
        <w:pStyle w:val="Heading6"/>
        <w:numPr>
          <w:ilvl w:val="5"/>
          <w:numId w:val="1"/>
        </w:numPr>
        <w:rPr/>
      </w:pPr>
      <w:bookmarkStart w:id="1586" w:name="__RefHeading___Toc3972303_1067777946"/>
      <w:bookmarkStart w:id="1587" w:name="_Toc659"/>
      <w:bookmarkEnd w:id="1586"/>
      <w:r>
        <w:rPr>
          <w:rtl w:val="true"/>
        </w:rPr>
        <w:t>حد قذف در فرض رجوع</w:t>
      </w:r>
      <w:bookmarkEnd w:id="1587"/>
    </w:p>
    <w:p>
      <w:pPr>
        <w:pStyle w:val="BookText"/>
        <w:rPr/>
      </w:pPr>
      <w:r>
        <w:rPr>
          <w:rFonts w:ascii="IRNazanin" w:hAnsi="IRNazanin" w:eastAsia="IRNazanin"/>
          <w:color w:val="111111"/>
          <w:sz w:val="28"/>
          <w:sz w:val="28"/>
          <w:szCs w:val="28"/>
          <w:rtl w:val="true"/>
          <w:lang w:bidi="fa-IR"/>
        </w:rPr>
        <w:t>و همچنين با رجوع بعضى قبل از حكم، همه محدود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اطمينان شهود به عدم رجوع و به عدالت مقبوله و به عدم امتناع همه، مشكل است حد قذف براى آن كه مقبول است شهادت او، بلكه عدم آن اقرب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رجوع بعد از حكم، خصوص راجع، محدود مى شود؛ مگر با اظهار شبهه ممكنه در حق او، و همچنين اگر عفو نمايد مقذوف</w:t>
      </w:r>
      <w:r>
        <w:rPr>
          <w:rFonts w:eastAsia="IRNazanin" w:cs="IRNazanin"/>
          <w:color w:val="111111"/>
          <w:sz w:val="28"/>
          <w:szCs w:val="28"/>
          <w:rtl w:val="true"/>
          <w:lang w:bidi="fa-IR"/>
        </w:rPr>
        <w:t>.</w:t>
      </w:r>
    </w:p>
    <w:p>
      <w:pPr>
        <w:pStyle w:val="Heading6"/>
        <w:numPr>
          <w:ilvl w:val="5"/>
          <w:numId w:val="1"/>
        </w:numPr>
        <w:rPr/>
      </w:pPr>
      <w:bookmarkStart w:id="1588" w:name="__RefHeading___Toc3972305_1067777946"/>
      <w:bookmarkStart w:id="1589" w:name="_Toc660"/>
      <w:bookmarkEnd w:id="1588"/>
      <w:r>
        <w:rPr>
          <w:rtl w:val="true"/>
        </w:rPr>
        <w:t>فاصله بين فعل و اقامۀ شهادت</w:t>
      </w:r>
      <w:bookmarkEnd w:id="1589"/>
    </w:p>
    <w:p>
      <w:pPr>
        <w:pStyle w:val="BookText"/>
        <w:rPr/>
      </w:pPr>
      <w:r>
        <w:rPr>
          <w:rFonts w:ascii="Amiri" w:hAnsi="Amiri" w:eastAsia="Amiri" w:cs="Amiri"/>
          <w:color w:val="111111"/>
          <w:sz w:val="28"/>
          <w:sz w:val="28"/>
          <w:szCs w:val="28"/>
          <w:rtl w:val="true"/>
          <w:lang w:bidi="ar-SA"/>
        </w:rPr>
        <w:t>و فصل بين زنا و اقامۀ شهادت بر آن، ضرر نمى رساند در حكم به سبب شهادت بر زناى سابق</w:t>
      </w:r>
      <w:r>
        <w:rPr>
          <w:rFonts w:eastAsia="Amiri" w:cs="Amiri" w:ascii="Amiri" w:hAnsi="Amiri"/>
          <w:color w:val="111111"/>
          <w:sz w:val="28"/>
          <w:szCs w:val="28"/>
          <w:rtl w:val="true"/>
          <w:lang w:bidi="ar-SA"/>
        </w:rPr>
        <w:t>.</w:t>
      </w:r>
    </w:p>
    <w:p>
      <w:pPr>
        <w:pStyle w:val="Heading6"/>
        <w:numPr>
          <w:ilvl w:val="5"/>
          <w:numId w:val="1"/>
        </w:numPr>
        <w:rPr/>
      </w:pPr>
      <w:bookmarkStart w:id="1590" w:name="__RefHeading___Toc3972307_1067777946"/>
      <w:bookmarkStart w:id="1591" w:name="_Toc661"/>
      <w:bookmarkEnd w:id="1590"/>
      <w:r>
        <w:rPr>
          <w:rtl w:val="true"/>
        </w:rPr>
        <w:t>كفايت چهار شاهد براى بر اثبات حدّ بر چند نفر</w:t>
      </w:r>
      <w:bookmarkEnd w:id="159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يك زانى يا زانيه، چهار شهود، لازم و كافى است؛ پس با چهار شاهد ثابت </w:t>
      </w:r>
      <w:bookmarkStart w:id="1592" w:name="pg10275_96636"/>
    </w:p>
    <w:p>
      <w:pPr>
        <w:pStyle w:val="BookText"/>
        <w:rPr/>
      </w:pPr>
      <w:bookmarkEnd w:id="1592"/>
      <w:r>
        <w:rPr>
          <w:rFonts w:ascii="Amiri" w:hAnsi="Amiri" w:eastAsia="Amiri" w:cs="Amiri"/>
          <w:color w:val="111111"/>
          <w:sz w:val="28"/>
          <w:sz w:val="28"/>
          <w:szCs w:val="28"/>
          <w:rtl w:val="true"/>
          <w:lang w:bidi="ar-SA"/>
        </w:rPr>
        <w:t>مى شود زناى دو نفر و بيش از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تفريق شهود و مبالغه در استنطاق آنها و استظهار، موافق احتياط در حدود است و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بر مؤمن و ترك اقامه شهادت و ترك اقرار به زنا و اكتفاى به توبه واقعيّه، شرعاً راجح است</w:t>
      </w:r>
      <w:r>
        <w:rPr>
          <w:rFonts w:eastAsia="Amiri" w:cs="Amiri" w:ascii="Amiri" w:hAnsi="Amiri"/>
          <w:color w:val="111111"/>
          <w:sz w:val="28"/>
          <w:szCs w:val="28"/>
          <w:rtl w:val="true"/>
          <w:lang w:bidi="ar-SA"/>
        </w:rPr>
        <w:t>.</w:t>
      </w:r>
    </w:p>
    <w:p>
      <w:pPr>
        <w:pStyle w:val="Heading6"/>
        <w:numPr>
          <w:ilvl w:val="5"/>
          <w:numId w:val="1"/>
        </w:numPr>
        <w:rPr/>
      </w:pPr>
      <w:bookmarkStart w:id="1593" w:name="__RefHeading___Toc3972309_1067777946"/>
      <w:bookmarkStart w:id="1594" w:name="_Toc662"/>
      <w:bookmarkEnd w:id="1593"/>
      <w:r>
        <w:rPr>
          <w:rtl w:val="true"/>
        </w:rPr>
        <w:t>عدم احتياج مدّعى در شهادت بر حقوق الهى</w:t>
      </w:r>
      <w:bookmarkEnd w:id="1594"/>
    </w:p>
    <w:p>
      <w:pPr>
        <w:pStyle w:val="BookText"/>
        <w:rPr/>
      </w:pPr>
      <w:r>
        <w:rPr>
          <w:rFonts w:ascii="Amiri" w:hAnsi="Amiri" w:eastAsia="Amiri" w:cs="Amiri"/>
          <w:color w:val="111111"/>
          <w:sz w:val="28"/>
          <w:sz w:val="28"/>
          <w:szCs w:val="28"/>
          <w:rtl w:val="true"/>
          <w:lang w:bidi="ar-SA"/>
        </w:rPr>
        <w:t>و شهادت بر زنا و حقوق اللّٰه، موقوف بر وجود مدعى نيست، و مقبول مى شود احتساب در آن</w:t>
      </w:r>
      <w:r>
        <w:rPr>
          <w:rFonts w:eastAsia="Amiri" w:cs="Amiri" w:ascii="Amiri" w:hAnsi="Amiri"/>
          <w:color w:val="111111"/>
          <w:sz w:val="28"/>
          <w:szCs w:val="28"/>
          <w:rtl w:val="true"/>
          <w:lang w:bidi="ar-SA"/>
        </w:rPr>
        <w:t>.</w:t>
      </w:r>
    </w:p>
    <w:p>
      <w:pPr>
        <w:pStyle w:val="Heading6"/>
        <w:numPr>
          <w:ilvl w:val="5"/>
          <w:numId w:val="1"/>
        </w:numPr>
        <w:rPr/>
      </w:pPr>
      <w:bookmarkStart w:id="1595" w:name="__RefHeading___Toc3972311_1067777946"/>
      <w:bookmarkStart w:id="1596" w:name="_Toc663"/>
      <w:bookmarkEnd w:id="1595"/>
      <w:r>
        <w:rPr>
          <w:rtl w:val="true"/>
        </w:rPr>
        <w:t>عدم اسقاط حكم شهادت با اقرار مشهودٌ عليه يا تكذيب وى</w:t>
      </w:r>
      <w:bookmarkEnd w:id="1596"/>
    </w:p>
    <w:p>
      <w:pPr>
        <w:pStyle w:val="BookText"/>
        <w:rPr/>
      </w:pPr>
      <w:r>
        <w:rPr>
          <w:rFonts w:ascii="Amiri" w:hAnsi="Amiri" w:eastAsia="Amiri" w:cs="Amiri"/>
          <w:color w:val="111111"/>
          <w:sz w:val="28"/>
          <w:sz w:val="28"/>
          <w:szCs w:val="28"/>
          <w:rtl w:val="true"/>
          <w:lang w:bidi="ar-SA"/>
        </w:rPr>
        <w:t>و حكم شهادت، به سبب اقرار مشهودٌ عليه يا تكذيب او ساقط نمى شود</w:t>
      </w:r>
      <w:r>
        <w:rPr>
          <w:rFonts w:eastAsia="Amiri" w:cs="Amiri" w:ascii="Amiri" w:hAnsi="Amiri"/>
          <w:color w:val="111111"/>
          <w:sz w:val="28"/>
          <w:szCs w:val="28"/>
          <w:rtl w:val="true"/>
          <w:lang w:bidi="ar-SA"/>
        </w:rPr>
        <w:t>.</w:t>
      </w:r>
    </w:p>
    <w:p>
      <w:pPr>
        <w:pStyle w:val="Heading6"/>
        <w:numPr>
          <w:ilvl w:val="5"/>
          <w:numId w:val="1"/>
        </w:numPr>
        <w:rPr/>
      </w:pPr>
      <w:bookmarkStart w:id="1597" w:name="__RefHeading___Toc3972313_1067777946"/>
      <w:bookmarkStart w:id="1598" w:name="_Toc664"/>
      <w:bookmarkEnd w:id="1597"/>
      <w:r>
        <w:rPr>
          <w:rtl w:val="true"/>
        </w:rPr>
        <w:t>اسقاط حدّ با توبه</w:t>
      </w:r>
      <w:bookmarkEnd w:id="1598"/>
    </w:p>
    <w:p>
      <w:pPr>
        <w:pStyle w:val="BookText"/>
        <w:rPr/>
      </w:pPr>
      <w:r>
        <w:rPr>
          <w:rFonts w:ascii="IRNazanin" w:hAnsi="IRNazanin" w:eastAsia="IRNazanin"/>
          <w:color w:val="111111"/>
          <w:sz w:val="28"/>
          <w:sz w:val="28"/>
          <w:szCs w:val="28"/>
          <w:rtl w:val="true"/>
          <w:lang w:bidi="fa-IR"/>
        </w:rPr>
        <w:t>و به سبب توبۀ قبل از قيام بيّنه، حدّ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توبۀ قبل از ثبوتِ با بيّنه،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قيام بيّنه، توبه مؤثر در سقوط حدّ نيست اگر چه باطناً مقبول باشد</w:t>
      </w:r>
      <w:r>
        <w:rPr>
          <w:rFonts w:eastAsia="IRNazanin" w:cs="IRNazanin"/>
          <w:color w:val="111111"/>
          <w:sz w:val="28"/>
          <w:szCs w:val="28"/>
          <w:rtl w:val="true"/>
          <w:lang w:bidi="fa-IR"/>
        </w:rPr>
        <w:t>.</w:t>
      </w:r>
    </w:p>
    <w:p>
      <w:pPr>
        <w:pStyle w:val="Heading4"/>
        <w:numPr>
          <w:ilvl w:val="3"/>
          <w:numId w:val="1"/>
        </w:numPr>
        <w:rPr/>
      </w:pPr>
      <w:bookmarkStart w:id="1599" w:name="__RefHeading___Toc3972315_1067777946"/>
      <w:bookmarkStart w:id="1600" w:name="_Toc665"/>
      <w:bookmarkEnd w:id="1599"/>
      <w:r>
        <w:rPr/>
        <w:t>3</w:t>
      </w:r>
      <w:r>
        <w:rPr>
          <w:rtl w:val="true"/>
        </w:rPr>
        <w:t xml:space="preserve">. </w:t>
      </w:r>
      <w:r>
        <w:rPr>
          <w:rtl w:val="true"/>
        </w:rPr>
        <w:t>حدّ زنا</w:t>
      </w:r>
      <w:bookmarkEnd w:id="1600"/>
    </w:p>
    <w:p>
      <w:pPr>
        <w:pStyle w:val="Heading5"/>
        <w:numPr>
          <w:ilvl w:val="4"/>
          <w:numId w:val="1"/>
        </w:numPr>
        <w:rPr/>
      </w:pPr>
      <w:bookmarkStart w:id="1601" w:name="__RefHeading___Toc3972317_1067777946"/>
      <w:bookmarkStart w:id="1602" w:name="_Toc666"/>
      <w:bookmarkEnd w:id="1601"/>
      <w:r>
        <w:rPr>
          <w:rtl w:val="true"/>
        </w:rPr>
        <w:t>اشاره</w:t>
      </w:r>
      <w:bookmarkEnd w:id="1602"/>
    </w:p>
    <w:p>
      <w:pPr>
        <w:pStyle w:val="BookText"/>
        <w:rPr/>
      </w:pPr>
      <w:r>
        <w:rPr>
          <w:rFonts w:ascii="IRNazanin" w:hAnsi="IRNazanin" w:eastAsia="IRNazanin"/>
          <w:color w:val="111111"/>
          <w:sz w:val="28"/>
          <w:sz w:val="28"/>
          <w:szCs w:val="28"/>
          <w:rtl w:val="true"/>
          <w:lang w:bidi="fa-IR"/>
        </w:rPr>
        <w:t>حدّ زنا اقسام مختلفه دارد مثل قتل و جلد و رجم و غير اينها، چنان چه ذكر مى شود إن شاء اللّٰه</w:t>
      </w:r>
      <w:r>
        <w:rPr>
          <w:rFonts w:eastAsia="IRNazanin" w:cs="IRNazanin"/>
          <w:color w:val="111111"/>
          <w:sz w:val="28"/>
          <w:szCs w:val="28"/>
          <w:rtl w:val="true"/>
          <w:lang w:bidi="fa-IR"/>
        </w:rPr>
        <w:t>.</w:t>
      </w:r>
    </w:p>
    <w:p>
      <w:pPr>
        <w:pStyle w:val="Heading5"/>
        <w:numPr>
          <w:ilvl w:val="4"/>
          <w:numId w:val="1"/>
        </w:numPr>
        <w:rPr/>
      </w:pPr>
      <w:bookmarkStart w:id="1603" w:name="__RefHeading___Toc3972319_1067777946"/>
      <w:bookmarkStart w:id="1604" w:name="_Toc667"/>
      <w:bookmarkEnd w:id="1603"/>
      <w:r>
        <w:rPr>
          <w:rtl w:val="true"/>
        </w:rPr>
        <w:t>الف</w:t>
      </w:r>
      <w:r>
        <w:rPr>
          <w:rtl w:val="true"/>
        </w:rPr>
        <w:t xml:space="preserve">. </w:t>
      </w:r>
      <w:r>
        <w:rPr>
          <w:rtl w:val="true"/>
        </w:rPr>
        <w:t>قتل</w:t>
      </w:r>
      <w:bookmarkEnd w:id="1604"/>
    </w:p>
    <w:p>
      <w:pPr>
        <w:pStyle w:val="BookText"/>
        <w:rPr/>
      </w:pPr>
      <w:r>
        <w:rPr>
          <w:rFonts w:ascii="IRNazanin" w:hAnsi="IRNazanin" w:eastAsia="IRNazanin"/>
          <w:color w:val="111111"/>
          <w:sz w:val="28"/>
          <w:sz w:val="28"/>
          <w:szCs w:val="28"/>
          <w:rtl w:val="true"/>
          <w:lang w:bidi="fa-IR"/>
        </w:rPr>
        <w:t xml:space="preserve">اما قتل؛ پس حدّ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نمايد با محرم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شمول حكم به محرمات سببيه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 زوجه و بنت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و همچنين شمول به محرمات رضاعيه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نسب غير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اگر چه الحاق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ثبوت حكم است براى زانيۀ با محرم از روى مطاوعت</w:t>
      </w:r>
      <w:r>
        <w:rPr>
          <w:rFonts w:eastAsia="IRNazanin" w:cs="IRNazanin"/>
          <w:color w:val="111111"/>
          <w:sz w:val="28"/>
          <w:szCs w:val="28"/>
          <w:rtl w:val="true"/>
          <w:lang w:bidi="fa-IR"/>
        </w:rPr>
        <w:t>.</w:t>
      </w:r>
    </w:p>
    <w:p>
      <w:pPr>
        <w:pStyle w:val="Heading5"/>
        <w:numPr>
          <w:ilvl w:val="4"/>
          <w:numId w:val="1"/>
        </w:numPr>
        <w:rPr/>
      </w:pPr>
      <w:bookmarkStart w:id="1605" w:name="__RefHeading___Toc3972321_1067777946"/>
      <w:bookmarkStart w:id="1606" w:name="_Toc668"/>
      <w:bookmarkEnd w:id="1605"/>
      <w:r>
        <w:rPr>
          <w:rtl w:val="true"/>
        </w:rPr>
        <w:t>اثبات حكم بر ذمّى</w:t>
      </w:r>
      <w:bookmarkEnd w:id="160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ثابت است قتل بر ذمّى اگر زنا با مسلمه نمايد، چه مطاوعه باشد يا مكرَهه، عامل به </w:t>
      </w:r>
      <w:bookmarkStart w:id="1607" w:name="pg10275_96638"/>
    </w:p>
    <w:p>
      <w:pPr>
        <w:pStyle w:val="BookText"/>
        <w:rPr/>
      </w:pPr>
      <w:bookmarkEnd w:id="1607"/>
      <w:r>
        <w:rPr>
          <w:rFonts w:ascii="IRNazanin" w:hAnsi="IRNazanin" w:eastAsia="IRNazanin"/>
          <w:color w:val="111111"/>
          <w:sz w:val="28"/>
          <w:sz w:val="28"/>
          <w:szCs w:val="28"/>
          <w:rtl w:val="true"/>
          <w:lang w:bidi="fa-IR"/>
        </w:rPr>
        <w:t>شروط ذمّه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سقوط حدّ است مطلقاً از آن كه مسلمان بشود و ظاهر باشد از او اسلام حقيقى اگر چه به نحو تعدد داعى يا داعى به داعى باشد، در مقابل متمحّض در ارادۀ تخلّص از قتل به سبب اسلام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عموم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ذمّى از ملل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حكم براى ذمّيۀ زانيۀ با مسلم كه مطاوعه باشد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قتل ثابت است براى كسى كه اكراه نمايد زنى را بر زنا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در مواضع متقدمه، بين محصن و غير، و شابّ و غير، و عبد و حرّ، و مسلمان و كافر در مورد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حكم زنا با زنِ پدر</w:t>
      </w:r>
      <w:r>
        <w:rPr>
          <w:rFonts w:eastAsia="IRNazanin" w:cs="IRNazanin"/>
          <w:color w:val="111111"/>
          <w:sz w:val="28"/>
          <w:szCs w:val="28"/>
          <w:rtl w:val="true"/>
          <w:lang w:bidi="fa-IR"/>
        </w:rPr>
        <w:t>.</w:t>
      </w:r>
    </w:p>
    <w:p>
      <w:pPr>
        <w:pStyle w:val="Heading5"/>
        <w:numPr>
          <w:ilvl w:val="4"/>
          <w:numId w:val="1"/>
        </w:numPr>
        <w:rPr/>
      </w:pPr>
      <w:bookmarkStart w:id="1608" w:name="__RefHeading___Toc3972323_1067777946"/>
      <w:bookmarkStart w:id="1609" w:name="_Toc669"/>
      <w:bookmarkEnd w:id="1608"/>
      <w:r>
        <w:rPr>
          <w:rtl w:val="true"/>
        </w:rPr>
        <w:t>ب</w:t>
      </w:r>
      <w:r>
        <w:rPr>
          <w:rtl w:val="true"/>
        </w:rPr>
        <w:t xml:space="preserve">. </w:t>
      </w:r>
      <w:r>
        <w:rPr>
          <w:rtl w:val="true"/>
        </w:rPr>
        <w:t>رجم</w:t>
      </w:r>
      <w:bookmarkEnd w:id="1609"/>
    </w:p>
    <w:p>
      <w:pPr>
        <w:pStyle w:val="BookText"/>
        <w:rPr/>
      </w:pPr>
      <w:r>
        <w:rPr>
          <w:rFonts w:ascii="IRNazanin" w:hAnsi="IRNazanin" w:eastAsia="IRNazanin"/>
          <w:color w:val="111111"/>
          <w:sz w:val="28"/>
          <w:sz w:val="28"/>
          <w:szCs w:val="28"/>
          <w:rtl w:val="true"/>
          <w:lang w:bidi="fa-IR"/>
        </w:rPr>
        <w:t>رجم حدّ زناى محصن و محصنه است كه طرف صاحب بلوغ و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فرض مسأله، مرد پير يا زن پير باشد، ابتداى به جلد و انتهاى به رجم مى شود؛ و همين جمع، در غير مرد پير و زن پير، اقوى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زنا كرد بالغ با غير بالغه يا با مجنونه، يا زنا كرد غير بالغ يا مجنون با بالغه عاقله، در همۀ اينها حدّ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جلد در غير محصن و محصنه، و رجم در محصن و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از زناى غير بالغ با بالغۀ عاقله كه در آن حدّ است و رجم نيست اگر چه محصنه باشد بنا بر اظهر؛ و در زناى مجنون با بالغه عاقله، گذشت انتفاى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جلد غير محصن و رجم محصن</w:t>
      </w:r>
      <w:r>
        <w:rPr>
          <w:rFonts w:eastAsia="IRNazanin" w:cs="IRNazanin"/>
          <w:color w:val="111111"/>
          <w:sz w:val="28"/>
          <w:szCs w:val="28"/>
          <w:rtl w:val="true"/>
          <w:lang w:bidi="fa-IR"/>
        </w:rPr>
        <w:t>).</w:t>
      </w:r>
    </w:p>
    <w:p>
      <w:pPr>
        <w:pStyle w:val="Heading5"/>
        <w:numPr>
          <w:ilvl w:val="4"/>
          <w:numId w:val="1"/>
        </w:numPr>
        <w:rPr/>
      </w:pPr>
      <w:bookmarkStart w:id="1610" w:name="__RefHeading___Toc3972325_1067777946"/>
      <w:bookmarkStart w:id="1611" w:name="_Toc670"/>
      <w:bookmarkEnd w:id="1610"/>
      <w:r>
        <w:rPr>
          <w:rtl w:val="true"/>
        </w:rPr>
        <w:t>ج</w:t>
      </w:r>
      <w:r>
        <w:rPr>
          <w:rtl w:val="true"/>
        </w:rPr>
        <w:t xml:space="preserve">. </w:t>
      </w:r>
      <w:r>
        <w:rPr>
          <w:rtl w:val="true"/>
        </w:rPr>
        <w:t>جلد، نفى بلد، حلق رأس</w:t>
      </w:r>
      <w:bookmarkEnd w:id="1611"/>
    </w:p>
    <w:p>
      <w:pPr>
        <w:pStyle w:val="BookText"/>
        <w:rPr/>
      </w:pPr>
      <w:r>
        <w:rPr>
          <w:rFonts w:ascii="Amiri" w:hAnsi="Amiri" w:eastAsia="Amiri" w:cs="Amiri"/>
          <w:color w:val="111111"/>
          <w:sz w:val="28"/>
          <w:sz w:val="28"/>
          <w:szCs w:val="28"/>
          <w:rtl w:val="true"/>
          <w:lang w:bidi="ar-SA"/>
        </w:rPr>
        <w:t>و در زناى غير محصن در صورتى كه مرد عقد كرده و دخول به معقوده نكرده است، نفى بلد است بعد از جلد، تا يك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مطلق غير محصن آيا تغريب بعد از جلد ثابت است يا نه‌؟ خلاف است، قول به تغريب، خالى از رجحان نيست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ثبوت حلق شعر رأس است در خصوص متزوج قبل از دخول به معقوده </w:t>
      </w:r>
      <w:bookmarkStart w:id="1612" w:name="pg10275_96640"/>
    </w:p>
    <w:p>
      <w:pPr>
        <w:pStyle w:val="BookText"/>
        <w:rPr/>
      </w:pPr>
      <w:bookmarkEnd w:id="1612"/>
      <w:r>
        <w:rPr>
          <w:rFonts w:ascii="IRNazanin" w:hAnsi="IRNazanin" w:eastAsia="IRNazanin"/>
          <w:color w:val="111111"/>
          <w:sz w:val="28"/>
          <w:sz w:val="28"/>
          <w:szCs w:val="28"/>
          <w:rtl w:val="true"/>
          <w:lang w:bidi="fa-IR"/>
        </w:rPr>
        <w:t>اگر زنا كرد، با 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در مورد تغريب بلد، جلد است؛ و انتفاى تغريب و حلق در زن زانيه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مملوك اگر زنا كرد رجم نيست، و نصف جلد حرّ ثابت است كه پنجاه تازيانه باشد، چه محصن باشد يا غير، مرد باشد يا زن، جوان باشد يا پير، بكر باشد يا غير؛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تغريب و حلق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مبعّض، به نسبت حرّيت، حدّ حرّ بر او است و به نسبت رقّيت، حدّ مملوك؛ پس منصف،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 يا حرّه زناى غير محصن كرد سه مرتبه، و اقامۀ حدّ بر آنها شد در سه مرتبه، در دفعۀ رابعه او را به قتل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مملوك بود يا مملوكه بود و زنا كرد هفت مرتبه و اقامۀ حدّ بر آنها شد در تمام مراتب، در مرتبۀ هشتم او را به قتل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 يا مملوك، مكرّر شد زناى او و ثابت شد تكرر آن، پس اگر با يك زن باشد و محصن نبود، حدّ او مكرر نمى شود؛ و اقرب عدم تعدد است در صورت تعدد زن هايى كه با او زنا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عكس يعنى وحدت زانيه و تعدد زانيها يا زناها</w:t>
      </w:r>
      <w:r>
        <w:rPr>
          <w:rFonts w:eastAsia="IRNazanin" w:cs="IRNazanin"/>
          <w:color w:val="111111"/>
          <w:sz w:val="28"/>
          <w:szCs w:val="28"/>
          <w:rtl w:val="true"/>
          <w:lang w:bidi="fa-IR"/>
        </w:rPr>
        <w:t>.</w:t>
      </w:r>
    </w:p>
    <w:p>
      <w:pPr>
        <w:pStyle w:val="Heading5"/>
        <w:numPr>
          <w:ilvl w:val="4"/>
          <w:numId w:val="1"/>
        </w:numPr>
        <w:rPr/>
      </w:pPr>
      <w:bookmarkStart w:id="1613" w:name="__RefHeading___Toc3972327_1067777946"/>
      <w:bookmarkStart w:id="1614" w:name="_Toc671"/>
      <w:bookmarkEnd w:id="1613"/>
      <w:r>
        <w:rPr>
          <w:rtl w:val="true"/>
        </w:rPr>
        <w:t>حكم زناى ذمى</w:t>
      </w:r>
      <w:bookmarkEnd w:id="1614"/>
    </w:p>
    <w:p>
      <w:pPr>
        <w:pStyle w:val="BookText"/>
        <w:rPr/>
      </w:pPr>
      <w:r>
        <w:rPr>
          <w:rFonts w:ascii="IRNazanin" w:hAnsi="IRNazanin" w:eastAsia="IRNazanin"/>
          <w:color w:val="111111"/>
          <w:sz w:val="28"/>
          <w:sz w:val="28"/>
          <w:szCs w:val="28"/>
          <w:rtl w:val="true"/>
          <w:lang w:bidi="fa-IR"/>
        </w:rPr>
        <w:t>اگر زنا كرد ذمّى با غير مسلمان، امام و نايب او مخيّر است در اقامۀ حدّ موافق اسلام يا دفع هر دو طرف به حكام آنها براى عمل به شرع خودشان؛ و اگر با مسلمان زنا كرد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 با ذمّيه زنا كرد، بر مسلمان اقامۀ حدّ مى شود و در ذمّيه تخيير ثابت است</w:t>
      </w:r>
      <w:r>
        <w:rPr>
          <w:rFonts w:eastAsia="IRNazanin" w:cs="IRNazanin"/>
          <w:color w:val="111111"/>
          <w:sz w:val="28"/>
          <w:szCs w:val="28"/>
          <w:rtl w:val="true"/>
          <w:lang w:bidi="fa-IR"/>
        </w:rPr>
        <w:t>.</w:t>
      </w:r>
    </w:p>
    <w:p>
      <w:pPr>
        <w:pStyle w:val="Heading5"/>
        <w:numPr>
          <w:ilvl w:val="4"/>
          <w:numId w:val="1"/>
        </w:numPr>
        <w:rPr/>
      </w:pPr>
      <w:bookmarkStart w:id="1615" w:name="__RefHeading___Toc3972329_1067777946"/>
      <w:bookmarkStart w:id="1616" w:name="_Toc672"/>
      <w:bookmarkEnd w:id="1615"/>
      <w:r>
        <w:rPr>
          <w:rtl w:val="true"/>
        </w:rPr>
        <w:t>عدم اجراى حد بر حامل</w:t>
      </w:r>
      <w:bookmarkEnd w:id="1616"/>
    </w:p>
    <w:p>
      <w:pPr>
        <w:pStyle w:val="BookText"/>
        <w:rPr/>
      </w:pPr>
      <w:r>
        <w:rPr>
          <w:rFonts w:ascii="IRNazanin" w:hAnsi="IRNazanin" w:eastAsia="IRNazanin"/>
          <w:color w:val="111111"/>
          <w:sz w:val="28"/>
          <w:sz w:val="28"/>
          <w:szCs w:val="28"/>
          <w:rtl w:val="true"/>
          <w:lang w:bidi="fa-IR"/>
        </w:rPr>
        <w:t xml:space="preserve">بر حامل اقامۀ حدّ نمى شود اگر چه جلد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قصاص با موجب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وضع حمل نمايد و از نفاس خارج شود و شير بدهد طفل را تا زمان استغناى او بلكه تا زمان استقلال او و عدم خوف سقوط و غرق و نحو اينها بر او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خوف ضرر نبود و كافلى پيدا شد براى ارضاع طفل، جايز است بلكه واجب </w:t>
      </w:r>
      <w:bookmarkStart w:id="1617" w:name="pg10275_96643"/>
    </w:p>
    <w:p>
      <w:pPr>
        <w:pStyle w:val="BookText"/>
        <w:rPr/>
      </w:pPr>
      <w:bookmarkEnd w:id="1617"/>
      <w:r>
        <w:rPr>
          <w:rFonts w:ascii="Amiri" w:hAnsi="Amiri" w:eastAsia="Amiri" w:cs="Amiri"/>
          <w:color w:val="111111"/>
          <w:sz w:val="28"/>
          <w:sz w:val="28"/>
          <w:szCs w:val="28"/>
          <w:rtl w:val="true"/>
          <w:lang w:bidi="ar-SA"/>
        </w:rPr>
        <w:t>است اقامۀ حدّ بعد ارضاع لِبا در صورتى كه بدون آن مخوف شد تعيش طفل با سلامتى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دور نيست وجوب استيجار براى ارضاع و ما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كفالت تا زمان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مالى براى طفل يا وجود متبرع يا از بيت المال اگر منحصر به آن باشد و حاضر باشد، براى ترك تأخير اقامۀ حدّ بدون عذر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وضع، طفل وفات كرد، مانعى از رجم و قتل نيست، لكن اگر حدّ او جلد است بايد از مرض نفاس خارج شود</w:t>
      </w:r>
      <w:r>
        <w:rPr>
          <w:rFonts w:eastAsia="IRNazanin" w:cs="IRNazanin"/>
          <w:color w:val="111111"/>
          <w:sz w:val="28"/>
          <w:szCs w:val="28"/>
          <w:rtl w:val="true"/>
          <w:lang w:bidi="fa-IR"/>
        </w:rPr>
        <w:t>.</w:t>
      </w:r>
    </w:p>
    <w:p>
      <w:pPr>
        <w:pStyle w:val="Heading5"/>
        <w:numPr>
          <w:ilvl w:val="4"/>
          <w:numId w:val="1"/>
        </w:numPr>
        <w:rPr/>
      </w:pPr>
      <w:bookmarkStart w:id="1618" w:name="__RefHeading___Toc3972331_1067777946"/>
      <w:bookmarkStart w:id="1619" w:name="_Toc673"/>
      <w:bookmarkEnd w:id="1618"/>
      <w:r>
        <w:rPr>
          <w:rtl w:val="true"/>
        </w:rPr>
        <w:t>مريض و مستحاضه</w:t>
      </w:r>
      <w:bookmarkEnd w:id="1619"/>
    </w:p>
    <w:p>
      <w:pPr>
        <w:pStyle w:val="BookText"/>
        <w:rPr/>
      </w:pPr>
      <w:r>
        <w:rPr>
          <w:rFonts w:ascii="IRNazanin" w:hAnsi="IRNazanin" w:eastAsia="IRNazanin"/>
          <w:color w:val="111111"/>
          <w:sz w:val="28"/>
          <w:sz w:val="28"/>
          <w:szCs w:val="28"/>
          <w:rtl w:val="true"/>
          <w:lang w:bidi="fa-IR"/>
        </w:rPr>
        <w:t>و هم چنين مريض و مستحاضه، مانعى از رجم آنها نيست، و اگر حدّ آنها جلد است تأخير مى شود تا زوال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يأس از برءِ عاجل بود و تعطيل حدّ مخوف شد، با اصلى كه مشتمل بر يك صد چوب باشد او را عاجلاً مى زنند، و اگر پنجاه چوب داشت تكرار مى شود، و اگر طاقت مسمّاى ضرب با آن را نداشت با چوبهاى نازكتر مى زنند، و وصول مجموع، كافى است و لازم نيست وصول هر چوب؛ و در هر حال اقامۀ حدّ نمى شود، براى خوف سرايت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اتفاقاً سالم شد در اثناى اين ضرب، حدّ بر او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زدن صحيح شد، اقامۀ حدّ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مستحاضه مريض است به خلاف مطلقِ حايض</w:t>
      </w:r>
      <w:r>
        <w:rPr>
          <w:rFonts w:eastAsia="IRNazanin" w:cs="IRNazanin"/>
          <w:color w:val="111111"/>
          <w:sz w:val="28"/>
          <w:szCs w:val="28"/>
          <w:rtl w:val="true"/>
          <w:lang w:bidi="fa-IR"/>
        </w:rPr>
        <w:t>.</w:t>
      </w:r>
    </w:p>
    <w:p>
      <w:pPr>
        <w:pStyle w:val="Heading5"/>
        <w:numPr>
          <w:ilvl w:val="4"/>
          <w:numId w:val="1"/>
        </w:numPr>
        <w:rPr/>
      </w:pPr>
      <w:bookmarkStart w:id="1620" w:name="__RefHeading___Toc3972333_1067777946"/>
      <w:bookmarkStart w:id="1621" w:name="_Toc674"/>
      <w:bookmarkEnd w:id="1620"/>
      <w:r>
        <w:rPr>
          <w:rtl w:val="true"/>
        </w:rPr>
        <w:t>عدم سقوط حدّ با ارتداد و جنون</w:t>
      </w:r>
      <w:bookmarkEnd w:id="1621"/>
    </w:p>
    <w:p>
      <w:pPr>
        <w:pStyle w:val="BookText"/>
        <w:rPr/>
      </w:pPr>
      <w:r>
        <w:rPr>
          <w:rFonts w:ascii="IRNazanin" w:hAnsi="IRNazanin" w:eastAsia="IRNazanin"/>
          <w:color w:val="111111"/>
          <w:sz w:val="28"/>
          <w:sz w:val="28"/>
          <w:szCs w:val="28"/>
          <w:rtl w:val="true"/>
          <w:lang w:bidi="fa-IR"/>
        </w:rPr>
        <w:t xml:space="preserve">و ساقط نمى شود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جلد باشد يا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لحوق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سقوط آن به لحوق جنون با آن كه زنا در حال عقل بوده، مروىّ است، و احوط انتظار است در غير مطبِق</w:t>
      </w:r>
      <w:r>
        <w:rPr>
          <w:rFonts w:eastAsia="IRNazanin" w:cs="IRNazanin"/>
          <w:color w:val="111111"/>
          <w:sz w:val="28"/>
          <w:szCs w:val="28"/>
          <w:rtl w:val="true"/>
          <w:lang w:bidi="fa-IR"/>
        </w:rPr>
        <w:t>.</w:t>
      </w:r>
    </w:p>
    <w:p>
      <w:pPr>
        <w:pStyle w:val="Heading5"/>
        <w:numPr>
          <w:ilvl w:val="4"/>
          <w:numId w:val="1"/>
        </w:numPr>
        <w:rPr/>
      </w:pPr>
      <w:bookmarkStart w:id="1622" w:name="__RefHeading___Toc3972335_1067777946"/>
      <w:bookmarkStart w:id="1623" w:name="_Toc675"/>
      <w:bookmarkEnd w:id="1622"/>
      <w:r>
        <w:rPr>
          <w:rtl w:val="true"/>
        </w:rPr>
        <w:t>عدم اجراى حدّ در سرما و گرماى شديد</w:t>
      </w:r>
      <w:bookmarkEnd w:id="162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حدّ جلد باشد، در حرّ شديد يا برد شديد اقامه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در برد شديد در </w:t>
      </w:r>
      <w:bookmarkStart w:id="1624" w:name="pg10275_96645"/>
    </w:p>
    <w:p>
      <w:pPr>
        <w:pStyle w:val="BookText"/>
        <w:rPr/>
      </w:pPr>
      <w:bookmarkEnd w:id="1624"/>
      <w:r>
        <w:rPr>
          <w:rFonts w:ascii="IRNazanin" w:hAnsi="IRNazanin" w:eastAsia="IRNazanin"/>
          <w:color w:val="111111"/>
          <w:sz w:val="28"/>
          <w:sz w:val="28"/>
          <w:szCs w:val="28"/>
          <w:rtl w:val="true"/>
          <w:lang w:bidi="fa-IR"/>
        </w:rPr>
        <w:t>وسط روز، و در حرّ شديد در طرفين روز اقامه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غير دار الاسلام اگر جلد باشد</w:t>
      </w:r>
      <w:r>
        <w:rPr>
          <w:rFonts w:eastAsia="IRNazanin" w:cs="IRNazanin"/>
          <w:color w:val="111111"/>
          <w:sz w:val="28"/>
          <w:szCs w:val="28"/>
          <w:rtl w:val="true"/>
          <w:lang w:bidi="fa-IR"/>
        </w:rPr>
        <w:t>.</w:t>
      </w:r>
    </w:p>
    <w:p>
      <w:pPr>
        <w:pStyle w:val="Heading5"/>
        <w:numPr>
          <w:ilvl w:val="4"/>
          <w:numId w:val="1"/>
        </w:numPr>
        <w:rPr/>
      </w:pPr>
      <w:bookmarkStart w:id="1625" w:name="__RefHeading___Toc3972337_1067777946"/>
      <w:bookmarkStart w:id="1626" w:name="_Toc676"/>
      <w:bookmarkEnd w:id="1625"/>
      <w:r>
        <w:rPr>
          <w:rtl w:val="true"/>
        </w:rPr>
        <w:t xml:space="preserve">حكم كسى كه به حرم پيامبر </w:t>
      </w:r>
      <w:r>
        <w:rPr>
          <w:rtl w:val="true"/>
        </w:rPr>
        <w:t xml:space="preserve">- </w:t>
      </w:r>
      <w:r>
        <w:rPr>
          <w:rtl w:val="true"/>
        </w:rPr>
        <w:t xml:space="preserve">صلى اللّٰه عليه و آله و سلم </w:t>
      </w:r>
      <w:r>
        <w:rPr>
          <w:rtl w:val="true"/>
        </w:rPr>
        <w:t xml:space="preserve">- </w:t>
      </w:r>
      <w:r>
        <w:rPr>
          <w:rtl w:val="true"/>
        </w:rPr>
        <w:t xml:space="preserve">يا معصومين </w:t>
      </w:r>
      <w:r>
        <w:rPr>
          <w:rtl w:val="true"/>
        </w:rPr>
        <w:t xml:space="preserve">- </w:t>
      </w:r>
      <w:r>
        <w:rPr>
          <w:rtl w:val="true"/>
        </w:rPr>
        <w:t xml:space="preserve">عليهم السلام </w:t>
      </w:r>
      <w:r>
        <w:rPr>
          <w:rtl w:val="true"/>
        </w:rPr>
        <w:t xml:space="preserve">- </w:t>
      </w:r>
      <w:r>
        <w:rPr>
          <w:rtl w:val="true"/>
        </w:rPr>
        <w:t>پناه ببرد</w:t>
      </w:r>
      <w:bookmarkEnd w:id="1626"/>
    </w:p>
    <w:p>
      <w:pPr>
        <w:pStyle w:val="BookText"/>
        <w:rPr/>
      </w:pPr>
      <w:r>
        <w:rPr>
          <w:rFonts w:ascii="IRNazanin" w:hAnsi="IRNazanin" w:eastAsia="IRNazanin"/>
          <w:color w:val="111111"/>
          <w:sz w:val="28"/>
          <w:sz w:val="28"/>
          <w:szCs w:val="28"/>
          <w:rtl w:val="true"/>
          <w:lang w:bidi="fa-IR"/>
        </w:rPr>
        <w:t xml:space="preserve">و به كسى كه پناه به حرم در مكه برده و همچنين در حرم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كه جنايت در حرم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جلد باشد يا رجم، بلكه تضييق در مطعم و مشرب او مى شود تا خارج شود و بر او اقامۀ حد شود</w:t>
      </w:r>
      <w:r>
        <w:rPr>
          <w:rFonts w:eastAsia="IRNazanin" w:cs="IRNazanin"/>
          <w:color w:val="111111"/>
          <w:sz w:val="28"/>
          <w:szCs w:val="28"/>
          <w:rtl w:val="true"/>
          <w:lang w:bidi="fa-IR"/>
        </w:rPr>
        <w:t>.</w:t>
      </w:r>
    </w:p>
    <w:p>
      <w:pPr>
        <w:pStyle w:val="Heading4"/>
        <w:numPr>
          <w:ilvl w:val="3"/>
          <w:numId w:val="1"/>
        </w:numPr>
        <w:rPr/>
      </w:pPr>
      <w:bookmarkStart w:id="1627" w:name="__RefHeading___Toc3972339_1067777946"/>
      <w:bookmarkStart w:id="1628" w:name="_Toc677"/>
      <w:bookmarkEnd w:id="1627"/>
      <w:r>
        <w:rPr/>
        <w:t>4</w:t>
      </w:r>
      <w:r>
        <w:rPr>
          <w:rtl w:val="true"/>
        </w:rPr>
        <w:t xml:space="preserve">. </w:t>
      </w:r>
      <w:r>
        <w:rPr>
          <w:rtl w:val="true"/>
        </w:rPr>
        <w:t>كيفيت ايقاع حدّ زنا</w:t>
      </w:r>
      <w:bookmarkEnd w:id="1628"/>
    </w:p>
    <w:p>
      <w:pPr>
        <w:pStyle w:val="Heading5"/>
        <w:numPr>
          <w:ilvl w:val="4"/>
          <w:numId w:val="1"/>
        </w:numPr>
        <w:rPr/>
      </w:pPr>
      <w:bookmarkStart w:id="1629" w:name="__RefHeading___Toc3972341_1067777946"/>
      <w:bookmarkStart w:id="1630" w:name="_Toc678"/>
      <w:bookmarkEnd w:id="1629"/>
      <w:r>
        <w:rPr>
          <w:rtl w:val="true"/>
        </w:rPr>
        <w:t>جمع دو حدّ در يك نفر</w:t>
      </w:r>
      <w:bookmarkEnd w:id="1630"/>
    </w:p>
    <w:p>
      <w:pPr>
        <w:pStyle w:val="BookText"/>
        <w:rPr/>
      </w:pPr>
      <w:r>
        <w:rPr>
          <w:rFonts w:ascii="IRNazanin" w:hAnsi="IRNazanin" w:eastAsia="IRNazanin"/>
          <w:color w:val="111111"/>
          <w:sz w:val="28"/>
          <w:sz w:val="28"/>
          <w:szCs w:val="28"/>
          <w:rtl w:val="true"/>
          <w:lang w:bidi="fa-IR"/>
        </w:rPr>
        <w:t>اگر دو حدّ جمع شد در شخصى، ابتدا مى شود به آن چه فوت نمى شود ديگرى مثل جلد با رجم؛ و اگر يكى مفوّت ديگرى نيست مخيّر است حاكم مثل حد زناى غير محصن و قذف، و محتمل است تقديم حق الناس با مطالبۀ تقديم و انحصار تخيير به صورت تساوى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رجم بعد از جلد بدون انتظار 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حفر و دفن براى رجم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صورت ثبوت زنا با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بستن لُنگ از مرد و تا سينۀ زن</w:t>
      </w:r>
      <w:r>
        <w:rPr>
          <w:rFonts w:eastAsia="IRNazanin" w:cs="IRNazanin"/>
          <w:color w:val="111111"/>
          <w:sz w:val="28"/>
          <w:szCs w:val="28"/>
          <w:rtl w:val="true"/>
          <w:lang w:bidi="fa-IR"/>
        </w:rPr>
        <w:t>.</w:t>
      </w:r>
    </w:p>
    <w:p>
      <w:pPr>
        <w:pStyle w:val="Heading5"/>
        <w:numPr>
          <w:ilvl w:val="4"/>
          <w:numId w:val="1"/>
        </w:numPr>
        <w:rPr/>
      </w:pPr>
      <w:bookmarkStart w:id="1631" w:name="__RefHeading___Toc3972343_1067777946"/>
      <w:bookmarkStart w:id="1632" w:name="_Toc679"/>
      <w:bookmarkEnd w:id="1631"/>
      <w:r>
        <w:rPr>
          <w:rtl w:val="true"/>
        </w:rPr>
        <w:t>فرار مرجوم</w:t>
      </w:r>
      <w:bookmarkEnd w:id="1632"/>
    </w:p>
    <w:p>
      <w:pPr>
        <w:pStyle w:val="BookText"/>
        <w:rPr/>
      </w:pPr>
      <w:r>
        <w:rPr>
          <w:rFonts w:ascii="IRNazanin" w:hAnsi="IRNazanin" w:eastAsia="IRNazanin"/>
          <w:color w:val="111111"/>
          <w:sz w:val="28"/>
          <w:sz w:val="28"/>
          <w:szCs w:val="28"/>
          <w:rtl w:val="true"/>
          <w:lang w:bidi="fa-IR"/>
        </w:rPr>
        <w:t xml:space="preserve">اگر فرار كرد مرجوم قبل از تكميل رجم، از محل دفن، پس اگر با اقرار ثابت شده بود زنا، اعاده و تكميل نمى شود؛ و اگر با بيّنه ثابت شده بوده، اعاده و تكميل مى شود اگر چه چيزى از سنگها بر او واقع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 جلد باشد، اعاده مى شود مطلقاً بنا بر اظهر</w:t>
      </w:r>
      <w:r>
        <w:rPr>
          <w:rFonts w:eastAsia="IRNazanin" w:cs="IRNazanin"/>
          <w:color w:val="111111"/>
          <w:sz w:val="28"/>
          <w:szCs w:val="28"/>
          <w:rtl w:val="true"/>
          <w:lang w:bidi="fa-IR"/>
        </w:rPr>
        <w:t>.</w:t>
      </w:r>
    </w:p>
    <w:p>
      <w:pPr>
        <w:pStyle w:val="Heading5"/>
        <w:numPr>
          <w:ilvl w:val="4"/>
          <w:numId w:val="1"/>
        </w:numPr>
        <w:rPr/>
      </w:pPr>
      <w:bookmarkStart w:id="1633" w:name="__RefHeading___Toc3972345_1067777946"/>
      <w:bookmarkStart w:id="1634" w:name="_Toc680"/>
      <w:bookmarkEnd w:id="1633"/>
      <w:r>
        <w:rPr>
          <w:rtl w:val="true"/>
        </w:rPr>
        <w:t>احوطيّت ابتداى شهود بر رجم</w:t>
      </w:r>
      <w:bookmarkEnd w:id="163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احوط در رجم زانى با ثبوت آن با بيّنه، ابتداى شهود است به رجم قبل از حاكم و </w:t>
      </w:r>
      <w:bookmarkStart w:id="1635" w:name="pg10275_96647"/>
    </w:p>
    <w:p>
      <w:pPr>
        <w:pStyle w:val="BookText"/>
        <w:rPr/>
      </w:pPr>
      <w:bookmarkEnd w:id="1635"/>
      <w:r>
        <w:rPr>
          <w:rFonts w:ascii="Amiri" w:hAnsi="Amiri" w:eastAsia="Amiri" w:cs="Amiri"/>
          <w:color w:val="111111"/>
          <w:sz w:val="28"/>
          <w:sz w:val="28"/>
          <w:szCs w:val="28"/>
          <w:rtl w:val="true"/>
          <w:lang w:bidi="ar-SA"/>
        </w:rPr>
        <w:t>مردم، و ابتداى حاكم است بر مردم؛ و در ثابت با اقرار، ابتداى حاكم است بر مردم در رجم</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3972347_1067777946"/>
      <w:bookmarkStart w:id="1637" w:name="_Toc681"/>
      <w:bookmarkEnd w:id="1636"/>
      <w:r>
        <w:rPr>
          <w:rtl w:val="true"/>
        </w:rPr>
        <w:t>احوطيّت حضور شهود</w:t>
      </w:r>
      <w:bookmarkEnd w:id="1637"/>
    </w:p>
    <w:p>
      <w:pPr>
        <w:pStyle w:val="BookText"/>
        <w:rPr/>
      </w:pPr>
      <w:r>
        <w:rPr>
          <w:rFonts w:ascii="IRNazanin" w:hAnsi="IRNazanin" w:eastAsia="IRNazanin"/>
          <w:color w:val="111111"/>
          <w:sz w:val="28"/>
          <w:sz w:val="28"/>
          <w:szCs w:val="28"/>
          <w:rtl w:val="true"/>
          <w:lang w:bidi="fa-IR"/>
        </w:rPr>
        <w:t xml:space="preserve">و حضور شهود و بدء آنها بلكه حضور طايفۀ از مؤمنين كه اقل آنها سه نفر مرد باشد، براى اقامۀ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ثابت به اقرار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اعلام مردم براى حضور در وقت اقامۀ حدّ زنا</w:t>
      </w:r>
      <w:r>
        <w:rPr>
          <w:rFonts w:eastAsia="IRNazanin" w:cs="IRNazanin"/>
          <w:color w:val="111111"/>
          <w:sz w:val="28"/>
          <w:szCs w:val="28"/>
          <w:rtl w:val="true"/>
          <w:lang w:bidi="fa-IR"/>
        </w:rPr>
        <w:t>.</w:t>
      </w:r>
    </w:p>
    <w:p>
      <w:pPr>
        <w:pStyle w:val="Heading5"/>
        <w:numPr>
          <w:ilvl w:val="4"/>
          <w:numId w:val="1"/>
        </w:numPr>
        <w:rPr/>
      </w:pPr>
      <w:bookmarkStart w:id="1638" w:name="__RefHeading___Toc3972349_1067777946"/>
      <w:bookmarkStart w:id="1639" w:name="_Toc682"/>
      <w:bookmarkEnd w:id="1638"/>
      <w:r>
        <w:rPr>
          <w:rtl w:val="true"/>
        </w:rPr>
        <w:t>چند مستحب و مكروه در مقام</w:t>
      </w:r>
      <w:bookmarkEnd w:id="1639"/>
    </w:p>
    <w:p>
      <w:pPr>
        <w:pStyle w:val="BookText"/>
        <w:rPr/>
      </w:pPr>
      <w:r>
        <w:rPr>
          <w:rFonts w:ascii="IRNazanin" w:hAnsi="IRNazanin" w:eastAsia="IRNazanin"/>
          <w:color w:val="111111"/>
          <w:sz w:val="28"/>
          <w:sz w:val="28"/>
          <w:szCs w:val="28"/>
          <w:rtl w:val="true"/>
          <w:lang w:bidi="fa-IR"/>
        </w:rPr>
        <w:t>و مستحب است كه سنگها معتدل باشد در صغر و كبر، بلكه طرفين اعتدال، خالى از اشكال در اين مقام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مكروه است اقامۀ حدّ براى كسى كه بر او حدّى ثابت است و توبه اى كه مسقط حدّ باشد از او محقق نشده باشد، در صورت تحقق واجب بدون شركت او در فعل</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3972351_1067777946"/>
      <w:bookmarkStart w:id="1641" w:name="_Toc683"/>
      <w:bookmarkEnd w:id="1640"/>
      <w:r>
        <w:rPr>
          <w:rtl w:val="true"/>
        </w:rPr>
        <w:t>دفن و احكام مرجوم</w:t>
      </w:r>
      <w:bookmarkEnd w:id="1641"/>
    </w:p>
    <w:p>
      <w:pPr>
        <w:pStyle w:val="BookText"/>
        <w:rPr/>
      </w:pPr>
      <w:r>
        <w:rPr>
          <w:rFonts w:ascii="IRNazanin" w:hAnsi="IRNazanin" w:eastAsia="IRNazanin"/>
          <w:color w:val="111111"/>
          <w:sz w:val="28"/>
          <w:sz w:val="28"/>
          <w:szCs w:val="28"/>
          <w:rtl w:val="true"/>
          <w:lang w:bidi="fa-IR"/>
        </w:rPr>
        <w:t xml:space="preserve">و بعد از فراغ از رجم، دفن مى نمايند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مذكور در محلش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تغسيل و تكفين و تحنيط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رجم، اين اعمال به جا آورده نباشد، به نحوى كه در استحباب و وجوب در كتاب طهارت مذكور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بر او بعد از رجم و قبل از دفن</w:t>
      </w:r>
      <w:r>
        <w:rPr>
          <w:rFonts w:eastAsia="IRNazanin" w:cs="IRNazanin"/>
          <w:color w:val="111111"/>
          <w:sz w:val="28"/>
          <w:szCs w:val="28"/>
          <w:rtl w:val="true"/>
          <w:lang w:bidi="fa-IR"/>
        </w:rPr>
        <w:t>.</w:t>
      </w:r>
    </w:p>
    <w:p>
      <w:pPr>
        <w:pStyle w:val="Heading5"/>
        <w:numPr>
          <w:ilvl w:val="4"/>
          <w:numId w:val="1"/>
        </w:numPr>
        <w:rPr/>
      </w:pPr>
      <w:bookmarkStart w:id="1642" w:name="__RefHeading___Toc3972353_1067777946"/>
      <w:bookmarkStart w:id="1643" w:name="_Toc684"/>
      <w:bookmarkEnd w:id="1642"/>
      <w:r>
        <w:rPr>
          <w:rtl w:val="true"/>
        </w:rPr>
        <w:t>برهنه كردن مرد براى تازيانه</w:t>
      </w:r>
      <w:bookmarkEnd w:id="164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برهنه كردن مرد براى تازيانه مگر آن كه معلوم باشد كه در حال زنا چه لباسى داشته كه قابل جلد و تأثير آن باشد، و ضرب به اشدّ آن با محافظت بر ترك قتل، و تفريق ضرب بر تمام بدن غير از سر و صورت و آلت رجوليت، و اين كه مرد را در حال قيام او جلد نمايند و زن را بنشانند و ببندند با رخت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در كيفيت جلد زانى و زانيه؛ و بعضى از آداب و بعضى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bookmarkStart w:id="1644" w:name="pg10275_96648"/>
    </w:p>
    <w:p>
      <w:pPr>
        <w:pStyle w:val="Heading4"/>
        <w:numPr>
          <w:ilvl w:val="3"/>
          <w:numId w:val="1"/>
        </w:numPr>
        <w:rPr/>
      </w:pPr>
      <w:bookmarkStart w:id="1645" w:name="__RefHeading___Toc3972355_1067777946"/>
      <w:bookmarkStart w:id="1646" w:name="_Toc685"/>
      <w:bookmarkEnd w:id="1644"/>
      <w:bookmarkEnd w:id="1645"/>
      <w:r>
        <w:rPr>
          <w:rtl w:val="true"/>
        </w:rPr>
        <w:t>چند مسأله</w:t>
      </w:r>
      <w:bookmarkEnd w:id="1646"/>
    </w:p>
    <w:p>
      <w:pPr>
        <w:pStyle w:val="Heading5"/>
        <w:numPr>
          <w:ilvl w:val="4"/>
          <w:numId w:val="1"/>
        </w:numPr>
        <w:rPr/>
      </w:pPr>
      <w:bookmarkStart w:id="1647" w:name="__RefHeading___Toc3972357_1067777946"/>
      <w:bookmarkStart w:id="1648" w:name="_Toc686"/>
      <w:bookmarkEnd w:id="1647"/>
      <w:r>
        <w:rPr>
          <w:rtl w:val="true"/>
        </w:rPr>
        <w:t>شهادت بر زنا و ادّعاى بكارت توسط زن</w:t>
      </w:r>
      <w:bookmarkEnd w:id="1648"/>
    </w:p>
    <w:p>
      <w:pPr>
        <w:pStyle w:val="Heading6"/>
        <w:numPr>
          <w:ilvl w:val="5"/>
          <w:numId w:val="1"/>
        </w:numPr>
        <w:rPr/>
      </w:pPr>
      <w:bookmarkStart w:id="1649" w:name="__RefHeading___Toc3972359_1067777946"/>
      <w:bookmarkStart w:id="1650" w:name="_Toc687"/>
      <w:bookmarkEnd w:id="1649"/>
      <w:r>
        <w:rPr>
          <w:rtl w:val="true"/>
        </w:rPr>
        <w:t>اشاره</w:t>
      </w:r>
      <w:bookmarkEnd w:id="1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چهار نفر عادل شهادت دادند به زناى زنى، پس ادّعاى بكارت كرد پس چهار زن عادله شهادت به بكارت او دادند، بر آن زن حد اقامه نمى شود در صورت شهادت به زنا در قُبُل يا آن كه استظهار بشود از اطلاق، ارادۀ زنا در قُبل؛ و اگر تصريح به زنا در دُبُر كردند حد جارى مى نمايند، و اگر مانعى از استظهار زنا در قُبل، در كلام آنها بود، حدّ جارى مى شود، به واسطۀ عدم منافات با بكارت ثابته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شبهه اى در بارۀ شهود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كه حدّ بر مشهودٌ عليها جارى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جزم آنها به علامات مخالف واقع شده باشد، اگر چه بر سبيل احتمال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در اداى شهادت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شهود هم حدّ قذف اقامه مى شود</w:t>
      </w:r>
      <w:r>
        <w:rPr>
          <w:rFonts w:eastAsia="IRNazanin" w:cs="IRNazanin"/>
          <w:color w:val="111111"/>
          <w:sz w:val="28"/>
          <w:szCs w:val="28"/>
          <w:rtl w:val="true"/>
          <w:lang w:bidi="fa-IR"/>
        </w:rPr>
        <w:t>.</w:t>
      </w:r>
    </w:p>
    <w:p>
      <w:pPr>
        <w:pStyle w:val="Heading6"/>
        <w:numPr>
          <w:ilvl w:val="5"/>
          <w:numId w:val="1"/>
        </w:numPr>
        <w:rPr/>
      </w:pPr>
      <w:bookmarkStart w:id="1651" w:name="__RefHeading___Toc3972361_1067777946"/>
      <w:bookmarkStart w:id="1652" w:name="_Toc688"/>
      <w:bookmarkEnd w:id="1651"/>
      <w:r>
        <w:rPr>
          <w:rtl w:val="true"/>
        </w:rPr>
        <w:t>چند فرع</w:t>
      </w:r>
      <w:bookmarkEnd w:id="1652"/>
    </w:p>
    <w:p>
      <w:pPr>
        <w:pStyle w:val="BookText"/>
        <w:rPr/>
      </w:pPr>
      <w:r>
        <w:rPr>
          <w:rFonts w:ascii="IRNazanin" w:hAnsi="IRNazanin" w:eastAsia="IRNazanin"/>
          <w:color w:val="111111"/>
          <w:sz w:val="28"/>
          <w:sz w:val="28"/>
          <w:szCs w:val="28"/>
          <w:rtl w:val="true"/>
          <w:lang w:bidi="fa-IR"/>
        </w:rPr>
        <w:t>و اگر شهادت به زناى مرد در قُبل زن دادند، ردّ مى شود شهادت به زنا در طرفين، به سبب شهادت چهار زن به بكارت مشهودٌ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شهادت دادند در بارۀ هر دو به زنا، و ثابت شد كه مرد مجبوب بوده است، حدّ بر هيچ كدام جارى نمى شود، و حدّ افتراى بر شهود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اى نباشد مثل حصول علم به سبب جزم به سلامت مرد كه خلاف واقع 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زنها شهادت دادند به اين كه زن قابل وطى نبوده در وقت ادّعاى زنا در آن وقت، كه ساقط است حدّ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شهود هم در موارد شبهه از طريق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علم حاصل شود به مجبوب بودن مرد، يا رتقا بودن و شهادت به زنا در قُبل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موارد تعارض بينتين كه موجب تساقط و شبهه مى شود، بر آنها حدّ جارى نمى شود</w:t>
      </w:r>
      <w:r>
        <w:rPr>
          <w:rFonts w:eastAsia="IRNazanin" w:cs="IRNazanin"/>
          <w:color w:val="111111"/>
          <w:sz w:val="28"/>
          <w:szCs w:val="28"/>
          <w:rtl w:val="true"/>
          <w:lang w:bidi="fa-IR"/>
        </w:rPr>
        <w:t xml:space="preserve">. </w:t>
      </w:r>
      <w:bookmarkStart w:id="1653" w:name="pg10275_96651"/>
    </w:p>
    <w:p>
      <w:pPr>
        <w:pStyle w:val="Heading5"/>
        <w:numPr>
          <w:ilvl w:val="4"/>
          <w:numId w:val="1"/>
        </w:numPr>
        <w:rPr/>
      </w:pPr>
      <w:bookmarkStart w:id="1654" w:name="__RefHeading___Toc3972363_1067777946"/>
      <w:bookmarkStart w:id="1655" w:name="_Toc689"/>
      <w:bookmarkEnd w:id="1653"/>
      <w:bookmarkEnd w:id="1654"/>
      <w:r>
        <w:rPr>
          <w:rtl w:val="true"/>
        </w:rPr>
        <w:t>عدم اناطۀ اجراى حدّ بر حضور شهود</w:t>
      </w:r>
      <w:bookmarkEnd w:id="16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شهود، شرط اقامۀ حدّ نيست به طورى كه اگر حاضر نبودند ساقط بشود، اگر چه ابتداى آنها بر تقدير حضور بلكه نفس حضور آنها براى اين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احتياط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گذشت در آن چه ثابت به بيّنه است، و حضور حاكم در آن چه ثابت به اقرار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شهود وفات نمايند يا به سببى غيبت نمايند تأخير در اقامۀ حدّ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فرار نمايند و موجب حدوث شبهه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احتمال رجوع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اقامه مى شود تا حضور، و بر تقدير يأس ساقط مى شود به حسب ظاهر</w:t>
      </w:r>
      <w:r>
        <w:rPr>
          <w:rFonts w:eastAsia="IRNazanin" w:cs="IRNazanin"/>
          <w:color w:val="111111"/>
          <w:sz w:val="28"/>
          <w:szCs w:val="28"/>
          <w:rtl w:val="true"/>
          <w:lang w:bidi="fa-IR"/>
        </w:rPr>
        <w:t>.</w:t>
      </w:r>
    </w:p>
    <w:p>
      <w:pPr>
        <w:pStyle w:val="Heading5"/>
        <w:numPr>
          <w:ilvl w:val="4"/>
          <w:numId w:val="1"/>
        </w:numPr>
        <w:rPr/>
      </w:pPr>
      <w:bookmarkStart w:id="1656" w:name="__RefHeading___Toc3972365_1067777946"/>
      <w:bookmarkStart w:id="1657" w:name="_Toc690"/>
      <w:bookmarkEnd w:id="1656"/>
      <w:r>
        <w:rPr>
          <w:rtl w:val="true"/>
        </w:rPr>
        <w:t>حكم قبول شهادت زوج به زناى زوجه</w:t>
      </w:r>
      <w:bookmarkEnd w:id="16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در قبول شهادت زوج به زناى زوجه و عدم آن، مذكور در كتاب شهادات و لعان است</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3972367_1067777946"/>
      <w:bookmarkStart w:id="1659" w:name="_Toc691"/>
      <w:bookmarkEnd w:id="1658"/>
      <w:r>
        <w:rPr>
          <w:rtl w:val="true"/>
        </w:rPr>
        <w:t>كفايت علم حاكم در اجراى حدّ بر حقوق الهيّه</w:t>
      </w:r>
      <w:bookmarkEnd w:id="16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حاكم به مقدمات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او، كافى در وجوب اقامۀ حدّ است در حقوق اللّٰه مثل زنا و لواط؛ و اما حقوق الناس مثل قذف و مطلق قصاص پس اقامۀ حدّ موقوف به مطالبۀ مستحِق است</w:t>
      </w:r>
      <w:r>
        <w:rPr>
          <w:rFonts w:eastAsia="IRNazanin" w:cs="IRNazanin"/>
          <w:color w:val="111111"/>
          <w:sz w:val="28"/>
          <w:szCs w:val="28"/>
          <w:rtl w:val="true"/>
          <w:lang w:bidi="fa-IR"/>
        </w:rPr>
        <w:t>.</w:t>
      </w:r>
    </w:p>
    <w:p>
      <w:pPr>
        <w:pStyle w:val="Heading5"/>
        <w:numPr>
          <w:ilvl w:val="4"/>
          <w:numId w:val="1"/>
        </w:numPr>
        <w:rPr/>
      </w:pPr>
      <w:bookmarkStart w:id="1660" w:name="__RefHeading___Toc3972369_1067777946"/>
      <w:bookmarkStart w:id="1661" w:name="_Toc692"/>
      <w:bookmarkEnd w:id="1660"/>
      <w:r>
        <w:rPr>
          <w:rtl w:val="true"/>
        </w:rPr>
        <w:t>جواز قتل زوجۀ زانيه و زانى براى زوج عالم به زنا از طريق مشاهده</w:t>
      </w:r>
      <w:bookmarkEnd w:id="16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عالم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زناى اجنبى با زن او،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قتل هر دو، در هر قسمى از اقسام زنا و در هر قسم از زوجيت كه باشد؛ و به حسب حكم ظاهر، بر او قصاص است تا ثابت نمايد با بيّنه يا تصديق ولىّ بر اين كه قتل از روى استحقاق واقعى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جريان امر در صورت قيام بيّنه بر زنا يا اقرار، اشكال است، و منع، اقرب است</w:t>
      </w:r>
      <w:r>
        <w:rPr>
          <w:rFonts w:eastAsia="IRNazanin" w:cs="IRNazanin"/>
          <w:color w:val="111111"/>
          <w:sz w:val="28"/>
          <w:szCs w:val="28"/>
          <w:rtl w:val="true"/>
          <w:lang w:bidi="fa-IR"/>
        </w:rPr>
        <w:t>.</w:t>
      </w:r>
      <w:bookmarkStart w:id="1662" w:name="pg10275_96653"/>
    </w:p>
    <w:p>
      <w:pPr>
        <w:pStyle w:val="Heading5"/>
        <w:numPr>
          <w:ilvl w:val="4"/>
          <w:numId w:val="1"/>
        </w:numPr>
        <w:rPr/>
      </w:pPr>
      <w:bookmarkStart w:id="1663" w:name="__RefHeading___Toc3972371_1067777946"/>
      <w:bookmarkStart w:id="1664" w:name="_Toc693"/>
      <w:bookmarkEnd w:id="1662"/>
      <w:bookmarkEnd w:id="1663"/>
      <w:r>
        <w:rPr>
          <w:rtl w:val="true"/>
        </w:rPr>
        <w:t>ازاله بكارت با اصبع</w:t>
      </w:r>
      <w:bookmarkEnd w:id="16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انگشت خود بكارت حرّه اى را ازاله نمود، مهر المثل بر او لازم مى شود و تعزير مى شود؛ و اگر كنيز غير باشد عشر قيمت او بر او ثابت است؛ و اگر زوج باشد فعل حرام نموده و تعزير مى شود، و كلام در استقرار مسمّاى مذكور در نكاح است</w:t>
      </w:r>
      <w:r>
        <w:rPr>
          <w:rFonts w:eastAsia="IRNazanin" w:cs="IRNazanin"/>
          <w:color w:val="111111"/>
          <w:sz w:val="28"/>
          <w:szCs w:val="28"/>
          <w:rtl w:val="true"/>
          <w:lang w:bidi="fa-IR"/>
        </w:rPr>
        <w:t>.</w:t>
      </w:r>
    </w:p>
    <w:p>
      <w:pPr>
        <w:pStyle w:val="Heading5"/>
        <w:numPr>
          <w:ilvl w:val="4"/>
          <w:numId w:val="1"/>
        </w:numPr>
        <w:rPr/>
      </w:pPr>
      <w:bookmarkStart w:id="1665" w:name="__RefHeading___Toc3972373_1067777946"/>
      <w:bookmarkStart w:id="1666" w:name="_Toc694"/>
      <w:bookmarkEnd w:id="1665"/>
      <w:r>
        <w:rPr>
          <w:rtl w:val="true"/>
        </w:rPr>
        <w:t>ازدواج با كنيز و وطى بدون اذن</w:t>
      </w:r>
      <w:bookmarkEnd w:id="166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ازدواج كرد با كنيزى، بر حرّۀ مسلمان، و وطى نمود قبل از اذن، پس در صورت صحت نكاح به لحوق اذن عقد و وطى را، تعزير مى شود به ثُمن حدّ زانى،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تازيانه</w:t>
      </w:r>
      <w:r>
        <w:rPr>
          <w:rFonts w:eastAsia="IRNazanin" w:cs="IRNazanin"/>
          <w:color w:val="111111"/>
          <w:sz w:val="28"/>
          <w:szCs w:val="28"/>
          <w:rtl w:val="true"/>
          <w:lang w:bidi="fa-IR"/>
        </w:rPr>
        <w:t>.</w:t>
      </w:r>
    </w:p>
    <w:p>
      <w:pPr>
        <w:pStyle w:val="Heading5"/>
        <w:numPr>
          <w:ilvl w:val="4"/>
          <w:numId w:val="1"/>
        </w:numPr>
        <w:rPr/>
      </w:pPr>
      <w:bookmarkStart w:id="1667" w:name="__RefHeading___Toc3972375_1067777946"/>
      <w:bookmarkStart w:id="1668" w:name="_Toc695"/>
      <w:bookmarkEnd w:id="1667"/>
      <w:r>
        <w:rPr>
          <w:rtl w:val="true"/>
        </w:rPr>
        <w:t>تزويج كنيز و وطى آن با علم به تحريم</w:t>
      </w:r>
      <w:bookmarkEnd w:id="166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تزويج كرد كنيز خود را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عبد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وطى كرد با علم به تحريم، حدّ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يا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اقامه مى شود</w:t>
      </w:r>
      <w:r>
        <w:rPr>
          <w:rFonts w:eastAsia="IRNazanin" w:cs="IRNazanin"/>
          <w:color w:val="111111"/>
          <w:sz w:val="28"/>
          <w:szCs w:val="28"/>
          <w:rtl w:val="true"/>
          <w:lang w:bidi="fa-IR"/>
        </w:rPr>
        <w:t>.</w:t>
      </w:r>
      <w:bookmarkStart w:id="1669" w:name="pg10275_96655"/>
    </w:p>
    <w:p>
      <w:pPr>
        <w:pStyle w:val="Heading3"/>
        <w:numPr>
          <w:ilvl w:val="2"/>
          <w:numId w:val="1"/>
        </w:numPr>
        <w:rPr/>
      </w:pPr>
      <w:bookmarkStart w:id="1670" w:name="__RefHeading___Toc3972377_1067777946"/>
      <w:bookmarkStart w:id="1671" w:name="_Toc696"/>
      <w:bookmarkEnd w:id="1669"/>
      <w:bookmarkEnd w:id="1670"/>
      <w:r>
        <w:rPr>
          <w:rtl w:val="true"/>
        </w:rPr>
        <w:t>فصل دوم لواط، مساحقه و قيادت</w:t>
      </w:r>
      <w:bookmarkEnd w:id="1671"/>
    </w:p>
    <w:p>
      <w:pPr>
        <w:pStyle w:val="Heading4"/>
        <w:numPr>
          <w:ilvl w:val="3"/>
          <w:numId w:val="1"/>
        </w:numPr>
        <w:rPr/>
      </w:pPr>
      <w:bookmarkStart w:id="1672" w:name="__RefHeading___Toc3972379_1067777946"/>
      <w:bookmarkStart w:id="1673" w:name="_Toc697"/>
      <w:bookmarkEnd w:id="1672"/>
      <w:r>
        <w:rPr/>
        <w:t>1</w:t>
      </w:r>
      <w:r>
        <w:rPr>
          <w:rtl w:val="true"/>
        </w:rPr>
        <w:t xml:space="preserve">. </w:t>
      </w:r>
      <w:r>
        <w:rPr>
          <w:rtl w:val="true"/>
        </w:rPr>
        <w:t>لواط</w:t>
      </w:r>
      <w:bookmarkEnd w:id="1673"/>
    </w:p>
    <w:p>
      <w:pPr>
        <w:pStyle w:val="Heading5"/>
        <w:numPr>
          <w:ilvl w:val="4"/>
          <w:numId w:val="1"/>
        </w:numPr>
        <w:rPr/>
      </w:pPr>
      <w:bookmarkStart w:id="1674" w:name="__RefHeading___Toc3972381_1067777946"/>
      <w:bookmarkStart w:id="1675" w:name="_Toc698"/>
      <w:bookmarkEnd w:id="1674"/>
      <w:r>
        <w:rPr>
          <w:rtl w:val="true"/>
        </w:rPr>
        <w:t>اشاره</w:t>
      </w:r>
      <w:bookmarkEnd w:id="1675"/>
    </w:p>
    <w:p>
      <w:pPr>
        <w:pStyle w:val="BookText"/>
        <w:rPr/>
      </w:pPr>
      <w:r>
        <w:rPr>
          <w:rFonts w:ascii="IRNazanin" w:hAnsi="IRNazanin" w:eastAsia="IRNazanin"/>
          <w:color w:val="111111"/>
          <w:sz w:val="28"/>
          <w:sz w:val="28"/>
          <w:szCs w:val="28"/>
          <w:rtl w:val="true"/>
          <w:lang w:bidi="fa-IR"/>
        </w:rPr>
        <w:t>لواط محقق مى شود به ادخال مرد تمام حشفه را در دُبر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ادخال بعض حشفه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غسل نيست اگر چه موجب تحريم مصاهرت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يعنى در ثبوت حدّ، كه اظهر عدم فرق در آن بين زنا و لواط است و بر آن نقل اتفاق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نه در حرمت كه در تفخيذ هم ثابت است به طورى كه اطلاق لواط بر آن و مثل آن در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لواط از ضروريات 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نمى شود لواط مگر با چهار مرتبه اقرار، يا شهادت چهار مرد عادل بر معاينه آن مثل آن چه گذشت در زنا،</w:t>
      </w:r>
    </w:p>
    <w:p>
      <w:pPr>
        <w:pStyle w:val="Heading5"/>
        <w:numPr>
          <w:ilvl w:val="4"/>
          <w:numId w:val="1"/>
        </w:numPr>
        <w:rPr/>
      </w:pPr>
      <w:bookmarkStart w:id="1676" w:name="__RefHeading___Toc3972383_1067777946"/>
      <w:bookmarkStart w:id="1677" w:name="_Toc699"/>
      <w:bookmarkEnd w:id="1676"/>
      <w:r>
        <w:rPr>
          <w:rtl w:val="true"/>
        </w:rPr>
        <w:t>شرايط مُقرّ</w:t>
      </w:r>
      <w:bookmarkEnd w:id="1677"/>
    </w:p>
    <w:p>
      <w:pPr>
        <w:pStyle w:val="BookText"/>
        <w:rPr/>
      </w:pPr>
      <w:r>
        <w:rPr>
          <w:rFonts w:ascii="IRNazanin" w:hAnsi="IRNazanin" w:eastAsia="IRNazanin"/>
          <w:color w:val="111111"/>
          <w:sz w:val="28"/>
          <w:sz w:val="28"/>
          <w:szCs w:val="28"/>
          <w:rtl w:val="true"/>
          <w:lang w:bidi="fa-IR"/>
        </w:rPr>
        <w:t>و لازم است در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كمال عقل و حرّيت و اختيار، در طرف فاعل و مفعول؛ و در كمتر از چهار مرتبه حدّ نيست و تعزير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اعتبار به اقرار صبى و مجنون و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مكرَه نيست</w:t>
      </w:r>
      <w:r>
        <w:rPr>
          <w:rFonts w:eastAsia="IRNazanin" w:cs="IRNazanin"/>
          <w:color w:val="111111"/>
          <w:sz w:val="28"/>
          <w:szCs w:val="28"/>
          <w:rtl w:val="true"/>
          <w:lang w:bidi="fa-IR"/>
        </w:rPr>
        <w:t>.</w:t>
      </w:r>
    </w:p>
    <w:p>
      <w:pPr>
        <w:pStyle w:val="Heading5"/>
        <w:numPr>
          <w:ilvl w:val="4"/>
          <w:numId w:val="1"/>
        </w:numPr>
        <w:rPr/>
      </w:pPr>
      <w:bookmarkStart w:id="1678" w:name="__RefHeading___Toc3972385_1067777946"/>
      <w:bookmarkStart w:id="1679" w:name="_Toc700"/>
      <w:bookmarkEnd w:id="1678"/>
      <w:r>
        <w:rPr>
          <w:rtl w:val="true"/>
        </w:rPr>
        <w:t>اقتصار بر شهادت مردها</w:t>
      </w:r>
      <w:bookmarkEnd w:id="167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غير چهار مرد در لواط كافى نيست، اگر چه فى الجمله در زنا ثابت است </w:t>
      </w:r>
      <w:bookmarkStart w:id="1680" w:name="pg10275_96657"/>
    </w:p>
    <w:p>
      <w:pPr>
        <w:pStyle w:val="BookText"/>
        <w:rPr/>
      </w:pPr>
      <w:bookmarkEnd w:id="1680"/>
      <w:r>
        <w:rPr>
          <w:rFonts w:ascii="IRNazanin" w:hAnsi="IRNazanin" w:eastAsia="IRNazanin"/>
          <w:color w:val="111111"/>
          <w:sz w:val="28"/>
          <w:sz w:val="28"/>
          <w:szCs w:val="28"/>
          <w:rtl w:val="true"/>
          <w:lang w:bidi="fa-IR"/>
        </w:rPr>
        <w:t>چنان چه گذشت؛ و اگر كمتر از عدد شهادت دادند حدّ افتراى بر آنها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علم حاكم از بيّنه و اقرار در اين مقام، يكى از دو وجه است</w:t>
      </w:r>
      <w:r>
        <w:rPr>
          <w:rFonts w:eastAsia="IRNazanin" w:cs="IRNazanin"/>
          <w:color w:val="111111"/>
          <w:sz w:val="28"/>
          <w:szCs w:val="28"/>
          <w:rtl w:val="true"/>
          <w:lang w:bidi="fa-IR"/>
        </w:rPr>
        <w:t>.</w:t>
      </w:r>
    </w:p>
    <w:p>
      <w:pPr>
        <w:pStyle w:val="Heading5"/>
        <w:numPr>
          <w:ilvl w:val="4"/>
          <w:numId w:val="1"/>
        </w:numPr>
        <w:rPr/>
      </w:pPr>
      <w:bookmarkStart w:id="1681" w:name="__RefHeading___Toc3972387_1067777946"/>
      <w:bookmarkStart w:id="1682" w:name="_Toc701"/>
      <w:bookmarkEnd w:id="1681"/>
      <w:r>
        <w:rPr>
          <w:rtl w:val="true"/>
        </w:rPr>
        <w:t>حكم ايقاب</w:t>
      </w:r>
      <w:bookmarkEnd w:id="1682"/>
    </w:p>
    <w:p>
      <w:pPr>
        <w:pStyle w:val="BookText"/>
        <w:rPr/>
      </w:pPr>
      <w:r>
        <w:rPr>
          <w:rFonts w:ascii="IRNazanin" w:hAnsi="IRNazanin" w:eastAsia="IRNazanin"/>
          <w:color w:val="111111"/>
          <w:sz w:val="28"/>
          <w:sz w:val="28"/>
          <w:szCs w:val="28"/>
          <w:rtl w:val="true"/>
          <w:lang w:bidi="fa-IR"/>
        </w:rPr>
        <w:t>و حكم ايقاب، قتل است در فاعل و مفعول در صورتى كه هر يك عاقل و بالغ و مختار باشد، چه آزاد باشد يا بنده، مسلمان باشد يا كافر، محصن باشد يا غير محصن</w:t>
      </w:r>
      <w:r>
        <w:rPr>
          <w:rFonts w:eastAsia="IRNazanin" w:cs="IRNazanin"/>
          <w:color w:val="111111"/>
          <w:sz w:val="28"/>
          <w:szCs w:val="28"/>
          <w:rtl w:val="true"/>
          <w:lang w:bidi="fa-IR"/>
        </w:rPr>
        <w:t>.</w:t>
      </w:r>
    </w:p>
    <w:p>
      <w:pPr>
        <w:pStyle w:val="Heading5"/>
        <w:numPr>
          <w:ilvl w:val="4"/>
          <w:numId w:val="1"/>
        </w:numPr>
        <w:rPr/>
      </w:pPr>
      <w:bookmarkStart w:id="1683" w:name="__RefHeading___Toc3972389_1067777946"/>
      <w:bookmarkStart w:id="1684" w:name="_Toc702"/>
      <w:bookmarkEnd w:id="1683"/>
      <w:r>
        <w:rPr>
          <w:rtl w:val="true"/>
        </w:rPr>
        <w:t>لواط با صبى</w:t>
      </w:r>
      <w:bookmarkEnd w:id="1684"/>
    </w:p>
    <w:p>
      <w:pPr>
        <w:pStyle w:val="BookText"/>
        <w:rPr/>
      </w:pPr>
      <w:r>
        <w:rPr>
          <w:rFonts w:ascii="IRNazanin" w:hAnsi="IRNazanin" w:eastAsia="IRNazanin"/>
          <w:color w:val="111111"/>
          <w:sz w:val="28"/>
          <w:sz w:val="28"/>
          <w:szCs w:val="28"/>
          <w:rtl w:val="true"/>
          <w:lang w:bidi="fa-IR"/>
        </w:rPr>
        <w:t>و اگر واجد شروط، با صبى لواط كرد، فاعل را به قتل مى رسانند و صبى را تأديب مى نمايند، و همچنين با مجنون در صورت شعور و تأثير ضرب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فاعل و مفعول هر دو صبى يا مجنون يا مختلف در آن شدند، هر دو تأديب مى شوند به نحو مذكور</w:t>
      </w:r>
      <w:r>
        <w:rPr>
          <w:rFonts w:eastAsia="IRNazanin" w:cs="IRNazanin"/>
          <w:color w:val="111111"/>
          <w:sz w:val="28"/>
          <w:szCs w:val="28"/>
          <w:rtl w:val="true"/>
          <w:lang w:bidi="fa-IR"/>
        </w:rPr>
        <w:t>.</w:t>
      </w:r>
    </w:p>
    <w:p>
      <w:pPr>
        <w:pStyle w:val="Heading5"/>
        <w:numPr>
          <w:ilvl w:val="4"/>
          <w:numId w:val="1"/>
        </w:numPr>
        <w:rPr/>
      </w:pPr>
      <w:bookmarkStart w:id="1685" w:name="__RefHeading___Toc3972391_1067777946"/>
      <w:bookmarkStart w:id="1686" w:name="_Toc703"/>
      <w:bookmarkEnd w:id="1685"/>
      <w:r>
        <w:rPr>
          <w:rtl w:val="true"/>
        </w:rPr>
        <w:t>لواط با مملوك</w:t>
      </w:r>
      <w:bookmarkEnd w:id="1686"/>
    </w:p>
    <w:p>
      <w:pPr>
        <w:pStyle w:val="BookText"/>
        <w:rPr/>
      </w:pPr>
      <w:r>
        <w:rPr>
          <w:rFonts w:ascii="IRNazanin" w:hAnsi="IRNazanin" w:eastAsia="IRNazanin"/>
          <w:color w:val="111111"/>
          <w:sz w:val="28"/>
          <w:sz w:val="28"/>
          <w:szCs w:val="28"/>
          <w:rtl w:val="true"/>
          <w:lang w:bidi="fa-IR"/>
        </w:rPr>
        <w:t>و اگر با مملوك خود لواط كرد، بر هر دو اقامۀ حدّ مى نمايند به قتل آنها در صورت ادخال، و با تازيانه تعزير مى شوند در كمتر از ادخال مگر با آن چه در غير ايقاب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مملوك، ادّعاى اكراه مولى يا غير مولاى خود را بر اين عمل نمود با امكان اكراه به حسب عادت و قرينه، از خودش حدّ ساقط است و بر فاعل، ثابت است</w:t>
      </w:r>
      <w:r>
        <w:rPr>
          <w:rFonts w:eastAsia="IRNazanin" w:cs="IRNazanin"/>
          <w:color w:val="111111"/>
          <w:sz w:val="28"/>
          <w:szCs w:val="28"/>
          <w:rtl w:val="true"/>
          <w:lang w:bidi="fa-IR"/>
        </w:rPr>
        <w:t>.</w:t>
      </w:r>
    </w:p>
    <w:p>
      <w:pPr>
        <w:pStyle w:val="Heading5"/>
        <w:numPr>
          <w:ilvl w:val="4"/>
          <w:numId w:val="1"/>
        </w:numPr>
        <w:rPr/>
      </w:pPr>
      <w:bookmarkStart w:id="1687" w:name="__RefHeading___Toc3972393_1067777946"/>
      <w:bookmarkStart w:id="1688" w:name="_Toc704"/>
      <w:bookmarkEnd w:id="1687"/>
      <w:r>
        <w:rPr>
          <w:rtl w:val="true"/>
        </w:rPr>
        <w:t>لواط مجنون با عاقل</w:t>
      </w:r>
      <w:bookmarkEnd w:id="1688"/>
    </w:p>
    <w:p>
      <w:pPr>
        <w:pStyle w:val="BookText"/>
        <w:rPr/>
      </w:pPr>
      <w:r>
        <w:rPr>
          <w:rFonts w:ascii="IRNazanin" w:hAnsi="IRNazanin" w:eastAsia="IRNazanin"/>
          <w:color w:val="111111"/>
          <w:sz w:val="28"/>
          <w:sz w:val="28"/>
          <w:szCs w:val="28"/>
          <w:rtl w:val="true"/>
          <w:lang w:bidi="fa-IR"/>
        </w:rPr>
        <w:t xml:space="preserve">اگر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مجنونى با عاقلى، اقامۀ حدّ بر عاقل مى شود نه بر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لواط كرد صبى با بالغ، تأديب مى شود صبى و اقامۀ حدّ مى شود بر بالغ مفعول</w:t>
      </w:r>
      <w:r>
        <w:rPr>
          <w:rFonts w:eastAsia="IRNazanin" w:cs="IRNazanin"/>
          <w:color w:val="111111"/>
          <w:sz w:val="28"/>
          <w:szCs w:val="28"/>
          <w:rtl w:val="true"/>
          <w:lang w:bidi="fa-IR"/>
        </w:rPr>
        <w:t>.</w:t>
      </w:r>
    </w:p>
    <w:p>
      <w:pPr>
        <w:pStyle w:val="Heading5"/>
        <w:numPr>
          <w:ilvl w:val="4"/>
          <w:numId w:val="1"/>
        </w:numPr>
        <w:rPr/>
      </w:pPr>
      <w:bookmarkStart w:id="1689" w:name="__RefHeading___Toc3972395_1067777946"/>
      <w:bookmarkStart w:id="1690" w:name="_Toc705"/>
      <w:bookmarkEnd w:id="1689"/>
      <w:r>
        <w:rPr>
          <w:rtl w:val="true"/>
        </w:rPr>
        <w:t>لواط ذمّى با مسلمان</w:t>
      </w:r>
      <w:bookmarkEnd w:id="16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لواط كرد ذمّى با مسلمان، ذمّى را به قتل مى رسانند؛ و در شمول آن به صورت عدم </w:t>
      </w:r>
      <w:bookmarkStart w:id="1691" w:name="pg10275_96659"/>
    </w:p>
    <w:p>
      <w:pPr>
        <w:pStyle w:val="BookText"/>
        <w:rPr/>
      </w:pPr>
      <w:bookmarkEnd w:id="1691"/>
      <w:r>
        <w:rPr>
          <w:rFonts w:ascii="IRNazanin" w:hAnsi="IRNazanin" w:eastAsia="IRNazanin"/>
          <w:color w:val="111111"/>
          <w:sz w:val="28"/>
          <w:sz w:val="28"/>
          <w:szCs w:val="28"/>
          <w:rtl w:val="true"/>
          <w:lang w:bidi="fa-IR"/>
        </w:rPr>
        <w:t>ايقاب تأمل است؛ و حربى اشدّ است از 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ذمّى با مثل خود لواط كرد، تخيير ثابت است براى حاكم، بين اقامۀ حدّ و دفع به اهل ملت او تا بر طبق مذهب خودشان اقامۀ حدّ نمايند</w:t>
      </w:r>
      <w:r>
        <w:rPr>
          <w:rFonts w:eastAsia="IRNazanin" w:cs="IRNazanin"/>
          <w:color w:val="111111"/>
          <w:sz w:val="28"/>
          <w:szCs w:val="28"/>
          <w:rtl w:val="true"/>
          <w:lang w:bidi="fa-IR"/>
        </w:rPr>
        <w:t>.</w:t>
      </w:r>
    </w:p>
    <w:p>
      <w:pPr>
        <w:pStyle w:val="Heading5"/>
        <w:numPr>
          <w:ilvl w:val="4"/>
          <w:numId w:val="1"/>
        </w:numPr>
        <w:rPr/>
      </w:pPr>
      <w:bookmarkStart w:id="1692" w:name="__RefHeading___Toc3972397_1067777946"/>
      <w:bookmarkStart w:id="1693" w:name="_Toc706"/>
      <w:bookmarkEnd w:id="1692"/>
      <w:r>
        <w:rPr>
          <w:rtl w:val="true"/>
        </w:rPr>
        <w:t>اثبات حكم قتل</w:t>
      </w:r>
      <w:bookmarkEnd w:id="1693"/>
    </w:p>
    <w:p>
      <w:pPr>
        <w:pStyle w:val="BookText"/>
        <w:rPr/>
      </w:pPr>
      <w:r>
        <w:rPr>
          <w:rFonts w:ascii="IRNazanin" w:hAnsi="IRNazanin" w:eastAsia="IRNazanin"/>
          <w:color w:val="111111"/>
          <w:sz w:val="28"/>
          <w:sz w:val="28"/>
          <w:szCs w:val="28"/>
          <w:rtl w:val="true"/>
          <w:lang w:bidi="fa-IR"/>
        </w:rPr>
        <w:t xml:space="preserve">گذشت محكوميت صاحب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فاعل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و بر آن نقل اجماع شده است و مؤيد است به ترك استفصال در روايات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اجماعى نباشد، تفصيل بين محصن و غير او در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مستند به روايات كثيره نيست</w:t>
      </w:r>
      <w:r>
        <w:rPr>
          <w:rFonts w:eastAsia="IRNazanin" w:cs="IRNazanin"/>
          <w:color w:val="111111"/>
          <w:sz w:val="28"/>
          <w:szCs w:val="28"/>
          <w:rtl w:val="true"/>
          <w:lang w:bidi="fa-IR"/>
        </w:rPr>
        <w:t>.</w:t>
      </w:r>
    </w:p>
    <w:p>
      <w:pPr>
        <w:pStyle w:val="Heading5"/>
        <w:numPr>
          <w:ilvl w:val="4"/>
          <w:numId w:val="1"/>
        </w:numPr>
        <w:rPr/>
      </w:pPr>
      <w:bookmarkStart w:id="1694" w:name="__RefHeading___Toc3972399_1067777946"/>
      <w:bookmarkStart w:id="1695" w:name="_Toc707"/>
      <w:bookmarkEnd w:id="1694"/>
      <w:r>
        <w:rPr>
          <w:rtl w:val="true"/>
        </w:rPr>
        <w:t>كيفيّت اقامۀ حدّ</w:t>
      </w:r>
      <w:bookmarkEnd w:id="1695"/>
    </w:p>
    <w:p>
      <w:pPr>
        <w:pStyle w:val="BookText"/>
        <w:rPr/>
      </w:pPr>
      <w:r>
        <w:rPr>
          <w:rFonts w:ascii="IRNazanin" w:hAnsi="IRNazanin" w:eastAsia="IRNazanin"/>
          <w:color w:val="111111"/>
          <w:sz w:val="28"/>
          <w:sz w:val="28"/>
          <w:szCs w:val="28"/>
          <w:rtl w:val="true"/>
          <w:lang w:bidi="fa-IR"/>
        </w:rPr>
        <w:t>و كيفيت اقامۀ حدّ لواط، تخيير امام است بين رجم و زدن با شمشير و القاى از بلندى با بستن دستها و پاها و احراق با آتش؛ و احراق بعد از قتل، مروىّ و ثابت است، پس جمع بين دو عقوبت به نحو مذكور جايز است</w:t>
      </w:r>
      <w:r>
        <w:rPr>
          <w:rFonts w:eastAsia="IRNazanin" w:cs="IRNazanin"/>
          <w:color w:val="111111"/>
          <w:sz w:val="28"/>
          <w:szCs w:val="28"/>
          <w:rtl w:val="true"/>
          <w:lang w:bidi="fa-IR"/>
        </w:rPr>
        <w:t>.</w:t>
      </w:r>
    </w:p>
    <w:p>
      <w:pPr>
        <w:pStyle w:val="Heading5"/>
        <w:numPr>
          <w:ilvl w:val="4"/>
          <w:numId w:val="1"/>
        </w:numPr>
        <w:rPr/>
      </w:pPr>
      <w:bookmarkStart w:id="1696" w:name="__RefHeading___Toc3972401_1067777946"/>
      <w:bookmarkStart w:id="1697" w:name="_Toc708"/>
      <w:bookmarkEnd w:id="1696"/>
      <w:r>
        <w:rPr>
          <w:rtl w:val="true"/>
        </w:rPr>
        <w:t>حدّ تفخيذ و مانند آن</w:t>
      </w:r>
      <w:bookmarkEnd w:id="1697"/>
    </w:p>
    <w:p>
      <w:pPr>
        <w:pStyle w:val="BookText"/>
        <w:rPr/>
      </w:pPr>
      <w:r>
        <w:rPr>
          <w:rFonts w:ascii="IRNazanin" w:hAnsi="IRNazanin" w:eastAsia="IRNazanin"/>
          <w:color w:val="111111"/>
          <w:sz w:val="28"/>
          <w:sz w:val="28"/>
          <w:szCs w:val="28"/>
          <w:rtl w:val="true"/>
          <w:lang w:bidi="fa-IR"/>
        </w:rPr>
        <w:t xml:space="preserve">و مشهور در تفخيذ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خالى از ايقاب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زانى غير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تازيانه، و آن مروىّ است و احوط است، و فرقى بين حرّ و عبد و مسلم و كافر و محصن و غير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تكرر فعل و تكرار حدّ مثل جلد، در مرتبۀ چهارم به قتل مى رسانند صاحب لواط را</w:t>
      </w:r>
      <w:r>
        <w:rPr>
          <w:rFonts w:eastAsia="IRNazanin" w:cs="IRNazanin"/>
          <w:color w:val="111111"/>
          <w:sz w:val="28"/>
          <w:szCs w:val="28"/>
          <w:rtl w:val="true"/>
          <w:lang w:bidi="fa-IR"/>
        </w:rPr>
        <w:t>.</w:t>
      </w:r>
    </w:p>
    <w:p>
      <w:pPr>
        <w:pStyle w:val="Heading5"/>
        <w:numPr>
          <w:ilvl w:val="4"/>
          <w:numId w:val="1"/>
        </w:numPr>
        <w:rPr/>
      </w:pPr>
      <w:bookmarkStart w:id="1698" w:name="__RefHeading___Toc3972403_1067777946"/>
      <w:bookmarkStart w:id="1699" w:name="_Toc709"/>
      <w:bookmarkEnd w:id="1698"/>
      <w:r>
        <w:rPr>
          <w:rtl w:val="true"/>
        </w:rPr>
        <w:t>اگر دو نفر مكلّف برهنه در زير يك لحاف جمع شوند</w:t>
      </w:r>
      <w:bookmarkEnd w:id="169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نفر مكلف كه برهنه در يك لحاف جمع شده باشند به نحو محرّم به طورى كه مماسّۀ حرام آنها قطعى باشد، تعزير مى شوند به حسب نظر حاكم در مقدار تازيانه به حسب اختلاف موارد، و آخرين مرتبه و اشدّ آن يك صد تازيانه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محتمل </w:t>
      </w:r>
      <w:bookmarkStart w:id="1700" w:name="pg10275_96661"/>
    </w:p>
    <w:p>
      <w:pPr>
        <w:pStyle w:val="BookText"/>
        <w:rPr/>
      </w:pPr>
      <w:bookmarkEnd w:id="1700"/>
      <w:r>
        <w:rPr>
          <w:rFonts w:ascii="IRNazanin" w:hAnsi="IRNazanin" w:eastAsia="IRNazanin"/>
          <w:color w:val="111111"/>
          <w:sz w:val="28"/>
          <w:sz w:val="28"/>
          <w:szCs w:val="28"/>
          <w:rtl w:val="true"/>
          <w:lang w:bidi="fa-IR"/>
        </w:rPr>
        <w:t>است كه جلد تام در مرتبۀ ثالثه با تخلل تعزير باشد، و قتل در مرتبۀ رابعه با تخلل سه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دو زن باشند يا دو مرد يا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مكلف قابل تعزير، يكى باشد، خصوص او تعزير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ضرورت مسوّغه چيزى نيست</w:t>
      </w:r>
      <w:r>
        <w:rPr>
          <w:rFonts w:eastAsia="IRNazanin" w:cs="IRNazanin"/>
          <w:color w:val="111111"/>
          <w:sz w:val="28"/>
          <w:szCs w:val="28"/>
          <w:rtl w:val="true"/>
          <w:lang w:bidi="fa-IR"/>
        </w:rPr>
        <w:t>.</w:t>
      </w:r>
    </w:p>
    <w:p>
      <w:pPr>
        <w:pStyle w:val="Heading5"/>
        <w:numPr>
          <w:ilvl w:val="4"/>
          <w:numId w:val="1"/>
        </w:numPr>
        <w:rPr/>
      </w:pPr>
      <w:bookmarkStart w:id="1701" w:name="__RefHeading___Toc3972405_1067777946"/>
      <w:bookmarkStart w:id="1702" w:name="_Toc710"/>
      <w:bookmarkEnd w:id="1701"/>
      <w:r>
        <w:rPr>
          <w:rtl w:val="true"/>
        </w:rPr>
        <w:t>حدّ تقبيل غلام يا دختر</w:t>
      </w:r>
      <w:bookmarkEnd w:id="1702"/>
    </w:p>
    <w:p>
      <w:pPr>
        <w:pStyle w:val="BookText"/>
        <w:rPr/>
      </w:pPr>
      <w:r>
        <w:rPr>
          <w:rFonts w:ascii="IRNazanin" w:hAnsi="IRNazanin" w:eastAsia="IRNazanin"/>
          <w:color w:val="111111"/>
          <w:sz w:val="28"/>
          <w:sz w:val="28"/>
          <w:szCs w:val="28"/>
          <w:rtl w:val="true"/>
          <w:lang w:bidi="fa-IR"/>
        </w:rPr>
        <w:t xml:space="preserve">و همچنين تعزير مى شود كسى كه تقبيل نمايد غلام يا دخترى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باشند يا غير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شهوت، با معرضيت مورد و عدم جواز استمتاع</w:t>
      </w:r>
      <w:r>
        <w:rPr>
          <w:rFonts w:eastAsia="IRNazanin" w:cs="IRNazanin"/>
          <w:color w:val="111111"/>
          <w:sz w:val="28"/>
          <w:szCs w:val="28"/>
          <w:rtl w:val="true"/>
          <w:lang w:bidi="fa-IR"/>
        </w:rPr>
        <w:t>.</w:t>
      </w:r>
    </w:p>
    <w:p>
      <w:pPr>
        <w:pStyle w:val="Heading5"/>
        <w:numPr>
          <w:ilvl w:val="4"/>
          <w:numId w:val="1"/>
        </w:numPr>
        <w:rPr/>
      </w:pPr>
      <w:bookmarkStart w:id="1703" w:name="__RefHeading___Toc3972407_1067777946"/>
      <w:bookmarkStart w:id="1704" w:name="_Toc711"/>
      <w:bookmarkEnd w:id="1703"/>
      <w:r>
        <w:rPr>
          <w:rtl w:val="true"/>
        </w:rPr>
        <w:t>توبه لواطكننده</w:t>
      </w:r>
      <w:bookmarkEnd w:id="1704"/>
    </w:p>
    <w:p>
      <w:pPr>
        <w:pStyle w:val="BookText"/>
        <w:rPr/>
      </w:pPr>
      <w:r>
        <w:rPr>
          <w:rFonts w:ascii="IRNazanin" w:hAnsi="IRNazanin" w:eastAsia="IRNazanin"/>
          <w:color w:val="111111"/>
          <w:sz w:val="28"/>
          <w:sz w:val="28"/>
          <w:szCs w:val="28"/>
          <w:rtl w:val="true"/>
          <w:lang w:bidi="fa-IR"/>
        </w:rPr>
        <w:t>صاحب لواط اگر توبه كرد قبل از قيام بيّنه، ساقط است حدّ؛ و اگر بعد از آن توبه كرد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سبب اقرار، ثابت شد لواط، حاكم مخيّر است در عفو و استيفا بر حسب آن چه در زنا مذكور شد</w:t>
      </w:r>
      <w:r>
        <w:rPr>
          <w:rFonts w:eastAsia="IRNazanin" w:cs="IRNazanin"/>
          <w:color w:val="111111"/>
          <w:sz w:val="28"/>
          <w:szCs w:val="28"/>
          <w:rtl w:val="true"/>
          <w:lang w:bidi="fa-IR"/>
        </w:rPr>
        <w:t>.</w:t>
      </w:r>
    </w:p>
    <w:p>
      <w:pPr>
        <w:pStyle w:val="Heading4"/>
        <w:numPr>
          <w:ilvl w:val="3"/>
          <w:numId w:val="1"/>
        </w:numPr>
        <w:rPr/>
      </w:pPr>
      <w:bookmarkStart w:id="1705" w:name="__RefHeading___Toc3972409_1067777946"/>
      <w:bookmarkStart w:id="1706" w:name="_Toc712"/>
      <w:bookmarkEnd w:id="1705"/>
      <w:r>
        <w:rPr/>
        <w:t>2</w:t>
      </w:r>
      <w:r>
        <w:rPr>
          <w:rtl w:val="true"/>
        </w:rPr>
        <w:t xml:space="preserve">. </w:t>
      </w:r>
      <w:r>
        <w:rPr>
          <w:rtl w:val="true"/>
        </w:rPr>
        <w:t>مساحقه</w:t>
      </w:r>
      <w:bookmarkEnd w:id="1706"/>
    </w:p>
    <w:p>
      <w:pPr>
        <w:pStyle w:val="Heading5"/>
        <w:numPr>
          <w:ilvl w:val="4"/>
          <w:numId w:val="1"/>
        </w:numPr>
        <w:rPr/>
      </w:pPr>
      <w:bookmarkStart w:id="1707" w:name="__RefHeading___Toc3972411_1067777946"/>
      <w:bookmarkStart w:id="1708" w:name="_Toc713"/>
      <w:bookmarkEnd w:id="1707"/>
      <w:r>
        <w:rPr>
          <w:rtl w:val="true"/>
        </w:rPr>
        <w:t>اشاره</w:t>
      </w:r>
      <w:bookmarkEnd w:id="1708"/>
    </w:p>
    <w:p>
      <w:pPr>
        <w:pStyle w:val="BookText"/>
        <w:rPr/>
      </w:pPr>
      <w:r>
        <w:rPr>
          <w:rFonts w:ascii="IRNazanin" w:hAnsi="IRNazanin" w:eastAsia="IRNazanin"/>
          <w:color w:val="111111"/>
          <w:sz w:val="28"/>
          <w:sz w:val="28"/>
          <w:szCs w:val="28"/>
          <w:rtl w:val="true"/>
          <w:lang w:bidi="fa-IR"/>
        </w:rPr>
        <w:t xml:space="preserve">و آن، عمل شيطانى است كه موجب استغناى مثل به مثل در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استغناى امثال با همديگر در لواط در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 آن جلد تام است بنا بر اقوى و مشهور، بدون فرق بين واطئه و موطوئه، و محصنه و غير محصنه، و مسلمه و كافره؛ و محتمل است جريان حكم واطى كافر با موطوء مسلم، در اينجا در فاعلۀ كافره و مفعول بهاى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 تكرر مساحقه و تكرر اقامۀ حدّ، در مرتبۀ رابعه به قتل مى رسانند صاحب مساحقه را، بنا بر احوط در عدم قتل در ثالثه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توبۀ قبل از قيام بيّنه، ساقط مى شود حدّ؛ و ساقط نمى شود با توبۀ بعد از قيام بينه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اقرار و توبه، امام و حاكم مخيّر است در عفو و اقامۀ حدّ</w:t>
      </w:r>
      <w:r>
        <w:rPr>
          <w:rFonts w:eastAsia="Amiri" w:cs="Amiri" w:ascii="Amiri" w:hAnsi="Amiri"/>
          <w:color w:val="111111"/>
          <w:sz w:val="28"/>
          <w:szCs w:val="28"/>
          <w:rtl w:val="true"/>
          <w:lang w:bidi="ar-SA"/>
        </w:rPr>
        <w:t xml:space="preserve">. </w:t>
      </w:r>
      <w:bookmarkStart w:id="1709" w:name="pg10275_96663"/>
    </w:p>
    <w:p>
      <w:pPr>
        <w:pStyle w:val="BookText"/>
        <w:rPr/>
      </w:pPr>
      <w:bookmarkEnd w:id="1709"/>
      <w:r>
        <w:rPr>
          <w:rFonts w:ascii="IRNazanin" w:hAnsi="IRNazanin" w:eastAsia="IRNazanin"/>
          <w:color w:val="111111"/>
          <w:sz w:val="28"/>
          <w:sz w:val="28"/>
          <w:szCs w:val="28"/>
          <w:rtl w:val="true"/>
          <w:lang w:bidi="fa-IR"/>
        </w:rPr>
        <w:t>و كلام در ثبوت اين فاحشه به شهادت چهار مرد و به اقرار چهار دفعه يا اوسع از اين طريق، مذكور در شهادات است</w:t>
      </w:r>
      <w:r>
        <w:rPr>
          <w:rFonts w:eastAsia="IRNazanin" w:cs="IRNazanin"/>
          <w:color w:val="111111"/>
          <w:sz w:val="28"/>
          <w:szCs w:val="28"/>
          <w:rtl w:val="true"/>
          <w:lang w:bidi="fa-IR"/>
        </w:rPr>
        <w:t>.</w:t>
      </w:r>
    </w:p>
    <w:p>
      <w:pPr>
        <w:pStyle w:val="Heading5"/>
        <w:numPr>
          <w:ilvl w:val="4"/>
          <w:numId w:val="1"/>
        </w:numPr>
        <w:rPr/>
      </w:pPr>
      <w:bookmarkStart w:id="1710" w:name="__RefHeading___Toc3972413_1067777946"/>
      <w:bookmarkStart w:id="1711" w:name="_Toc714"/>
      <w:bookmarkEnd w:id="1710"/>
      <w:r>
        <w:rPr>
          <w:rtl w:val="true"/>
        </w:rPr>
        <w:t>چند مسأله</w:t>
      </w:r>
      <w:bookmarkEnd w:id="1711"/>
    </w:p>
    <w:p>
      <w:pPr>
        <w:pStyle w:val="Heading6"/>
        <w:numPr>
          <w:ilvl w:val="5"/>
          <w:numId w:val="1"/>
        </w:numPr>
        <w:rPr/>
      </w:pPr>
      <w:bookmarkStart w:id="1712" w:name="__RefHeading___Toc3972415_1067777946"/>
      <w:bookmarkStart w:id="1713" w:name="_Toc715"/>
      <w:bookmarkEnd w:id="1712"/>
      <w:r>
        <w:rPr>
          <w:rtl w:val="true"/>
        </w:rPr>
        <w:t>عدم كفالت و شفاعت و تأخير در اقامۀ حدّ</w:t>
      </w:r>
      <w:bookmarkEnd w:id="1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كفالت و شفاعت و تأخير در اقامۀ حدود نيست؛ و دور نيست ثبوت شفاعت در موارد تخيير حاكم و قبل از بلوغ امر به حاكم و ثبوت نزد او، و در حقوق الناس با اذن صاحب حق</w:t>
      </w:r>
      <w:r>
        <w:rPr>
          <w:rFonts w:eastAsia="Amiri" w:cs="Amiri" w:ascii="Amiri" w:hAnsi="Amiri"/>
          <w:color w:val="111111"/>
          <w:sz w:val="28"/>
          <w:szCs w:val="28"/>
          <w:rtl w:val="true"/>
          <w:lang w:bidi="ar-SA"/>
        </w:rPr>
        <w:t>.</w:t>
      </w:r>
    </w:p>
    <w:p>
      <w:pPr>
        <w:pStyle w:val="Heading6"/>
        <w:numPr>
          <w:ilvl w:val="5"/>
          <w:numId w:val="1"/>
        </w:numPr>
        <w:rPr/>
      </w:pPr>
      <w:bookmarkStart w:id="1714" w:name="__RefHeading___Toc3972417_1067777946"/>
      <w:bookmarkStart w:id="1715" w:name="_Toc716"/>
      <w:bookmarkEnd w:id="1714"/>
      <w:r>
        <w:rPr>
          <w:rtl w:val="true"/>
        </w:rPr>
        <w:t>مساحقۀ زوجه موطوئه و حمل اجنبيّه</w:t>
      </w:r>
      <w:bookmarkEnd w:id="17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وطى كرد شخصى زوجۀ خودش را پس مساحقه كرد با بكرى اجنبيه پس حامل شد، زوجه جلد مى شود براى مساحقه، و محتمل است ثبوت رجم اگر چه به نحو تخيير حاكم باشد؛ و ولد ملحق به پدر است؛ و مهر بر زوجه است بعد از زوال بكارت به وضع حمل، مگر در صورت علم يا احتمال بكر، وطى مخصوص را كه موجب حمل مى شود، كه مستحق مهر نيست؛ و بر بكر بعد از وضع و رسيدن وقت اقامۀ حدّ، جلد است براى مساحقه؛ و نفقۀ صبيه در مدت حمل، بر زوج مساحقه است بنا بر اين كه نفقۀ حامل باين از زوج، براى حمل است؛ و اعتداد به وضع در صورت ازدواج با غير زوج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صورت متقدمه از علم 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بنا بر يكى از دو احتمال</w:t>
      </w:r>
      <w:r>
        <w:rPr>
          <w:rFonts w:eastAsia="IRNazanin" w:cs="IRNazanin"/>
          <w:color w:val="111111"/>
          <w:sz w:val="28"/>
          <w:szCs w:val="28"/>
          <w:rtl w:val="true"/>
          <w:lang w:bidi="fa-IR"/>
        </w:rPr>
        <w:t>.</w:t>
      </w:r>
    </w:p>
    <w:p>
      <w:pPr>
        <w:pStyle w:val="Heading6"/>
        <w:numPr>
          <w:ilvl w:val="5"/>
          <w:numId w:val="1"/>
        </w:numPr>
        <w:rPr/>
      </w:pPr>
      <w:bookmarkStart w:id="1716" w:name="__RefHeading___Toc3972419_1067777946"/>
      <w:bookmarkStart w:id="1717" w:name="_Toc717"/>
      <w:bookmarkEnd w:id="1716"/>
      <w:r>
        <w:rPr>
          <w:rtl w:val="true"/>
        </w:rPr>
        <w:t>حكم مساحقه با كنيز</w:t>
      </w:r>
      <w:bookmarkEnd w:id="17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مساحقه با كنيز خودش نمود و ادّعا نمود اكراه سيده را، اقامۀ حدّ منحصر به سيده است</w:t>
      </w:r>
      <w:r>
        <w:rPr>
          <w:rFonts w:eastAsia="IRNazanin" w:cs="IRNazanin"/>
          <w:color w:val="111111"/>
          <w:sz w:val="28"/>
          <w:szCs w:val="28"/>
          <w:rtl w:val="true"/>
          <w:lang w:bidi="fa-IR"/>
        </w:rPr>
        <w:t>.</w:t>
      </w:r>
    </w:p>
    <w:p>
      <w:pPr>
        <w:pStyle w:val="Heading4"/>
        <w:numPr>
          <w:ilvl w:val="3"/>
          <w:numId w:val="1"/>
        </w:numPr>
        <w:rPr/>
      </w:pPr>
      <w:bookmarkStart w:id="1718" w:name="__RefHeading___Toc3972421_1067777946"/>
      <w:bookmarkStart w:id="1719" w:name="_Toc718"/>
      <w:bookmarkEnd w:id="1718"/>
      <w:r>
        <w:rPr/>
        <w:t>3</w:t>
      </w:r>
      <w:r>
        <w:rPr>
          <w:rtl w:val="true"/>
        </w:rPr>
        <w:t xml:space="preserve">. </w:t>
      </w:r>
      <w:r>
        <w:rPr>
          <w:rtl w:val="true"/>
        </w:rPr>
        <w:t>قيادت</w:t>
      </w:r>
      <w:bookmarkEnd w:id="1719"/>
    </w:p>
    <w:p>
      <w:pPr>
        <w:pStyle w:val="Heading5"/>
        <w:numPr>
          <w:ilvl w:val="4"/>
          <w:numId w:val="1"/>
        </w:numPr>
        <w:rPr/>
      </w:pPr>
      <w:bookmarkStart w:id="1720" w:name="__RefHeading___Toc3972423_1067777946"/>
      <w:bookmarkStart w:id="1721" w:name="_Toc719"/>
      <w:bookmarkEnd w:id="1720"/>
      <w:r>
        <w:rPr>
          <w:rtl w:val="true"/>
        </w:rPr>
        <w:t>اشاره</w:t>
      </w:r>
      <w:bookmarkEnd w:id="172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جمع در حرام بين مردان و زنان يا مردان يا زنان است براى زنا يا لواط يا </w:t>
      </w:r>
      <w:bookmarkStart w:id="1722" w:name="pg10275_96665"/>
    </w:p>
    <w:p>
      <w:pPr>
        <w:pStyle w:val="BookText"/>
        <w:rPr/>
      </w:pPr>
      <w:bookmarkEnd w:id="1722"/>
      <w:r>
        <w:rPr>
          <w:rFonts w:ascii="Amiri" w:hAnsi="Amiri" w:eastAsia="Amiri" w:cs="Amiri"/>
          <w:color w:val="111111"/>
          <w:sz w:val="28"/>
          <w:sz w:val="28"/>
          <w:szCs w:val="28"/>
          <w:rtl w:val="true"/>
          <w:lang w:bidi="ar-SA"/>
        </w:rPr>
        <w:t>مساحقه، و حرمت شديده در همه ثابت است،</w:t>
      </w:r>
    </w:p>
    <w:p>
      <w:pPr>
        <w:pStyle w:val="BookText"/>
        <w:rPr/>
      </w:pPr>
      <w:r>
        <w:rPr>
          <w:rFonts w:ascii="Amiri" w:hAnsi="Amiri" w:eastAsia="Amiri" w:cs="Amiri"/>
          <w:color w:val="111111"/>
          <w:sz w:val="28"/>
          <w:sz w:val="28"/>
          <w:szCs w:val="28"/>
          <w:rtl w:val="true"/>
          <w:lang w:bidi="ar-SA"/>
        </w:rPr>
        <w:t xml:space="preserve">و با اقرار دو مرتبه ثابت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 نيست كفايت يك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بلوغ مُقِرّ در مقابل طفوليت، و كامل بودن او در مقابل جنون در حال اقرار، و حرّيت او در مقابل مملوكيت، و اختيار او در مقابل 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ثابت مى شود با دو شاهد عادل از مردها، و محتمل است اكتفا به زنها در جمع در مساحقه</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3972425_1067777946"/>
      <w:bookmarkStart w:id="1724" w:name="_Toc720"/>
      <w:bookmarkEnd w:id="1723"/>
      <w:r>
        <w:rPr>
          <w:rtl w:val="true"/>
        </w:rPr>
        <w:t>حكم قيادت</w:t>
      </w:r>
      <w:bookmarkEnd w:id="1724"/>
    </w:p>
    <w:p>
      <w:pPr>
        <w:pStyle w:val="BookText"/>
        <w:rPr/>
      </w:pPr>
      <w:r>
        <w:rPr>
          <w:rFonts w:ascii="IRNazanin" w:hAnsi="IRNazanin" w:eastAsia="IRNazanin"/>
          <w:color w:val="111111"/>
          <w:sz w:val="28"/>
          <w:sz w:val="28"/>
          <w:szCs w:val="28"/>
          <w:rtl w:val="true"/>
          <w:lang w:bidi="fa-IR"/>
        </w:rPr>
        <w:t>و بر فاعل قيادت، هفتاد و پنج تازيانه زده مى شود كه سه ربعِ حدّ زانى است، چه مرد باشد قوّاد يا زن، يا حرّ باشد يا مملوك، يا مسلم باشد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او از شهر خودش بلكه حلق رأس و اشهار او، مشهور است، و اينها احوط مى باشند لكن بعد از تكرار عمل در غير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نفى، يك سال بودن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 كه صاحب قيادت است، بعد از جلد چيزى نيست غير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الصلاة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العبد محمد تقي</w:t>
      </w:r>
    </w:p>
    <w:p>
      <w:pPr>
        <w:pStyle w:val="BookText"/>
        <w:rPr/>
      </w:pPr>
      <w:r>
        <w:rPr>
          <w:rFonts w:ascii="Amiri" w:hAnsi="Amiri" w:eastAsia="Amiri" w:cs="Amiri"/>
          <w:color w:val="111111"/>
          <w:sz w:val="28"/>
          <w:sz w:val="28"/>
          <w:szCs w:val="28"/>
          <w:rtl w:val="true"/>
          <w:lang w:bidi="ar-SA"/>
        </w:rPr>
        <w:t xml:space="preserve">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المكرم من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25" w:name="pg10275_96667"/>
    </w:p>
    <w:p>
      <w:pPr>
        <w:pStyle w:val="Heading3"/>
        <w:numPr>
          <w:ilvl w:val="2"/>
          <w:numId w:val="1"/>
        </w:numPr>
        <w:rPr/>
      </w:pPr>
      <w:bookmarkStart w:id="1726" w:name="__RefHeading___Toc3972427_1067777946"/>
      <w:bookmarkStart w:id="1727" w:name="_Toc721"/>
      <w:bookmarkEnd w:id="1725"/>
      <w:bookmarkEnd w:id="1726"/>
      <w:r>
        <w:rPr>
          <w:rtl w:val="true"/>
        </w:rPr>
        <w:t>فصل سوم حد قذف</w:t>
      </w:r>
      <w:bookmarkEnd w:id="1727"/>
    </w:p>
    <w:p>
      <w:pPr>
        <w:pStyle w:val="Heading4"/>
        <w:numPr>
          <w:ilvl w:val="3"/>
          <w:numId w:val="1"/>
        </w:numPr>
        <w:rPr/>
      </w:pPr>
      <w:bookmarkStart w:id="1728" w:name="__RefHeading___Toc3972429_1067777946"/>
      <w:bookmarkStart w:id="1729" w:name="_Toc722"/>
      <w:bookmarkEnd w:id="1728"/>
      <w:r>
        <w:rPr/>
        <w:t>1</w:t>
      </w:r>
      <w:r>
        <w:rPr>
          <w:rtl w:val="true"/>
        </w:rPr>
        <w:t xml:space="preserve">. </w:t>
      </w:r>
      <w:r>
        <w:rPr>
          <w:rtl w:val="true"/>
        </w:rPr>
        <w:t>موجِب حدّ قذف</w:t>
      </w:r>
      <w:bookmarkEnd w:id="1729"/>
    </w:p>
    <w:p>
      <w:pPr>
        <w:pStyle w:val="Heading5"/>
        <w:numPr>
          <w:ilvl w:val="4"/>
          <w:numId w:val="1"/>
        </w:numPr>
        <w:rPr/>
      </w:pPr>
      <w:bookmarkStart w:id="1730" w:name="__RefHeading___Toc3972431_1067777946"/>
      <w:bookmarkStart w:id="1731" w:name="_Toc723"/>
      <w:bookmarkEnd w:id="1730"/>
      <w:r>
        <w:rPr>
          <w:rtl w:val="true"/>
        </w:rPr>
        <w:t>شرايط تحقق قذف و الفاظ مختلفۀ آن</w:t>
      </w:r>
      <w:bookmarkEnd w:id="1731"/>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در دشنام مخصوص به مورد مخصوص، يعنى رمى مسلمان آزاد كامل مستتر، به زنا يا لواط، به كلمه دالّ بر آن به صراحت يا ظهور عرفى به طورى كه در عرف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قذف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نفى ولد بعد از اقرار، براى قذف مادر،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احتمال اكراه و شبهه و نحو آنها كه زنا از يك 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شوهر زانيه، قذف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زانيه، قذف خواهر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گوينده، عارف به لغت باشد، در قذف به هر لغتى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با تو زنا كرد، مثل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قذف اُمّ فقط؛ و همچنين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تو زنا كرد، مثل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 الزانى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قذف پدر فقط؛ و نسبت به مخاطب، ايذا است و فى الجمله تعزير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الزانيين، قذف پدر و مادر است، و حدّ قذف ثابت است در </w:t>
      </w:r>
    </w:p>
    <w:p>
      <w:pPr>
        <w:pStyle w:val="BookText"/>
        <w:rPr/>
      </w:pPr>
      <w:r>
        <w:rPr>
          <w:rFonts w:ascii="IRNazanin" w:hAnsi="IRNazanin" w:eastAsia="IRNazanin"/>
          <w:color w:val="111111"/>
          <w:sz w:val="28"/>
          <w:sz w:val="28"/>
          <w:szCs w:val="28"/>
          <w:rtl w:val="true"/>
          <w:lang w:bidi="fa-IR"/>
        </w:rPr>
        <w:t>صورت اسلام آنها اگر چه مخاطب كافر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 متولد شده اى، پس احتمال عدم زنا در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اكراه يا شبهه و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موجب درء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براى غير فرزند خودش بگويد و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پدر و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مطالبۀ اقامۀ حدّ كردند، اظهر ثبوت حدّ است، به جهت انحصار حق در يكى از دو مطالبه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مطالبۀ اقامۀ حدّ قذف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تو را از زنا زاييده، اظهر تحقق قذف مادر است و ثبوت حدّ است با مطالبۀ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زانيه، قذف مادر است؛ چنان چه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زانى، قذف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زنيتَ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لطتَ بفلان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مخاطب، محقق؛ و در قذف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اظهر عدم ثبوت است، به جهت احتمال اختصاص زنا به طرف واحد؛ به خلاف آن كه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كردى به فلان زانيه، كه قذف هر دو است و دو حدّ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كردى، و طرف را ذكر ننمايد، حدّ قذف نسبت به مخاطب، ثابت است و يك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ولد ملاعَنه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زانيه، يا به ملاعَنه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زانيه، حدّ قذف بر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ولد محدودۀ به حدّ 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زانيه، يا به محدوده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زانيه، قبل از توبۀ محدوده، حدّ قذف ثابت نيست؛ و اگر بعد از توبۀ محدوده بگويد، حدّ قذف ثابت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زن خود يا غير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زنيتُ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زنيتُ بفلانة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امكان تفكيك و احتمال دافع حدّ؛ و گوينده هم تا چهار مرتبه اقرار ننمايد، بر او حدّ زنا ثابت نمى شود</w:t>
      </w:r>
      <w:r>
        <w:rPr>
          <w:rFonts w:eastAsia="IRNazanin" w:cs="IRNazanin"/>
          <w:color w:val="111111"/>
          <w:sz w:val="28"/>
          <w:szCs w:val="28"/>
          <w:rtl w:val="true"/>
          <w:lang w:bidi="fa-IR"/>
        </w:rPr>
        <w:t xml:space="preserve">. </w:t>
      </w:r>
      <w:bookmarkStart w:id="1732" w:name="pg10275_96671"/>
    </w:p>
    <w:p>
      <w:pPr>
        <w:pStyle w:val="BookText"/>
        <w:rPr/>
      </w:pPr>
      <w:bookmarkEnd w:id="1732"/>
      <w:r>
        <w:rPr>
          <w:rFonts w:ascii="IRNazanin" w:hAnsi="IRNazanin" w:eastAsia="IRNazanin"/>
          <w:color w:val="111111"/>
          <w:sz w:val="28"/>
          <w:sz w:val="28"/>
          <w:szCs w:val="28"/>
          <w:rtl w:val="true"/>
          <w:lang w:bidi="fa-IR"/>
        </w:rPr>
        <w:t xml:space="preserve">عباراتى در مقام قذف يا قريب به آن مذكور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مفيد قذف باشد در عرف قايل يا عرفى كه مقصود او است حدّ ثابت است، وگرنه ثابت نيست مگر آن كه موجب ايذا و تعزير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بين مردان و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بين مردان و خواهر يا دختر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بين مردان و مادر يا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منقول از بعض اهل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ساير الفاظى كه مفيد زنا يا لواط نسبت به مخاطب يا متعلقين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قصد گوينده است اگر چه اجمالى در محصور باشد، با واقعيت دلالت در عرف مقصود</w:t>
      </w:r>
      <w:r>
        <w:rPr>
          <w:rFonts w:eastAsia="IRNazanin" w:cs="IRNazanin"/>
          <w:color w:val="111111"/>
          <w:sz w:val="28"/>
          <w:szCs w:val="28"/>
          <w:rtl w:val="true"/>
          <w:lang w:bidi="fa-IR"/>
        </w:rPr>
        <w:t>.</w:t>
      </w:r>
    </w:p>
    <w:p>
      <w:pPr>
        <w:pStyle w:val="Heading5"/>
        <w:numPr>
          <w:ilvl w:val="4"/>
          <w:numId w:val="1"/>
        </w:numPr>
        <w:rPr/>
      </w:pPr>
      <w:bookmarkStart w:id="1733" w:name="__RefHeading___Toc3972433_1067777946"/>
      <w:bookmarkStart w:id="1734" w:name="_Toc724"/>
      <w:bookmarkEnd w:id="1733"/>
      <w:r>
        <w:rPr>
          <w:rtl w:val="true"/>
        </w:rPr>
        <w:t>سبّ و ايذايى كه تعريض به فحشا باشد</w:t>
      </w:r>
      <w:bookmarkEnd w:id="1734"/>
    </w:p>
    <w:p>
      <w:pPr>
        <w:pStyle w:val="BookText"/>
        <w:rPr/>
      </w:pPr>
      <w:r>
        <w:rPr>
          <w:rFonts w:ascii="Amiri" w:hAnsi="Amiri" w:eastAsia="Amiri" w:cs="Amiri"/>
          <w:color w:val="111111"/>
          <w:sz w:val="28"/>
          <w:sz w:val="28"/>
          <w:szCs w:val="28"/>
          <w:rtl w:val="true"/>
          <w:lang w:bidi="ar-SA"/>
        </w:rPr>
        <w:t xml:space="preserve">و هر سبّ و ايذايى كه تعريض به زنا و لواط باشد بدون دلالت عرفيه، بلكه مجرد احتمال حاصل آن باشد، موجب تعزير است؛ و از آن جمله است خطاب كسى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زاده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احتمال وطى در حيض و صوم و احرام،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عرفاً ظاهر در قذف به زنا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اگر به قصد قذف و ايذا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شبهه هستى، يا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حال حيض حامل به تو شد، يا آن كه به زن خودش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 تو را در حال بكارت؛ به خلاف آن كه به قصد اخبار بدون ايذا باشد براى غرضى صحيح و عقلايى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در نفى حدّ و ثبوت تعزير، دشنام هاى ديگر غير مربوط به زنا و لواط، با عدم تظاهر و تجاهر مقصود به دشنام يا استحقاق اهانت به كفر يا بدعت و اضلال</w:t>
      </w:r>
      <w:r>
        <w:rPr>
          <w:rFonts w:eastAsia="IRNazanin" w:cs="IRNazanin"/>
          <w:color w:val="111111"/>
          <w:sz w:val="28"/>
          <w:szCs w:val="28"/>
          <w:rtl w:val="true"/>
          <w:lang w:bidi="fa-IR"/>
        </w:rPr>
        <w:t>.</w:t>
      </w:r>
    </w:p>
    <w:p>
      <w:pPr>
        <w:pStyle w:val="Heading4"/>
        <w:numPr>
          <w:ilvl w:val="3"/>
          <w:numId w:val="1"/>
        </w:numPr>
        <w:rPr/>
      </w:pPr>
      <w:bookmarkStart w:id="1735" w:name="__RefHeading___Toc3972435_1067777946"/>
      <w:bookmarkStart w:id="1736" w:name="_Toc725"/>
      <w:bookmarkEnd w:id="1735"/>
      <w:r>
        <w:rPr/>
        <w:t>2</w:t>
      </w:r>
      <w:r>
        <w:rPr>
          <w:rtl w:val="true"/>
        </w:rPr>
        <w:t xml:space="preserve">. </w:t>
      </w:r>
      <w:r>
        <w:rPr>
          <w:rtl w:val="true"/>
        </w:rPr>
        <w:t>شروط قاذف</w:t>
      </w:r>
      <w:bookmarkEnd w:id="173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است در 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و عقل؛ پس صبى و مجنون اگر قذف كردند مسلم بالغ حرّ را، حدّ قذف بر آنها نيست؛ چنان چه براى آنها در حال مقذوف بودن نيست؛ بلى اگر تعزير مؤثر است در صبى مميّز و بعض مراتب جنون، ثابت است بر آنها، براى </w:t>
      </w:r>
      <w:bookmarkStart w:id="1737" w:name="pg10275_96673"/>
    </w:p>
    <w:p>
      <w:pPr>
        <w:pStyle w:val="BookText"/>
        <w:rPr/>
      </w:pPr>
      <w:bookmarkEnd w:id="1737"/>
      <w:r>
        <w:rPr>
          <w:rFonts w:ascii="IRNazanin" w:hAnsi="IRNazanin" w:eastAsia="IRNazanin"/>
          <w:color w:val="111111"/>
          <w:sz w:val="28"/>
          <w:sz w:val="28"/>
          <w:szCs w:val="28"/>
          <w:rtl w:val="true"/>
          <w:lang w:bidi="fa-IR"/>
        </w:rPr>
        <w:t>جلوگيرى از ادامۀ اين گونه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مجنون ادوارى بود و در دور افاقه قذف كرد، در حال افاقه حدّ بر او ثابت است، و محتمل است ثبوت آن بعد از قذف اگر چه در حال جنون باشد؛ و همچنين عاقل در حال قذف اگر مجنون شد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 شد در صدور قذف در حال جنون يا افاقه، يا صباوت و بلوغ، حدّ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تأثير قذف، پس حدّ و تعزير بر ساهى و غافل و نائم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ثبوت حدّ در قذف سكران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شرب مسكر اختياراً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نظير 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اكراه مسوّغ قذف، حدّ و تعزير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اعتبار حرّيت قاذف در كمال حدّ قذف، يا ثبوت نصف حدّ قذف بر مملوك قاذف حرّ، خلاف است، اظهر عدم اعتبار حرّيت در قاذف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اختلاف در حرّيت در حال قذف، حدّ آن منتفى است</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3972437_1067777946"/>
      <w:bookmarkStart w:id="1739" w:name="_Toc726"/>
      <w:bookmarkEnd w:id="1738"/>
      <w:r>
        <w:rPr/>
        <w:t>3</w:t>
      </w:r>
      <w:r>
        <w:rPr>
          <w:rtl w:val="true"/>
        </w:rPr>
        <w:t xml:space="preserve">. </w:t>
      </w:r>
      <w:r>
        <w:rPr>
          <w:rtl w:val="true"/>
        </w:rPr>
        <w:t>شروط مقذوف</w:t>
      </w:r>
      <w:bookmarkEnd w:id="1739"/>
    </w:p>
    <w:p>
      <w:pPr>
        <w:pStyle w:val="BookText"/>
        <w:rPr/>
      </w:pPr>
      <w:r>
        <w:rPr>
          <w:rFonts w:ascii="Amiri" w:hAnsi="Amiri" w:eastAsia="Amiri" w:cs="Amiri"/>
          <w:color w:val="111111"/>
          <w:sz w:val="28"/>
          <w:sz w:val="28"/>
          <w:szCs w:val="28"/>
          <w:rtl w:val="true"/>
          <w:lang w:bidi="ar-SA"/>
        </w:rPr>
        <w:t xml:space="preserve">معتبر است در مقذوف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قاذف او، بر او حدّ ثابت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 در اين مقام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و كمال عقل و حرّيت و اسلام و عدم تظاهر به زنا يا لواط؛ و در فاقد اين اوصاف يا بعض آنها حدّ ثابت نيست بلكه در بعضى تعزير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قذف صبىّ و صبيّه و مملوك و كافر و متظاهر به زنا يا لواط، حدّ قذف نيست؛ به خلاف غير متظاهر به زنا يا لواط اگر چه متظاهر به فسق باشد، كه قذف او موجب حدّ است اگر چه غيبت او در ساير فسق او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قاذف مذكورين و عدم ايجاب حدّ، بين مسلم و كافر و حرّ و مملوك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مسلم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زانيه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كافره يا مملوكه بود، تعزير ثابت است و حدّ منتفى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 قذف نمود ولد را؛ حدّ قذف بر او جارى نمى شود و تعزير بر فعل حرام، </w:t>
      </w:r>
      <w:bookmarkStart w:id="1740" w:name="pg10275_96675"/>
    </w:p>
    <w:p>
      <w:pPr>
        <w:pStyle w:val="BookText"/>
        <w:rPr/>
      </w:pPr>
      <w:bookmarkEnd w:id="1740"/>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الزانية، و قذف زوجۀ زنده نمود بدون لعان، حدّ ثابت است؛ و همچنين اگر مرده بوده و از غير قاذف، ولد داشته؛ و اگر وارثى غير ولد او نداشته حدّ قذف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مادر، فرزند را قذف نمود، يا فرزند، پدر يا مادر را قذف نمود، حدّ قذف ثابت است؛ و همچنين قذف ساير اقارب، كه موجب حدّ قذف است</w:t>
      </w:r>
      <w:r>
        <w:rPr>
          <w:rFonts w:eastAsia="IRNazanin" w:cs="IRNazanin"/>
          <w:color w:val="111111"/>
          <w:sz w:val="28"/>
          <w:szCs w:val="28"/>
          <w:rtl w:val="true"/>
          <w:lang w:bidi="fa-IR"/>
        </w:rPr>
        <w:t>.</w:t>
      </w:r>
    </w:p>
    <w:p>
      <w:pPr>
        <w:pStyle w:val="Heading4"/>
        <w:numPr>
          <w:ilvl w:val="3"/>
          <w:numId w:val="1"/>
        </w:numPr>
        <w:rPr/>
      </w:pPr>
      <w:bookmarkStart w:id="1741" w:name="__RefHeading___Toc3972439_1067777946"/>
      <w:bookmarkStart w:id="1742" w:name="_Toc727"/>
      <w:bookmarkEnd w:id="1741"/>
      <w:r>
        <w:rPr/>
        <w:t>4</w:t>
      </w:r>
      <w:r>
        <w:rPr>
          <w:rtl w:val="true"/>
        </w:rPr>
        <w:t xml:space="preserve">. </w:t>
      </w:r>
      <w:r>
        <w:rPr>
          <w:rtl w:val="true"/>
        </w:rPr>
        <w:t>احكام قذف</w:t>
      </w:r>
      <w:bookmarkEnd w:id="1742"/>
    </w:p>
    <w:p>
      <w:pPr>
        <w:pStyle w:val="Heading5"/>
        <w:numPr>
          <w:ilvl w:val="4"/>
          <w:numId w:val="1"/>
        </w:numPr>
        <w:rPr/>
      </w:pPr>
      <w:bookmarkStart w:id="1743" w:name="__RefHeading___Toc3972441_1067777946"/>
      <w:bookmarkStart w:id="1744" w:name="_Toc728"/>
      <w:bookmarkEnd w:id="1743"/>
      <w:r>
        <w:rPr>
          <w:rtl w:val="true"/>
        </w:rPr>
        <w:t>اشاره</w:t>
      </w:r>
      <w:bookmarkEnd w:id="1744"/>
    </w:p>
    <w:p>
      <w:pPr>
        <w:pStyle w:val="BookText"/>
        <w:rPr/>
      </w:pPr>
      <w:r>
        <w:rPr>
          <w:rFonts w:ascii="IRNazanin" w:hAnsi="IRNazanin" w:eastAsia="IRNazanin"/>
          <w:color w:val="111111"/>
          <w:sz w:val="28"/>
          <w:sz w:val="28"/>
          <w:szCs w:val="28"/>
          <w:rtl w:val="true"/>
          <w:lang w:bidi="fa-IR"/>
        </w:rPr>
        <w:t>و در آن مسائلى است</w:t>
      </w:r>
      <w:r>
        <w:rPr>
          <w:rFonts w:eastAsia="IRNazanin" w:cs="IRNazanin"/>
          <w:color w:val="111111"/>
          <w:sz w:val="28"/>
          <w:szCs w:val="28"/>
          <w:rtl w:val="true"/>
          <w:lang w:bidi="fa-IR"/>
        </w:rPr>
        <w:t>:</w:t>
      </w:r>
    </w:p>
    <w:p>
      <w:pPr>
        <w:pStyle w:val="Heading5"/>
        <w:numPr>
          <w:ilvl w:val="4"/>
          <w:numId w:val="1"/>
        </w:numPr>
        <w:rPr/>
      </w:pPr>
      <w:bookmarkStart w:id="1745" w:name="__RefHeading___Toc3972443_1067777946"/>
      <w:bookmarkStart w:id="1746" w:name="_Toc729"/>
      <w:bookmarkEnd w:id="1745"/>
      <w:r>
        <w:rPr>
          <w:rtl w:val="true"/>
        </w:rPr>
        <w:t>قذف چند نفر</w:t>
      </w:r>
      <w:bookmarkEnd w:id="1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قذف كرد جماعتى را يكى بعد از ديگرى، براى هر كدام يك حدّ قذف ثابت است، متفرق بياورند قاذف را يا مجتمع؛ و اگر با يك كلمه جمع كرد در قذف همۀ آن جماعت، پس اگر با هم آوردند قاذف را، يك حدّ بر او ثابت است، و اگر متفرق آوردند، براى هر كدام از مقذوف ها يك حدّ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يك قذف، اسامى متعدده را ذكر كرد، پس در ملحق شدن آن به قسم دوم تأمل است، تعدد حدّ بر حسب قاعده و لحوق به قسم اول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تبعيت تعزير ثابت در موارد انتفاى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مطلق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را، در اتّحاد و تعدّد، به نحوى كه لازم باشد در موارد وحدت حدّ قذف، ناقص بودن تازيانۀ تعزير از مقدار حدّ قذف، تأمل است، اظهر عمل به قاعده و عدم تبعيت است؛ پس زيادتى تعزير جميع، از حدّ واحد جميع، مانعى ندارد، با موافقت عدد سوط در هر يكى با نظر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بگويد 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الزانيين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قذف ابوين، واحد است با اجتماع در مطالبه، و متعدد است با تفرق در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قذف به كلمۀ واحده گذشت</w:t>
      </w:r>
      <w:r>
        <w:rPr>
          <w:rFonts w:eastAsia="IRNazanin" w:cs="IRNazanin"/>
          <w:color w:val="111111"/>
          <w:sz w:val="28"/>
          <w:szCs w:val="28"/>
          <w:rtl w:val="true"/>
          <w:lang w:bidi="fa-IR"/>
        </w:rPr>
        <w:t>).</w:t>
      </w:r>
    </w:p>
    <w:p>
      <w:pPr>
        <w:pStyle w:val="Heading5"/>
        <w:numPr>
          <w:ilvl w:val="4"/>
          <w:numId w:val="1"/>
        </w:numPr>
        <w:rPr/>
      </w:pPr>
      <w:bookmarkStart w:id="1747" w:name="__RefHeading___Toc3972445_1067777946"/>
      <w:bookmarkStart w:id="1748" w:name="_Toc730"/>
      <w:bookmarkEnd w:id="1747"/>
      <w:r>
        <w:rPr>
          <w:rtl w:val="true"/>
        </w:rPr>
        <w:t>موروثيّت حد قذف</w:t>
      </w:r>
      <w:bookmarkEnd w:id="17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قذف، موروث است در صورت عدم استيفاى مقذوف، آن را حتى به عفو</w:t>
      </w:r>
      <w:bookmarkStart w:id="1749" w:name="pg10275_96677"/>
    </w:p>
    <w:p>
      <w:pPr>
        <w:pStyle w:val="BookText"/>
        <w:rPr/>
      </w:pPr>
      <w:bookmarkEnd w:id="1749"/>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آن، وارث مال است، مگر زوج و زوجه و ساير وراث به غير نسب به استثناى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ورثه 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بلكه هر كدام استحقاق مطالبۀ آن را دارد اگر چه ديگران عفو نمايند</w:t>
      </w:r>
      <w:r>
        <w:rPr>
          <w:rFonts w:eastAsia="IRNazanin" w:cs="IRNazanin"/>
          <w:color w:val="111111"/>
          <w:sz w:val="28"/>
          <w:szCs w:val="28"/>
          <w:rtl w:val="true"/>
          <w:lang w:bidi="fa-IR"/>
        </w:rPr>
        <w:t>.</w:t>
      </w:r>
    </w:p>
    <w:p>
      <w:pPr>
        <w:pStyle w:val="Heading5"/>
        <w:numPr>
          <w:ilvl w:val="4"/>
          <w:numId w:val="1"/>
        </w:numPr>
        <w:rPr/>
      </w:pPr>
      <w:bookmarkStart w:id="1750" w:name="__RefHeading___Toc3972447_1067777946"/>
      <w:bookmarkStart w:id="1751" w:name="_Toc731"/>
      <w:bookmarkEnd w:id="1750"/>
      <w:r>
        <w:rPr>
          <w:rtl w:val="true"/>
        </w:rPr>
        <w:t>خطاب به شخصى و قذف فرزند او</w:t>
      </w:r>
      <w:bookmarkEnd w:id="17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خطاب به شخصى كرد و قذف نمود پسر شخص يا دختر او را، استحقاق حدّ براى مقذوف است نه مخاطب؛ پس اگر مقذوف، استيفا يا عفو نمود حق او واصل يا ساقط است؛ و اگر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 نمود، پس كالعدم است و حق مقذوف ساقط نمى شود، مگر آن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مقذوف، ولايت داشته باشد به واسطۀ صغر و نحو آن، كه مى تواند پدر كه ولىّ است استيفا نمايد، و محتمل است كه بتواند عفو نمايد با عدم مفسده</w:t>
      </w:r>
      <w:r>
        <w:rPr>
          <w:rFonts w:eastAsia="IRNazanin" w:cs="IRNazanin"/>
          <w:color w:val="111111"/>
          <w:sz w:val="28"/>
          <w:szCs w:val="28"/>
          <w:rtl w:val="true"/>
          <w:lang w:bidi="fa-IR"/>
        </w:rPr>
        <w:t>.</w:t>
      </w:r>
    </w:p>
    <w:p>
      <w:pPr>
        <w:pStyle w:val="Heading5"/>
        <w:numPr>
          <w:ilvl w:val="4"/>
          <w:numId w:val="1"/>
        </w:numPr>
        <w:rPr/>
      </w:pPr>
      <w:bookmarkStart w:id="1752" w:name="__RefHeading___Toc3972449_1067777946"/>
      <w:bookmarkStart w:id="1753" w:name="_Toc732"/>
      <w:bookmarkEnd w:id="1752"/>
      <w:r>
        <w:rPr>
          <w:rtl w:val="true"/>
        </w:rPr>
        <w:t>عدم حق مطالبه حدّ بعد از عفو</w:t>
      </w:r>
      <w:bookmarkEnd w:id="17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مستحِق حدّ، بعد از عفو، حق مطالبۀ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عفو، فرقى بين قذف كردن زوجه و غير او نيست؛ و همچنين قبل از مرافعه به امام و بعد از آن، قبل از اثبات حق و بعد از آن، اگر چه خالى از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اقامۀ حدّ قذف نمى شود مگر با مطالبۀ مستحق</w:t>
      </w:r>
      <w:r>
        <w:rPr>
          <w:rFonts w:eastAsia="IRNazanin" w:cs="IRNazanin"/>
          <w:color w:val="111111"/>
          <w:sz w:val="28"/>
          <w:szCs w:val="28"/>
          <w:rtl w:val="true"/>
          <w:lang w:bidi="fa-IR"/>
        </w:rPr>
        <w:t>.</w:t>
      </w:r>
    </w:p>
    <w:p>
      <w:pPr>
        <w:pStyle w:val="Heading5"/>
        <w:numPr>
          <w:ilvl w:val="4"/>
          <w:numId w:val="1"/>
        </w:numPr>
        <w:rPr/>
      </w:pPr>
      <w:bookmarkStart w:id="1754" w:name="__RefHeading___Toc3972451_1067777946"/>
      <w:bookmarkStart w:id="1755" w:name="_Toc733"/>
      <w:bookmarkEnd w:id="1754"/>
      <w:r>
        <w:rPr>
          <w:rtl w:val="true"/>
        </w:rPr>
        <w:t>تكرّر قذف و حدّ آن</w:t>
      </w:r>
      <w:bookmarkEnd w:id="17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قذف متكرر شد از شخصى و حدّ آنها مكرر شد، در دفعۀ سوم يا چهارم قذف بعد از اقامۀ سه حدّ، او را به قتل مى رسانند، و احوط دفعۀ چهارم است؛ و اگر قذف مكرر شد قبل از اقامۀ حدّ، پس بر او يك حدّ جارى مى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دفعۀ اول قذف كرد و حدّ بر او جارى شد، پس از آن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بارۀ مقذوف گفتم مطابق واقع بود، حدّ بر او جارى نمى شود و تعزير ثابت است با احتمال اراده خلاف، مثل اعتقاد صحّت اعتقاديه</w:t>
      </w:r>
      <w:r>
        <w:rPr>
          <w:rFonts w:eastAsia="IRNazanin" w:cs="IRNazanin"/>
          <w:color w:val="111111"/>
          <w:sz w:val="28"/>
          <w:szCs w:val="28"/>
          <w:rtl w:val="true"/>
          <w:lang w:bidi="fa-IR"/>
        </w:rPr>
        <w:t xml:space="preserve">. </w:t>
      </w:r>
      <w:bookmarkStart w:id="1756" w:name="pg10275_96679"/>
    </w:p>
    <w:p>
      <w:pPr>
        <w:pStyle w:val="BookText"/>
        <w:rPr/>
      </w:pPr>
      <w:bookmarkEnd w:id="1756"/>
      <w:r>
        <w:rPr>
          <w:rFonts w:ascii="IRNazanin" w:hAnsi="IRNazanin" w:eastAsia="IRNazanin"/>
          <w:color w:val="111111"/>
          <w:sz w:val="28"/>
          <w:sz w:val="28"/>
          <w:szCs w:val="28"/>
          <w:rtl w:val="true"/>
          <w:lang w:bidi="fa-IR"/>
        </w:rPr>
        <w:t>و اگر قذف و مقذوف متعدد باشد، حدّ متعدد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مقذوف، واحد باشد و قذف و مقذوفٌ به متعدد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قذف به زنا و به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متعدد مى شود اگر چه حدّ متخلل نباشد اگر چه خالى از اشكال نيست</w:t>
      </w:r>
      <w:r>
        <w:rPr>
          <w:rFonts w:eastAsia="IRNazanin" w:cs="IRNazanin"/>
          <w:color w:val="111111"/>
          <w:sz w:val="28"/>
          <w:szCs w:val="28"/>
          <w:rtl w:val="true"/>
          <w:lang w:bidi="fa-IR"/>
        </w:rPr>
        <w:t>.</w:t>
      </w:r>
    </w:p>
    <w:p>
      <w:pPr>
        <w:pStyle w:val="Heading5"/>
        <w:numPr>
          <w:ilvl w:val="4"/>
          <w:numId w:val="1"/>
        </w:numPr>
        <w:rPr/>
      </w:pPr>
      <w:bookmarkStart w:id="1757" w:name="__RefHeading___Toc3972453_1067777946"/>
      <w:bookmarkStart w:id="1758" w:name="_Toc734"/>
      <w:bookmarkEnd w:id="1757"/>
      <w:r>
        <w:rPr>
          <w:rtl w:val="true"/>
        </w:rPr>
        <w:t>عدم سقوط حدّ قذف مگر با بيّنۀ مثبته</w:t>
      </w:r>
      <w:bookmarkEnd w:id="17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قذف، ثابت شد، حدّ ساقط نمى شود مگر با بيّنه اى كه تصديق آن فاحشه و اثبات آن بنمايد، و با آن مقذوف از احصان خارج مى شود؛ و همچنين با تصديق خود مستحِق حدّ ساقط مى شود؛ و در خصوص قذف زوجه، با لعان ساقط مى شود مضافاً به آن 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قاذف اگر وارث مقذوف شد يا آن كه مصالحه مشروعه انجام گرفت، ساقط مى شود حدّ قذف؛ و در ثبوت تعزير با وجود مسقط حدّ، تأمل است</w:t>
      </w:r>
      <w:r>
        <w:rPr>
          <w:rFonts w:eastAsia="IRNazanin" w:cs="IRNazanin"/>
          <w:color w:val="111111"/>
          <w:sz w:val="28"/>
          <w:szCs w:val="28"/>
          <w:rtl w:val="true"/>
          <w:lang w:bidi="fa-IR"/>
        </w:rPr>
        <w:t>.</w:t>
      </w:r>
    </w:p>
    <w:p>
      <w:pPr>
        <w:pStyle w:val="Heading5"/>
        <w:numPr>
          <w:ilvl w:val="4"/>
          <w:numId w:val="1"/>
        </w:numPr>
        <w:rPr/>
      </w:pPr>
      <w:bookmarkStart w:id="1759" w:name="__RefHeading___Toc3972455_1067777946"/>
      <w:bookmarkStart w:id="1760" w:name="_Toc735"/>
      <w:bookmarkEnd w:id="1759"/>
      <w:r>
        <w:rPr>
          <w:rtl w:val="true"/>
        </w:rPr>
        <w:t>مقدار حدّ قذف و كيفيّت اجراى حدّ</w:t>
      </w:r>
      <w:bookmarkEnd w:id="176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قذف مقدار آن هشتاد تازيانه است، چه مرد باشد يا زن، آزاد باشد يا مملوك، بر حسب آن چه گذشت استظهار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قاذف را برهنه نمى كنند براى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او متوسط است در شدت و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ضرب در زنا و شرب خمر و بين ضرب در تعزير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به حال او مى نمايند براى ردّ شهادت او، بنا بر تعميم حكم شاهد زور به مقام</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3972457_1067777946"/>
      <w:bookmarkStart w:id="1762" w:name="_Toc736"/>
      <w:bookmarkEnd w:id="1761"/>
      <w:r>
        <w:rPr>
          <w:rtl w:val="true"/>
        </w:rPr>
        <w:t>نحوۀ ثابت شدن قذف موجب حدّ</w:t>
      </w:r>
      <w:bookmarkEnd w:id="1762"/>
    </w:p>
    <w:p>
      <w:pPr>
        <w:pStyle w:val="BookText"/>
        <w:rPr/>
      </w:pPr>
      <w:r>
        <w:rPr>
          <w:rFonts w:ascii="Amiri" w:hAnsi="Amiri" w:eastAsia="Amiri" w:cs="Amiri"/>
          <w:color w:val="111111"/>
          <w:sz w:val="28"/>
          <w:sz w:val="28"/>
          <w:szCs w:val="28"/>
          <w:rtl w:val="true"/>
          <w:lang w:bidi="ar-SA"/>
        </w:rPr>
        <w:t>و ثابت مى شود قذف موجب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دو عادل، و به دو مرتبه اقرار در صورتى كه اقرار از مكلف آزاد مختار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ثابت نمى شود به شهادت زنها به نحو انفراد يا انضمام با مردها</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3972459_1067777946"/>
      <w:bookmarkStart w:id="1764" w:name="_Toc737"/>
      <w:bookmarkEnd w:id="1763"/>
      <w:r>
        <w:rPr>
          <w:rtl w:val="true"/>
        </w:rPr>
        <w:t>اگر دو نفر همديگر را قذف كنند</w:t>
      </w:r>
      <w:bookmarkEnd w:id="176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همديگر را قذف كردند به موجب حدّ، ساقط مى شود حدّ قذف از هر</w:t>
      </w:r>
      <w:bookmarkStart w:id="1765" w:name="pg10275_96681"/>
    </w:p>
    <w:p>
      <w:pPr>
        <w:pStyle w:val="BookText"/>
        <w:rPr/>
      </w:pPr>
      <w:bookmarkEnd w:id="1765"/>
      <w:r>
        <w:rPr>
          <w:rFonts w:ascii="IRNazanin" w:hAnsi="IRNazanin" w:eastAsia="IRNazanin"/>
          <w:color w:val="111111"/>
          <w:sz w:val="28"/>
          <w:sz w:val="28"/>
          <w:szCs w:val="28"/>
          <w:rtl w:val="true"/>
          <w:lang w:bidi="fa-IR"/>
        </w:rPr>
        <w:t>دو، و هر دو تعزير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كفار با همديگر تقاذف كردند به عباراتى كه موجب حدّ نيست و موجب تعزير است در مسلم، تعزير بر آنها نيست، مگر آن كه خوف فتنه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باشد امام را بر تعزير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بشود</w:t>
      </w:r>
      <w:r>
        <w:rPr>
          <w:rFonts w:eastAsia="IRNazanin" w:cs="IRNazanin"/>
          <w:color w:val="111111"/>
          <w:sz w:val="28"/>
          <w:szCs w:val="28"/>
          <w:rtl w:val="true"/>
          <w:lang w:bidi="fa-IR"/>
        </w:rPr>
        <w:t>.</w:t>
      </w:r>
    </w:p>
    <w:p>
      <w:pPr>
        <w:pStyle w:val="Heading4"/>
        <w:numPr>
          <w:ilvl w:val="3"/>
          <w:numId w:val="1"/>
        </w:numPr>
        <w:rPr/>
      </w:pPr>
      <w:bookmarkStart w:id="1766" w:name="__RefHeading___Toc3972461_1067777946"/>
      <w:bookmarkStart w:id="1767" w:name="_Toc738"/>
      <w:bookmarkEnd w:id="1766"/>
      <w:r>
        <w:rPr/>
        <w:t>5</w:t>
      </w:r>
      <w:r>
        <w:rPr>
          <w:rtl w:val="true"/>
        </w:rPr>
        <w:t xml:space="preserve">. </w:t>
      </w:r>
      <w:r>
        <w:rPr>
          <w:rtl w:val="true"/>
        </w:rPr>
        <w:t>چند مسأله</w:t>
      </w:r>
      <w:bookmarkEnd w:id="1767"/>
    </w:p>
    <w:p>
      <w:pPr>
        <w:pStyle w:val="Heading5"/>
        <w:numPr>
          <w:ilvl w:val="4"/>
          <w:numId w:val="1"/>
        </w:numPr>
        <w:rPr/>
      </w:pPr>
      <w:bookmarkStart w:id="1768" w:name="__RefHeading___Toc3972463_1067777946"/>
      <w:bookmarkStart w:id="1769" w:name="_Toc739"/>
      <w:bookmarkEnd w:id="1768"/>
      <w:r>
        <w:rPr>
          <w:rtl w:val="true"/>
        </w:rPr>
        <w:t xml:space="preserve">حكم سبّ نمودن معصومين و انبيا </w:t>
      </w:r>
      <w:r>
        <w:rPr>
          <w:rtl w:val="true"/>
        </w:rPr>
        <w:t xml:space="preserve">- </w:t>
      </w:r>
      <w:r>
        <w:rPr>
          <w:rtl w:val="true"/>
        </w:rPr>
        <w:t>عليهم السلام</w:t>
      </w:r>
      <w:bookmarkEnd w:id="1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دشنام دهد خاتم الأنبيا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جايز است براى شنونده بلكه واجب است قتل او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بر نفس يا مال خود يا نفس يا مال محترم مؤمنى نباشد، وگرنه واجب نيست، بلكه در بعض فروض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دشنام داده شود يكى از ائمۀ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نيست در وجوب يا جواز قتل در موارد مذكوره، امر امام اصل يا اذن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الحاق ساير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فاطمۀ صديقه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امّهات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بنات او يا ساير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مرجع سبّ آنها به سبّ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ملحق است سبّ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سبّ او موجب ارتداد باشد در حكم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تفصيل بين ملى و فطرى احتمالى است در صورت عدم لحوق به سبّ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قتل بدون مراعات اذن امام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 غير عالم به معناى لفظ سبّ و لوازم آن، موجب قتل نيست؛ و همچنين ساهى و غافل و غير قاصد سبّ‌؛ و همچنين سبّ در حال غضب مُخرج از اختيار، به خلاف غير مُخرج</w:t>
      </w:r>
      <w:r>
        <w:rPr>
          <w:rFonts w:eastAsia="IRNazanin" w:cs="IRNazanin"/>
          <w:color w:val="111111"/>
          <w:sz w:val="28"/>
          <w:szCs w:val="28"/>
          <w:rtl w:val="true"/>
          <w:lang w:bidi="fa-IR"/>
        </w:rPr>
        <w:t>.</w:t>
      </w:r>
    </w:p>
    <w:p>
      <w:pPr>
        <w:pStyle w:val="Heading5"/>
        <w:numPr>
          <w:ilvl w:val="4"/>
          <w:numId w:val="1"/>
        </w:numPr>
        <w:rPr/>
      </w:pPr>
      <w:bookmarkStart w:id="1770" w:name="__RefHeading___Toc3972465_1067777946"/>
      <w:bookmarkStart w:id="1771" w:name="_Toc740"/>
      <w:bookmarkEnd w:id="1770"/>
      <w:r>
        <w:rPr>
          <w:rtl w:val="true"/>
        </w:rPr>
        <w:t>نحوۀ اثبات سبّ‌</w:t>
      </w:r>
      <w:bookmarkEnd w:id="177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ثابت مى شود سبّ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دو عادل، و به اقرار از اهلش اگر چه يك مرتبه باشد بنا بر اظهر</w:t>
      </w:r>
      <w:r>
        <w:rPr>
          <w:rFonts w:eastAsia="IRNazanin" w:cs="IRNazanin"/>
          <w:color w:val="111111"/>
          <w:sz w:val="28"/>
          <w:szCs w:val="28"/>
          <w:rtl w:val="true"/>
          <w:lang w:bidi="fa-IR"/>
        </w:rPr>
        <w:t xml:space="preserve">. </w:t>
      </w:r>
      <w:bookmarkStart w:id="1772" w:name="pg10275_96684"/>
    </w:p>
    <w:p>
      <w:pPr>
        <w:pStyle w:val="Heading5"/>
        <w:numPr>
          <w:ilvl w:val="4"/>
          <w:numId w:val="1"/>
        </w:numPr>
        <w:rPr/>
      </w:pPr>
      <w:bookmarkStart w:id="1773" w:name="__RefHeading___Toc3972467_1067777946"/>
      <w:bookmarkStart w:id="1774" w:name="_Toc741"/>
      <w:bookmarkEnd w:id="1772"/>
      <w:bookmarkEnd w:id="1773"/>
      <w:r>
        <w:rPr>
          <w:rtl w:val="true"/>
        </w:rPr>
        <w:t xml:space="preserve">حكم مدّعى نبوّت و مدّعى نبوت غير خاتم الانبياء </w:t>
      </w:r>
      <w:r>
        <w:rPr>
          <w:rtl w:val="true"/>
        </w:rPr>
        <w:t xml:space="preserve">- </w:t>
      </w:r>
      <w:r>
        <w:rPr>
          <w:rtl w:val="true"/>
        </w:rPr>
        <w:t xml:space="preserve">صلى اللّٰه عليه و آله و سلم </w:t>
      </w:r>
      <w:r>
        <w:rPr>
          <w:rtl w:val="true"/>
        </w:rPr>
        <w:t xml:space="preserve">- </w:t>
      </w:r>
      <w:r>
        <w:rPr>
          <w:rtl w:val="true"/>
        </w:rPr>
        <w:t>و مدعى امامت</w:t>
      </w:r>
      <w:bookmarkEnd w:id="17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ادّعاى نبوت بكند يا مدعى نبوت غير خاتم الأنبياء باشد، واجب است قتل او؛ و ظاهر نص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اين حكم، و عدم جريان تفصيل بين فطرى و ملى از ارتداد است، و عدم اناطه به اذن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جريان حكم ارتداد يا وجوب قتل مطلقاً، در شاكّ در نبوت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مسلمين بعد از اسلام او، تأمل است و حكم مشترك ثابت است؛ و در شاك از كفار هيچ كدام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الحاق امامت به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 و در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تشيع، تأمل است، و اظهر عدم وجوب قتل است، به هيچ يك از دو قسم؛ مگر با علم به رجوع به ارتداد و انكار ضرورى نزد مدعى يا شاك و اين كه ادّعا يا شك فقط به داعى مناصب دنيويّۀ باطله بوده، با عدم خوف و تقيّه اى كه مسقط وجوب يا جواز است</w:t>
      </w:r>
      <w:r>
        <w:rPr>
          <w:rFonts w:eastAsia="IRNazanin" w:cs="IRNazanin"/>
          <w:color w:val="111111"/>
          <w:sz w:val="28"/>
          <w:szCs w:val="28"/>
          <w:rtl w:val="true"/>
          <w:lang w:bidi="fa-IR"/>
        </w:rPr>
        <w:t>.</w:t>
      </w:r>
    </w:p>
    <w:p>
      <w:pPr>
        <w:pStyle w:val="Heading5"/>
        <w:numPr>
          <w:ilvl w:val="4"/>
          <w:numId w:val="1"/>
        </w:numPr>
        <w:rPr/>
      </w:pPr>
      <w:bookmarkStart w:id="1775" w:name="__RefHeading___Toc3972469_1067777946"/>
      <w:bookmarkStart w:id="1776" w:name="_Toc742"/>
      <w:bookmarkEnd w:id="1775"/>
      <w:r>
        <w:rPr>
          <w:rtl w:val="true"/>
        </w:rPr>
        <w:t>اثبات قتل براى عامل به سحر</w:t>
      </w:r>
      <w:bookmarkEnd w:id="177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به سحر را به قتل مى رسانند اگر مسلمان باشد، و تعزير مى نمايند اگر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غير سحر حلال يا واجب است براى ابطال سحر مدعى نبوت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مى شود سحر حرام موجب قتل، با دو شاهد عادل، و با اقرار اگر چه يك دفعه باشد بنا بر اظهر</w:t>
      </w:r>
      <w:r>
        <w:rPr>
          <w:rFonts w:eastAsia="IRNazanin" w:cs="IRNazanin"/>
          <w:color w:val="111111"/>
          <w:sz w:val="28"/>
          <w:szCs w:val="28"/>
          <w:rtl w:val="true"/>
          <w:lang w:bidi="fa-IR"/>
        </w:rPr>
        <w:t>.</w:t>
      </w:r>
    </w:p>
    <w:p>
      <w:pPr>
        <w:pStyle w:val="Heading5"/>
        <w:numPr>
          <w:ilvl w:val="4"/>
          <w:numId w:val="1"/>
        </w:numPr>
        <w:rPr/>
      </w:pPr>
      <w:bookmarkStart w:id="1777" w:name="__RefHeading___Toc3972471_1067777946"/>
      <w:bookmarkStart w:id="1778" w:name="_Toc743"/>
      <w:bookmarkEnd w:id="1777"/>
      <w:r>
        <w:rPr>
          <w:rtl w:val="true"/>
        </w:rPr>
        <w:t>تأديب صبى و مملوك</w:t>
      </w:r>
      <w:bookmarkEnd w:id="17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تأديب صبىّ و مملوك، در مفاسدى كه ردع از آنها با قدرت، واجب است از باب نهى از منكر با شروط آن، واجب است؛ و در غير آنها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مراتب زدن و اصل آن، بين حرمت و كراهت و رجحان، به حسب خصوصيات عمل و عامل فرق مى كند، با رعايت صلاح و فساد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مخالفت اوامر و نواهى اوليا باشد در امور عقلائيۀ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ضارب و مشتهيات و مكروهات نفسانيۀ او</w:t>
      </w:r>
      <w:r>
        <w:rPr>
          <w:rFonts w:eastAsia="IRNazanin" w:cs="IRNazanin"/>
          <w:color w:val="111111"/>
          <w:sz w:val="28"/>
          <w:szCs w:val="28"/>
          <w:rtl w:val="true"/>
          <w:lang w:bidi="fa-IR"/>
        </w:rPr>
        <w:t>.</w:t>
      </w:r>
      <w:bookmarkStart w:id="1779" w:name="pg10275_96685"/>
    </w:p>
    <w:p>
      <w:pPr>
        <w:pStyle w:val="Heading5"/>
        <w:numPr>
          <w:ilvl w:val="4"/>
          <w:numId w:val="1"/>
        </w:numPr>
        <w:rPr/>
      </w:pPr>
      <w:bookmarkStart w:id="1780" w:name="__RefHeading___Toc3972473_1067777946"/>
      <w:bookmarkStart w:id="1781" w:name="_Toc744"/>
      <w:bookmarkEnd w:id="1779"/>
      <w:bookmarkEnd w:id="1780"/>
      <w:r>
        <w:rPr>
          <w:rtl w:val="true"/>
        </w:rPr>
        <w:t>نحوۀ اثبات تعزير</w:t>
      </w:r>
      <w:bookmarkEnd w:id="17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آن تعزير ثابت است ثابت مى شود، با دو شاهد عادل، و با اقرار اهلش اگر چه يك دفعه باشد</w:t>
      </w:r>
      <w:r>
        <w:rPr>
          <w:rFonts w:eastAsia="IRNazanin" w:cs="IRNazanin"/>
          <w:color w:val="111111"/>
          <w:sz w:val="28"/>
          <w:szCs w:val="28"/>
          <w:rtl w:val="true"/>
          <w:lang w:bidi="fa-IR"/>
        </w:rPr>
        <w:t>.</w:t>
      </w:r>
    </w:p>
    <w:p>
      <w:pPr>
        <w:pStyle w:val="Heading5"/>
        <w:numPr>
          <w:ilvl w:val="4"/>
          <w:numId w:val="1"/>
        </w:numPr>
        <w:rPr/>
      </w:pPr>
      <w:bookmarkStart w:id="1782" w:name="__RefHeading___Toc3972475_1067777946"/>
      <w:bookmarkStart w:id="1783" w:name="_Toc745"/>
      <w:bookmarkEnd w:id="1782"/>
      <w:r>
        <w:rPr>
          <w:rtl w:val="true"/>
        </w:rPr>
        <w:t>قذف عبد و امۀ خود</w:t>
      </w:r>
      <w:bookmarkEnd w:id="178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عبد يا امۀ خودش را قذف نمايد، تعزير بر او است</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3972477_1067777946"/>
      <w:bookmarkStart w:id="1785" w:name="_Toc746"/>
      <w:bookmarkEnd w:id="1784"/>
      <w:r>
        <w:rPr>
          <w:rtl w:val="true"/>
        </w:rPr>
        <w:t>تعزير كسى كه واجبى را ترك يا حرامى را انجام دهد</w:t>
      </w:r>
      <w:bookmarkEnd w:id="178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ترك واجبى يا فعل حرامى نمايد و ثابت بشود، براى امام، تعزير او است به آن قدر كه موافق نظر او باشد، و به حدّ حرّ در حرّ و به حدّ مملوك در مملوك نرسد؛ پس در آن چه مقدّر است، ملاحظه و رعايت آن مى شود؛ و در آن چه مناسب عملى كه حدّ دارد باشد بايد به خود آن حدّ در مقدار نرسد، و در غير اينها از حدّ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مملوك كمتر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اختصاص تعزير است به كباير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خلاف صدور صغيره از مجتنب كباير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تعزير است به مراتب انكار كه به قول يا فعل غير زدن باشد</w:t>
      </w:r>
      <w:r>
        <w:rPr>
          <w:rFonts w:eastAsia="Amiri" w:cs="Amiri" w:ascii="Amiri" w:hAnsi="Amiri"/>
          <w:color w:val="111111"/>
          <w:sz w:val="28"/>
          <w:szCs w:val="28"/>
          <w:rtl w:val="true"/>
          <w:lang w:bidi="ar-SA"/>
        </w:rPr>
        <w:t xml:space="preserve">. </w:t>
      </w:r>
      <w:bookmarkStart w:id="1786" w:name="pg10275_96688"/>
    </w:p>
    <w:p>
      <w:pPr>
        <w:pStyle w:val="Heading3"/>
        <w:numPr>
          <w:ilvl w:val="2"/>
          <w:numId w:val="1"/>
        </w:numPr>
        <w:rPr/>
      </w:pPr>
      <w:bookmarkStart w:id="1787" w:name="__RefHeading___Toc3972479_1067777946"/>
      <w:bookmarkStart w:id="1788" w:name="_Toc747"/>
      <w:bookmarkEnd w:id="1786"/>
      <w:bookmarkEnd w:id="1787"/>
      <w:r>
        <w:rPr>
          <w:rtl w:val="true"/>
        </w:rPr>
        <w:t>فصل چهارم حد شرب مسكر و فقاع</w:t>
      </w:r>
      <w:bookmarkEnd w:id="1788"/>
    </w:p>
    <w:p>
      <w:pPr>
        <w:pStyle w:val="Heading4"/>
        <w:numPr>
          <w:ilvl w:val="3"/>
          <w:numId w:val="1"/>
        </w:numPr>
        <w:rPr/>
      </w:pPr>
      <w:bookmarkStart w:id="1789" w:name="__RefHeading___Toc3972481_1067777946"/>
      <w:bookmarkStart w:id="1790" w:name="_Toc748"/>
      <w:bookmarkEnd w:id="1789"/>
      <w:r>
        <w:rPr/>
        <w:t>1</w:t>
      </w:r>
      <w:r>
        <w:rPr>
          <w:rtl w:val="true"/>
        </w:rPr>
        <w:t xml:space="preserve">. </w:t>
      </w:r>
      <w:r>
        <w:rPr>
          <w:rtl w:val="true"/>
        </w:rPr>
        <w:t>موجب حدّ</w:t>
      </w:r>
      <w:bookmarkEnd w:id="1790"/>
    </w:p>
    <w:p>
      <w:pPr>
        <w:pStyle w:val="Heading5"/>
        <w:numPr>
          <w:ilvl w:val="4"/>
          <w:numId w:val="1"/>
        </w:numPr>
        <w:rPr/>
      </w:pPr>
      <w:bookmarkStart w:id="1791" w:name="__RefHeading___Toc3972483_1067777946"/>
      <w:bookmarkStart w:id="1792" w:name="_Toc749"/>
      <w:bookmarkEnd w:id="1791"/>
      <w:r>
        <w:rPr>
          <w:rtl w:val="true"/>
        </w:rPr>
        <w:t>مراد از فقّاع و مسكر و تناول آن</w:t>
      </w:r>
      <w:bookmarkEnd w:id="179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اسم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اسكار كثير آن معتبر است، پس قليل آن موجب حدّ است اگر چه مسكر بالفعل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تناول مسكر يا فقاع، از روى اختيار، از عالم به تحريم، و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تناولِ آن چه اسكارآور است در كثير، مثل شرب و ادخال در غذا و دوا اگر چه تميز آن از بين برود و آن چه متداول است از استعمال بعض مسكرات در مثل قليان؛ پس مثل احتقان به آن، خارج است؛ و همچنين تضميد و اطلاء و سعوط و كحل اگر داخل حلق نشود يا آن كه معلوم نباشد وصول به حلق به آنها،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فقاع اگر رعايت صدق اسم بشود نه اسكار كثير، در مستهلك آن تأمل است در ايجاب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عجين با خمر و نان پختن آن، اقرب ثبوت حدّ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فرقى نيست در اصلى كه مسكر از آن به عمل آورده شده، بين انگور و خرما و كشمش و گندم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اسامى به اختلاف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ايجاب حدّ در يك قطره از آن چه كثير آن مسكر است</w:t>
      </w:r>
      <w:r>
        <w:rPr>
          <w:rFonts w:eastAsia="IRNazanin" w:cs="IRNazanin"/>
          <w:color w:val="111111"/>
          <w:sz w:val="28"/>
          <w:szCs w:val="28"/>
          <w:rtl w:val="true"/>
          <w:lang w:bidi="fa-IR"/>
        </w:rPr>
        <w:t xml:space="preserve">. </w:t>
      </w:r>
      <w:bookmarkStart w:id="1793" w:name="pg10275_96689"/>
    </w:p>
    <w:p>
      <w:pPr>
        <w:pStyle w:val="Heading5"/>
        <w:numPr>
          <w:ilvl w:val="4"/>
          <w:numId w:val="1"/>
        </w:numPr>
        <w:rPr/>
      </w:pPr>
      <w:bookmarkStart w:id="1794" w:name="__RefHeading___Toc3972485_1067777946"/>
      <w:bookmarkStart w:id="1795" w:name="_Toc750"/>
      <w:bookmarkEnd w:id="1793"/>
      <w:bookmarkEnd w:id="1794"/>
      <w:r>
        <w:rPr>
          <w:rtl w:val="true"/>
        </w:rPr>
        <w:t>عصير عنبى و انگور</w:t>
      </w:r>
      <w:bookmarkEnd w:id="1795"/>
    </w:p>
    <w:p>
      <w:pPr>
        <w:pStyle w:val="BookText"/>
        <w:rPr/>
      </w:pPr>
      <w:r>
        <w:rPr>
          <w:rFonts w:ascii="IRNazanin" w:hAnsi="IRNazanin" w:eastAsia="IRNazanin"/>
          <w:color w:val="111111"/>
          <w:sz w:val="28"/>
          <w:sz w:val="28"/>
          <w:szCs w:val="28"/>
          <w:rtl w:val="true"/>
          <w:lang w:bidi="fa-IR"/>
        </w:rPr>
        <w:t xml:space="preserve">عصير عنبى؛ در صورت غليان به خودى خود يا با آتش يا با آفتاب، و ثلثين آن نرفته باشد، و منقلب به سركه نشده باشد، و همچنين شيره نشده باشد، ملحق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به اسكار، در تحريم و ايجاب حدّ؛ و رعايت مى شود حرمت شرب، در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جريان تثليث يا انقلاب در همه يا به نحو مختلف، گذشت در كتاب طهارت آن چه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جريان حكم است در خود انگور اگر مطبوخ و مغلىّ شد اگر چه صدق عصير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عصير خرما و كشمش، گذشت احتياط به تحريم، و در ثبوت حدّ تأمل است</w:t>
      </w:r>
      <w:r>
        <w:rPr>
          <w:rFonts w:eastAsia="IRNazanin" w:cs="IRNazanin"/>
          <w:color w:val="111111"/>
          <w:sz w:val="28"/>
          <w:szCs w:val="28"/>
          <w:rtl w:val="true"/>
          <w:lang w:bidi="fa-IR"/>
        </w:rPr>
        <w:t>.</w:t>
      </w:r>
    </w:p>
    <w:p>
      <w:pPr>
        <w:pStyle w:val="Heading5"/>
        <w:numPr>
          <w:ilvl w:val="4"/>
          <w:numId w:val="1"/>
        </w:numPr>
        <w:rPr/>
      </w:pPr>
      <w:bookmarkStart w:id="1796" w:name="__RefHeading___Toc3972487_1067777946"/>
      <w:bookmarkStart w:id="1797" w:name="_Toc751"/>
      <w:bookmarkEnd w:id="1796"/>
      <w:r>
        <w:rPr>
          <w:rtl w:val="true"/>
        </w:rPr>
        <w:t>اكراه و اضطرار</w:t>
      </w:r>
      <w:bookmarkEnd w:id="1797"/>
    </w:p>
    <w:p>
      <w:pPr>
        <w:pStyle w:val="BookText"/>
        <w:rPr/>
      </w:pPr>
      <w:r>
        <w:rPr>
          <w:rFonts w:ascii="Amiri" w:hAnsi="Amiri" w:eastAsia="Amiri" w:cs="Amiri"/>
          <w:color w:val="111111"/>
          <w:sz w:val="28"/>
          <w:sz w:val="28"/>
          <w:szCs w:val="28"/>
          <w:rtl w:val="true"/>
          <w:lang w:bidi="ar-SA"/>
        </w:rPr>
        <w:t>مكرَه بر شرب خمر به نحوى كه صدق اكراه نمايد و مقتضاى امتنان، رفع عقوبت باشد، حدّ بر او ثابت نيست، كما اين كه تحريم،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مضطرى كه براى رفع اضطرار مسوّغ، شرب نمايد، و كسى كه در حلق او با منع او از آن چه مانع است بريزند، بر او حدّ نيست</w:t>
      </w:r>
      <w:r>
        <w:rPr>
          <w:rFonts w:eastAsia="IRNazanin" w:cs="IRNazanin"/>
          <w:color w:val="111111"/>
          <w:sz w:val="28"/>
          <w:szCs w:val="28"/>
          <w:rtl w:val="true"/>
          <w:lang w:bidi="fa-IR"/>
        </w:rPr>
        <w:t>.</w:t>
      </w:r>
    </w:p>
    <w:p>
      <w:pPr>
        <w:pStyle w:val="Heading5"/>
        <w:numPr>
          <w:ilvl w:val="4"/>
          <w:numId w:val="1"/>
        </w:numPr>
        <w:rPr/>
      </w:pPr>
      <w:bookmarkStart w:id="1798" w:name="__RefHeading___Toc3972489_1067777946"/>
      <w:bookmarkStart w:id="1799" w:name="_Toc752"/>
      <w:bookmarkEnd w:id="1798"/>
      <w:r>
        <w:rPr>
          <w:rtl w:val="true"/>
        </w:rPr>
        <w:t>غير بالغ و جاهل به تحريم</w:t>
      </w:r>
      <w:bookmarkEnd w:id="1799"/>
    </w:p>
    <w:p>
      <w:pPr>
        <w:pStyle w:val="BookText"/>
        <w:rPr/>
      </w:pPr>
      <w:r>
        <w:rPr>
          <w:rFonts w:ascii="IRNazanin" w:hAnsi="IRNazanin" w:eastAsia="IRNazanin"/>
          <w:color w:val="111111"/>
          <w:sz w:val="28"/>
          <w:sz w:val="28"/>
          <w:szCs w:val="28"/>
          <w:rtl w:val="true"/>
          <w:lang w:bidi="fa-IR"/>
        </w:rPr>
        <w:t xml:space="preserve">و غير بالغ عاقل، چنان چه مكلف نيست، حدّ بر او جارى نمى شود اگر چه مورد تأديب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به تحريم خمر حتى جاهل به اين كه غير مسكر بالفعل حرام است، اگر مقصّر نباشد بر او حدّ ثابت نيست، و همچنين جاهل به موضوع مسكر؛ به خلاف عالم به مسكر بودن و جاهل به صنف مسكر، يا عالم به تحريم خمر و جاهل به وجوب حدّ بر شارب كه ثبوت حدّ محتمل است، اگر چه اظهر عدم ثبوت است با قاصر بودن، مثل اصل تحريم مسكر</w:t>
      </w:r>
      <w:r>
        <w:rPr>
          <w:rFonts w:eastAsia="IRNazanin" w:cs="IRNazanin"/>
          <w:color w:val="111111"/>
          <w:sz w:val="28"/>
          <w:szCs w:val="28"/>
          <w:rtl w:val="true"/>
          <w:lang w:bidi="fa-IR"/>
        </w:rPr>
        <w:t xml:space="preserve">. </w:t>
      </w:r>
      <w:bookmarkStart w:id="1800" w:name="pg10275_96691"/>
    </w:p>
    <w:p>
      <w:pPr>
        <w:pStyle w:val="Heading4"/>
        <w:numPr>
          <w:ilvl w:val="3"/>
          <w:numId w:val="1"/>
        </w:numPr>
        <w:rPr/>
      </w:pPr>
      <w:bookmarkStart w:id="1801" w:name="__RefHeading___Toc3972491_1067777946"/>
      <w:bookmarkStart w:id="1802" w:name="_Toc753"/>
      <w:bookmarkEnd w:id="1800"/>
      <w:bookmarkEnd w:id="1801"/>
      <w:r>
        <w:rPr/>
        <w:t>2</w:t>
      </w:r>
      <w:r>
        <w:rPr>
          <w:rtl w:val="true"/>
        </w:rPr>
        <w:t xml:space="preserve">. </w:t>
      </w:r>
      <w:r>
        <w:rPr>
          <w:rtl w:val="true"/>
        </w:rPr>
        <w:t>ثبوت شرب خمر</w:t>
      </w:r>
      <w:bookmarkEnd w:id="1802"/>
    </w:p>
    <w:p>
      <w:pPr>
        <w:pStyle w:val="Heading5"/>
        <w:numPr>
          <w:ilvl w:val="4"/>
          <w:numId w:val="1"/>
        </w:numPr>
        <w:rPr/>
      </w:pPr>
      <w:bookmarkStart w:id="1803" w:name="__RefHeading___Toc3972493_1067777946"/>
      <w:bookmarkStart w:id="1804" w:name="_Toc754"/>
      <w:bookmarkEnd w:id="1803"/>
      <w:r>
        <w:rPr>
          <w:rtl w:val="true"/>
        </w:rPr>
        <w:t>اثبات با شهادت</w:t>
      </w:r>
      <w:bookmarkEnd w:id="1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ثابت مى شود شرب خمر و ثبوت حدّ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دو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زنها مقبول نمى شود اگر چه با انضمام به شهادت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است در شهادت، ذكر مسكر، و لازم نيست ذكر صنف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شارب، ادّعاى اكراه يا جهل رافع حدّ كرد و محتمل بود در حق او، منتفى مى شود؛ و همچنين اگر مختلف شهادت دادند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مطاوعت و اكراه، يا عالم بودن و جاهل بودن به جهل رافع حدّ، يا وقت آن از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ثابت نمى شود</w:t>
      </w:r>
      <w:r>
        <w:rPr>
          <w:rFonts w:eastAsia="IRNazanin" w:cs="IRNazanin"/>
          <w:color w:val="111111"/>
          <w:sz w:val="28"/>
          <w:szCs w:val="28"/>
          <w:rtl w:val="true"/>
          <w:lang w:bidi="fa-IR"/>
        </w:rPr>
        <w:t>.</w:t>
      </w:r>
    </w:p>
    <w:p>
      <w:pPr>
        <w:pStyle w:val="Heading5"/>
        <w:numPr>
          <w:ilvl w:val="4"/>
          <w:numId w:val="1"/>
        </w:numPr>
        <w:rPr/>
      </w:pPr>
      <w:bookmarkStart w:id="1805" w:name="__RefHeading___Toc3972495_1067777946"/>
      <w:bookmarkStart w:id="1806" w:name="_Toc755"/>
      <w:bookmarkEnd w:id="1805"/>
      <w:r>
        <w:rPr>
          <w:rtl w:val="true"/>
        </w:rPr>
        <w:t>اثبات با اقرار</w:t>
      </w:r>
      <w:bookmarkEnd w:id="18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ثابت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اقرار مكلف مختار آزاد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تعدد اقرار است در ايجاب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اعتبارى به قطع به لوازم شرب خمر بلكه به شرب آن، نيست تا بيّنه يا اقرار به صدور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نحوى كه جامع صفات متقدمه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نباشد</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3972497_1067777946"/>
      <w:bookmarkStart w:id="1808" w:name="_Toc756"/>
      <w:bookmarkEnd w:id="1807"/>
      <w:r>
        <w:rPr/>
        <w:t>3</w:t>
      </w:r>
      <w:r>
        <w:rPr>
          <w:rtl w:val="true"/>
        </w:rPr>
        <w:t xml:space="preserve">. </w:t>
      </w:r>
      <w:r>
        <w:rPr>
          <w:rtl w:val="true"/>
        </w:rPr>
        <w:t>كيفيّت حدّ شرب خمر</w:t>
      </w:r>
      <w:bookmarkEnd w:id="1808"/>
    </w:p>
    <w:p>
      <w:pPr>
        <w:pStyle w:val="Heading5"/>
        <w:numPr>
          <w:ilvl w:val="4"/>
          <w:numId w:val="1"/>
        </w:numPr>
        <w:rPr/>
      </w:pPr>
      <w:bookmarkStart w:id="1809" w:name="__RefHeading___Toc3972499_1067777946"/>
      <w:bookmarkStart w:id="1810" w:name="_Toc757"/>
      <w:bookmarkEnd w:id="1809"/>
      <w:r>
        <w:rPr>
          <w:rtl w:val="true"/>
        </w:rPr>
        <w:t>اشاره</w:t>
      </w:r>
      <w:bookmarkEnd w:id="1810"/>
    </w:p>
    <w:p>
      <w:pPr>
        <w:pStyle w:val="BookText"/>
        <w:rPr/>
      </w:pPr>
      <w:r>
        <w:rPr>
          <w:rFonts w:ascii="Amiri" w:hAnsi="Amiri" w:eastAsia="Amiri" w:cs="Amiri"/>
          <w:color w:val="111111"/>
          <w:sz w:val="28"/>
          <w:sz w:val="28"/>
          <w:szCs w:val="28"/>
          <w:rtl w:val="true"/>
          <w:lang w:bidi="ar-SA"/>
        </w:rPr>
        <w:t>حدّ شرب خمر و ملحق به آن، هشتاد تازيانه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در مسلم، بين مرد و زن و حرّ و عبد نيست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ذمّى، اگر مستتر به شرب باشد حدّ بر او نيست؛ و اگر متظاهر به آن باشد حدّ بر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حربىِ متظاهر، ثبوت حدّ است؛ و محتمل است ثبوت آن در غير متظاهر از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كه حدّ ثابت نيست، تأديب مى شود اگر موجب فساد در مسلمانها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اجراى حدّ بر شارب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زدن او برهنه مى نمايند از لباسها او را اگر مرد باشد، و عورتش را از ناظر محترم مى پوشانند، و به پشت او و كتفهاى او </w:t>
      </w:r>
      <w:bookmarkStart w:id="1811" w:name="pg10275_96693"/>
    </w:p>
    <w:p>
      <w:pPr>
        <w:pStyle w:val="BookText"/>
        <w:rPr/>
      </w:pPr>
      <w:bookmarkEnd w:id="1811"/>
      <w:r>
        <w:rPr>
          <w:rFonts w:ascii="IRNazanin" w:hAnsi="IRNazanin" w:eastAsia="IRNazanin"/>
          <w:color w:val="111111"/>
          <w:sz w:val="28"/>
          <w:sz w:val="28"/>
          <w:szCs w:val="28"/>
          <w:rtl w:val="true"/>
          <w:lang w:bidi="fa-IR"/>
        </w:rPr>
        <w:t xml:space="preserve">مى زنند و تفريق بر ساير بدن اولى است، و از فرج و مقاتل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جاهاى كُشنده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نمايند تازيانه را؛ و بايد افاقه براى سكران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سكر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اجراى حدّ بر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ارتداد ساقط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جنون لاحق، مذكور است در كلمات، عدم سقوط، و با زنا در اين حكم، مشترك است</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3972501_1067777946"/>
      <w:bookmarkStart w:id="1813" w:name="_Toc758"/>
      <w:bookmarkEnd w:id="1812"/>
      <w:r>
        <w:rPr>
          <w:rtl w:val="true"/>
        </w:rPr>
        <w:t>تعدّد شرب خمر</w:t>
      </w:r>
      <w:bookmarkEnd w:id="1813"/>
    </w:p>
    <w:p>
      <w:pPr>
        <w:pStyle w:val="BookText"/>
        <w:rPr/>
      </w:pPr>
      <w:r>
        <w:rPr>
          <w:rFonts w:ascii="IRNazanin" w:hAnsi="IRNazanin" w:eastAsia="IRNazanin"/>
          <w:color w:val="111111"/>
          <w:sz w:val="28"/>
          <w:sz w:val="28"/>
          <w:szCs w:val="28"/>
          <w:rtl w:val="true"/>
          <w:lang w:bidi="fa-IR"/>
        </w:rPr>
        <w:t>و اگر شرب متعدد شد قبل از اجراى حدّ، يك مرتبه حدّ اقامه مى شود؛ و اگر عقب هر شربى اجراى حدّ بر او شد، در مرتبۀ چهارم شرب، او را به قتل مى رسانند بنا بر احوط، و محتمل است قتل در 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دفعات متعدده بين اتفاق جنس مشروب و اختلاف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را مى نشانند بسته شده با لباس هاى او و هيچ يك از مواضع بدن او را كشف نمى نمايند</w:t>
      </w:r>
      <w:r>
        <w:rPr>
          <w:rFonts w:eastAsia="IRNazanin" w:cs="IRNazanin"/>
          <w:color w:val="111111"/>
          <w:sz w:val="28"/>
          <w:szCs w:val="28"/>
          <w:rtl w:val="true"/>
          <w:lang w:bidi="fa-IR"/>
        </w:rPr>
        <w:t>.</w:t>
      </w:r>
    </w:p>
    <w:p>
      <w:pPr>
        <w:pStyle w:val="Heading4"/>
        <w:numPr>
          <w:ilvl w:val="3"/>
          <w:numId w:val="1"/>
        </w:numPr>
        <w:rPr/>
      </w:pPr>
      <w:bookmarkStart w:id="1814" w:name="__RefHeading___Toc3972503_1067777946"/>
      <w:bookmarkStart w:id="1815" w:name="_Toc759"/>
      <w:bookmarkEnd w:id="1814"/>
      <w:r>
        <w:rPr/>
        <w:t>4</w:t>
      </w:r>
      <w:r>
        <w:rPr>
          <w:rtl w:val="true"/>
        </w:rPr>
        <w:t xml:space="preserve">. </w:t>
      </w:r>
      <w:r>
        <w:rPr>
          <w:rtl w:val="true"/>
        </w:rPr>
        <w:t>احكام حدّ شرب خمر</w:t>
      </w:r>
      <w:bookmarkEnd w:id="1815"/>
    </w:p>
    <w:p>
      <w:pPr>
        <w:pStyle w:val="Heading5"/>
        <w:numPr>
          <w:ilvl w:val="4"/>
          <w:numId w:val="1"/>
        </w:numPr>
        <w:rPr/>
      </w:pPr>
      <w:bookmarkStart w:id="1816" w:name="__RefHeading___Toc3972505_1067777946"/>
      <w:bookmarkStart w:id="1817" w:name="_Toc760"/>
      <w:bookmarkEnd w:id="1816"/>
      <w:r>
        <w:rPr>
          <w:rtl w:val="true"/>
        </w:rPr>
        <w:t>شهادت يكى به شرب و ديگرى به قى كردن</w:t>
      </w:r>
      <w:bookmarkEnd w:id="1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شهادت داد يكى به شرب خمر و ديگر به قى كردن آن، بدون ذكر تاريخ يا با ذكر آن، با احتمال اتحاد شرب، ثابت است حدّ، با عدم ادّعاى اكراه در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هر دو شهادت به قى كردن دادند</w:t>
      </w:r>
      <w:r>
        <w:rPr>
          <w:rFonts w:eastAsia="IRNazanin" w:cs="IRNazanin"/>
          <w:color w:val="111111"/>
          <w:sz w:val="28"/>
          <w:szCs w:val="28"/>
          <w:rtl w:val="true"/>
          <w:lang w:bidi="fa-IR"/>
        </w:rPr>
        <w:t>.</w:t>
      </w:r>
    </w:p>
    <w:p>
      <w:pPr>
        <w:pStyle w:val="Heading5"/>
        <w:numPr>
          <w:ilvl w:val="4"/>
          <w:numId w:val="1"/>
        </w:numPr>
        <w:rPr/>
      </w:pPr>
      <w:bookmarkStart w:id="1818" w:name="__RefHeading___Toc3972507_1067777946"/>
      <w:bookmarkStart w:id="1819" w:name="_Toc761"/>
      <w:bookmarkEnd w:id="1818"/>
      <w:r>
        <w:rPr>
          <w:rtl w:val="true"/>
        </w:rPr>
        <w:t>ارتداد مستحلّ‌</w:t>
      </w:r>
      <w:bookmarkEnd w:id="18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شرب خمر كرد از روى استحلال، مرتدّ است به واسطۀ انكار ضرورى پس تفصيل بين فطرى و ملّى و مرد و زن است در آن؛ و پس از استتابۀ آن كه استتابه مى شود، اگر امتناع از توبه كرد او را به قتل مى رسانند؛ و اگر توبه كرد اقامۀ حدّ مى شود بر او، و در مرتبۀ سوم يا چهارم او را به قتل مى رسانند و توبه مانع از قتل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بارۀ او جهل به حكم، ممكن باشد به سبب قرب عهد به اسلام و نحو آن،</w:t>
      </w:r>
      <w:bookmarkStart w:id="1820" w:name="pg10275_96695"/>
    </w:p>
    <w:p>
      <w:pPr>
        <w:pStyle w:val="BookText"/>
        <w:rPr/>
      </w:pPr>
      <w:bookmarkEnd w:id="1820"/>
      <w:r>
        <w:rPr>
          <w:rFonts w:ascii="IRNazanin" w:hAnsi="IRNazanin" w:eastAsia="IRNazanin"/>
          <w:color w:val="111111"/>
          <w:sz w:val="28"/>
          <w:sz w:val="28"/>
          <w:szCs w:val="28"/>
          <w:rtl w:val="true"/>
          <w:lang w:bidi="fa-IR"/>
        </w:rPr>
        <w:t>حدّ از او دفع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ساير مسكرات، شرب آنها موجب ارتداد نيست بلكه موجب حدّ است، چه مستحلّ باشد شارب يا قايل به تحريم، و محكوم به كفر نمى شود چون مسأله در مسلمين مورد اختلاف است، و از اين قبيل است فقاع و عصير غير مثلّث؛ لكن در ثبوت حدّ با اين قسم از جهل تقصيرى تأمل است</w:t>
      </w:r>
      <w:r>
        <w:rPr>
          <w:rFonts w:eastAsia="IRNazanin" w:cs="IRNazanin"/>
          <w:color w:val="111111"/>
          <w:sz w:val="28"/>
          <w:szCs w:val="28"/>
          <w:rtl w:val="true"/>
          <w:lang w:bidi="fa-IR"/>
        </w:rPr>
        <w:t>.</w:t>
      </w:r>
    </w:p>
    <w:p>
      <w:pPr>
        <w:pStyle w:val="Heading5"/>
        <w:numPr>
          <w:ilvl w:val="4"/>
          <w:numId w:val="1"/>
        </w:numPr>
        <w:rPr/>
      </w:pPr>
      <w:bookmarkStart w:id="1821" w:name="__RefHeading___Toc3972509_1067777946"/>
      <w:bookmarkStart w:id="1822" w:name="_Toc762"/>
      <w:bookmarkEnd w:id="1821"/>
      <w:r>
        <w:rPr>
          <w:rtl w:val="true"/>
        </w:rPr>
        <w:t>حكم فروشندۀ خمر</w:t>
      </w:r>
      <w:bookmarkEnd w:id="18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فروخت خمر را، پس با امكان و احتمال صحت و جواز نزد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خلافى و نظرى بودن حرمت بيع به مستحلّ يا براى تخليل به مورد وثوق يا به مضطر به شرب آن، و ادّعاى جواز نزد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عقوبت نيست بنا بر اظهر؛ و اگر مستحلّ بود با اعتقاد تحريم شرع، حكم ارتداد فطرى يا ملى را دارد و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بيع ساير مسكرات، مثل تناول آنها و بيع خمر است در قيام خلاف و شبهه و ضرورى نبودن؛ پس بعد از علم يا اعلام به حرمت و استتابه و توبه، محل عقوبت نيست بنا بر اظهر، و با استحلال با اعتقاد حرمت، محكوم به حكم ارتداد است</w:t>
      </w:r>
      <w:r>
        <w:rPr>
          <w:rFonts w:eastAsia="IRNazanin" w:cs="IRNazanin"/>
          <w:color w:val="111111"/>
          <w:sz w:val="28"/>
          <w:szCs w:val="28"/>
          <w:rtl w:val="true"/>
          <w:lang w:bidi="fa-IR"/>
        </w:rPr>
        <w:t>.</w:t>
      </w:r>
    </w:p>
    <w:p>
      <w:pPr>
        <w:pStyle w:val="Heading5"/>
        <w:numPr>
          <w:ilvl w:val="4"/>
          <w:numId w:val="1"/>
        </w:numPr>
        <w:rPr/>
      </w:pPr>
      <w:bookmarkStart w:id="1823" w:name="__RefHeading___Toc3972511_1067777946"/>
      <w:bookmarkStart w:id="1824" w:name="_Toc763"/>
      <w:bookmarkEnd w:id="1823"/>
      <w:r>
        <w:rPr>
          <w:rtl w:val="true"/>
        </w:rPr>
        <w:t>توبۀ از شرب خمر</w:t>
      </w:r>
      <w:bookmarkEnd w:id="18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قيام بيّنه بر شرب مسكر توبه كرد، حدّ ساقط است؛ و اگر بعد از قيام آن توبه كرد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توبۀ بعد از اقرار مثبت شرب و موجب حدّ، اظهر تخيير امام است بين عفو و استيفا</w:t>
      </w:r>
      <w:r>
        <w:rPr>
          <w:rFonts w:eastAsia="IRNazanin" w:cs="IRNazanin"/>
          <w:color w:val="111111"/>
          <w:sz w:val="28"/>
          <w:szCs w:val="28"/>
          <w:rtl w:val="true"/>
          <w:lang w:bidi="fa-IR"/>
        </w:rPr>
        <w:t>.</w:t>
      </w:r>
    </w:p>
    <w:p>
      <w:pPr>
        <w:pStyle w:val="Heading4"/>
        <w:numPr>
          <w:ilvl w:val="3"/>
          <w:numId w:val="1"/>
        </w:numPr>
        <w:rPr/>
      </w:pPr>
      <w:bookmarkStart w:id="1825" w:name="__RefHeading___Toc3972513_1067777946"/>
      <w:bookmarkStart w:id="1826" w:name="_Toc764"/>
      <w:bookmarkEnd w:id="1825"/>
      <w:r>
        <w:rPr>
          <w:rtl w:val="true"/>
        </w:rPr>
        <w:t>تتمه در ذكر چند مسأله</w:t>
      </w:r>
      <w:bookmarkEnd w:id="1826"/>
    </w:p>
    <w:p>
      <w:pPr>
        <w:pStyle w:val="Heading5"/>
        <w:numPr>
          <w:ilvl w:val="4"/>
          <w:numId w:val="1"/>
        </w:numPr>
        <w:rPr/>
      </w:pPr>
      <w:bookmarkStart w:id="1827" w:name="__RefHeading___Toc3972515_1067777946"/>
      <w:bookmarkStart w:id="1828" w:name="_Toc765"/>
      <w:bookmarkEnd w:id="1827"/>
      <w:r>
        <w:rPr>
          <w:rtl w:val="true"/>
        </w:rPr>
        <w:t>ارتداد مستحلّ محرّمات ضروريّه</w:t>
      </w:r>
      <w:bookmarkEnd w:id="1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مستحلّ محرّمات ضروريه بلكه مجمع عليها بين مسلمين، بدون شبهۀ خاصه به</w:t>
      </w:r>
      <w:bookmarkStart w:id="1829" w:name="pg10275_96698"/>
    </w:p>
    <w:p>
      <w:pPr>
        <w:pStyle w:val="BookText"/>
        <w:rPr/>
      </w:pPr>
      <w:bookmarkEnd w:id="1829"/>
      <w:r>
        <w:rPr>
          <w:rFonts w:ascii="IRNazanin" w:hAnsi="IRNazanin" w:eastAsia="IRNazanin"/>
          <w:color w:val="111111"/>
          <w:sz w:val="28"/>
          <w:sz w:val="28"/>
          <w:szCs w:val="28"/>
          <w:rtl w:val="true"/>
          <w:lang w:bidi="fa-IR"/>
        </w:rPr>
        <w:t xml:space="preserve">شخص، مرتد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نزد مستحلّ‌، با اقرار او يا امور معلومه اى كه اثبات بشوند و اثبات نمايند، موجب ارتداد است پس تفصيل است در آن بين فطرى و ملى و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استحلال، حدّ جارى نمى شود مگر در موارد مخصوصه، بلكه تعزير مى شود مرتكب آن؛ و منحصر در كباير نيست، بلكه صغيره از غير مجتنب كباير موجب تعزير است</w:t>
      </w:r>
      <w:r>
        <w:rPr>
          <w:rFonts w:eastAsia="IRNazanin" w:cs="IRNazanin"/>
          <w:color w:val="111111"/>
          <w:sz w:val="28"/>
          <w:szCs w:val="28"/>
          <w:rtl w:val="true"/>
          <w:lang w:bidi="fa-IR"/>
        </w:rPr>
        <w:t>.</w:t>
      </w:r>
    </w:p>
    <w:p>
      <w:pPr>
        <w:pStyle w:val="Heading5"/>
        <w:numPr>
          <w:ilvl w:val="4"/>
          <w:numId w:val="1"/>
        </w:numPr>
        <w:rPr/>
      </w:pPr>
      <w:bookmarkStart w:id="1830" w:name="__RefHeading___Toc3972517_1067777946"/>
      <w:bookmarkStart w:id="1831" w:name="_Toc766"/>
      <w:bookmarkEnd w:id="1830"/>
      <w:r>
        <w:rPr>
          <w:rtl w:val="true"/>
        </w:rPr>
        <w:t>كسى كه در مقام حدّ يا قصاص يا تعزير فوت نمايد</w:t>
      </w:r>
      <w:bookmarkEnd w:id="18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مقام اقامۀ حدّ يا قصاص يا تعزير وفات كرد، ديه اى براى او نيست، بدون فرق بين حدّى كه از حقوق اللّٰه باشد يا از حقوق الناس، و اداى ديه در آن چه از حقوق الناس است، از بيت المال،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خطأ واقع شده بود در اقامۀ آن از مباشر غير معصوم، موجب ضمان مباشر است</w:t>
      </w:r>
      <w:r>
        <w:rPr>
          <w:rFonts w:eastAsia="IRNazanin" w:cs="IRNazanin"/>
          <w:color w:val="111111"/>
          <w:sz w:val="28"/>
          <w:szCs w:val="28"/>
          <w:rtl w:val="true"/>
          <w:lang w:bidi="fa-IR"/>
        </w:rPr>
        <w:t>.</w:t>
      </w:r>
    </w:p>
    <w:p>
      <w:pPr>
        <w:pStyle w:val="Heading5"/>
        <w:numPr>
          <w:ilvl w:val="4"/>
          <w:numId w:val="1"/>
        </w:numPr>
        <w:rPr/>
      </w:pPr>
      <w:bookmarkStart w:id="1832" w:name="__RefHeading___Toc3972519_1067777946"/>
      <w:bookmarkStart w:id="1833" w:name="_Toc767"/>
      <w:bookmarkEnd w:id="1832"/>
      <w:r>
        <w:rPr>
          <w:rtl w:val="true"/>
        </w:rPr>
        <w:t>ديۀ آن چه كه خطا كند و امثال آن</w:t>
      </w:r>
      <w:bookmarkEnd w:id="18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در مقام اقامۀ حدّ موجب قتل، كسى را به قتل رسانيد، بعد معلوم شد فسق شاهدها كه اثبات آن موجب حدّ نموده اند، ديۀ خطأ حكّام از بيت المال ادا مى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حاكم فرستاد براى تحقيق حال به سوى حاملى كه ادّعا بر او شده است، پس اسقاط جنين كرد از خوف، و حاكم متعمّد اتلاف تسبيبى نبود، اظهر ثبوت ديه جنين بر خود حاكم است، به واسطۀ جنايت شبيه عمد در مقدمات حكم، و تمام ديه بر او ثابت است در آن صورت كه مباشر، ضامن نباشد؛ و همچنين اگر در خود حامل، موجب ديه يا ارش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خطأ در نفس حكم بر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 و بدون تحقيق و از روى غفلت يا علم به عدم حمل، به طورى كه عمل به حكم، سبب قتل جنين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بيت المال تأديۀ ديه جنين و غير آن مى شود در آن صورت كه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مباشر جلب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نباشد</w:t>
      </w:r>
      <w:r>
        <w:rPr>
          <w:rFonts w:eastAsia="IRNazanin" w:cs="IRNazanin"/>
          <w:color w:val="111111"/>
          <w:sz w:val="28"/>
          <w:szCs w:val="28"/>
          <w:rtl w:val="true"/>
          <w:lang w:bidi="fa-IR"/>
        </w:rPr>
        <w:t xml:space="preserve">. </w:t>
      </w:r>
      <w:bookmarkStart w:id="1834" w:name="pg10275_96700"/>
    </w:p>
    <w:p>
      <w:pPr>
        <w:pStyle w:val="Heading5"/>
        <w:numPr>
          <w:ilvl w:val="4"/>
          <w:numId w:val="1"/>
        </w:numPr>
        <w:rPr/>
      </w:pPr>
      <w:bookmarkStart w:id="1835" w:name="__RefHeading___Toc3972521_1067777946"/>
      <w:bookmarkStart w:id="1836" w:name="_Toc768"/>
      <w:bookmarkEnd w:id="1834"/>
      <w:bookmarkEnd w:id="1835"/>
      <w:r>
        <w:rPr>
          <w:rtl w:val="true"/>
        </w:rPr>
        <w:t>زدن بيشتر از حدّ به امر حاكم</w:t>
      </w:r>
      <w:bookmarkEnd w:id="1836"/>
    </w:p>
    <w:p>
      <w:pPr>
        <w:pStyle w:val="BookText"/>
        <w:rPr/>
      </w:pPr>
      <w:r>
        <w:rPr>
          <w:rFonts w:ascii="IRNazanin" w:hAnsi="IRNazanin" w:eastAsia="IRNazanin"/>
          <w:color w:val="111111"/>
          <w:sz w:val="28"/>
          <w:sz w:val="28"/>
          <w:szCs w:val="28"/>
          <w:rtl w:val="true"/>
          <w:lang w:bidi="fa-IR"/>
        </w:rPr>
        <w:t xml:space="preserve">اگر حاكم امر كرد به ضرب زايد از مقدار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غضب او بر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قتل يا غلبه آن، پس در صورت جهل حدّاد به نحو زيادتى به نحوى كه معذور باشد، پس موت واقع شد، نصف ديۀ مقتول بر مباشر و نصف آن بر حاكم است از مال خودش، در تقدير تحقق شركت در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تسبيب حاكم و مباشرت حدّاد، بدون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آثم بودن حاكم نه مباشر؛ و اگر خطأ از حاكم در نفس حكم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اشتباه او در سبب حدّ يا در حساب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مربوط به حاكم است از بيت المال تأديه مى شود</w:t>
      </w:r>
      <w:r>
        <w:rPr>
          <w:rFonts w:eastAsia="IRNazanin" w:cs="IRNazanin"/>
          <w:color w:val="111111"/>
          <w:sz w:val="28"/>
          <w:szCs w:val="28"/>
          <w:rtl w:val="true"/>
          <w:lang w:bidi="fa-IR"/>
        </w:rPr>
        <w:t>.</w:t>
      </w:r>
    </w:p>
    <w:p>
      <w:pPr>
        <w:pStyle w:val="Heading5"/>
        <w:numPr>
          <w:ilvl w:val="4"/>
          <w:numId w:val="1"/>
        </w:numPr>
        <w:rPr/>
      </w:pPr>
      <w:bookmarkStart w:id="1837" w:name="__RefHeading___Toc3972523_1067777946"/>
      <w:bookmarkStart w:id="1838" w:name="_Toc769"/>
      <w:bookmarkEnd w:id="1837"/>
      <w:r>
        <w:rPr>
          <w:rtl w:val="true"/>
        </w:rPr>
        <w:t>اگر زننده بيشتر بزند با عدالت حاكم</w:t>
      </w:r>
      <w:bookmarkEnd w:id="1838"/>
    </w:p>
    <w:p>
      <w:pPr>
        <w:pStyle w:val="BookText"/>
        <w:rPr/>
      </w:pPr>
      <w:r>
        <w:rPr>
          <w:rFonts w:ascii="IRNazanin" w:hAnsi="IRNazanin" w:eastAsia="IRNazanin"/>
          <w:color w:val="111111"/>
          <w:sz w:val="28"/>
          <w:sz w:val="28"/>
          <w:szCs w:val="28"/>
          <w:rtl w:val="true"/>
          <w:lang w:bidi="fa-IR"/>
        </w:rPr>
        <w:t>و اگر حاكم، در امر، عدالت كرد، لكن حدّاد زياد كرد پس محدود وفات نمود، پس اگر عمداً زياد كرده با قصد قتل يا غلبۀ آن، از او قصاص مى شود با مطالبۀ ولىّ‌، بعد از ردّ بعض ديه به حساب اسواط موظّفه به ولىّ يا ردّ نصف ديه؛ و اگر شبيه عمد بوده، بعض ديه به حساب سوطهاى زياد شده يا نصف آن، از مال حدّاد است؛ و اگر سهوى و خطأ محض بوده، ديۀ مقتول به حساب سوطهاى زياد شده يا نصف ديه بر عاقله حدّاد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اعتبار به تعدد جنايتها يا جانيها با ملاحظه تعدد جنايت يا بدون ملاحظۀ آن است، پس محلش كتاب ديات است</w:t>
      </w:r>
      <w:r>
        <w:rPr>
          <w:rFonts w:eastAsia="IRNazanin" w:cs="IRNazanin"/>
          <w:color w:val="111111"/>
          <w:sz w:val="28"/>
          <w:szCs w:val="28"/>
          <w:rtl w:val="true"/>
          <w:lang w:bidi="fa-IR"/>
        </w:rPr>
        <w:t>.</w:t>
      </w:r>
    </w:p>
    <w:p>
      <w:pPr>
        <w:pStyle w:val="Heading5"/>
        <w:numPr>
          <w:ilvl w:val="4"/>
          <w:numId w:val="1"/>
        </w:numPr>
        <w:rPr/>
      </w:pPr>
      <w:bookmarkStart w:id="1839" w:name="__RefHeading___Toc3972525_1067777946"/>
      <w:bookmarkStart w:id="1840" w:name="_Toc770"/>
      <w:bookmarkEnd w:id="1839"/>
      <w:r>
        <w:rPr>
          <w:rtl w:val="true"/>
        </w:rPr>
        <w:t>اگر زيادتى از هر دو باشد</w:t>
      </w:r>
      <w:bookmarkEnd w:id="184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زيادتى از حاكم و حدّاد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زيادتى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نوبت به ديه رسيد، تثليث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حدّ و زيادتى حاكم و زيادتى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تساوى يا تفاوت به اختلاف جنايتها؛ و مربوط به حدّ ساقط مى شود</w:t>
      </w:r>
      <w:r>
        <w:rPr>
          <w:rFonts w:eastAsia="IRNazanin" w:cs="IRNazanin"/>
          <w:color w:val="111111"/>
          <w:sz w:val="28"/>
          <w:szCs w:val="28"/>
          <w:rtl w:val="true"/>
          <w:lang w:bidi="fa-IR"/>
        </w:rPr>
        <w:t xml:space="preserve">. </w:t>
      </w:r>
      <w:bookmarkStart w:id="1841" w:name="pg10275_96701"/>
    </w:p>
    <w:p>
      <w:pPr>
        <w:pStyle w:val="Heading3"/>
        <w:numPr>
          <w:ilvl w:val="2"/>
          <w:numId w:val="1"/>
        </w:numPr>
        <w:rPr/>
      </w:pPr>
      <w:bookmarkStart w:id="1842" w:name="__RefHeading___Toc3972527_1067777946"/>
      <w:bookmarkStart w:id="1843" w:name="_Toc771"/>
      <w:bookmarkEnd w:id="1841"/>
      <w:bookmarkEnd w:id="1842"/>
      <w:r>
        <w:rPr>
          <w:rtl w:val="true"/>
        </w:rPr>
        <w:t>فصل پنجم حد سرقت</w:t>
      </w:r>
      <w:bookmarkEnd w:id="1843"/>
    </w:p>
    <w:p>
      <w:pPr>
        <w:pStyle w:val="Heading4"/>
        <w:numPr>
          <w:ilvl w:val="3"/>
          <w:numId w:val="1"/>
        </w:numPr>
        <w:rPr/>
      </w:pPr>
      <w:bookmarkStart w:id="1844" w:name="__RefHeading___Toc3972529_1067777946"/>
      <w:bookmarkStart w:id="1845" w:name="_Toc772"/>
      <w:bookmarkEnd w:id="1844"/>
      <w:r>
        <w:rPr/>
        <w:t>1</w:t>
      </w:r>
      <w:r>
        <w:rPr>
          <w:rtl w:val="true"/>
        </w:rPr>
        <w:t xml:space="preserve">. </w:t>
      </w:r>
      <w:r>
        <w:rPr>
          <w:rtl w:val="true"/>
        </w:rPr>
        <w:t>سارق</w:t>
      </w:r>
      <w:bookmarkEnd w:id="1845"/>
    </w:p>
    <w:p>
      <w:pPr>
        <w:pStyle w:val="Heading5"/>
        <w:numPr>
          <w:ilvl w:val="4"/>
          <w:numId w:val="1"/>
        </w:numPr>
        <w:rPr/>
      </w:pPr>
      <w:bookmarkStart w:id="1846" w:name="__RefHeading___Toc3972531_1067777946"/>
      <w:bookmarkStart w:id="1847" w:name="_Toc773"/>
      <w:bookmarkEnd w:id="1846"/>
      <w:r>
        <w:rPr>
          <w:rtl w:val="true"/>
        </w:rPr>
        <w:t>اشاره</w:t>
      </w:r>
      <w:bookmarkEnd w:id="1847"/>
    </w:p>
    <w:p>
      <w:pPr>
        <w:pStyle w:val="BookText"/>
        <w:rPr/>
      </w:pPr>
      <w:r>
        <w:rPr>
          <w:rFonts w:ascii="IRNazanin" w:hAnsi="IRNazanin" w:eastAsia="IRNazanin"/>
          <w:color w:val="111111"/>
          <w:sz w:val="28"/>
          <w:sz w:val="28"/>
          <w:szCs w:val="28"/>
          <w:rtl w:val="true"/>
          <w:lang w:bidi="fa-IR"/>
        </w:rPr>
        <w:t>معتبر است در وجوب اقامۀ حدّ بر سارق امورى</w:t>
      </w:r>
      <w:r>
        <w:rPr>
          <w:rFonts w:eastAsia="IRNazanin" w:cs="IRNazanin"/>
          <w:color w:val="111111"/>
          <w:sz w:val="28"/>
          <w:szCs w:val="28"/>
          <w:rtl w:val="true"/>
          <w:lang w:bidi="fa-IR"/>
        </w:rPr>
        <w:t>:</w:t>
      </w:r>
    </w:p>
    <w:p>
      <w:pPr>
        <w:pStyle w:val="Heading5"/>
        <w:numPr>
          <w:ilvl w:val="4"/>
          <w:numId w:val="1"/>
        </w:numPr>
        <w:rPr/>
      </w:pPr>
      <w:bookmarkStart w:id="1848" w:name="__RefHeading___Toc3972533_1067777946"/>
      <w:bookmarkStart w:id="1849" w:name="_Toc774"/>
      <w:bookmarkEnd w:id="1848"/>
      <w:r>
        <w:rPr>
          <w:rtl w:val="true"/>
        </w:rPr>
        <w:t>اشتراط بلوغ و حكم مميّز غير بالغ</w:t>
      </w:r>
      <w:bookmarkEnd w:id="1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جمله بلوغ است بنا بر مشهور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مميّز غير بالغ، اقامۀ حدّ نيست اگر چه مكرر باشد سرقت او و به مرتبۀ پنجم و ازيد برسد، بلكه تعزير مى شود به موافق نظر حاكم؛ و عقوبت او در سرقت و در مراتب مكررۀ آن بعد از عفو در مرتبۀ اول و دوم و بعد از هفت سالگى يا نه سالگى شديد است؛ و احتياط در ترك ادماء است براى غير امام اصل، فضلاً از قطع انمله و اسفل از آن</w:t>
      </w:r>
      <w:r>
        <w:rPr>
          <w:rFonts w:eastAsia="IRNazanin" w:cs="IRNazanin"/>
          <w:color w:val="111111"/>
          <w:sz w:val="28"/>
          <w:szCs w:val="28"/>
          <w:rtl w:val="true"/>
          <w:lang w:bidi="fa-IR"/>
        </w:rPr>
        <w:t>.</w:t>
      </w:r>
    </w:p>
    <w:p>
      <w:pPr>
        <w:pStyle w:val="Heading5"/>
        <w:numPr>
          <w:ilvl w:val="4"/>
          <w:numId w:val="1"/>
        </w:numPr>
        <w:rPr/>
      </w:pPr>
      <w:bookmarkStart w:id="1850" w:name="__RefHeading___Toc3972535_1067777946"/>
      <w:bookmarkStart w:id="1851" w:name="_Toc775"/>
      <w:bookmarkEnd w:id="1850"/>
      <w:r>
        <w:rPr>
          <w:rtl w:val="true"/>
        </w:rPr>
        <w:t>اشتراط عقل</w:t>
      </w:r>
      <w:bookmarkEnd w:id="18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عقل است؛ پس قطع نيست در سرقت مجنون اگر چه ادوارى باشد و سرقت در حال جنون شده باشد و مكرر شده باشد؛ بلكه تعزير و تأديب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مميّز مقصود به آن باشد، و تأثير داشته باشد به واسطۀ اين تمييز، تأديب او در خوددارى او از اين افساد و اخلال نظم</w:t>
      </w:r>
      <w:r>
        <w:rPr>
          <w:rFonts w:eastAsia="IRNazanin" w:cs="IRNazanin"/>
          <w:color w:val="111111"/>
          <w:sz w:val="28"/>
          <w:szCs w:val="28"/>
          <w:rtl w:val="true"/>
          <w:lang w:bidi="fa-IR"/>
        </w:rPr>
        <w:t>.</w:t>
      </w:r>
    </w:p>
    <w:p>
      <w:pPr>
        <w:pStyle w:val="Heading5"/>
        <w:numPr>
          <w:ilvl w:val="4"/>
          <w:numId w:val="1"/>
        </w:numPr>
        <w:rPr/>
      </w:pPr>
      <w:bookmarkStart w:id="1852" w:name="__RefHeading___Toc3972537_1067777946"/>
      <w:bookmarkStart w:id="1853" w:name="_Toc776"/>
      <w:bookmarkEnd w:id="1852"/>
      <w:r>
        <w:rPr>
          <w:rtl w:val="true"/>
        </w:rPr>
        <w:t>اشتراط ارتفاع شبهه</w:t>
      </w:r>
      <w:bookmarkEnd w:id="18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جمله ارتفاع شبهۀ دافعۀ حدّ است، به مثل توهّم و اعتقاد مالكيّت يا استقلال يا وفاى مأخوذ به قدر حصه آخذ در صورت اشتراك، بعد معلوم بشود عدم مالكيّت يا</w:t>
      </w:r>
      <w:bookmarkStart w:id="1854" w:name="pg10275_96703"/>
    </w:p>
    <w:p>
      <w:pPr>
        <w:pStyle w:val="BookText"/>
        <w:rPr/>
      </w:pPr>
      <w:bookmarkEnd w:id="1854"/>
      <w:r>
        <w:rPr>
          <w:rFonts w:ascii="Amiri" w:hAnsi="Amiri" w:eastAsia="Amiri" w:cs="Amiri"/>
          <w:color w:val="111111"/>
          <w:sz w:val="28"/>
          <w:sz w:val="28"/>
          <w:szCs w:val="28"/>
          <w:rtl w:val="true"/>
          <w:lang w:bidi="ar-SA"/>
        </w:rPr>
        <w:t>استقلال يا وفاى مذكور، به خلاف صورت علم به حرمت تصرّف و تعمّد سرقت با اشتمال مسروق نصاب از مال غير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عدم فرق است بين اقسام مشتركات مثل آن چه در بيت المال است از غنايم و از خمس و زكات، براى كسانى كه در آنها حق دارند و در بارۀ آنها شبهۀ دافعه نيست و مسروق مشتمل بر نصاب از نصيب سارق است، بلى در مثل خمس و زكات و موقوف اعتبار نصاب، شبهه است براى كسى كه مصرف همۀ مال است</w:t>
      </w:r>
      <w:r>
        <w:rPr>
          <w:rFonts w:eastAsia="IRNazanin" w:cs="IRNazanin"/>
          <w:color w:val="111111"/>
          <w:sz w:val="28"/>
          <w:szCs w:val="28"/>
          <w:rtl w:val="true"/>
          <w:lang w:bidi="fa-IR"/>
        </w:rPr>
        <w:t>.</w:t>
      </w:r>
    </w:p>
    <w:p>
      <w:pPr>
        <w:pStyle w:val="Heading5"/>
        <w:numPr>
          <w:ilvl w:val="4"/>
          <w:numId w:val="1"/>
        </w:numPr>
        <w:rPr/>
      </w:pPr>
      <w:bookmarkStart w:id="1855" w:name="__RefHeading___Toc3972539_1067777946"/>
      <w:bookmarkStart w:id="1856" w:name="_Toc777"/>
      <w:bookmarkEnd w:id="1855"/>
      <w:r>
        <w:rPr>
          <w:rtl w:val="true"/>
        </w:rPr>
        <w:t>هتك حرز</w:t>
      </w:r>
      <w:bookmarkEnd w:id="18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اين كه 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اخراج مال از آن نمايد، به تنهايى يا با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مال، محرَز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كه در صندوقى غير مقفول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هاتك، مُخرِج نبوده، بر كسى حدّ سرقت، جارى نباشد، و ضمان مال و افساد، بر آخذ و مباشر است؛ و با شك در صدق حرز و احراز، قطع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 به سرقت پردۀ كعبه و قناديل روضه هاى مقدسه و اشباه اينها، داير مدار تحقق احراز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سدّ ابواب و مقفّل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ادخال يد در جيب و سرقت آن چه در داخل جيب است، پس اگر در قميص پايينى باشد يا در باطن قميصى باشد كه ظاهر و باطن دارد، به مثل ادخال يد يا قطع جامه، قطع در آن ثابت است؛ و اگر قميص باطن ندارد لكن از باطن، ادخال يد در آن مى شود نه از ظاهر، اظهر ثبوت قطع است به ادخال يد يا قطع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ميوه بر درخت اگر محرز است به مقفول بودن درب باغ، سرقت آن قطع دارد وگرنه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اتلاف مأخوذ در حرز، قطع ندارد اگر اخراج ننمايد، اگر چه ضمان و تعزير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نقب حِرز تعاون كردند و يكى اخراج كرد، حدّ بر مُخرج است؛ و اگر يكى </w:t>
      </w:r>
      <w:bookmarkStart w:id="1857" w:name="pg10275_96705"/>
    </w:p>
    <w:p>
      <w:pPr>
        <w:pStyle w:val="BookText"/>
        <w:rPr/>
      </w:pPr>
      <w:bookmarkEnd w:id="1857"/>
      <w:r>
        <w:rPr>
          <w:rFonts w:ascii="IRNazanin" w:hAnsi="IRNazanin" w:eastAsia="IRNazanin"/>
          <w:color w:val="111111"/>
          <w:sz w:val="28"/>
          <w:sz w:val="28"/>
          <w:szCs w:val="28"/>
          <w:rtl w:val="true"/>
          <w:lang w:bidi="fa-IR"/>
        </w:rPr>
        <w:t>منفرد به نقب و هتك بود، و شريك در اخراجِ هر كدام نصاب را بود، ناقبِ مُخرج، قطع مى شود؛ و اگر هر دو مقدار يك نصاب را اخراج نمودند قطع بر هيچ كدام نيست بنا بر اظهر و احوط</w:t>
      </w:r>
      <w:r>
        <w:rPr>
          <w:rFonts w:eastAsia="IRNazanin" w:cs="IRNazanin"/>
          <w:color w:val="111111"/>
          <w:sz w:val="28"/>
          <w:szCs w:val="28"/>
          <w:rtl w:val="true"/>
          <w:lang w:bidi="fa-IR"/>
        </w:rPr>
        <w:t>.</w:t>
      </w:r>
    </w:p>
    <w:p>
      <w:pPr>
        <w:pStyle w:val="Heading5"/>
        <w:numPr>
          <w:ilvl w:val="4"/>
          <w:numId w:val="1"/>
        </w:numPr>
        <w:rPr/>
      </w:pPr>
      <w:bookmarkStart w:id="1858" w:name="__RefHeading___Toc3972541_1067777946"/>
      <w:bookmarkStart w:id="1859" w:name="_Toc778"/>
      <w:bookmarkEnd w:id="1858"/>
      <w:r>
        <w:rPr>
          <w:rtl w:val="true"/>
        </w:rPr>
        <w:t>اعتبار اخراج از حرز</w:t>
      </w:r>
      <w:bookmarkEnd w:id="18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اين كه نصاب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به تنهايى يا با شريكى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 كه اخراج او به مباشرت باشد، يا تسبيب به نحوى كه استناد به او داشته باشد در عرف، مثل جذب آن چه در حرز، مشدود نموده است به وسيلۀ ريسمانى، از خارج؛ يا آن كه روى دابّۀ در حرز بگذارد و دابّه اخراج نمايد به سَوق يا قَود؛ يا به بال طايرِ معتادِ رجوع ببندد و رجوع نمايد؛ و امثال مذكورات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كرد صبىّ غير مميّز يا مجنونى را به اخراج از حرز، قطع بر آمر است؛ و اگر مميّز بودند، قطع بر هيچ كدام از آمر و مأمور نيست</w:t>
      </w:r>
      <w:r>
        <w:rPr>
          <w:rFonts w:eastAsia="IRNazanin" w:cs="IRNazanin"/>
          <w:color w:val="111111"/>
          <w:sz w:val="28"/>
          <w:szCs w:val="28"/>
          <w:rtl w:val="true"/>
          <w:lang w:bidi="fa-IR"/>
        </w:rPr>
        <w:t>.</w:t>
      </w:r>
    </w:p>
    <w:p>
      <w:pPr>
        <w:pStyle w:val="Heading5"/>
        <w:numPr>
          <w:ilvl w:val="4"/>
          <w:numId w:val="1"/>
        </w:numPr>
        <w:rPr/>
      </w:pPr>
      <w:bookmarkStart w:id="1860" w:name="__RefHeading___Toc3972543_1067777946"/>
      <w:bookmarkStart w:id="1861" w:name="_Toc779"/>
      <w:bookmarkEnd w:id="1860"/>
      <w:r>
        <w:rPr>
          <w:rtl w:val="true"/>
        </w:rPr>
        <w:t>عدم قطع بر والد و اجداد</w:t>
      </w:r>
      <w:bookmarkEnd w:id="186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جمله اين كه سارق، والد آن كه صاحب مال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والد، قطع نيست، و اظهر عموم حكم به اجداد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عكس و در ساير اقارب، قطع مى شود هر كدام سارق مال ديگرى باشد، حتى مادر از مال فرزند بنا بر اظهر، با محفوظيت هتك حرز و اخذ نصاب در همه</w:t>
      </w:r>
      <w:r>
        <w:rPr>
          <w:rFonts w:eastAsia="IRNazanin" w:cs="IRNazanin"/>
          <w:color w:val="111111"/>
          <w:sz w:val="28"/>
          <w:szCs w:val="28"/>
          <w:rtl w:val="true"/>
          <w:lang w:bidi="fa-IR"/>
        </w:rPr>
        <w:t>.</w:t>
      </w:r>
    </w:p>
    <w:p>
      <w:pPr>
        <w:pStyle w:val="Heading5"/>
        <w:numPr>
          <w:ilvl w:val="4"/>
          <w:numId w:val="1"/>
        </w:numPr>
        <w:rPr/>
      </w:pPr>
      <w:bookmarkStart w:id="1862" w:name="__RefHeading___Toc3972545_1067777946"/>
      <w:bookmarkStart w:id="1863" w:name="_Toc780"/>
      <w:bookmarkEnd w:id="1862"/>
      <w:r>
        <w:rPr>
          <w:rtl w:val="true"/>
        </w:rPr>
        <w:t>اشتراط برداشتن مال در خفا</w:t>
      </w:r>
      <w:bookmarkEnd w:id="186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اين كه مال را در خفا از صاحبش بردارد؛ پس اگر آشكار و قهراً بردارد غاصب است نه سارق؛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مؤتمن خيانت نمايد در امانتى به مقدار نصاب، يا آن كه از روى سهو و غفلت اخذ نمايد با معلوميت آن يا ادّعاى آن به نحوى كه محتمل باشد صدق او، و همچنين اگر اكراه شود بر سرقت به نحوى كه مسوّغ عمل باشد در شرع</w:t>
      </w:r>
      <w:r>
        <w:rPr>
          <w:rFonts w:eastAsia="IRNazanin" w:cs="IRNazanin"/>
          <w:color w:val="111111"/>
          <w:sz w:val="28"/>
          <w:szCs w:val="28"/>
          <w:rtl w:val="true"/>
          <w:lang w:bidi="fa-IR"/>
        </w:rPr>
        <w:t>.</w:t>
      </w:r>
      <w:bookmarkStart w:id="1864" w:name="pg10275_96707"/>
    </w:p>
    <w:p>
      <w:pPr>
        <w:pStyle w:val="Heading5"/>
        <w:numPr>
          <w:ilvl w:val="4"/>
          <w:numId w:val="1"/>
        </w:numPr>
        <w:rPr/>
      </w:pPr>
      <w:bookmarkStart w:id="1865" w:name="__RefHeading___Toc3972547_1067777946"/>
      <w:bookmarkStart w:id="1866" w:name="_Toc781"/>
      <w:bookmarkEnd w:id="1864"/>
      <w:bookmarkEnd w:id="1865"/>
      <w:r>
        <w:rPr>
          <w:rtl w:val="true"/>
        </w:rPr>
        <w:t>حكم ذمّى</w:t>
      </w:r>
      <w:bookmarkEnd w:id="1866"/>
    </w:p>
    <w:p>
      <w:pPr>
        <w:pStyle w:val="BookText"/>
        <w:rPr/>
      </w:pPr>
      <w:r>
        <w:rPr>
          <w:rFonts w:ascii="Amiri" w:hAnsi="Amiri" w:eastAsia="Amiri" w:cs="Amiri"/>
          <w:color w:val="111111"/>
          <w:sz w:val="28"/>
          <w:sz w:val="28"/>
          <w:szCs w:val="28"/>
          <w:rtl w:val="true"/>
          <w:lang w:bidi="ar-SA"/>
        </w:rPr>
        <w:t>و ذمّى سارق مال مسلمان، و به عكس، قطع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الحاق حربى كه در امان اسلام باشد، به ذمّى در حكم مذكور،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ذمّى و حربى اگر چه معاهد باشد، اگر سرقت نمايند مال مسلمان را يا مال ذمى يا معاهد يا حربى را، قطع مى شوند در صورت مراجعه به حكّام اسلام و حكّام اختيار حكم بنمايند نه اعراض جايز و رفع به حكّام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مملوك ذمّى، مثل حرّ از اهل ذمّه است در آن 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و زن در احكام مذكوره فرقى ندارند</w:t>
      </w:r>
      <w:r>
        <w:rPr>
          <w:rFonts w:eastAsia="IRNazanin" w:cs="IRNazanin"/>
          <w:color w:val="111111"/>
          <w:sz w:val="28"/>
          <w:szCs w:val="28"/>
          <w:rtl w:val="true"/>
          <w:lang w:bidi="fa-IR"/>
        </w:rPr>
        <w:t>.</w:t>
      </w:r>
    </w:p>
    <w:p>
      <w:pPr>
        <w:pStyle w:val="Heading5"/>
        <w:numPr>
          <w:ilvl w:val="4"/>
          <w:numId w:val="1"/>
        </w:numPr>
        <w:rPr/>
      </w:pPr>
      <w:bookmarkStart w:id="1867" w:name="__RefHeading___Toc3972549_1067777946"/>
      <w:bookmarkStart w:id="1868" w:name="_Toc782"/>
      <w:bookmarkEnd w:id="1867"/>
      <w:r>
        <w:rPr>
          <w:rtl w:val="true"/>
        </w:rPr>
        <w:t>چند مسأله</w:t>
      </w:r>
      <w:bookmarkEnd w:id="1868"/>
    </w:p>
    <w:p>
      <w:pPr>
        <w:pStyle w:val="Heading6"/>
        <w:numPr>
          <w:ilvl w:val="5"/>
          <w:numId w:val="1"/>
        </w:numPr>
        <w:rPr/>
      </w:pPr>
      <w:bookmarkStart w:id="1869" w:name="__RefHeading___Toc3972551_1067777946"/>
      <w:bookmarkStart w:id="1870" w:name="_Toc783"/>
      <w:bookmarkEnd w:id="1869"/>
      <w:r>
        <w:rPr>
          <w:rtl w:val="true"/>
        </w:rPr>
        <w:t>سرقت راهن يا موجر مال خودشان را</w:t>
      </w:r>
      <w:bookmarkEnd w:id="1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سرقت راهن، عين مرهونه را از مرتهن، يا موجر، عين مستأجره را از مستأجر، موجب قطع سارق نمى شود، به جهت عدم ملكيت عين براى مسروقٌ منه</w:t>
      </w:r>
      <w:r>
        <w:rPr>
          <w:rFonts w:eastAsia="Amiri" w:cs="Amiri" w:ascii="Amiri" w:hAnsi="Amiri"/>
          <w:color w:val="111111"/>
          <w:sz w:val="28"/>
          <w:szCs w:val="28"/>
          <w:rtl w:val="true"/>
          <w:lang w:bidi="ar-SA"/>
        </w:rPr>
        <w:t>.</w:t>
      </w:r>
    </w:p>
    <w:p>
      <w:pPr>
        <w:pStyle w:val="Heading6"/>
        <w:numPr>
          <w:ilvl w:val="5"/>
          <w:numId w:val="1"/>
        </w:numPr>
        <w:rPr/>
      </w:pPr>
      <w:bookmarkStart w:id="1871" w:name="__RefHeading___Toc3972553_1067777946"/>
      <w:bookmarkStart w:id="1872" w:name="_Toc784"/>
      <w:bookmarkEnd w:id="1871"/>
      <w:r>
        <w:rPr>
          <w:rtl w:val="true"/>
        </w:rPr>
        <w:t>سرقت عبد از مال مالك</w:t>
      </w:r>
      <w:bookmarkEnd w:id="18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سرقت عبد از مال مالك، و سرقت مملوك به غنيمت، از آن، موجب قطع نمى شود</w:t>
      </w:r>
      <w:r>
        <w:rPr>
          <w:rFonts w:eastAsia="Amiri" w:cs="Amiri" w:ascii="Amiri" w:hAnsi="Amiri"/>
          <w:color w:val="111111"/>
          <w:sz w:val="28"/>
          <w:szCs w:val="28"/>
          <w:rtl w:val="true"/>
          <w:lang w:bidi="ar-SA"/>
        </w:rPr>
        <w:t>.</w:t>
      </w:r>
    </w:p>
    <w:p>
      <w:pPr>
        <w:pStyle w:val="Heading6"/>
        <w:numPr>
          <w:ilvl w:val="5"/>
          <w:numId w:val="1"/>
        </w:numPr>
        <w:rPr/>
      </w:pPr>
      <w:bookmarkStart w:id="1873" w:name="__RefHeading___Toc3972555_1067777946"/>
      <w:bookmarkStart w:id="1874" w:name="_Toc785"/>
      <w:bookmarkEnd w:id="1873"/>
      <w:r>
        <w:rPr>
          <w:rtl w:val="true"/>
        </w:rPr>
        <w:t>سرقت اجير</w:t>
      </w:r>
      <w:bookmarkEnd w:id="18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سرقت اجير از حرز مالك مؤجر، موجب قطع است؛ به خلاف سرقت او از مال مؤجر از غير حرز</w:t>
      </w:r>
      <w:r>
        <w:rPr>
          <w:rFonts w:eastAsia="Amiri" w:cs="Amiri" w:ascii="Amiri" w:hAnsi="Amiri"/>
          <w:color w:val="111111"/>
          <w:sz w:val="28"/>
          <w:szCs w:val="28"/>
          <w:rtl w:val="true"/>
          <w:lang w:bidi="ar-SA"/>
        </w:rPr>
        <w:t>.</w:t>
      </w:r>
    </w:p>
    <w:p>
      <w:pPr>
        <w:pStyle w:val="Heading6"/>
        <w:numPr>
          <w:ilvl w:val="5"/>
          <w:numId w:val="1"/>
        </w:numPr>
        <w:rPr/>
      </w:pPr>
      <w:bookmarkStart w:id="1875" w:name="__RefHeading___Toc3972557_1067777946"/>
      <w:bookmarkStart w:id="1876" w:name="_Toc786"/>
      <w:bookmarkEnd w:id="1875"/>
      <w:r>
        <w:rPr>
          <w:rtl w:val="true"/>
        </w:rPr>
        <w:t>سرقت زوجين از مال ديگرى</w:t>
      </w:r>
      <w:bookmarkEnd w:id="1876"/>
    </w:p>
    <w:p>
      <w:pPr>
        <w:pStyle w:val="Heading6"/>
        <w:numPr>
          <w:ilvl w:val="5"/>
          <w:numId w:val="1"/>
        </w:numPr>
        <w:rPr/>
      </w:pPr>
      <w:bookmarkStart w:id="1877" w:name="__RefHeading___Toc3972559_1067777946"/>
      <w:bookmarkStart w:id="1878" w:name="_Toc787"/>
      <w:bookmarkEnd w:id="1877"/>
      <w:r>
        <w:rPr>
          <w:rtl w:val="true"/>
        </w:rPr>
        <w:t>اشاره</w:t>
      </w:r>
      <w:bookmarkEnd w:id="187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سرقت زوجين هر كدام از مال محرز ديگرى، موجب قطع است؛ مگر سرقت زوجه مقدار نفقۀ لازمه بر زوج را از مال زوج در صورت امتناع او از اداى نفقه لازمه به واسطۀ بخيل بودن و نحو آن؛ و همچنين است سرقت هر مستحق انفاق از مال منفِق</w:t>
      </w:r>
      <w:r>
        <w:rPr>
          <w:rFonts w:eastAsia="IRNazanin" w:cs="IRNazanin"/>
          <w:color w:val="111111"/>
          <w:sz w:val="28"/>
          <w:szCs w:val="28"/>
          <w:rtl w:val="true"/>
          <w:lang w:bidi="fa-IR"/>
        </w:rPr>
        <w:t xml:space="preserve">. </w:t>
      </w:r>
      <w:bookmarkStart w:id="1879" w:name="pg10275_96709"/>
    </w:p>
    <w:p>
      <w:pPr>
        <w:pStyle w:val="Heading6"/>
        <w:numPr>
          <w:ilvl w:val="5"/>
          <w:numId w:val="1"/>
        </w:numPr>
        <w:rPr/>
      </w:pPr>
      <w:bookmarkStart w:id="1880" w:name="__RefHeading___Toc3972561_1067777946"/>
      <w:bookmarkStart w:id="1881" w:name="_Toc788"/>
      <w:bookmarkEnd w:id="1879"/>
      <w:bookmarkEnd w:id="1880"/>
      <w:r>
        <w:rPr>
          <w:rtl w:val="true"/>
        </w:rPr>
        <w:t>سرقت ضيف</w:t>
      </w:r>
      <w:bookmarkEnd w:id="1881"/>
    </w:p>
    <w:p>
      <w:pPr>
        <w:pStyle w:val="BookText"/>
        <w:rPr/>
      </w:pPr>
      <w:r>
        <w:rPr>
          <w:rFonts w:ascii="IRNazanin" w:hAnsi="IRNazanin" w:eastAsia="IRNazanin"/>
          <w:color w:val="111111"/>
          <w:sz w:val="28"/>
          <w:sz w:val="28"/>
          <w:szCs w:val="28"/>
          <w:rtl w:val="true"/>
          <w:lang w:bidi="fa-IR"/>
        </w:rPr>
        <w:t>و سرقت ضيف با احراز از او، موجب قطع است، و همچنين ضيف ضيف؛ و با ائتمان، موجب قطع نيست</w:t>
      </w:r>
      <w:r>
        <w:rPr>
          <w:rFonts w:eastAsia="IRNazanin" w:cs="IRNazanin"/>
          <w:color w:val="111111"/>
          <w:sz w:val="28"/>
          <w:szCs w:val="28"/>
          <w:rtl w:val="true"/>
          <w:lang w:bidi="fa-IR"/>
        </w:rPr>
        <w:t>.</w:t>
      </w:r>
    </w:p>
    <w:p>
      <w:pPr>
        <w:pStyle w:val="Heading6"/>
        <w:numPr>
          <w:ilvl w:val="5"/>
          <w:numId w:val="1"/>
        </w:numPr>
        <w:rPr/>
      </w:pPr>
      <w:bookmarkStart w:id="1882" w:name="__RefHeading___Toc3972563_1067777946"/>
      <w:bookmarkStart w:id="1883" w:name="_Toc789"/>
      <w:bookmarkEnd w:id="1882"/>
      <w:r>
        <w:rPr>
          <w:rtl w:val="true"/>
        </w:rPr>
        <w:t>شبهۀ حكميه</w:t>
      </w:r>
      <w:bookmarkEnd w:id="18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شبهۀ حاكم مثل شبهۀ سارق دافع حدّ است، مثل اختلاف بين مخرِج و صاحب بيت در هبۀ مال و سرقت آن، بدون بيّنه؛ بلى در نفس مال قول صاحب بيت با يمين او مقدم است؛ و همچنين اختلاف در مالك بعد از اعتراف به اخذ از بيت، پس غرامت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ثابت است با يمين صاحب يد اصلى قبل از اخذ</w:t>
      </w:r>
      <w:r>
        <w:rPr>
          <w:rFonts w:eastAsia="IRNazanin" w:cs="IRNazanin"/>
          <w:color w:val="111111"/>
          <w:sz w:val="28"/>
          <w:szCs w:val="28"/>
          <w:rtl w:val="true"/>
          <w:lang w:bidi="fa-IR"/>
        </w:rPr>
        <w:t>.</w:t>
      </w:r>
    </w:p>
    <w:p>
      <w:pPr>
        <w:pStyle w:val="Heading4"/>
        <w:numPr>
          <w:ilvl w:val="3"/>
          <w:numId w:val="1"/>
        </w:numPr>
        <w:rPr/>
      </w:pPr>
      <w:bookmarkStart w:id="1884" w:name="__RefHeading___Toc3972565_1067777946"/>
      <w:bookmarkStart w:id="1885" w:name="_Toc790"/>
      <w:bookmarkEnd w:id="1884"/>
      <w:r>
        <w:rPr/>
        <w:t>2</w:t>
      </w:r>
      <w:r>
        <w:rPr>
          <w:rtl w:val="true"/>
        </w:rPr>
        <w:t xml:space="preserve">. </w:t>
      </w:r>
      <w:r>
        <w:rPr>
          <w:rtl w:val="true"/>
        </w:rPr>
        <w:t>مسروق</w:t>
      </w:r>
      <w:bookmarkEnd w:id="1885"/>
    </w:p>
    <w:p>
      <w:pPr>
        <w:pStyle w:val="Heading5"/>
        <w:numPr>
          <w:ilvl w:val="4"/>
          <w:numId w:val="1"/>
        </w:numPr>
        <w:rPr/>
      </w:pPr>
      <w:bookmarkStart w:id="1886" w:name="__RefHeading___Toc3972567_1067777946"/>
      <w:bookmarkStart w:id="1887" w:name="_Toc791"/>
      <w:bookmarkEnd w:id="1886"/>
      <w:r>
        <w:rPr>
          <w:rtl w:val="true"/>
        </w:rPr>
        <w:t>مقدار مسروق</w:t>
      </w:r>
      <w:bookmarkEnd w:id="1887"/>
    </w:p>
    <w:p>
      <w:pPr>
        <w:pStyle w:val="BookText"/>
        <w:rPr/>
      </w:pPr>
      <w:r>
        <w:rPr>
          <w:rFonts w:ascii="IRNazanin" w:hAnsi="IRNazanin" w:eastAsia="IRNazanin"/>
          <w:color w:val="111111"/>
          <w:sz w:val="28"/>
          <w:sz w:val="28"/>
          <w:szCs w:val="28"/>
          <w:rtl w:val="true"/>
          <w:lang w:bidi="fa-IR"/>
        </w:rPr>
        <w:t>مقدار مسروق كه در آن قطع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چهارم دينار از طلاى خالص 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وزن دينار عبارت از يك مثقال شرعى و سه ربع مثقال صيرفى است؛ پس در كمتر از اين مقدار قطع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جنس و صنف مسروق نيست بعد از تقويم به ربع دينار، حتى طلاى خالص غير مسكوك تقويم به ربع دينار مسكوك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مملوكِ مسروقٌ منه باشد به هر سببى كه موجب تملك او باشد حتى مباح الأصل اگر داخل در ملك او بشود</w:t>
      </w:r>
      <w:r>
        <w:rPr>
          <w:rFonts w:eastAsia="IRNazanin" w:cs="IRNazanin"/>
          <w:color w:val="111111"/>
          <w:sz w:val="28"/>
          <w:szCs w:val="28"/>
          <w:rtl w:val="true"/>
          <w:lang w:bidi="fa-IR"/>
        </w:rPr>
        <w:t>.</w:t>
      </w:r>
    </w:p>
    <w:p>
      <w:pPr>
        <w:pStyle w:val="Heading5"/>
        <w:numPr>
          <w:ilvl w:val="4"/>
          <w:numId w:val="1"/>
        </w:numPr>
        <w:rPr/>
      </w:pPr>
      <w:bookmarkStart w:id="1888" w:name="__RefHeading___Toc3972569_1067777946"/>
      <w:bookmarkStart w:id="1889" w:name="_Toc792"/>
      <w:bookmarkEnd w:id="1888"/>
      <w:r>
        <w:rPr>
          <w:rtl w:val="true"/>
        </w:rPr>
        <w:t>سرقت در ايام قحط</w:t>
      </w:r>
      <w:bookmarkEnd w:id="188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سرقت در ايام قحط و مجاعت موجب قطع نيست اگر از مأكولات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نان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اظهر الحاق مأكول بالقوّة مثل گندم و جو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وجود مأكولات با اثمان غاليۀ فوق العاده؛ و همچنين غير مأكولات اگر توصل به مأكول باشد يا ادّعاى آن بشود با احتمال صدق، نه در صورت اطمينان به خلاف</w:t>
      </w:r>
      <w:r>
        <w:rPr>
          <w:rFonts w:eastAsia="IRNazanin" w:cs="IRNazanin"/>
          <w:color w:val="111111"/>
          <w:sz w:val="28"/>
          <w:szCs w:val="28"/>
          <w:rtl w:val="true"/>
          <w:lang w:bidi="fa-IR"/>
        </w:rPr>
        <w:t xml:space="preserve">. </w:t>
      </w:r>
      <w:bookmarkStart w:id="1890" w:name="pg10275_96711"/>
    </w:p>
    <w:p>
      <w:pPr>
        <w:pStyle w:val="Heading5"/>
        <w:numPr>
          <w:ilvl w:val="4"/>
          <w:numId w:val="1"/>
        </w:numPr>
        <w:rPr/>
      </w:pPr>
      <w:bookmarkStart w:id="1891" w:name="__RefHeading___Toc3972571_1067777946"/>
      <w:bookmarkStart w:id="1892" w:name="_Toc793"/>
      <w:bookmarkEnd w:id="1890"/>
      <w:bookmarkEnd w:id="1891"/>
      <w:r>
        <w:rPr>
          <w:rtl w:val="true"/>
        </w:rPr>
        <w:t>سرقت مملوك غير مميّز</w:t>
      </w:r>
      <w:bookmarkEnd w:id="1892"/>
    </w:p>
    <w:p>
      <w:pPr>
        <w:pStyle w:val="BookText"/>
        <w:rPr/>
      </w:pPr>
      <w:r>
        <w:rPr>
          <w:rFonts w:ascii="IRNazanin" w:hAnsi="IRNazanin" w:eastAsia="IRNazanin"/>
          <w:color w:val="111111"/>
          <w:sz w:val="28"/>
          <w:sz w:val="28"/>
          <w:szCs w:val="28"/>
          <w:rtl w:val="true"/>
          <w:lang w:bidi="fa-IR"/>
        </w:rPr>
        <w:t>اگر كسى مملوك غير مميز را سرقت كرد، قطع مى شود با شروط متقدمه كه از آن جمله حرز است به نحو متصور در آن؛ و فرقى بين اقسام مملوك نيست با تحقق ملكيت و نصاب در مسروق مملوك</w:t>
      </w:r>
      <w:r>
        <w:rPr>
          <w:rFonts w:eastAsia="IRNazanin" w:cs="IRNazanin"/>
          <w:color w:val="111111"/>
          <w:sz w:val="28"/>
          <w:szCs w:val="28"/>
          <w:rtl w:val="true"/>
          <w:lang w:bidi="fa-IR"/>
        </w:rPr>
        <w:t>.</w:t>
      </w:r>
    </w:p>
    <w:p>
      <w:pPr>
        <w:pStyle w:val="Heading5"/>
        <w:numPr>
          <w:ilvl w:val="4"/>
          <w:numId w:val="1"/>
        </w:numPr>
        <w:rPr/>
      </w:pPr>
      <w:bookmarkStart w:id="1893" w:name="__RefHeading___Toc3972573_1067777946"/>
      <w:bookmarkStart w:id="1894" w:name="_Toc794"/>
      <w:bookmarkEnd w:id="1893"/>
      <w:r>
        <w:rPr>
          <w:rtl w:val="true"/>
        </w:rPr>
        <w:t>آدم ربايى</w:t>
      </w:r>
      <w:bookmarkEnd w:id="1894"/>
    </w:p>
    <w:p>
      <w:pPr>
        <w:pStyle w:val="BookText"/>
        <w:rPr/>
      </w:pPr>
      <w:r>
        <w:rPr>
          <w:rFonts w:ascii="IRNazanin" w:hAnsi="IRNazanin" w:eastAsia="IRNazanin"/>
          <w:color w:val="111111"/>
          <w:sz w:val="28"/>
          <w:sz w:val="28"/>
          <w:szCs w:val="28"/>
          <w:rtl w:val="true"/>
          <w:lang w:bidi="fa-IR"/>
        </w:rPr>
        <w:t>و اگر مسروق حرّ بود، مميز يا غير مميز، صغير يا كبير، پس فروخت آن را؛ پس مشهور و مروىّ‌، قطع است براى فساد، نه سرقت ثابتۀ در املاك؛ و اگر سرقت كرد و بيع نكرد تأديب مى شود با نظر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حرّ مسروق مالى باشد به قدر نصاب؛ پس با استيلاى ذو اليد، قطع نمى شود اگر چه صغير باشد؛ و با عدم اثبات يد به نحوى كه سرقت در آن مال محقق شود، با شروط آن قطع مى شود</w:t>
      </w:r>
      <w:r>
        <w:rPr>
          <w:rFonts w:eastAsia="IRNazanin" w:cs="IRNazanin"/>
          <w:color w:val="111111"/>
          <w:sz w:val="28"/>
          <w:szCs w:val="28"/>
          <w:rtl w:val="true"/>
          <w:lang w:bidi="fa-IR"/>
        </w:rPr>
        <w:t>.</w:t>
      </w:r>
    </w:p>
    <w:p>
      <w:pPr>
        <w:pStyle w:val="Heading5"/>
        <w:numPr>
          <w:ilvl w:val="4"/>
          <w:numId w:val="1"/>
        </w:numPr>
        <w:rPr/>
      </w:pPr>
      <w:bookmarkStart w:id="1895" w:name="__RefHeading___Toc3972575_1067777946"/>
      <w:bookmarkStart w:id="1896" w:name="_Toc795"/>
      <w:bookmarkEnd w:id="1895"/>
      <w:r>
        <w:rPr>
          <w:rtl w:val="true"/>
        </w:rPr>
        <w:t>دزدى از شخص نائم بر متاع</w:t>
      </w:r>
      <w:bookmarkEnd w:id="1896"/>
    </w:p>
    <w:p>
      <w:pPr>
        <w:pStyle w:val="BookText"/>
        <w:rPr/>
      </w:pPr>
      <w:r>
        <w:rPr>
          <w:rFonts w:ascii="IRNazanin" w:hAnsi="IRNazanin" w:eastAsia="IRNazanin"/>
          <w:color w:val="111111"/>
          <w:sz w:val="28"/>
          <w:sz w:val="28"/>
          <w:szCs w:val="28"/>
          <w:rtl w:val="true"/>
          <w:lang w:bidi="fa-IR"/>
        </w:rPr>
        <w:t>و اگر كبير نائم بر متاع خود بود و به قدر نصاب بود، پس با تحقق احراز در متاع به مجرد نوم بر آن و در كبير به نوم او، در صورت بيع او قطع مى شود؛ و گذشت سرقت حرّ و بيع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عاريه و اجاره اگر معير و موجر نقب حرز كرد و مال مستعير يا مستأجر را سرقت كرد، قطع مى شود با ساير شروط متقدمه</w:t>
      </w:r>
      <w:r>
        <w:rPr>
          <w:rFonts w:eastAsia="IRNazanin" w:cs="IRNazanin"/>
          <w:color w:val="111111"/>
          <w:sz w:val="28"/>
          <w:szCs w:val="28"/>
          <w:rtl w:val="true"/>
          <w:lang w:bidi="fa-IR"/>
        </w:rPr>
        <w:t>.</w:t>
      </w:r>
    </w:p>
    <w:p>
      <w:pPr>
        <w:pStyle w:val="Heading5"/>
        <w:numPr>
          <w:ilvl w:val="4"/>
          <w:numId w:val="1"/>
        </w:numPr>
        <w:rPr/>
      </w:pPr>
      <w:bookmarkStart w:id="1897" w:name="__RefHeading___Toc3972577_1067777946"/>
      <w:bookmarkStart w:id="1898" w:name="_Toc796"/>
      <w:bookmarkEnd w:id="1897"/>
      <w:r>
        <w:rPr>
          <w:rtl w:val="true"/>
        </w:rPr>
        <w:t>حكم حرز مغصوب يا مال مغصوب در حرز</w:t>
      </w:r>
      <w:bookmarkEnd w:id="1898"/>
    </w:p>
    <w:p>
      <w:pPr>
        <w:pStyle w:val="BookText"/>
        <w:rPr/>
      </w:pPr>
      <w:r>
        <w:rPr>
          <w:rFonts w:ascii="IRNazanin" w:hAnsi="IRNazanin" w:eastAsia="IRNazanin"/>
          <w:color w:val="111111"/>
          <w:sz w:val="28"/>
          <w:sz w:val="28"/>
          <w:szCs w:val="28"/>
          <w:rtl w:val="true"/>
          <w:lang w:bidi="fa-IR"/>
        </w:rPr>
        <w:t xml:space="preserve">و اگر حرز مغصوب بود پس مالك، آن را هتك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آن چه در آن است كرد، قطع نمى شود و بايد مال را ردّ به مالك او نمايد؛ و اگر غير مالك بدون اذن مالك، هتك حرز كرد اقرب ثبوت قطع است با سرقت آن چه در آن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حرز، مال مغصوب هاتك باشد، پس بعد از هتك آن، اخذ خصوص مال خودش نمود، معلوم است عدم قطع؛ و اگر هر دو مال را اخذ نمود و مال غير به قدر </w:t>
      </w:r>
      <w:bookmarkStart w:id="1899" w:name="pg10275_96713"/>
    </w:p>
    <w:p>
      <w:pPr>
        <w:pStyle w:val="BookText"/>
        <w:rPr/>
      </w:pPr>
      <w:bookmarkEnd w:id="1899"/>
      <w:r>
        <w:rPr>
          <w:rFonts w:ascii="IRNazanin" w:hAnsi="IRNazanin" w:eastAsia="IRNazanin"/>
          <w:color w:val="111111"/>
          <w:sz w:val="28"/>
          <w:sz w:val="28"/>
          <w:szCs w:val="28"/>
          <w:rtl w:val="true"/>
          <w:lang w:bidi="fa-IR"/>
        </w:rPr>
        <w:t>نصاب بود، پس اگر هتك براى مال غير خودش يا مجموع نمود، قطع مى شود؛ و اگر براى مال خودش هتك نمود، قطع نمى شود اگر چه مال غير را هم اخراج نمايد</w:t>
      </w:r>
      <w:r>
        <w:rPr>
          <w:rFonts w:eastAsia="IRNazanin" w:cs="IRNazanin"/>
          <w:color w:val="111111"/>
          <w:sz w:val="28"/>
          <w:szCs w:val="28"/>
          <w:rtl w:val="true"/>
          <w:lang w:bidi="fa-IR"/>
        </w:rPr>
        <w:t>.</w:t>
      </w:r>
    </w:p>
    <w:p>
      <w:pPr>
        <w:pStyle w:val="Heading5"/>
        <w:numPr>
          <w:ilvl w:val="4"/>
          <w:numId w:val="1"/>
        </w:numPr>
        <w:rPr/>
      </w:pPr>
      <w:bookmarkStart w:id="1900" w:name="__RefHeading___Toc3972579_1067777946"/>
      <w:bookmarkStart w:id="1901" w:name="_Toc797"/>
      <w:bookmarkEnd w:id="1900"/>
      <w:r>
        <w:rPr>
          <w:rtl w:val="true"/>
        </w:rPr>
        <w:t>سرقت از وقف</w:t>
      </w:r>
      <w:bookmarkEnd w:id="1901"/>
    </w:p>
    <w:p>
      <w:pPr>
        <w:pStyle w:val="BookText"/>
        <w:rPr/>
      </w:pPr>
      <w:r>
        <w:rPr>
          <w:rFonts w:ascii="IRNazanin" w:hAnsi="IRNazanin" w:eastAsia="IRNazanin"/>
          <w:color w:val="111111"/>
          <w:sz w:val="28"/>
          <w:sz w:val="28"/>
          <w:szCs w:val="28"/>
          <w:rtl w:val="true"/>
          <w:lang w:bidi="fa-IR"/>
        </w:rPr>
        <w:t>و سارق مالِ موقوف، با مطالبۀ مالكين موقوف عليهم، مثل سارق مال اشخاص است، مگر آن كه وقف بر فقرا مثلاً باشد و سارق، مصرف همۀ آن مال باشد كه اعتبار نصاب شبهه است</w:t>
      </w:r>
      <w:r>
        <w:rPr>
          <w:rFonts w:eastAsia="IRNazanin" w:cs="IRNazanin"/>
          <w:color w:val="111111"/>
          <w:sz w:val="28"/>
          <w:szCs w:val="28"/>
          <w:rtl w:val="true"/>
          <w:lang w:bidi="fa-IR"/>
        </w:rPr>
        <w:t>.</w:t>
      </w:r>
    </w:p>
    <w:p>
      <w:pPr>
        <w:pStyle w:val="Heading5"/>
        <w:numPr>
          <w:ilvl w:val="4"/>
          <w:numId w:val="1"/>
        </w:numPr>
        <w:rPr/>
      </w:pPr>
      <w:bookmarkStart w:id="1902" w:name="__RefHeading___Toc3972581_1067777946"/>
      <w:bookmarkStart w:id="1903" w:name="_Toc798"/>
      <w:bookmarkEnd w:id="1902"/>
      <w:r>
        <w:rPr>
          <w:rtl w:val="true"/>
        </w:rPr>
        <w:t>سرقت كفن</w:t>
      </w:r>
      <w:bookmarkEnd w:id="1903"/>
    </w:p>
    <w:p>
      <w:pPr>
        <w:pStyle w:val="BookText"/>
        <w:rPr/>
      </w:pPr>
      <w:r>
        <w:rPr>
          <w:rFonts w:ascii="IRNazanin" w:hAnsi="IRNazanin" w:eastAsia="IRNazanin"/>
          <w:color w:val="111111"/>
          <w:sz w:val="28"/>
          <w:sz w:val="28"/>
          <w:szCs w:val="28"/>
          <w:rtl w:val="true"/>
          <w:lang w:bidi="fa-IR"/>
        </w:rPr>
        <w:t xml:space="preserve">كسى كه نبش قبر كرد و سرقت نمود كفن را، قطع مى شود اگر كفن به حدّ نصاب است، وگرنه تعزير مى شود؛ و آن چه غير كفن و اجزاى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مندوبه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حرز بودن قبر بر آنها تأمل است، مگر آن كه قبر در مكان محصور و مقفول الباب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مكرّر شد اين عمل و مرتدع نشد به سبب حدّ يا آن كه به سلطان نرسيد امر او، محتمل است بعد از تكرار، قتل او جايز باشد يا آن كه محكوم به حكم مُفسِد باشد</w:t>
      </w:r>
      <w:r>
        <w:rPr>
          <w:rFonts w:eastAsia="IRNazanin" w:cs="IRNazanin"/>
          <w:color w:val="111111"/>
          <w:sz w:val="28"/>
          <w:szCs w:val="28"/>
          <w:rtl w:val="true"/>
          <w:lang w:bidi="fa-IR"/>
        </w:rPr>
        <w:t>.</w:t>
      </w:r>
    </w:p>
    <w:p>
      <w:pPr>
        <w:pStyle w:val="Heading4"/>
        <w:numPr>
          <w:ilvl w:val="3"/>
          <w:numId w:val="1"/>
        </w:numPr>
        <w:rPr/>
      </w:pPr>
      <w:bookmarkStart w:id="1904" w:name="__RefHeading___Toc3972583_1067777946"/>
      <w:bookmarkStart w:id="1905" w:name="_Toc799"/>
      <w:bookmarkEnd w:id="1904"/>
      <w:r>
        <w:rPr/>
        <w:t>3</w:t>
      </w:r>
      <w:r>
        <w:rPr>
          <w:rtl w:val="true"/>
        </w:rPr>
        <w:t xml:space="preserve">. </w:t>
      </w:r>
      <w:r>
        <w:rPr>
          <w:rtl w:val="true"/>
        </w:rPr>
        <w:t>آن چه با آن، سرقت ثابت مى شود</w:t>
      </w:r>
      <w:bookmarkEnd w:id="1905"/>
    </w:p>
    <w:p>
      <w:pPr>
        <w:pStyle w:val="Heading5"/>
        <w:numPr>
          <w:ilvl w:val="4"/>
          <w:numId w:val="1"/>
        </w:numPr>
        <w:rPr/>
      </w:pPr>
      <w:bookmarkStart w:id="1906" w:name="__RefHeading___Toc3972585_1067777946"/>
      <w:bookmarkStart w:id="1907" w:name="_Toc800"/>
      <w:bookmarkEnd w:id="1906"/>
      <w:r>
        <w:rPr>
          <w:rtl w:val="true"/>
        </w:rPr>
        <w:t>اشاره</w:t>
      </w:r>
      <w:bookmarkEnd w:id="1907"/>
    </w:p>
    <w:p>
      <w:pPr>
        <w:pStyle w:val="BookText"/>
        <w:rPr/>
      </w:pPr>
      <w:r>
        <w:rPr>
          <w:rFonts w:ascii="Amiri" w:hAnsi="Amiri" w:eastAsia="Amiri" w:cs="Amiri"/>
          <w:color w:val="111111"/>
          <w:sz w:val="28"/>
          <w:sz w:val="28"/>
          <w:szCs w:val="28"/>
          <w:rtl w:val="true"/>
          <w:lang w:bidi="ar-SA"/>
        </w:rPr>
        <w:t>ثابت مى شود سرقت و موجب قطع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عدلين، و به اقرار از سارق دو دفعه</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3972587_1067777946"/>
      <w:bookmarkStart w:id="1909" w:name="_Toc801"/>
      <w:bookmarkEnd w:id="1908"/>
      <w:r>
        <w:rPr>
          <w:rtl w:val="true"/>
        </w:rPr>
        <w:t>اقرار و شرايط مُقِرّ</w:t>
      </w:r>
      <w:bookmarkEnd w:id="1909"/>
    </w:p>
    <w:p>
      <w:pPr>
        <w:pStyle w:val="BookText"/>
        <w:rPr/>
      </w:pPr>
      <w:r>
        <w:rPr>
          <w:rFonts w:ascii="IRNazanin" w:hAnsi="IRNazanin" w:eastAsia="IRNazanin"/>
          <w:color w:val="111111"/>
          <w:sz w:val="28"/>
          <w:sz w:val="28"/>
          <w:szCs w:val="28"/>
          <w:rtl w:val="true"/>
          <w:lang w:bidi="fa-IR"/>
        </w:rPr>
        <w:t>و با رجوع از اقرار دو دفعه، سقوط حدّ محل خلاف است، اظهر عدم سقوط است؛ و با اقرار يك دفعه، مال ثابت مى شود نه قطع، مگر با لحوق 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است در ثبوت با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مُقِرّ و كمال عقل او؛ پس اقرار صبى و مجنون، مثبت سرقت نمى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است حرّيت مُقِرّ؛ پس اقرار مملوك، به سرقت، در حق غير است و نافذ </w:t>
      </w:r>
      <w:bookmarkStart w:id="1910" w:name="pg10275_96715"/>
    </w:p>
    <w:p>
      <w:pPr>
        <w:pStyle w:val="BookText"/>
        <w:rPr/>
      </w:pPr>
      <w:bookmarkEnd w:id="1910"/>
      <w:r>
        <w:rPr>
          <w:rFonts w:ascii="IRNazanin" w:hAnsi="IRNazanin" w:eastAsia="IRNazanin"/>
          <w:color w:val="111111"/>
          <w:sz w:val="28"/>
          <w:sz w:val="28"/>
          <w:szCs w:val="28"/>
          <w:rtl w:val="true"/>
          <w:lang w:bidi="fa-IR"/>
        </w:rPr>
        <w:t>نيست و ثابت نمى شود سرقت او مگر با شهادت 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اقرار كرد در حال رقّيت پس از آن آزاد شد، اظهر استصحاب درء حدّ است از كسى كه در حال اقرار، حرّيت نداشته، تا آن كه در حال حرّيت، اقرار نمايد دو دفعه يا بيّنه قائم شود بر سرقت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كرد محجورٌ عليه به سبب سفه يا افلاس، اظهر ثبوت سرقت و قطع است نه مال، بلى دومى بعد از زوال حجر، مطالَب به مال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است در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پس اقرار مكرَه و ساهى و غافل و نائم، مؤثر در هيچ حكمى نيست اگر چه اقرار مكرر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مملوك، مثبت مال است در ذمۀ او كه بعد از عتق مطالَب به آن مى شود؛ و اثبات حدّ به همين نحوه، گذشت آن 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اكراه و ضرب، اقرار كرد پس از آن ادا نمود عين را، پس اقرار اختيارى نبوده، و آوردن عين، اعم از سرقت است لذا بدون اقرار، قطع به سبب آن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حاكم در هر حكمى كه كافى باشد، ثابت مى شود با آن</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3972589_1067777946"/>
      <w:bookmarkStart w:id="1912" w:name="_Toc802"/>
      <w:bookmarkEnd w:id="1911"/>
      <w:r>
        <w:rPr/>
        <w:t>4</w:t>
      </w:r>
      <w:r>
        <w:rPr>
          <w:rtl w:val="true"/>
        </w:rPr>
        <w:t xml:space="preserve">. </w:t>
      </w:r>
      <w:r>
        <w:rPr>
          <w:rtl w:val="true"/>
        </w:rPr>
        <w:t>كيفيت حدّ سارق</w:t>
      </w:r>
      <w:bookmarkEnd w:id="1912"/>
    </w:p>
    <w:p>
      <w:pPr>
        <w:pStyle w:val="Heading5"/>
        <w:numPr>
          <w:ilvl w:val="4"/>
          <w:numId w:val="1"/>
        </w:numPr>
        <w:rPr/>
      </w:pPr>
      <w:bookmarkStart w:id="1913" w:name="__RefHeading___Toc3972591_1067777946"/>
      <w:bookmarkStart w:id="1914" w:name="_Toc803"/>
      <w:bookmarkEnd w:id="1913"/>
      <w:r>
        <w:rPr>
          <w:rtl w:val="true"/>
        </w:rPr>
        <w:t>مقدار قطع انگشتان</w:t>
      </w:r>
      <w:bookmarkEnd w:id="1914"/>
    </w:p>
    <w:p>
      <w:pPr>
        <w:pStyle w:val="BookText"/>
        <w:rPr/>
      </w:pPr>
      <w:r>
        <w:rPr>
          <w:rFonts w:ascii="IRNazanin" w:hAnsi="IRNazanin" w:eastAsia="IRNazanin"/>
          <w:color w:val="111111"/>
          <w:sz w:val="28"/>
          <w:sz w:val="28"/>
          <w:szCs w:val="28"/>
          <w:rtl w:val="true"/>
          <w:lang w:bidi="fa-IR"/>
        </w:rPr>
        <w:t>و آن عبارت است از قطع دست راست او از مفصل اصابع چهارگانه، به نحوى كه باقى بماند براى او ابهام و كف دست تا بتواند با آن انجام وضوء و نماز بى مشقت بدهد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 انگشت زايد داشت و متميز بود، باقى مى گذارند آن را، حتى اگر تميّز آن به اين بود كه دو سبابه داشت هر دو را قطع نمى نمايد در تكميل چهار انگشت؛ و اگر متميز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هر دو اصلى ديده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ثابت است، و احوط تخيير سارق است يا تعيين با قرعه با تمكن از قطع چهار انگشت در هر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ممكن نشد قطع چهار انگشت مگر با قطع پنجم كه متصل به يكى از آن چهار است، اقتصار </w:t>
      </w:r>
      <w:bookmarkStart w:id="1915" w:name="pg10275_96717"/>
    </w:p>
    <w:p>
      <w:pPr>
        <w:pStyle w:val="BookText"/>
        <w:rPr/>
      </w:pPr>
      <w:bookmarkEnd w:id="1915"/>
      <w:r>
        <w:rPr>
          <w:rFonts w:ascii="IRNazanin" w:hAnsi="IRNazanin" w:eastAsia="IRNazanin"/>
          <w:color w:val="111111"/>
          <w:sz w:val="28"/>
          <w:sz w:val="28"/>
          <w:szCs w:val="28"/>
          <w:rtl w:val="true"/>
          <w:lang w:bidi="fa-IR"/>
        </w:rPr>
        <w:t>بر قطع سه انگشت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شد قطع بعض اصبع اصلى كه زايد، به آن متصل است، بدون افساد در انگشتى كه نبايد قطع بشود، اقتصار بر قطع بعض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انگشتها كمتر از متعارف است، اقتصار بر قطع موجود مى شود، حتى اگر يك انگشت بيش ندارد همان قطع مى شود و ابهام و كف را باقى مى دارند</w:t>
      </w:r>
      <w:r>
        <w:rPr>
          <w:rFonts w:eastAsia="IRNazanin" w:cs="IRNazanin"/>
          <w:color w:val="111111"/>
          <w:sz w:val="28"/>
          <w:szCs w:val="28"/>
          <w:rtl w:val="true"/>
          <w:lang w:bidi="fa-IR"/>
        </w:rPr>
        <w:t>.</w:t>
      </w:r>
    </w:p>
    <w:p>
      <w:pPr>
        <w:pStyle w:val="Heading5"/>
        <w:numPr>
          <w:ilvl w:val="4"/>
          <w:numId w:val="1"/>
        </w:numPr>
        <w:rPr/>
      </w:pPr>
      <w:bookmarkStart w:id="1916" w:name="__RefHeading___Toc3972593_1067777946"/>
      <w:bookmarkStart w:id="1917" w:name="_Toc804"/>
      <w:bookmarkEnd w:id="1916"/>
      <w:r>
        <w:rPr>
          <w:rtl w:val="true"/>
        </w:rPr>
        <w:t>سرقت بعد از قطع دست راست</w:t>
      </w:r>
      <w:bookmarkEnd w:id="1917"/>
    </w:p>
    <w:p>
      <w:pPr>
        <w:pStyle w:val="BookText"/>
        <w:rPr/>
      </w:pPr>
      <w:r>
        <w:rPr>
          <w:rFonts w:ascii="IRNazanin" w:hAnsi="IRNazanin" w:eastAsia="IRNazanin"/>
          <w:color w:val="111111"/>
          <w:sz w:val="28"/>
          <w:sz w:val="28"/>
          <w:szCs w:val="28"/>
          <w:rtl w:val="true"/>
          <w:lang w:bidi="fa-IR"/>
        </w:rPr>
        <w:t xml:space="preserve">اگر دفعۀ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قطع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كرد، قطع مى نمايند پاى چپ او را از وسط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برآمدى استخوان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را مى گذارند براى راه رفتن</w:t>
      </w:r>
      <w:r>
        <w:rPr>
          <w:rFonts w:eastAsia="IRNazanin" w:cs="IRNazanin"/>
          <w:color w:val="111111"/>
          <w:sz w:val="28"/>
          <w:szCs w:val="28"/>
          <w:rtl w:val="true"/>
          <w:lang w:bidi="fa-IR"/>
        </w:rPr>
        <w:t>.</w:t>
      </w:r>
    </w:p>
    <w:p>
      <w:pPr>
        <w:pStyle w:val="Heading5"/>
        <w:numPr>
          <w:ilvl w:val="4"/>
          <w:numId w:val="1"/>
        </w:numPr>
        <w:rPr/>
      </w:pPr>
      <w:bookmarkStart w:id="1918" w:name="__RefHeading___Toc3972595_1067777946"/>
      <w:bookmarkStart w:id="1919" w:name="_Toc805"/>
      <w:bookmarkEnd w:id="1918"/>
      <w:r>
        <w:rPr>
          <w:rtl w:val="true"/>
        </w:rPr>
        <w:t>سرقتهاى بعدى</w:t>
      </w:r>
      <w:bookmarkEnd w:id="1919"/>
    </w:p>
    <w:p>
      <w:pPr>
        <w:pStyle w:val="BookText"/>
        <w:rPr/>
      </w:pPr>
      <w:r>
        <w:rPr>
          <w:rFonts w:ascii="IRNazanin" w:hAnsi="IRNazanin" w:eastAsia="IRNazanin"/>
          <w:color w:val="111111"/>
          <w:sz w:val="28"/>
          <w:sz w:val="28"/>
          <w:szCs w:val="28"/>
          <w:rtl w:val="true"/>
          <w:lang w:bidi="fa-IR"/>
        </w:rPr>
        <w:t xml:space="preserve">و در دفعۀ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قطع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حبس دائم محكوم است و در صورت فقر، از بيت المال بر او انفاق مى شود تا زمان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اينها اگر در زندان در مرتبۀ چهارم سرقت كرد، مقتول مى شود</w:t>
      </w:r>
      <w:r>
        <w:rPr>
          <w:rFonts w:eastAsia="IRNazanin" w:cs="IRNazanin"/>
          <w:color w:val="111111"/>
          <w:sz w:val="28"/>
          <w:szCs w:val="28"/>
          <w:rtl w:val="true"/>
          <w:lang w:bidi="fa-IR"/>
        </w:rPr>
        <w:t>.</w:t>
      </w:r>
    </w:p>
    <w:p>
      <w:pPr>
        <w:pStyle w:val="Heading5"/>
        <w:numPr>
          <w:ilvl w:val="4"/>
          <w:numId w:val="1"/>
        </w:numPr>
        <w:rPr/>
      </w:pPr>
      <w:bookmarkStart w:id="1920" w:name="__RefHeading___Toc3972597_1067777946"/>
      <w:bookmarkStart w:id="1921" w:name="_Toc806"/>
      <w:bookmarkEnd w:id="1920"/>
      <w:r>
        <w:rPr>
          <w:rtl w:val="true"/>
        </w:rPr>
        <w:t>حكم سرقتهاى متعدّد</w:t>
      </w:r>
      <w:bookmarkEnd w:id="1921"/>
    </w:p>
    <w:p>
      <w:pPr>
        <w:pStyle w:val="BookText"/>
        <w:rPr/>
      </w:pPr>
      <w:r>
        <w:rPr>
          <w:rFonts w:ascii="IRNazanin" w:hAnsi="IRNazanin" w:eastAsia="IRNazanin"/>
          <w:color w:val="111111"/>
          <w:sz w:val="28"/>
          <w:sz w:val="28"/>
          <w:szCs w:val="28"/>
          <w:rtl w:val="true"/>
          <w:lang w:bidi="fa-IR"/>
        </w:rPr>
        <w:t>و اگر دفعاتى سرقت كرد و كسى بر او ظفر پيدا نكرد و بعد از همه، او را آوردند، فقط يمين او را قطع مى نمايند و همين حدّ واحد بر او جارى مى شود</w:t>
      </w:r>
      <w:r>
        <w:rPr>
          <w:rFonts w:eastAsia="IRNazanin" w:cs="IRNazanin"/>
          <w:color w:val="111111"/>
          <w:sz w:val="28"/>
          <w:szCs w:val="28"/>
          <w:rtl w:val="true"/>
          <w:lang w:bidi="fa-IR"/>
        </w:rPr>
        <w:t>.</w:t>
      </w:r>
    </w:p>
    <w:p>
      <w:pPr>
        <w:pStyle w:val="Heading5"/>
        <w:numPr>
          <w:ilvl w:val="4"/>
          <w:numId w:val="1"/>
        </w:numPr>
        <w:rPr/>
      </w:pPr>
      <w:bookmarkStart w:id="1922" w:name="__RefHeading___Toc3972599_1067777946"/>
      <w:bookmarkStart w:id="1923" w:name="_Toc807"/>
      <w:bookmarkEnd w:id="1922"/>
      <w:r>
        <w:rPr>
          <w:rtl w:val="true"/>
        </w:rPr>
        <w:t>حكم دست معيوب</w:t>
      </w:r>
      <w:bookmarkEnd w:id="1923"/>
    </w:p>
    <w:p>
      <w:pPr>
        <w:pStyle w:val="BookText"/>
        <w:rPr/>
      </w:pPr>
      <w:r>
        <w:rPr>
          <w:rFonts w:ascii="IRNazanin" w:hAnsi="IRNazanin" w:eastAsia="IRNazanin"/>
          <w:color w:val="111111"/>
          <w:sz w:val="28"/>
          <w:sz w:val="28"/>
          <w:szCs w:val="28"/>
          <w:rtl w:val="true"/>
          <w:lang w:bidi="fa-IR"/>
        </w:rPr>
        <w:t xml:space="preserve">و يمين در سرقت، قطع مى شود اگر در آن شلل باشد، يا آن كه در يسار شلل باشد يا آن كه هر دو شلل داشته باشند؛ بلى قطع اشلّ در وقتى است كه موجب تلف نفس يا خوف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اهل خبره نباشد</w:t>
      </w:r>
      <w:r>
        <w:rPr>
          <w:rFonts w:eastAsia="IRNazanin" w:cs="IRNazanin"/>
          <w:color w:val="111111"/>
          <w:sz w:val="28"/>
          <w:szCs w:val="28"/>
          <w:rtl w:val="true"/>
          <w:lang w:bidi="fa-IR"/>
        </w:rPr>
        <w:t>.</w:t>
      </w:r>
    </w:p>
    <w:p>
      <w:pPr>
        <w:pStyle w:val="Heading5"/>
        <w:numPr>
          <w:ilvl w:val="4"/>
          <w:numId w:val="1"/>
        </w:numPr>
        <w:rPr/>
      </w:pPr>
      <w:bookmarkStart w:id="1924" w:name="__RefHeading___Toc3972601_1067777946"/>
      <w:bookmarkStart w:id="1925" w:name="_Toc808"/>
      <w:bookmarkEnd w:id="1924"/>
      <w:r>
        <w:rPr>
          <w:rtl w:val="true"/>
        </w:rPr>
        <w:t>اگر دست چپ نداشته باشد يا مقطوع باشد</w:t>
      </w:r>
      <w:bookmarkEnd w:id="192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يسار او در قصاص قطع شده باشد يا آن كه يسار نداشته، در قطع يمين تأمل </w:t>
      </w:r>
      <w:bookmarkStart w:id="1926" w:name="pg10275_96718"/>
    </w:p>
    <w:p>
      <w:pPr>
        <w:pStyle w:val="BookText"/>
        <w:rPr/>
      </w:pPr>
      <w:bookmarkEnd w:id="1926"/>
      <w:r>
        <w:rPr>
          <w:rFonts w:ascii="IRNazanin" w:hAnsi="IRNazanin" w:eastAsia="IRNazanin"/>
          <w:color w:val="111111"/>
          <w:sz w:val="28"/>
          <w:sz w:val="28"/>
          <w:szCs w:val="28"/>
          <w:rtl w:val="true"/>
          <w:lang w:bidi="fa-IR"/>
        </w:rPr>
        <w:t>است، و احوط براى حاكم، عدم قطع است مگر آن كه رأى او موافق مشهور در اين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حال سرقت، يمين داشت و تعلق گرفت حدّ به آن، پس از آن به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يسار او قطع نمى شود</w:t>
      </w:r>
      <w:r>
        <w:rPr>
          <w:rFonts w:eastAsia="IRNazanin" w:cs="IRNazanin"/>
          <w:color w:val="111111"/>
          <w:sz w:val="28"/>
          <w:szCs w:val="28"/>
          <w:rtl w:val="true"/>
          <w:lang w:bidi="fa-IR"/>
        </w:rPr>
        <w:t>.</w:t>
      </w:r>
    </w:p>
    <w:p>
      <w:pPr>
        <w:pStyle w:val="Heading5"/>
        <w:numPr>
          <w:ilvl w:val="4"/>
          <w:numId w:val="1"/>
        </w:numPr>
        <w:rPr/>
      </w:pPr>
      <w:bookmarkStart w:id="1927" w:name="__RefHeading___Toc3972603_1067777946"/>
      <w:bookmarkStart w:id="1928" w:name="_Toc809"/>
      <w:bookmarkEnd w:id="1927"/>
      <w:r>
        <w:rPr>
          <w:rtl w:val="true"/>
        </w:rPr>
        <w:t>اگر دست نداشته باشد</w:t>
      </w:r>
      <w:bookmarkEnd w:id="1928"/>
    </w:p>
    <w:p>
      <w:pPr>
        <w:pStyle w:val="BookText"/>
        <w:rPr/>
      </w:pPr>
      <w:r>
        <w:rPr>
          <w:rFonts w:ascii="IRNazanin" w:hAnsi="IRNazanin" w:eastAsia="IRNazanin"/>
          <w:color w:val="111111"/>
          <w:sz w:val="28"/>
          <w:sz w:val="28"/>
          <w:szCs w:val="28"/>
          <w:rtl w:val="true"/>
          <w:lang w:bidi="fa-IR"/>
        </w:rPr>
        <w:t xml:space="preserve">و اگر يمين نداشت به واسطۀ قطع در قصاص، يا آن كه به حسب خلقت، يمين نداشت، احوط عدم قطع يسار يا پاى چپ يا تخليد در حبس است، بلكه تعزير مى شود با نظر حاكم؛ و همچنين اگر يمين و يسار نداشت، احوط عدم قطع پاى چپ يا تخليد است و اقتصار بر تعزير مى شود بنا بر احوط؛ و همچنين اگر دست ها و پاها را نداشت، حبس دائم نمى شود و تعزير مى شود بنا بر احوط، و حبس دائم در مرتبۀ سوم است در صورت اقامۀ دو حدّ در دو مرتبه متقدمه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تعزير ثابت است نه حدّ بنا بر احوط</w:t>
      </w:r>
      <w:r>
        <w:rPr>
          <w:rFonts w:eastAsia="IRNazanin" w:cs="IRNazanin"/>
          <w:color w:val="111111"/>
          <w:sz w:val="28"/>
          <w:szCs w:val="28"/>
          <w:rtl w:val="true"/>
          <w:lang w:bidi="fa-IR"/>
        </w:rPr>
        <w:t>.</w:t>
      </w:r>
    </w:p>
    <w:p>
      <w:pPr>
        <w:pStyle w:val="Heading5"/>
        <w:numPr>
          <w:ilvl w:val="4"/>
          <w:numId w:val="1"/>
        </w:numPr>
        <w:rPr/>
      </w:pPr>
      <w:bookmarkStart w:id="1929" w:name="__RefHeading___Toc3972605_1067777946"/>
      <w:bookmarkStart w:id="1930" w:name="_Toc810"/>
      <w:bookmarkEnd w:id="1929"/>
      <w:r>
        <w:rPr>
          <w:rtl w:val="true"/>
        </w:rPr>
        <w:t xml:space="preserve">نحوۀ سقوط حدّ سرقت </w:t>
      </w:r>
      <w:r>
        <w:rPr>
          <w:rtl w:val="true"/>
        </w:rPr>
        <w:t>(</w:t>
      </w:r>
      <w:r>
        <w:rPr>
          <w:rtl w:val="true"/>
        </w:rPr>
        <w:t>توبه</w:t>
      </w:r>
      <w:r>
        <w:rPr>
          <w:rtl w:val="true"/>
        </w:rPr>
        <w:t>)</w:t>
      </w:r>
      <w:bookmarkEnd w:id="1930"/>
    </w:p>
    <w:p>
      <w:pPr>
        <w:pStyle w:val="BookText"/>
        <w:rPr/>
      </w:pPr>
      <w:r>
        <w:rPr>
          <w:rFonts w:ascii="IRNazanin" w:hAnsi="IRNazanin" w:eastAsia="IRNazanin"/>
          <w:color w:val="111111"/>
          <w:sz w:val="28"/>
          <w:sz w:val="28"/>
          <w:szCs w:val="28"/>
          <w:rtl w:val="true"/>
          <w:lang w:bidi="fa-IR"/>
        </w:rPr>
        <w:t>حدّ سرقت ساقط مى شود به سبب توبۀ سارق قبل از ثابت شدن آن نزد حاكم شرع كه مرافعه به سوى او شده است؛ و اگر بعد از قيام بيّنه بر آن، توبه كرد،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دو دفعه اقرار نزد حاكم، توبه كرد، پس در حتمى شدن قطع يا تخيير امام بين اقامۀ حدّ و عفو، خلاف است، و احوط براى غير امام اصل، ترك اقامۀ حدّ است، به جهت شبهۀ حاصلۀ به روايتى كه جماعتى عمل به آن كرده اند</w:t>
      </w:r>
      <w:r>
        <w:rPr>
          <w:rFonts w:eastAsia="IRNazanin" w:cs="IRNazanin"/>
          <w:color w:val="111111"/>
          <w:sz w:val="28"/>
          <w:szCs w:val="28"/>
          <w:rtl w:val="true"/>
          <w:lang w:bidi="fa-IR"/>
        </w:rPr>
        <w:t>.</w:t>
      </w:r>
    </w:p>
    <w:p>
      <w:pPr>
        <w:pStyle w:val="Heading5"/>
        <w:numPr>
          <w:ilvl w:val="4"/>
          <w:numId w:val="1"/>
        </w:numPr>
        <w:rPr/>
      </w:pPr>
      <w:bookmarkStart w:id="1931" w:name="__RefHeading___Toc3972607_1067777946"/>
      <w:bookmarkStart w:id="1932" w:name="_Toc811"/>
      <w:bookmarkEnd w:id="1931"/>
      <w:r>
        <w:rPr>
          <w:rtl w:val="true"/>
        </w:rPr>
        <w:t>اشتباه قطع كننده</w:t>
      </w:r>
      <w:bookmarkEnd w:id="193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حدّاد در عوض يمين سارق، يسار او را قطع كرد با علم، پس بر حدّاد قصاص است؛ و در سقوط اين قصاص در صورت اذن سارق، تأمل است؛ و قطع يمين، به سبب آن چه واقع شده ساقط نمى شود</w:t>
      </w:r>
      <w:r>
        <w:rPr>
          <w:rFonts w:eastAsia="IRNazanin" w:cs="IRNazanin"/>
          <w:color w:val="111111"/>
          <w:sz w:val="28"/>
          <w:szCs w:val="28"/>
          <w:rtl w:val="true"/>
          <w:lang w:bidi="fa-IR"/>
        </w:rPr>
        <w:t xml:space="preserve">. </w:t>
      </w:r>
      <w:bookmarkStart w:id="1933" w:name="pg10275_96721"/>
    </w:p>
    <w:p>
      <w:pPr>
        <w:pStyle w:val="BookText"/>
        <w:rPr/>
      </w:pPr>
      <w:bookmarkEnd w:id="1933"/>
      <w:r>
        <w:rPr>
          <w:rFonts w:ascii="IRNazanin" w:hAnsi="IRNazanin" w:eastAsia="IRNazanin"/>
          <w:color w:val="111111"/>
          <w:sz w:val="28"/>
          <w:sz w:val="28"/>
          <w:szCs w:val="28"/>
          <w:rtl w:val="true"/>
          <w:lang w:bidi="fa-IR"/>
        </w:rPr>
        <w:t xml:space="preserve">و اگر گمان كرد كه يسار، يمين سارق است پس قطع كرد، بر حدّاد ديۀ شبيه عمد است؛ و آيا ساقط مى شود قطع يمين در اين فرض‌؟ احوط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شبهه روايت عدم قطع كه نقل عمل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شده است</w:t>
      </w:r>
      <w:r>
        <w:rPr>
          <w:rFonts w:eastAsia="IRNazanin" w:cs="IRNazanin"/>
          <w:color w:val="111111"/>
          <w:sz w:val="28"/>
          <w:szCs w:val="28"/>
          <w:rtl w:val="true"/>
          <w:lang w:bidi="fa-IR"/>
        </w:rPr>
        <w:t>.</w:t>
      </w:r>
    </w:p>
    <w:p>
      <w:pPr>
        <w:pStyle w:val="Heading5"/>
        <w:numPr>
          <w:ilvl w:val="4"/>
          <w:numId w:val="1"/>
        </w:numPr>
        <w:rPr/>
      </w:pPr>
      <w:bookmarkStart w:id="1934" w:name="__RefHeading___Toc3972609_1067777946"/>
      <w:bookmarkStart w:id="1935" w:name="_Toc812"/>
      <w:bookmarkEnd w:id="1934"/>
      <w:r>
        <w:rPr>
          <w:rtl w:val="true"/>
        </w:rPr>
        <w:t>استحباب درمان بعد از قطع</w:t>
      </w:r>
      <w:bookmarkEnd w:id="1935"/>
    </w:p>
    <w:p>
      <w:pPr>
        <w:pStyle w:val="BookText"/>
        <w:rPr/>
      </w:pPr>
      <w:r>
        <w:rPr>
          <w:rFonts w:ascii="IRNazanin" w:hAnsi="IRNazanin" w:eastAsia="IRNazanin"/>
          <w:color w:val="111111"/>
          <w:sz w:val="28"/>
          <w:sz w:val="28"/>
          <w:szCs w:val="28"/>
          <w:rtl w:val="true"/>
          <w:lang w:bidi="fa-IR"/>
        </w:rPr>
        <w:t>و مستحب است عملى كه مفيد بُرء محل قطع و عدم سرايت آن قطع است، مثل حسم آن با زيت مغلىّ و چيزى كه افادۀ آن برء را اسهل و اسرع باشد؛ و در بعض صور واجب مى شود از بيت المال اگر خودش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سرايت حدّ بدون تقصير در اقامۀ آن، مضمون نيست</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3972611_1067777946"/>
      <w:bookmarkStart w:id="1937" w:name="_Toc813"/>
      <w:bookmarkEnd w:id="1936"/>
      <w:r>
        <w:rPr>
          <w:rtl w:val="true"/>
        </w:rPr>
        <w:t>چند مسأله</w:t>
      </w:r>
      <w:bookmarkEnd w:id="1937"/>
    </w:p>
    <w:p>
      <w:pPr>
        <w:pStyle w:val="Heading6"/>
        <w:numPr>
          <w:ilvl w:val="5"/>
          <w:numId w:val="1"/>
        </w:numPr>
        <w:rPr/>
      </w:pPr>
      <w:bookmarkStart w:id="1938" w:name="__RefHeading___Toc3972613_1067777946"/>
      <w:bookmarkStart w:id="1939" w:name="_Toc814"/>
      <w:bookmarkEnd w:id="1938"/>
      <w:r>
        <w:rPr>
          <w:rtl w:val="true"/>
        </w:rPr>
        <w:t>وجوب ردّ مسروقه و ضمان</w:t>
      </w:r>
      <w:bookmarkEnd w:id="1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بر سارق، اعادۀ عين مسروقه به مالك آن؛ و اگر تلف شد ضامن مثل در مثلى و قيمت آن در قيمى است، و مكلّف است به اداى آن در وقت تمكن، چه آن كه در وقت تلف، موسِر بوده يا 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عين، در يد سارق نقصانى پيدا كرد، بر سارق است ارش نقص آن؛ و اگر زيادتى به فعل سارق يا بدون فعل او حاصل شد، تابع عين و مملوكِ مالك 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صاحب عين وفات كرد دفع مى شود به وارث او، و اگر وارث خاص ندارد راجع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940" w:name="__RefHeading___Toc3972615_1067777946"/>
      <w:bookmarkStart w:id="1941" w:name="_Toc815"/>
      <w:bookmarkEnd w:id="1940"/>
      <w:r>
        <w:rPr>
          <w:rtl w:val="true"/>
        </w:rPr>
        <w:t>سرقت يك نصاب توسط چند نفر</w:t>
      </w:r>
      <w:bookmarkEnd w:id="19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جماعتى يك نصاب را سرقت كردند با همديگر؛ پس اگر هر كدام ثلث نصاب را به تنهايى اخراج كردند، قطع بر هيچ يك نيست؛ و اگر با اجتماع، تمام يك نصاب را اخراج كردند، پس در قطع، به حسب روايت و فتوىٰ اختلاف است بين متقدمين و متأخرين، و ترك قطع به واسطۀ شبهۀ دارئه احوط است</w:t>
      </w:r>
      <w:r>
        <w:rPr>
          <w:rFonts w:eastAsia="IRNazanin" w:cs="IRNazanin"/>
          <w:color w:val="111111"/>
          <w:sz w:val="28"/>
          <w:szCs w:val="28"/>
          <w:rtl w:val="true"/>
          <w:lang w:bidi="fa-IR"/>
        </w:rPr>
        <w:t>.</w:t>
      </w:r>
      <w:bookmarkStart w:id="1942" w:name="pg10275_96723"/>
    </w:p>
    <w:p>
      <w:pPr>
        <w:pStyle w:val="Heading6"/>
        <w:numPr>
          <w:ilvl w:val="5"/>
          <w:numId w:val="1"/>
        </w:numPr>
        <w:rPr/>
      </w:pPr>
      <w:bookmarkStart w:id="1943" w:name="__RefHeading___Toc3972617_1067777946"/>
      <w:bookmarkStart w:id="1944" w:name="_Toc816"/>
      <w:bookmarkEnd w:id="1942"/>
      <w:bookmarkEnd w:id="1943"/>
      <w:r>
        <w:rPr>
          <w:rtl w:val="true"/>
        </w:rPr>
        <w:t>تعاقب دو سرقت</w:t>
      </w:r>
      <w:bookmarkEnd w:id="19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سرقت كرد و مأخوذ نشد، پس از آن سرقت دوم كرد و مأخوذ شد و هر دو مسروقٌ منه مطالبۀ حق كردند و هر دو بيّنه اقامه كردند با هم در يك دفعه، قطع مى شود براى سرقت اُولى؛ و اگر با تخلل قطع براى اُولى، اقامۀ شهود بر سرقت ثانيه كردند، قطع مى شود پاى چپ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عفو اول قبل از ثبوت نزد حاكم و سقوط حدّ براى اُولى، در قطع براى دومى تأمل است در فرض اقامۀ شهود با همديگر، و احوط عدم قطع پاى چپ است مگر بعد از قطع يمين براى سرقت متقدّمه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مسروقٌ منه به سرقت اُولى عفو كرد، پس از عفو، دومى اقامۀ شهود بر سرقت دومى كرد مال ديگرى را، اظهر قطع يمين است به سرقت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سرقت بعد از عفو از قطع به سرقت اُولى</w:t>
      </w:r>
      <w:r>
        <w:rPr>
          <w:rFonts w:eastAsia="IRNazanin" w:cs="IRNazanin"/>
          <w:color w:val="111111"/>
          <w:sz w:val="28"/>
          <w:szCs w:val="28"/>
          <w:rtl w:val="true"/>
          <w:lang w:bidi="fa-IR"/>
        </w:rPr>
        <w:t>.</w:t>
      </w:r>
    </w:p>
    <w:p>
      <w:pPr>
        <w:pStyle w:val="Heading6"/>
        <w:numPr>
          <w:ilvl w:val="5"/>
          <w:numId w:val="1"/>
        </w:numPr>
        <w:rPr/>
      </w:pPr>
      <w:bookmarkStart w:id="1945" w:name="__RefHeading___Toc3972619_1067777946"/>
      <w:bookmarkStart w:id="1946" w:name="_Toc817"/>
      <w:bookmarkEnd w:id="1945"/>
      <w:r>
        <w:rPr>
          <w:rtl w:val="true"/>
        </w:rPr>
        <w:t>اناطۀ قطع يد به مطالبۀ مال باخته</w:t>
      </w:r>
      <w:bookmarkEnd w:id="1946"/>
    </w:p>
    <w:p>
      <w:pPr>
        <w:pStyle w:val="Heading6"/>
        <w:numPr>
          <w:ilvl w:val="5"/>
          <w:numId w:val="1"/>
        </w:numPr>
        <w:rPr/>
      </w:pPr>
      <w:bookmarkStart w:id="1947" w:name="__RefHeading___Toc3972621_1067777946"/>
      <w:bookmarkStart w:id="1948" w:name="_Toc818"/>
      <w:bookmarkEnd w:id="1947"/>
      <w:r>
        <w:rPr>
          <w:rtl w:val="true"/>
        </w:rPr>
        <w:t>اشاره</w:t>
      </w:r>
      <w:bookmarkEnd w:id="19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يد سارق موقوف به مطالبۀ مسروقٌ منه است و رفع او امر سارق را به سوى حاكم شرع، پس قبل از مطالبه و مرافعۀ او قطع نمى شود اگر چه ثابت شود سرقت به علم حاكم يا بيّنۀ احتسابى يا دو مرتبه اقرار، مثل آن كه تغريم مالى موقوف به مطالبۀ مالك مسروقٌ منه است</w:t>
      </w:r>
      <w:r>
        <w:rPr>
          <w:rFonts w:eastAsia="IRNazanin" w:cs="IRNazanin"/>
          <w:color w:val="111111"/>
          <w:sz w:val="28"/>
          <w:szCs w:val="28"/>
          <w:rtl w:val="true"/>
          <w:lang w:bidi="fa-IR"/>
        </w:rPr>
        <w:t>.</w:t>
      </w:r>
    </w:p>
    <w:p>
      <w:pPr>
        <w:pStyle w:val="Heading6"/>
        <w:numPr>
          <w:ilvl w:val="5"/>
          <w:numId w:val="1"/>
        </w:numPr>
        <w:rPr/>
      </w:pPr>
      <w:bookmarkStart w:id="1949" w:name="__RefHeading___Toc3972623_1067777946"/>
      <w:bookmarkStart w:id="1950" w:name="_Toc819"/>
      <w:bookmarkEnd w:id="1949"/>
      <w:r>
        <w:rPr>
          <w:rtl w:val="true"/>
        </w:rPr>
        <w:t>عفو مال باخته و سقوط حد</w:t>
      </w:r>
      <w:bookmarkEnd w:id="1950"/>
    </w:p>
    <w:p>
      <w:pPr>
        <w:pStyle w:val="BookText"/>
        <w:rPr/>
      </w:pPr>
      <w:r>
        <w:rPr>
          <w:rFonts w:ascii="IRNazanin" w:hAnsi="IRNazanin" w:eastAsia="IRNazanin"/>
          <w:color w:val="111111"/>
          <w:sz w:val="28"/>
          <w:sz w:val="28"/>
          <w:szCs w:val="28"/>
          <w:rtl w:val="true"/>
          <w:lang w:bidi="fa-IR"/>
        </w:rPr>
        <w:t>و اگر صاحب مال عفو كرد سارق را قبل از مرافعه به سوى حاكم، حدّ ساقط مى شود؛ و اگر عفو كرد بعد از مرافعه، ساقط نمى شود؛ و متعلق عفو، حق الناس است كه مال باشد، پس قبل از مرافعه، مؤثر است و حدّ ساقط است؛ و بعد از آن، در قطع مؤثر نيست اگر چه در مال مؤثر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عفو از مال يا اداى آن يا تملك آن به شراء و نحو آن قبل از مرافعه يا عفو از مال و لازم آن كه قطع است قبل از مرافعه، سقوط حدّ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عفو از قطع به تنهايى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مرافعه براى مال، پس محل تأمل است سقوط قطع به سبب اين </w:t>
      </w:r>
      <w:bookmarkStart w:id="1951" w:name="pg10275_96725"/>
    </w:p>
    <w:p>
      <w:pPr>
        <w:pStyle w:val="BookText"/>
        <w:rPr/>
      </w:pPr>
      <w:bookmarkEnd w:id="1951"/>
      <w:r>
        <w:rPr>
          <w:rFonts w:ascii="IRNazanin" w:hAnsi="IRNazanin" w:eastAsia="IRNazanin"/>
          <w:color w:val="111111"/>
          <w:sz w:val="28"/>
          <w:sz w:val="28"/>
          <w:szCs w:val="28"/>
          <w:rtl w:val="true"/>
          <w:lang w:bidi="fa-IR"/>
        </w:rPr>
        <w:t>عفو، اگر چه موافق اطلاق فتاوى و نصوص است و موافق اشتراك قطع بين حق الناس و حق اللّٰه است، به خلاف مال؛ لكن چون عفو از قطع، بعد از مرافعه براى مال است، عدم سقوط، خالى از وجه نيست، به خلاف عفو از قطع قبل از مرافعه اگر چه براى مال مرافعه ننمايد و هبه هم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مرافعه براى مال اگر مسبوق به عفو از قطع باشد، تأمل است، و احوط در اين صورت ايقاع مرافعه و شهادت به غير دعواى سرقت است؛ و اگر مرافعه با دعواى سرقت بود، احوط براى غير امام اصل، ترك قطع است در اين فرض كه نصوص و فتاوىٰ از آن منصرف هستند و به جهت شبهۀ دارئه</w:t>
      </w:r>
      <w:r>
        <w:rPr>
          <w:rFonts w:eastAsia="IRNazanin" w:cs="IRNazanin"/>
          <w:color w:val="111111"/>
          <w:sz w:val="28"/>
          <w:szCs w:val="28"/>
          <w:rtl w:val="true"/>
          <w:lang w:bidi="fa-IR"/>
        </w:rPr>
        <w:t>.</w:t>
      </w:r>
    </w:p>
    <w:p>
      <w:pPr>
        <w:pStyle w:val="Heading6"/>
        <w:numPr>
          <w:ilvl w:val="5"/>
          <w:numId w:val="1"/>
        </w:numPr>
        <w:rPr/>
      </w:pPr>
      <w:bookmarkStart w:id="1952" w:name="__RefHeading___Toc3972625_1067777946"/>
      <w:bookmarkStart w:id="1953" w:name="_Toc820"/>
      <w:bookmarkEnd w:id="1952"/>
      <w:r>
        <w:rPr>
          <w:rtl w:val="true"/>
        </w:rPr>
        <w:t>ارجاع مال بعد از سرقت</w:t>
      </w:r>
      <w:bookmarkEnd w:id="1953"/>
    </w:p>
    <w:p>
      <w:pPr>
        <w:pStyle w:val="Heading6"/>
        <w:numPr>
          <w:ilvl w:val="5"/>
          <w:numId w:val="1"/>
        </w:numPr>
        <w:rPr/>
      </w:pPr>
      <w:bookmarkStart w:id="1954" w:name="__RefHeading___Toc3972627_1067777946"/>
      <w:bookmarkStart w:id="1955" w:name="_Toc821"/>
      <w:bookmarkEnd w:id="1954"/>
      <w:r>
        <w:rPr>
          <w:rtl w:val="true"/>
        </w:rPr>
        <w:t>اشاره</w:t>
      </w:r>
      <w:bookmarkEnd w:id="19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بعد از سرقت اعاده كرد عين مسروقه را در حرز به نحوى كه سرقت كالعدم شد، اظهر عدم قطع به حدوث سرقت زايله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بقاى ضمان مال در بعض فروض، اگر مسلّم باشد اعم از ثبوت قطع است</w:t>
      </w:r>
      <w:r>
        <w:rPr>
          <w:rFonts w:eastAsia="IRNazanin" w:cs="IRNazanin"/>
          <w:color w:val="111111"/>
          <w:sz w:val="28"/>
          <w:szCs w:val="28"/>
          <w:rtl w:val="true"/>
          <w:lang w:bidi="fa-IR"/>
        </w:rPr>
        <w:t>.</w:t>
      </w:r>
    </w:p>
    <w:p>
      <w:pPr>
        <w:pStyle w:val="Heading6"/>
        <w:numPr>
          <w:ilvl w:val="5"/>
          <w:numId w:val="1"/>
        </w:numPr>
        <w:rPr/>
      </w:pPr>
      <w:bookmarkStart w:id="1956" w:name="__RefHeading___Toc3972629_1067777946"/>
      <w:bookmarkStart w:id="1957" w:name="_Toc822"/>
      <w:bookmarkEnd w:id="1956"/>
      <w:r>
        <w:rPr>
          <w:rtl w:val="true"/>
        </w:rPr>
        <w:t>مشاركت جمعى در سرقت</w:t>
      </w:r>
      <w:bookmarkEnd w:id="1957"/>
    </w:p>
    <w:p>
      <w:pPr>
        <w:pStyle w:val="BookText"/>
        <w:rPr/>
      </w:pPr>
      <w:r>
        <w:rPr>
          <w:rFonts w:ascii="IRNazanin" w:hAnsi="IRNazanin" w:eastAsia="IRNazanin"/>
          <w:color w:val="111111"/>
          <w:sz w:val="28"/>
          <w:sz w:val="28"/>
          <w:szCs w:val="28"/>
          <w:rtl w:val="true"/>
          <w:lang w:bidi="fa-IR"/>
        </w:rPr>
        <w:t>و اگر شركت كردند جماعتى در هتك حرز و يكى از آنها اخراج كرد، قطع بر همان مُخرج است فقط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بعضى آن را به نزديكى درب حرز آورد و ديگرى اخراج كرد، قطع بر هاتك مُخرج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مشترك بودند در نقب و اخراج، به اين كه يكى نقب و ديگرى اخراج كردند، قطع بر هيچ كدام نيست</w:t>
      </w:r>
      <w:r>
        <w:rPr>
          <w:rFonts w:eastAsia="IRNazanin" w:cs="IRNazanin"/>
          <w:color w:val="111111"/>
          <w:sz w:val="28"/>
          <w:szCs w:val="28"/>
          <w:rtl w:val="true"/>
          <w:lang w:bidi="fa-IR"/>
        </w:rPr>
        <w:t>.</w:t>
      </w:r>
    </w:p>
    <w:p>
      <w:pPr>
        <w:pStyle w:val="Heading6"/>
        <w:numPr>
          <w:ilvl w:val="5"/>
          <w:numId w:val="1"/>
        </w:numPr>
        <w:rPr/>
      </w:pPr>
      <w:bookmarkStart w:id="1958" w:name="__RefHeading___Toc3972631_1067777946"/>
      <w:bookmarkStart w:id="1959" w:name="_Toc823"/>
      <w:bookmarkEnd w:id="1958"/>
      <w:r>
        <w:rPr>
          <w:rtl w:val="true"/>
        </w:rPr>
        <w:t>تحقق نصاب به وسيله چند سرقت</w:t>
      </w:r>
      <w:bookmarkEnd w:id="195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اخراج قدر نصاب را در دفعات انجام داد؛ پس اگر به واسطۀ تواصل اخراجها، صدق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حرز در دفعۀ واحدۀ عرفيه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ثابت است؛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اخراج در دفعاتى كه بين آنها زمان طويل است، خصوصاً اگر باقى نباشد احراز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محفوظيت وحدت عرفيه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تعدد حرز و وحدت آن بنا بر اظهر</w:t>
      </w:r>
      <w:r>
        <w:rPr>
          <w:rFonts w:eastAsia="IRNazanin" w:cs="IRNazanin"/>
          <w:color w:val="111111"/>
          <w:sz w:val="28"/>
          <w:szCs w:val="28"/>
          <w:rtl w:val="true"/>
          <w:lang w:bidi="fa-IR"/>
        </w:rPr>
        <w:t>.</w:t>
      </w:r>
      <w:bookmarkStart w:id="1960" w:name="pg10275_96727"/>
    </w:p>
    <w:p>
      <w:pPr>
        <w:pStyle w:val="Heading6"/>
        <w:numPr>
          <w:ilvl w:val="5"/>
          <w:numId w:val="1"/>
        </w:numPr>
        <w:rPr/>
      </w:pPr>
      <w:bookmarkStart w:id="1961" w:name="__RefHeading___Toc3972633_1067777946"/>
      <w:bookmarkStart w:id="1962" w:name="_Toc824"/>
      <w:bookmarkEnd w:id="1960"/>
      <w:bookmarkEnd w:id="1961"/>
      <w:r>
        <w:rPr>
          <w:rtl w:val="true"/>
        </w:rPr>
        <w:t>دستگيرى قبل از اخراج از حرز</w:t>
      </w:r>
      <w:bookmarkEnd w:id="1962"/>
    </w:p>
    <w:p>
      <w:pPr>
        <w:pStyle w:val="Heading6"/>
        <w:numPr>
          <w:ilvl w:val="5"/>
          <w:numId w:val="1"/>
        </w:numPr>
        <w:rPr/>
      </w:pPr>
      <w:bookmarkStart w:id="1963" w:name="__RefHeading___Toc3972635_1067777946"/>
      <w:bookmarkStart w:id="1964" w:name="_Toc825"/>
      <w:bookmarkEnd w:id="1963"/>
      <w:r>
        <w:rPr>
          <w:rtl w:val="true"/>
        </w:rPr>
        <w:t>اشاره</w:t>
      </w:r>
      <w:bookmarkEnd w:id="19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سارق، اخذ نصاب كرد و قبل از اخراج از حرز مأخوذ شد، بر او قطع نيست</w:t>
      </w:r>
      <w:r>
        <w:rPr>
          <w:rFonts w:eastAsia="IRNazanin" w:cs="IRNazanin"/>
          <w:color w:val="111111"/>
          <w:sz w:val="28"/>
          <w:szCs w:val="28"/>
          <w:rtl w:val="true"/>
          <w:lang w:bidi="fa-IR"/>
        </w:rPr>
        <w:t>.</w:t>
      </w:r>
    </w:p>
    <w:p>
      <w:pPr>
        <w:pStyle w:val="Heading6"/>
        <w:numPr>
          <w:ilvl w:val="5"/>
          <w:numId w:val="1"/>
        </w:numPr>
        <w:rPr/>
      </w:pPr>
      <w:bookmarkStart w:id="1965" w:name="__RefHeading___Toc3972637_1067777946"/>
      <w:bookmarkStart w:id="1966" w:name="_Toc826"/>
      <w:bookmarkEnd w:id="1965"/>
      <w:r>
        <w:rPr>
          <w:rtl w:val="true"/>
        </w:rPr>
        <w:t>حصول نقصان از نصاب</w:t>
      </w:r>
      <w:bookmarkEnd w:id="1966"/>
    </w:p>
    <w:p>
      <w:pPr>
        <w:pStyle w:val="BookText"/>
        <w:rPr/>
      </w:pPr>
      <w:r>
        <w:rPr>
          <w:rFonts w:ascii="IRNazanin" w:hAnsi="IRNazanin" w:eastAsia="IRNazanin"/>
          <w:color w:val="111111"/>
          <w:sz w:val="28"/>
          <w:sz w:val="28"/>
          <w:szCs w:val="28"/>
          <w:rtl w:val="true"/>
          <w:lang w:bidi="fa-IR"/>
        </w:rPr>
        <w:t>و اگر هتك كرد حرز را پس در نصاب، احداث حدثى كرد كه قيمتش از نصاب كمتر شد، بر او قطع نيست اگر اخراج كرد آن را، اگر چه ضمان ثابت است براى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نصاب را اخراج كرد پس از آن قيمت آن از نصاب كمتر شد، به فعل سارق يا غير او، قبل از مرافعه يا بعد از آن، قطع مثل ضمان ثابت است؛ و نقصان قيمت سوقيه قبل از قطع، مؤثر است در دفع حدّ بنا بر اظهر</w:t>
      </w:r>
      <w:r>
        <w:rPr>
          <w:rFonts w:eastAsia="IRNazanin" w:cs="IRNazanin"/>
          <w:color w:val="111111"/>
          <w:sz w:val="28"/>
          <w:szCs w:val="28"/>
          <w:rtl w:val="true"/>
          <w:lang w:bidi="fa-IR"/>
        </w:rPr>
        <w:t>.</w:t>
      </w:r>
    </w:p>
    <w:p>
      <w:pPr>
        <w:pStyle w:val="Heading6"/>
        <w:numPr>
          <w:ilvl w:val="5"/>
          <w:numId w:val="1"/>
        </w:numPr>
        <w:rPr/>
      </w:pPr>
      <w:bookmarkStart w:id="1967" w:name="__RefHeading___Toc3972639_1067777946"/>
      <w:bookmarkStart w:id="1968" w:name="_Toc827"/>
      <w:bookmarkEnd w:id="1967"/>
      <w:r>
        <w:rPr>
          <w:rtl w:val="true"/>
        </w:rPr>
        <w:t>بلعيدن نصاب</w:t>
      </w:r>
      <w:bookmarkEnd w:id="196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داخل حرز ابتلاع نمود از مال مسروقٌ منه چيزى را كه قيمت او نصاب است، پس اگر مستهلك شد عرفاً به سبب ابتلاع، به تدريج يا يك دفعه، قطع نمى شود؛ و اگر باقى ماند با قيمت خودش كه كمتر از نصاب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جوهرى نفيس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ممكن باشد خروج يا اخراجش به حسب عادت، كما هو الغالب، اگر چه زود خارج نشود و به سهولت و بدون معالجه خارج نشود، پس از حرز خارج شد با آن كه در جوف او باقى است، يا آن كه با خروج او خارج از جوف شود، قطع مى شود، مگر آن كه قبل از خروج از جوف، فاسد شده باشد يا تلف شده باشد آن چه مقابل بعض نصاب است؛ و اگر بعد از خروج از حرز، فاسد بود بعضى از مقابل نصاب و معلوم نبود كه فساد آن قبل از خروج از حرز است يا بعد از آن، قطع نمى شود، به واسطۀ شبهۀ دارئۀ حدّ، بلكه با احتمال ناشى شدن فساد قبل از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تلف نصاب يا نقص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انتفاى قطع؛ و اگر به حسب عادت، متعذر الإخراج باشد، مثل تالف در حرز است كه قطع ندارد اگر چه ضمان ثابت است</w:t>
      </w:r>
      <w:r>
        <w:rPr>
          <w:rFonts w:eastAsia="IRNazanin" w:cs="IRNazanin"/>
          <w:color w:val="111111"/>
          <w:sz w:val="28"/>
          <w:szCs w:val="28"/>
          <w:rtl w:val="true"/>
          <w:lang w:bidi="fa-IR"/>
        </w:rPr>
        <w:t>.</w:t>
      </w:r>
      <w:bookmarkStart w:id="1969" w:name="pg10275_96729"/>
    </w:p>
    <w:p>
      <w:pPr>
        <w:pStyle w:val="Heading3"/>
        <w:numPr>
          <w:ilvl w:val="2"/>
          <w:numId w:val="1"/>
        </w:numPr>
        <w:rPr/>
      </w:pPr>
      <w:bookmarkStart w:id="1970" w:name="__RefHeading___Toc3972641_1067777946"/>
      <w:bookmarkStart w:id="1971" w:name="_Toc828"/>
      <w:bookmarkEnd w:id="1969"/>
      <w:bookmarkEnd w:id="1970"/>
      <w:r>
        <w:rPr>
          <w:rtl w:val="true"/>
        </w:rPr>
        <w:t>فصل ششم حد محارب</w:t>
      </w:r>
      <w:bookmarkEnd w:id="1971"/>
    </w:p>
    <w:p>
      <w:pPr>
        <w:pStyle w:val="Heading4"/>
        <w:numPr>
          <w:ilvl w:val="3"/>
          <w:numId w:val="1"/>
        </w:numPr>
        <w:rPr/>
      </w:pPr>
      <w:bookmarkStart w:id="1972" w:name="__RefHeading___Toc3972643_1067777946"/>
      <w:bookmarkStart w:id="1973" w:name="_Toc829"/>
      <w:bookmarkEnd w:id="1972"/>
      <w:r>
        <w:rPr/>
        <w:t>1</w:t>
      </w:r>
      <w:r>
        <w:rPr>
          <w:rtl w:val="true"/>
        </w:rPr>
        <w:t xml:space="preserve">. </w:t>
      </w:r>
      <w:r>
        <w:rPr>
          <w:rtl w:val="true"/>
        </w:rPr>
        <w:t>مراد از محارب</w:t>
      </w:r>
      <w:bookmarkEnd w:id="1973"/>
    </w:p>
    <w:p>
      <w:pPr>
        <w:pStyle w:val="BookText"/>
        <w:rPr/>
      </w:pPr>
      <w:r>
        <w:rPr>
          <w:rFonts w:ascii="Amiri" w:hAnsi="Amiri" w:eastAsia="Amiri" w:cs="Amiri"/>
          <w:color w:val="111111"/>
          <w:sz w:val="28"/>
          <w:sz w:val="28"/>
          <w:szCs w:val="28"/>
          <w:rtl w:val="true"/>
          <w:lang w:bidi="ar-SA"/>
        </w:rPr>
        <w:t>و آن كسى است كه سلاح بردارد براى ترسانيدن كسانى كه محرّم است اخافۀ آنها، به اظهار ارادۀ كار زدن سلاح در آنها به قتل و جرح و نحو اين ها، مرد باشد يا زن، در دريا باشد يا زمين، آبادى يا بيابان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است قصد اخافه و اين كه معلوم باشد قاصد بودن او نه خوف مردم، مثل اين كه به جهت غفلت دو طرف از خصوصيات همديگر قصد اخافه باشد و خوف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كه اهل ريبه و فتنه باشد كه معلوم يا مظنون باشد كه اهل اين كار است، بلكه فعليت اين عمل كه اخذ سلاح به قصد اخافه است كافى است، كما اين كه اهليت بدون فعليت كافى نيست</w:t>
      </w:r>
      <w:r>
        <w:rPr>
          <w:rFonts w:eastAsia="IRNazanin" w:cs="IRNazanin"/>
          <w:color w:val="111111"/>
          <w:sz w:val="28"/>
          <w:szCs w:val="28"/>
          <w:rtl w:val="true"/>
          <w:lang w:bidi="fa-IR"/>
        </w:rPr>
        <w:t>.</w:t>
      </w:r>
    </w:p>
    <w:p>
      <w:pPr>
        <w:pStyle w:val="Heading4"/>
        <w:numPr>
          <w:ilvl w:val="3"/>
          <w:numId w:val="1"/>
        </w:numPr>
        <w:rPr/>
      </w:pPr>
      <w:bookmarkStart w:id="1974" w:name="__RefHeading___Toc3972645_1067777946"/>
      <w:bookmarkStart w:id="1975" w:name="_Toc830"/>
      <w:bookmarkEnd w:id="1974"/>
      <w:r>
        <w:rPr/>
        <w:t>2</w:t>
      </w:r>
      <w:r>
        <w:rPr>
          <w:rtl w:val="true"/>
        </w:rPr>
        <w:t xml:space="preserve">. </w:t>
      </w:r>
      <w:r>
        <w:rPr>
          <w:rtl w:val="true"/>
        </w:rPr>
        <w:t>موجِب حدّ محاربه</w:t>
      </w:r>
      <w:bookmarkEnd w:id="1975"/>
    </w:p>
    <w:p>
      <w:pPr>
        <w:pStyle w:val="Heading5"/>
        <w:numPr>
          <w:ilvl w:val="4"/>
          <w:numId w:val="1"/>
        </w:numPr>
        <w:rPr/>
      </w:pPr>
      <w:bookmarkStart w:id="1976" w:name="__RefHeading___Toc3972647_1067777946"/>
      <w:bookmarkStart w:id="1977" w:name="_Toc831"/>
      <w:bookmarkEnd w:id="1976"/>
      <w:r>
        <w:rPr>
          <w:rtl w:val="true"/>
        </w:rPr>
        <w:t>اشاره</w:t>
      </w:r>
      <w:bookmarkEnd w:id="197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است به مجرد اخافۀ محرّمه كه مستلزم ارادۀ فساد است، و عدد مخصوصى شرط نيست</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3972649_1067777946"/>
      <w:bookmarkStart w:id="1979" w:name="_Toc832"/>
      <w:bookmarkEnd w:id="1978"/>
      <w:r>
        <w:rPr>
          <w:rtl w:val="true"/>
        </w:rPr>
        <w:t>غرض مجوّز اخافه</w:t>
      </w:r>
      <w:bookmarkEnd w:id="197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شخصى كه مجوّز اخافه و مشروع باشد، مانع از تحقق محاربه است؛ و اگر ممنوع شرعى باشد كه در محاربات براى اغراض شخصيه اتفاق مى شود، مانع نيست؛ و ممكن است حكم محارب بر طرفين جارى باشد</w:t>
      </w:r>
      <w:r>
        <w:rPr>
          <w:rFonts w:eastAsia="IRNazanin" w:cs="IRNazanin"/>
          <w:color w:val="111111"/>
          <w:sz w:val="28"/>
          <w:szCs w:val="28"/>
          <w:rtl w:val="true"/>
          <w:lang w:bidi="fa-IR"/>
        </w:rPr>
        <w:t xml:space="preserve">. </w:t>
      </w:r>
      <w:bookmarkStart w:id="1980" w:name="pg10275_96731"/>
    </w:p>
    <w:p>
      <w:pPr>
        <w:pStyle w:val="Heading5"/>
        <w:numPr>
          <w:ilvl w:val="4"/>
          <w:numId w:val="1"/>
        </w:numPr>
        <w:rPr/>
      </w:pPr>
      <w:bookmarkStart w:id="1981" w:name="__RefHeading___Toc3972651_1067777946"/>
      <w:bookmarkStart w:id="1982" w:name="_Toc833"/>
      <w:bookmarkEnd w:id="1980"/>
      <w:bookmarkEnd w:id="1981"/>
      <w:r>
        <w:rPr>
          <w:rtl w:val="true"/>
        </w:rPr>
        <w:t>ضعف قاصد اخافه</w:t>
      </w:r>
      <w:bookmarkEnd w:id="1982"/>
    </w:p>
    <w:p>
      <w:pPr>
        <w:pStyle w:val="BookText"/>
        <w:rPr/>
      </w:pPr>
      <w:r>
        <w:rPr>
          <w:rFonts w:ascii="Amiri" w:hAnsi="Amiri" w:eastAsia="Amiri" w:cs="Amiri"/>
          <w:color w:val="111111"/>
          <w:sz w:val="28"/>
          <w:sz w:val="28"/>
          <w:szCs w:val="28"/>
          <w:rtl w:val="true"/>
          <w:lang w:bidi="ar-SA"/>
        </w:rPr>
        <w:t xml:space="preserve">و با ضعف قاصدِ اخافه، از اخافه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آن كه مى خواهد بترساند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مناقشه است، و اظهر عدم صدق است</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3972653_1067777946"/>
      <w:bookmarkStart w:id="1984" w:name="_Toc834"/>
      <w:bookmarkEnd w:id="1983"/>
      <w:r>
        <w:rPr>
          <w:rtl w:val="true"/>
        </w:rPr>
        <w:t>اعتبار آشكار بودن اخافه و حمل سلاح</w:t>
      </w:r>
      <w:bookmarkEnd w:id="1984"/>
    </w:p>
    <w:p>
      <w:pPr>
        <w:pStyle w:val="BookText"/>
        <w:rPr/>
      </w:pPr>
      <w:r>
        <w:rPr>
          <w:rFonts w:ascii="Amiri" w:hAnsi="Amiri" w:eastAsia="Amiri" w:cs="Amiri"/>
          <w:color w:val="111111"/>
          <w:sz w:val="28"/>
          <w:sz w:val="28"/>
          <w:szCs w:val="28"/>
          <w:rtl w:val="true"/>
          <w:lang w:bidi="ar-SA"/>
        </w:rPr>
        <w:t>و لازم است در آشكارى حمل سلاح و قصد اخافه نمايد نه در اختفا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صدق آن در ربودن و فرار كردن با آن كه حامل سلاح بوده و قصد اخافه براى اين مقصود داشته و قتل يا جرح انجام داده باشد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شرط نيست كه محارب، از ديگرى خوف نداشته باشد يا آن كه صاحب شوكت و طالب اخذ بلد و رياست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بلوغ در حدّ محارب، خالى از وجه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محارب بلكه موضوع آن، براى مراقب محاربين و تفحص كننده از طريق و لوازم و موانع آنها و كسى كه مُعيٖن آنها است به ضبط اموال براى آنها، نيست</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3972655_1067777946"/>
      <w:bookmarkStart w:id="1986" w:name="_Toc835"/>
      <w:bookmarkEnd w:id="1985"/>
      <w:r>
        <w:rPr/>
        <w:t>3</w:t>
      </w:r>
      <w:r>
        <w:rPr>
          <w:rtl w:val="true"/>
        </w:rPr>
        <w:t xml:space="preserve">. </w:t>
      </w:r>
      <w:r>
        <w:rPr>
          <w:rtl w:val="true"/>
        </w:rPr>
        <w:t>ثبوت محاربه</w:t>
      </w:r>
      <w:bookmarkEnd w:id="1986"/>
    </w:p>
    <w:p>
      <w:pPr>
        <w:pStyle w:val="Heading5"/>
        <w:numPr>
          <w:ilvl w:val="4"/>
          <w:numId w:val="1"/>
        </w:numPr>
        <w:rPr/>
      </w:pPr>
      <w:bookmarkStart w:id="1987" w:name="__RefHeading___Toc3972657_1067777946"/>
      <w:bookmarkStart w:id="1988" w:name="_Toc836"/>
      <w:bookmarkEnd w:id="1987"/>
      <w:r>
        <w:rPr>
          <w:rtl w:val="true"/>
        </w:rPr>
        <w:t>ثابت شدن محاربه به اقرار و شهادت</w:t>
      </w:r>
      <w:bookmarkEnd w:id="1988"/>
    </w:p>
    <w:p>
      <w:pPr>
        <w:pStyle w:val="BookText"/>
        <w:rPr/>
      </w:pPr>
      <w:r>
        <w:rPr>
          <w:rFonts w:ascii="IRNazanin" w:hAnsi="IRNazanin" w:eastAsia="IRNazanin"/>
          <w:color w:val="111111"/>
          <w:sz w:val="28"/>
          <w:sz w:val="28"/>
          <w:szCs w:val="28"/>
          <w:rtl w:val="true"/>
          <w:lang w:bidi="fa-IR"/>
        </w:rPr>
        <w:t>ثابت مى شود محارب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اهلش به آن اگر چه يك دفعه باشد، و به شهادت دو مرد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زنها در آن مقبول نيست اگر چه با انضمام به مردها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شهادت لصوص كه قطع طريق كرده اند، بر بعض آنها يا بر غير آنها يا براى ايشان، به واسطۀ فسق قبول نمى شود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مأخوذين بعضى، براى بعضى، بر قاطعين و لصوص، قبول نمى شود بنا بر اظهر در صورتى كه بيّنه اى كه شاهد است مشهودٌ له هم باشد، اگر چه نگويند در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ماها را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دو نفر تعيين كردند دو نفر را كه مأخوذ شده اند </w:t>
      </w:r>
      <w:bookmarkStart w:id="1989" w:name="pg10275_96733"/>
    </w:p>
    <w:p>
      <w:pPr>
        <w:pStyle w:val="BookText"/>
        <w:rPr/>
      </w:pPr>
      <w:bookmarkEnd w:id="1989"/>
      <w:r>
        <w:rPr>
          <w:rFonts w:ascii="IRNazanin" w:hAnsi="IRNazanin" w:eastAsia="IRNazanin"/>
          <w:color w:val="111111"/>
          <w:sz w:val="28"/>
          <w:sz w:val="28"/>
          <w:szCs w:val="28"/>
          <w:rtl w:val="true"/>
          <w:lang w:bidi="fa-IR"/>
        </w:rPr>
        <w:t>و به عكس؛ اما اگر شاهد بودن از يك طرف باشد و شاهد، مأخوذ نباشد يا تعرضى به اخذ خودش ننمايد، اظهر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بلكه ظاهر است قبول، با تغاير مشهودٌ عليه در دو شهادت؛ و همچنين اگر شاهدِ بعضِ معيّن، مشهودٌ له همان بعض نباشد بلكه بعض ديگر شهادت براى شاهد بدهند، اگر چه مشهودٌ عليه در دو شهادت، شخص معيّن يا اشخاصى باشند كه معيّن باشند</w:t>
      </w:r>
      <w:r>
        <w:rPr>
          <w:rFonts w:eastAsia="IRNazanin" w:cs="IRNazanin"/>
          <w:color w:val="111111"/>
          <w:sz w:val="28"/>
          <w:szCs w:val="28"/>
          <w:rtl w:val="true"/>
          <w:lang w:bidi="fa-IR"/>
        </w:rPr>
        <w:t>.</w:t>
      </w:r>
    </w:p>
    <w:p>
      <w:pPr>
        <w:pStyle w:val="Heading4"/>
        <w:numPr>
          <w:ilvl w:val="3"/>
          <w:numId w:val="1"/>
        </w:numPr>
        <w:rPr/>
      </w:pPr>
      <w:bookmarkStart w:id="1990" w:name="__RefHeading___Toc3972659_1067777946"/>
      <w:bookmarkStart w:id="1991" w:name="_Toc837"/>
      <w:bookmarkEnd w:id="1990"/>
      <w:r>
        <w:rPr/>
        <w:t>4</w:t>
      </w:r>
      <w:r>
        <w:rPr>
          <w:rtl w:val="true"/>
        </w:rPr>
        <w:t xml:space="preserve">. </w:t>
      </w:r>
      <w:r>
        <w:rPr>
          <w:rtl w:val="true"/>
        </w:rPr>
        <w:t>حدّ محاربه</w:t>
      </w:r>
      <w:bookmarkEnd w:id="1991"/>
    </w:p>
    <w:p>
      <w:pPr>
        <w:pStyle w:val="Heading5"/>
        <w:numPr>
          <w:ilvl w:val="4"/>
          <w:numId w:val="1"/>
        </w:numPr>
        <w:rPr/>
      </w:pPr>
      <w:bookmarkStart w:id="1992" w:name="__RefHeading___Toc3972661_1067777946"/>
      <w:bookmarkStart w:id="1993" w:name="_Toc838"/>
      <w:bookmarkEnd w:id="1992"/>
      <w:r>
        <w:rPr>
          <w:rtl w:val="true"/>
        </w:rPr>
        <w:t>چهار حدّ محارب</w:t>
      </w:r>
      <w:bookmarkEnd w:id="1993"/>
    </w:p>
    <w:p>
      <w:pPr>
        <w:pStyle w:val="BookText"/>
        <w:rPr/>
      </w:pPr>
      <w:r>
        <w:rPr>
          <w:rFonts w:ascii="IRNazanin" w:hAnsi="IRNazanin" w:eastAsia="IRNazanin"/>
          <w:color w:val="111111"/>
          <w:sz w:val="28"/>
          <w:sz w:val="28"/>
          <w:szCs w:val="28"/>
          <w:rtl w:val="true"/>
          <w:lang w:bidi="fa-IR"/>
        </w:rPr>
        <w:t xml:space="preserve">حدّ محارب عبارت است از چهار عقوبت مرتّبۀ بر حسب جنايت او؛ پس اگر محاربت كرد به معناى متقدم و به قتل رسانيد و اخذ مال كرد، قطع مى شود يد و رجل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او را مصلوب مى نمايند بعد از آن كه او را مقتول مى نمايند، و محتمل است كه به سبب صلب او را مقتول نمايند، يا آن كه بعد از انزال او را به قتل رسانند اگر وفات نكرده است؛ اگر چه ولىّ مقتول عفو نمايد يا غير مكافئ را مقتول نمايد</w:t>
      </w:r>
      <w:r>
        <w:rPr>
          <w:rFonts w:eastAsia="IRNazanin" w:cs="IRNazanin"/>
          <w:color w:val="111111"/>
          <w:sz w:val="28"/>
          <w:szCs w:val="28"/>
          <w:rtl w:val="true"/>
          <w:lang w:bidi="fa-IR"/>
        </w:rPr>
        <w:t>.</w:t>
      </w:r>
    </w:p>
    <w:p>
      <w:pPr>
        <w:pStyle w:val="Heading5"/>
        <w:numPr>
          <w:ilvl w:val="4"/>
          <w:numId w:val="1"/>
        </w:numPr>
        <w:rPr/>
      </w:pPr>
      <w:bookmarkStart w:id="1994" w:name="__RefHeading___Toc3972663_1067777946"/>
      <w:bookmarkStart w:id="1995" w:name="_Toc839"/>
      <w:bookmarkEnd w:id="1994"/>
      <w:r>
        <w:rPr>
          <w:rtl w:val="true"/>
        </w:rPr>
        <w:t>احكام ديگر محارب</w:t>
      </w:r>
      <w:bookmarkEnd w:id="1995"/>
    </w:p>
    <w:p>
      <w:pPr>
        <w:pStyle w:val="BookText"/>
        <w:rPr/>
      </w:pPr>
      <w:r>
        <w:rPr>
          <w:rFonts w:ascii="IRNazanin" w:hAnsi="IRNazanin" w:eastAsia="IRNazanin"/>
          <w:color w:val="111111"/>
          <w:sz w:val="28"/>
          <w:sz w:val="28"/>
          <w:szCs w:val="28"/>
          <w:rtl w:val="true"/>
          <w:lang w:bidi="fa-IR"/>
        </w:rPr>
        <w:t>و اگر محارب بود و به قتل رسانيد و مالى را اخذ نكرد، مقتول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محاربت كرد و اخذ مال نمود و به قتل نرسانيد كسى را، قطع يد و رجل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محاربت نمود و عملى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يا اخذ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 نفى بلد مى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صورتى كه مجروح كرده باشد يا اخذ مال كرده باشد، قصاص جراحت يا ديۀ آن و استعادۀ مال يا بدل آن، بر مذكورات افزوده مى شود</w:t>
      </w:r>
      <w:r>
        <w:rPr>
          <w:rFonts w:eastAsia="Amiri" w:cs="Amiri" w:ascii="Amiri" w:hAnsi="Amiri"/>
          <w:color w:val="111111"/>
          <w:sz w:val="28"/>
          <w:szCs w:val="28"/>
          <w:rtl w:val="true"/>
          <w:lang w:bidi="ar-SA"/>
        </w:rPr>
        <w:t xml:space="preserve">. </w:t>
      </w:r>
      <w:bookmarkStart w:id="1996" w:name="pg10275_96735"/>
    </w:p>
    <w:p>
      <w:pPr>
        <w:pStyle w:val="Heading5"/>
        <w:numPr>
          <w:ilvl w:val="4"/>
          <w:numId w:val="1"/>
        </w:numPr>
        <w:rPr/>
      </w:pPr>
      <w:bookmarkStart w:id="1997" w:name="__RefHeading___Toc3972665_1067777946"/>
      <w:bookmarkStart w:id="1998" w:name="_Toc840"/>
      <w:bookmarkEnd w:id="1996"/>
      <w:bookmarkEnd w:id="1997"/>
      <w:r>
        <w:rPr>
          <w:rtl w:val="true"/>
        </w:rPr>
        <w:t>چند مسأله</w:t>
      </w:r>
      <w:bookmarkEnd w:id="1998"/>
    </w:p>
    <w:p>
      <w:pPr>
        <w:pStyle w:val="Heading6"/>
        <w:numPr>
          <w:ilvl w:val="5"/>
          <w:numId w:val="1"/>
        </w:numPr>
        <w:rPr/>
      </w:pPr>
      <w:bookmarkStart w:id="1999" w:name="__RefHeading___Toc3972667_1067777946"/>
      <w:bookmarkStart w:id="2000" w:name="_Toc841"/>
      <w:bookmarkEnd w:id="1999"/>
      <w:r>
        <w:rPr>
          <w:rtl w:val="true"/>
        </w:rPr>
        <w:t>فروع ديگر در اجراى حدّ محارب</w:t>
      </w:r>
      <w:bookmarkEnd w:id="20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كه محارب مقتول مى شود اگر به قتل رسانيد، و فرقى در آن بين قتل براى مال و غير آن نيست؛ و در جرح، امر قصاص يا ديه يا ارش، با مجروح است در استيفا و عفو با مال يا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جرح، يد يُسرى يا رجل يُمنى مقطوع بود، محل قطع به سبب محاربه باقى است و قطع مى شود در صورت تحتّم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اعضاى حدّ در قصاص قطع شد، تكميل مى شود حدّ به قطع باقى مانده، مثل فاقد يك عضو</w:t>
      </w:r>
      <w:r>
        <w:rPr>
          <w:rFonts w:eastAsia="IRNazanin" w:cs="IRNazanin"/>
          <w:color w:val="111111"/>
          <w:sz w:val="28"/>
          <w:szCs w:val="28"/>
          <w:rtl w:val="true"/>
          <w:lang w:bidi="fa-IR"/>
        </w:rPr>
        <w:t>.</w:t>
      </w:r>
    </w:p>
    <w:p>
      <w:pPr>
        <w:pStyle w:val="Heading6"/>
        <w:numPr>
          <w:ilvl w:val="5"/>
          <w:numId w:val="1"/>
        </w:numPr>
        <w:rPr/>
      </w:pPr>
      <w:bookmarkStart w:id="2001" w:name="__RefHeading___Toc3972669_1067777946"/>
      <w:bookmarkStart w:id="2002" w:name="_Toc842"/>
      <w:bookmarkEnd w:id="2001"/>
      <w:r>
        <w:rPr>
          <w:rtl w:val="true"/>
        </w:rPr>
        <w:t>توبۀ محارب</w:t>
      </w:r>
      <w:bookmarkEnd w:id="20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محارب، قبل از ظفر بر او و مأخوذيت او توبه كرد، حدّ ساقط مى شود، و حقوق الناس آن چه قصاصى يا تغريم مال باشد ساقط نمى شود با مطالبه مستحِق؛ و اگر بعد از ظفر و اخذ، توبه نمود، هيچ حدّ و قصاص و تغريم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كافر بود و با اسلام توبه كرد، محتمل است جبّ اسلام، حدّ شرعى را</w:t>
      </w:r>
      <w:r>
        <w:rPr>
          <w:rFonts w:eastAsia="IRNazanin" w:cs="IRNazanin"/>
          <w:color w:val="111111"/>
          <w:sz w:val="28"/>
          <w:szCs w:val="28"/>
          <w:rtl w:val="true"/>
          <w:lang w:bidi="fa-IR"/>
        </w:rPr>
        <w:t>.</w:t>
      </w:r>
    </w:p>
    <w:p>
      <w:pPr>
        <w:pStyle w:val="Heading6"/>
        <w:numPr>
          <w:ilvl w:val="5"/>
          <w:numId w:val="1"/>
        </w:numPr>
        <w:rPr/>
      </w:pPr>
      <w:bookmarkStart w:id="2003" w:name="__RefHeading___Toc3972671_1067777946"/>
      <w:bookmarkStart w:id="2004" w:name="_Toc843"/>
      <w:bookmarkEnd w:id="2003"/>
      <w:r>
        <w:rPr>
          <w:rtl w:val="true"/>
        </w:rPr>
        <w:t>اجتماع صفت دزد و محارب در فردى</w:t>
      </w:r>
      <w:bookmarkEnd w:id="2004"/>
    </w:p>
    <w:p>
      <w:pPr>
        <w:pStyle w:val="Heading6"/>
        <w:numPr>
          <w:ilvl w:val="5"/>
          <w:numId w:val="1"/>
        </w:numPr>
        <w:rPr/>
      </w:pPr>
      <w:bookmarkStart w:id="2005" w:name="__RefHeading___Toc3972673_1067777946"/>
      <w:bookmarkStart w:id="2006" w:name="_Toc844"/>
      <w:bookmarkEnd w:id="2005"/>
      <w:r>
        <w:rPr>
          <w:rtl w:val="true"/>
        </w:rPr>
        <w:t>اشاره</w:t>
      </w:r>
      <w:bookmarkEnd w:id="20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 و محارب اگر اجتماع كردند در فردى، حكم محارب جارى است و جايز است قتل و قتال با او بدون ضمان دم او</w:t>
      </w:r>
      <w:r>
        <w:rPr>
          <w:rFonts w:eastAsia="IRNazanin" w:cs="IRNazanin"/>
          <w:color w:val="111111"/>
          <w:sz w:val="28"/>
          <w:szCs w:val="28"/>
          <w:rtl w:val="true"/>
          <w:lang w:bidi="fa-IR"/>
        </w:rPr>
        <w:t>.</w:t>
      </w:r>
    </w:p>
    <w:p>
      <w:pPr>
        <w:pStyle w:val="Heading6"/>
        <w:numPr>
          <w:ilvl w:val="5"/>
          <w:numId w:val="1"/>
        </w:numPr>
        <w:rPr/>
      </w:pPr>
      <w:bookmarkStart w:id="2007" w:name="__RefHeading___Toc3972675_1067777946"/>
      <w:bookmarkStart w:id="2008" w:name="_Toc845"/>
      <w:bookmarkEnd w:id="2007"/>
      <w:r>
        <w:rPr>
          <w:rtl w:val="true"/>
        </w:rPr>
        <w:t>حكم دفاع از خود و قتل دزد و محارب</w:t>
      </w:r>
      <w:bookmarkEnd w:id="200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لصّ افتراق نمود به اين كه حامل سلاح به قصد اخافه نبود و متظاهر به اين عمل نبود، پس در عدم جريان شروط نهى از منكر و تدرج در ردع از اسهل به اشدّ، تأمل است، و احوط رعايت مراتب مرعيّۀ در نهى از منكر است پس براى حفظ نفس، مرتكب قتل او نشوند مگر آن كه مندفع به پايين تر نشود</w:t>
      </w:r>
      <w:r>
        <w:rPr>
          <w:rFonts w:eastAsia="IRNazanin" w:cs="IRNazanin"/>
          <w:color w:val="111111"/>
          <w:sz w:val="28"/>
          <w:szCs w:val="28"/>
          <w:rtl w:val="true"/>
          <w:lang w:bidi="fa-IR"/>
        </w:rPr>
        <w:t xml:space="preserve">. </w:t>
      </w:r>
      <w:bookmarkStart w:id="2009" w:name="pg10275_96736"/>
    </w:p>
    <w:p>
      <w:pPr>
        <w:pStyle w:val="BookText"/>
        <w:rPr/>
      </w:pPr>
      <w:bookmarkEnd w:id="2009"/>
      <w:r>
        <w:rPr>
          <w:rFonts w:ascii="IRNazanin" w:hAnsi="IRNazanin" w:eastAsia="IRNazanin"/>
          <w:color w:val="111111"/>
          <w:sz w:val="28"/>
          <w:sz w:val="28"/>
          <w:szCs w:val="28"/>
          <w:rtl w:val="true"/>
          <w:lang w:bidi="fa-IR"/>
        </w:rPr>
        <w:t>و اگر محتمل شد سلامت از تلف، لازم است دفاع از نفس اگر چه مظنون باشد اتلاف نفس كه مقصود لصّ است، اگر چه منتهى به اتلاف و قتل 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باشد سلامت نفس با فرار از لصّ‌، نوبت به مقاتله و قتل لصّ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كرد نفس يا عرض يكى از اهل منزل را، با ضعف مقصود از مقاومت و دفاع، لازم است دفاع و جايز نيست تسليم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واجب است دفاع از مالى كه مضطر به آن باشد و واجب باشد حفظ آن اگر چه امانت غير باشد، و تسليم جايز نيست؛ و در غير اين صورت، جايز است اگر اتلاف نفس، محتمل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مراتب در دفاع واجب يا جايز در غير محارب، رعايت آنها در سهولت و صعوبت لازم است؛ و اگر هيچ وسيله براى نجات محتمل نبود، پس در حرمت استسلام و وجوب و دفاعهاى ضد تسليم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w:t>
      </w:r>
    </w:p>
    <w:p>
      <w:pPr>
        <w:pStyle w:val="Heading6"/>
        <w:numPr>
          <w:ilvl w:val="5"/>
          <w:numId w:val="1"/>
        </w:numPr>
        <w:rPr/>
      </w:pPr>
      <w:bookmarkStart w:id="2010" w:name="__RefHeading___Toc3972677_1067777946"/>
      <w:bookmarkStart w:id="2011" w:name="_Toc846"/>
      <w:bookmarkEnd w:id="2010"/>
      <w:r>
        <w:rPr>
          <w:rtl w:val="true"/>
        </w:rPr>
        <w:t>وجوب دفاع در صورتى كه دزد قاصد حرام بر شخصى باشد</w:t>
      </w:r>
      <w:bookmarkEnd w:id="2011"/>
    </w:p>
    <w:p>
      <w:pPr>
        <w:pStyle w:val="BookText"/>
        <w:rPr/>
      </w:pPr>
      <w:r>
        <w:rPr>
          <w:rFonts w:ascii="IRNazanin" w:hAnsi="IRNazanin" w:eastAsia="IRNazanin"/>
          <w:color w:val="111111"/>
          <w:sz w:val="28"/>
          <w:sz w:val="28"/>
          <w:szCs w:val="28"/>
          <w:rtl w:val="true"/>
          <w:lang w:bidi="fa-IR"/>
        </w:rPr>
        <w:t>و در صورت مكابره لصّ بر مرد يا زن براى عمل حرام، واجب است بر متمكن از اهل اينها دفاع، اگر چه منتهى به قتل يا جرح داخل بشود، با رعايت مراتب متقدمه</w:t>
      </w:r>
      <w:r>
        <w:rPr>
          <w:rFonts w:eastAsia="IRNazanin" w:cs="IRNazanin"/>
          <w:color w:val="111111"/>
          <w:sz w:val="28"/>
          <w:szCs w:val="28"/>
          <w:rtl w:val="true"/>
          <w:lang w:bidi="fa-IR"/>
        </w:rPr>
        <w:t>.</w:t>
      </w:r>
    </w:p>
    <w:p>
      <w:pPr>
        <w:pStyle w:val="Heading6"/>
        <w:numPr>
          <w:ilvl w:val="5"/>
          <w:numId w:val="1"/>
        </w:numPr>
        <w:rPr/>
      </w:pPr>
      <w:bookmarkStart w:id="2012" w:name="__RefHeading___Toc3972679_1067777946"/>
      <w:bookmarkStart w:id="2013" w:name="_Toc847"/>
      <w:bookmarkEnd w:id="2012"/>
      <w:r>
        <w:rPr>
          <w:rtl w:val="true"/>
        </w:rPr>
        <w:t>فرض خوف از تلف شدن دفاع كننده</w:t>
      </w:r>
      <w:bookmarkEnd w:id="2013"/>
    </w:p>
    <w:p>
      <w:pPr>
        <w:pStyle w:val="BookText"/>
        <w:rPr/>
      </w:pPr>
      <w:r>
        <w:rPr>
          <w:rFonts w:ascii="Amiri" w:hAnsi="Amiri" w:eastAsia="Amiri" w:cs="Amiri"/>
          <w:color w:val="111111"/>
          <w:sz w:val="28"/>
          <w:sz w:val="28"/>
          <w:szCs w:val="28"/>
          <w:rtl w:val="true"/>
          <w:lang w:bidi="ar-SA"/>
        </w:rPr>
        <w:t>و در صورت خوف تلف نفس دفاع كننده، در وجوب دفاع، تأمل است؛ بلكه ظاهر، جواز يا وجوب تسليم شدن است به تقديم نفس بر عِرض</w:t>
      </w:r>
      <w:r>
        <w:rPr>
          <w:rFonts w:eastAsia="Amiri" w:cs="Amiri" w:ascii="Amiri" w:hAnsi="Amiri"/>
          <w:color w:val="111111"/>
          <w:sz w:val="28"/>
          <w:szCs w:val="28"/>
          <w:rtl w:val="true"/>
          <w:lang w:bidi="ar-SA"/>
        </w:rPr>
        <w:t>.</w:t>
      </w:r>
    </w:p>
    <w:p>
      <w:pPr>
        <w:pStyle w:val="Heading6"/>
        <w:numPr>
          <w:ilvl w:val="5"/>
          <w:numId w:val="1"/>
        </w:numPr>
        <w:rPr/>
      </w:pPr>
      <w:bookmarkStart w:id="2014" w:name="__RefHeading___Toc3972681_1067777946"/>
      <w:bookmarkStart w:id="2015" w:name="_Toc848"/>
      <w:bookmarkEnd w:id="2014"/>
      <w:r>
        <w:rPr>
          <w:rtl w:val="true"/>
        </w:rPr>
        <w:t>ترتّب اجر شهيد بر دفاع كننده</w:t>
      </w:r>
      <w:bookmarkEnd w:id="201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دفاع در صورت جواز، موجب اجر شهيد است اگر چه از مال باشد، مثل موارد تخلف ظنّ‌</w:t>
      </w:r>
      <w:r>
        <w:rPr>
          <w:rFonts w:eastAsia="IRNazanin" w:cs="IRNazanin"/>
          <w:color w:val="111111"/>
          <w:sz w:val="28"/>
          <w:szCs w:val="28"/>
          <w:rtl w:val="true"/>
          <w:lang w:bidi="fa-IR"/>
        </w:rPr>
        <w:t xml:space="preserve">. </w:t>
      </w:r>
      <w:bookmarkStart w:id="2016" w:name="pg10275_96738"/>
    </w:p>
    <w:p>
      <w:pPr>
        <w:pStyle w:val="Heading6"/>
        <w:numPr>
          <w:ilvl w:val="5"/>
          <w:numId w:val="1"/>
        </w:numPr>
        <w:rPr/>
      </w:pPr>
      <w:bookmarkStart w:id="2017" w:name="__RefHeading___Toc3972683_1067777946"/>
      <w:bookmarkStart w:id="2018" w:name="_Toc849"/>
      <w:bookmarkEnd w:id="2016"/>
      <w:bookmarkEnd w:id="2017"/>
      <w:r>
        <w:rPr>
          <w:rtl w:val="true"/>
        </w:rPr>
        <w:t>ضربه زدن به دزد در حال فرار وى</w:t>
      </w:r>
      <w:bookmarkEnd w:id="2018"/>
    </w:p>
    <w:p>
      <w:pPr>
        <w:pStyle w:val="BookText"/>
        <w:rPr/>
      </w:pPr>
      <w:r>
        <w:rPr>
          <w:rFonts w:ascii="IRNazanin" w:hAnsi="IRNazanin" w:eastAsia="IRNazanin"/>
          <w:color w:val="111111"/>
          <w:sz w:val="28"/>
          <w:sz w:val="28"/>
          <w:szCs w:val="28"/>
          <w:rtl w:val="true"/>
          <w:lang w:bidi="fa-IR"/>
        </w:rPr>
        <w:t>و اصابت بر داخل، در حال خروج اگر مثل قصاص و امور جايزه براى مدخول عليه است نباشد، موجب ضمان او است؛ به خلاف اصابت بر او در حال دخول و هجوم</w:t>
      </w:r>
      <w:r>
        <w:rPr>
          <w:rFonts w:eastAsia="IRNazanin" w:cs="IRNazanin"/>
          <w:color w:val="111111"/>
          <w:sz w:val="28"/>
          <w:szCs w:val="28"/>
          <w:rtl w:val="true"/>
          <w:lang w:bidi="fa-IR"/>
        </w:rPr>
        <w:t>.</w:t>
      </w:r>
    </w:p>
    <w:p>
      <w:pPr>
        <w:pStyle w:val="Heading6"/>
        <w:numPr>
          <w:ilvl w:val="5"/>
          <w:numId w:val="1"/>
        </w:numPr>
        <w:rPr/>
      </w:pPr>
      <w:bookmarkStart w:id="2019" w:name="__RefHeading___Toc3972685_1067777946"/>
      <w:bookmarkStart w:id="2020" w:name="_Toc850"/>
      <w:bookmarkEnd w:id="2019"/>
      <w:r>
        <w:rPr>
          <w:rtl w:val="true"/>
        </w:rPr>
        <w:t>عدم جواز دفاع در مال غير واجب الحفظ</w:t>
      </w:r>
      <w:bookmarkEnd w:id="2020"/>
    </w:p>
    <w:p>
      <w:pPr>
        <w:pStyle w:val="BookText"/>
        <w:rPr/>
      </w:pPr>
      <w:r>
        <w:rPr>
          <w:rFonts w:ascii="Amiri" w:hAnsi="Amiri" w:eastAsia="Amiri" w:cs="Amiri"/>
          <w:color w:val="111111"/>
          <w:sz w:val="28"/>
          <w:sz w:val="28"/>
          <w:szCs w:val="28"/>
          <w:rtl w:val="true"/>
          <w:lang w:bidi="ar-SA"/>
        </w:rPr>
        <w:t>و در مالى كه واجب نباشد، حفظ آن، جواز دفاع محل تأمل است با خوف بر نفس دفاع كننده</w:t>
      </w:r>
      <w:r>
        <w:rPr>
          <w:rFonts w:eastAsia="Amiri" w:cs="Amiri" w:ascii="Amiri" w:hAnsi="Amiri"/>
          <w:color w:val="111111"/>
          <w:sz w:val="28"/>
          <w:szCs w:val="28"/>
          <w:rtl w:val="true"/>
          <w:lang w:bidi="ar-SA"/>
        </w:rPr>
        <w:t>.</w:t>
      </w:r>
    </w:p>
    <w:p>
      <w:pPr>
        <w:pStyle w:val="Heading6"/>
        <w:numPr>
          <w:ilvl w:val="5"/>
          <w:numId w:val="1"/>
        </w:numPr>
        <w:rPr/>
      </w:pPr>
      <w:bookmarkStart w:id="2021" w:name="__RefHeading___Toc3972687_1067777946"/>
      <w:bookmarkStart w:id="2022" w:name="_Toc851"/>
      <w:bookmarkEnd w:id="2021"/>
      <w:r>
        <w:rPr>
          <w:rtl w:val="true"/>
        </w:rPr>
        <w:t>مستلب، مختلس، محتال، مبنّج</w:t>
      </w:r>
      <w:bookmarkEnd w:id="20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قطع، ثابت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شروط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جهراً و قهراً اخذ مال مى نمايد و فرار مى كند، قطع نيست مادام كه محاربت محقق نشده باشد؛ و همچنين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خفا اخذ مال مى نمايد از غير حرز و فرار مى نمايد؛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تزوير در شهادت و كتابت سندها و پيغام آوردن و نامه هاى دروغ، اخذ مال غير مى نمايد؛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خوراندن بنج، سلب عقل غير مى نمايد و اخذ مال او مى كند؛ و همچنين بر كسى كه منوّم مى خوراند كسى را يا مى خواباند به هر حيله كسى را و سلب مالى مى نمايد؛ بلكه در اين موارد، استعادۀ مال و تعزير رادع، ثابت است</w:t>
      </w:r>
      <w:r>
        <w:rPr>
          <w:rFonts w:eastAsia="IRNazanin" w:cs="IRNazanin"/>
          <w:color w:val="111111"/>
          <w:sz w:val="28"/>
          <w:szCs w:val="28"/>
          <w:rtl w:val="true"/>
          <w:lang w:bidi="fa-IR"/>
        </w:rPr>
        <w:t>.</w:t>
      </w:r>
    </w:p>
    <w:p>
      <w:pPr>
        <w:pStyle w:val="Heading6"/>
        <w:numPr>
          <w:ilvl w:val="5"/>
          <w:numId w:val="1"/>
        </w:numPr>
        <w:rPr/>
      </w:pPr>
      <w:bookmarkStart w:id="2023" w:name="__RefHeading___Toc3972689_1067777946"/>
      <w:bookmarkStart w:id="2024" w:name="_Toc852"/>
      <w:bookmarkEnd w:id="2023"/>
      <w:r>
        <w:rPr>
          <w:rtl w:val="true"/>
        </w:rPr>
        <w:t>مصلوب نمودن محارب</w:t>
      </w:r>
      <w:bookmarkEnd w:id="202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 در حالى كه مقتول شده است، صلب مى شود بنا بر ترتيب كه مختار است؛ و در حال حيات صلب مى شود بنا بر تخيير تا آن كه وفات نمايد، و اگر وفات نكرد، بعد از سه روز او را به قتل مى رسانند</w:t>
      </w:r>
      <w:r>
        <w:rPr>
          <w:rFonts w:eastAsia="IRNazanin" w:cs="IRNazanin"/>
          <w:color w:val="111111"/>
          <w:sz w:val="28"/>
          <w:szCs w:val="28"/>
          <w:rtl w:val="true"/>
          <w:lang w:bidi="fa-IR"/>
        </w:rPr>
        <w:t>.</w:t>
      </w:r>
    </w:p>
    <w:p>
      <w:pPr>
        <w:pStyle w:val="Heading6"/>
        <w:numPr>
          <w:ilvl w:val="5"/>
          <w:numId w:val="1"/>
        </w:numPr>
        <w:rPr/>
      </w:pPr>
      <w:bookmarkStart w:id="2025" w:name="__RefHeading___Toc3972691_1067777946"/>
      <w:bookmarkStart w:id="2026" w:name="_Toc853"/>
      <w:bookmarkEnd w:id="2025"/>
      <w:r>
        <w:rPr>
          <w:rtl w:val="true"/>
        </w:rPr>
        <w:t>مقدم نمودن غسل و</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كه حكم او صلب است، قبل از صلب تقديم مى نمايد تغسيل و تحنيط و</w:t>
      </w:r>
      <w:bookmarkStart w:id="2027" w:name="pg10275_96740"/>
    </w:p>
    <w:p>
      <w:pPr>
        <w:pStyle w:val="BookText"/>
        <w:rPr/>
      </w:pPr>
      <w:bookmarkEnd w:id="2027"/>
      <w:r>
        <w:rPr>
          <w:rFonts w:ascii="IRNazanin" w:hAnsi="IRNazanin" w:eastAsia="IRNazanin"/>
          <w:color w:val="111111"/>
          <w:sz w:val="28"/>
          <w:sz w:val="28"/>
          <w:szCs w:val="28"/>
          <w:rtl w:val="true"/>
          <w:lang w:bidi="fa-IR"/>
        </w:rPr>
        <w:t xml:space="preserve">تكفين را، بعد صلب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مذكور در كتاب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سه روز صلب او را پايين مى آورند و بر او نماز مى خوانند و او را دفن مى نمايند؛ و اگر اخلال به وظيفه قبل از صلب شد، بعد از انزال كه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تغسيل و ما بعد آن را به جا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صلب اول روز باشد، دو شب متوسط داخلند؛ و در صورت وقوع در اثناى روز، تلفيق معتبر است بنا بر اظهر، و مقدار سه روز كامل ابقا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محارب قبل از استيفاى حدّ وفات نمايد، صلب ساقط است بلكه صلب بعد از قتل است چنان چه گذشت</w:t>
      </w:r>
      <w:r>
        <w:rPr>
          <w:rFonts w:eastAsia="IRNazanin" w:cs="IRNazanin"/>
          <w:color w:val="111111"/>
          <w:sz w:val="28"/>
          <w:szCs w:val="28"/>
          <w:rtl w:val="true"/>
          <w:lang w:bidi="fa-IR"/>
        </w:rPr>
        <w:t>.</w:t>
      </w:r>
    </w:p>
    <w:p>
      <w:pPr>
        <w:pStyle w:val="Heading6"/>
        <w:numPr>
          <w:ilvl w:val="5"/>
          <w:numId w:val="1"/>
        </w:numPr>
        <w:rPr/>
      </w:pPr>
      <w:bookmarkStart w:id="2028" w:name="__RefHeading___Toc3972693_1067777946"/>
      <w:bookmarkStart w:id="2029" w:name="_Toc854"/>
      <w:bookmarkEnd w:id="2028"/>
      <w:r>
        <w:rPr>
          <w:rtl w:val="true"/>
        </w:rPr>
        <w:t>حكم تبعيد محارب</w:t>
      </w:r>
      <w:bookmarkEnd w:id="202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حكم محارب، نفى است، بايد از بلد خودش تبعيد بشود به بلد ديگر، و بنويسند براى اهل آن بلد كه مؤاكله و مناكحه و مشاربه و مجالست و مبايعت با او ننمايند تا توبه نمايد وگرنه منفىّ باشد تا آن كه در تبعيد وفات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بلاد شرك نمود و آنها پناه دادند به او، مقاتله و مدافعه با آنها مى شود اگر چه از اهل ذمّه باشند، از باب نقض عهد يا ردع از منكر، با نظر امام</w:t>
      </w:r>
      <w:r>
        <w:rPr>
          <w:rFonts w:eastAsia="IRNazanin" w:cs="IRNazanin"/>
          <w:color w:val="111111"/>
          <w:sz w:val="28"/>
          <w:szCs w:val="28"/>
          <w:rtl w:val="true"/>
          <w:lang w:bidi="fa-IR"/>
        </w:rPr>
        <w:t>.</w:t>
      </w:r>
    </w:p>
    <w:p>
      <w:pPr>
        <w:pStyle w:val="Heading6"/>
        <w:numPr>
          <w:ilvl w:val="5"/>
          <w:numId w:val="1"/>
        </w:numPr>
        <w:rPr/>
      </w:pPr>
      <w:bookmarkStart w:id="2030" w:name="__RefHeading___Toc3972695_1067777946"/>
      <w:bookmarkStart w:id="2031" w:name="_Toc855"/>
      <w:bookmarkEnd w:id="2030"/>
      <w:r>
        <w:rPr>
          <w:rtl w:val="true"/>
        </w:rPr>
        <w:t>عدم اعتبار نصاب در قطع محارب</w:t>
      </w:r>
      <w:bookmarkEnd w:id="20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ترتيب در احكام محارب، در مقابل تخيير غير منوط به اخذ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ثابت در محارب، اين كه مال مأخوذ او به قدر نصاب باشد و اين كه از حرز باشد، اگر چه معتبر است در سارق</w:t>
      </w:r>
      <w:r>
        <w:rPr>
          <w:rFonts w:eastAsia="IRNazanin" w:cs="IRNazanin"/>
          <w:color w:val="111111"/>
          <w:sz w:val="28"/>
          <w:szCs w:val="28"/>
          <w:rtl w:val="true"/>
          <w:lang w:bidi="fa-IR"/>
        </w:rPr>
        <w:t>.</w:t>
      </w:r>
    </w:p>
    <w:p>
      <w:pPr>
        <w:pStyle w:val="Heading4"/>
        <w:numPr>
          <w:ilvl w:val="3"/>
          <w:numId w:val="1"/>
        </w:numPr>
        <w:rPr/>
      </w:pPr>
      <w:bookmarkStart w:id="2032" w:name="__RefHeading___Toc3972697_1067777946"/>
      <w:bookmarkStart w:id="2033" w:name="_Toc856"/>
      <w:bookmarkEnd w:id="2032"/>
      <w:r>
        <w:rPr/>
        <w:t>5</w:t>
      </w:r>
      <w:r>
        <w:rPr>
          <w:rtl w:val="true"/>
        </w:rPr>
        <w:t xml:space="preserve">. </w:t>
      </w:r>
      <w:r>
        <w:rPr>
          <w:rtl w:val="true"/>
        </w:rPr>
        <w:t>كيفيت قطع دست و پاى محارب</w:t>
      </w:r>
      <w:bookmarkEnd w:id="203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كيفيت قطع محارب، تقديم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يُمنى است، و پس از آن حسم آن مطلوب است و ترك حسم با عدم ارادۀ ابقاى او جايز است، و پس از آن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يُسرى مى نمايند، و پس از آن موضع را داغ مى نمايند با مثل زيت جوشيده يا آن چه مفيد </w:t>
      </w:r>
    </w:p>
    <w:p>
      <w:pPr>
        <w:pStyle w:val="BookText"/>
        <w:rPr/>
      </w:pPr>
      <w:r>
        <w:rPr>
          <w:rFonts w:ascii="Amiri" w:hAnsi="Amiri" w:eastAsia="Amiri" w:cs="Amiri"/>
          <w:color w:val="111111"/>
          <w:sz w:val="28"/>
          <w:sz w:val="28"/>
          <w:szCs w:val="28"/>
          <w:rtl w:val="true"/>
          <w:lang w:bidi="ar-SA"/>
        </w:rPr>
        <w:t xml:space="preserve">اندمال آن باشد، و بيش از اين مهلت نمى دهند و فاصله بين ابعاض يك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دو قطع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يُمنى مستحَق شد به قصاص پس قطع طريق كرد، تقديم قصاص مى نمايند، پس از آن قطع مى نمايند رجل يُسرى را در حدّ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يُمناى او مستحَق به سرقت بود و يُسراى او مستحَق به قصاص، قصاص كه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 شود و امهال داده مى شود تا اندمال، پس از آن قطع به سرقت مى شود، به واسطۀ تعدّد حدّ، و توالى در آن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محارب يا مستحق دو عضو، اگر يكى را فاقد بود، اقتصار بر موجود براى حدّ مقصود در آن مى شود، و منتقل به غير نمى شود</w:t>
      </w:r>
      <w:r>
        <w:rPr>
          <w:rFonts w:eastAsia="IRNazanin" w:cs="IRNazanin"/>
          <w:color w:val="111111"/>
          <w:sz w:val="28"/>
          <w:szCs w:val="28"/>
          <w:rtl w:val="true"/>
          <w:lang w:bidi="fa-IR"/>
        </w:rPr>
        <w:t xml:space="preserve">. </w:t>
      </w:r>
      <w:bookmarkStart w:id="2034" w:name="pg10275_96744"/>
    </w:p>
    <w:p>
      <w:pPr>
        <w:pStyle w:val="Heading3"/>
        <w:numPr>
          <w:ilvl w:val="2"/>
          <w:numId w:val="1"/>
        </w:numPr>
        <w:rPr/>
      </w:pPr>
      <w:bookmarkStart w:id="2035" w:name="__RefHeading___Toc3972699_1067777946"/>
      <w:bookmarkStart w:id="2036" w:name="_Toc857"/>
      <w:bookmarkEnd w:id="2034"/>
      <w:bookmarkEnd w:id="2035"/>
      <w:r>
        <w:rPr>
          <w:rtl w:val="true"/>
        </w:rPr>
        <w:t>فصل هفتم ارتداد</w:t>
      </w:r>
      <w:bookmarkEnd w:id="2036"/>
    </w:p>
    <w:p>
      <w:pPr>
        <w:pStyle w:val="Heading4"/>
        <w:numPr>
          <w:ilvl w:val="3"/>
          <w:numId w:val="1"/>
        </w:numPr>
        <w:rPr/>
      </w:pPr>
      <w:bookmarkStart w:id="2037" w:name="__RefHeading___Toc3972701_1067777946"/>
      <w:bookmarkStart w:id="2038" w:name="_Toc858"/>
      <w:bookmarkEnd w:id="2037"/>
      <w:r>
        <w:rPr/>
        <w:t>1</w:t>
      </w:r>
      <w:r>
        <w:rPr>
          <w:rtl w:val="true"/>
        </w:rPr>
        <w:t xml:space="preserve">. </w:t>
      </w:r>
      <w:r>
        <w:rPr>
          <w:rtl w:val="true"/>
        </w:rPr>
        <w:t>ارتداد و ثبوت آن</w:t>
      </w:r>
      <w:bookmarkEnd w:id="2038"/>
    </w:p>
    <w:p>
      <w:pPr>
        <w:pStyle w:val="Heading5"/>
        <w:numPr>
          <w:ilvl w:val="4"/>
          <w:numId w:val="1"/>
        </w:numPr>
        <w:rPr/>
      </w:pPr>
      <w:bookmarkStart w:id="2039" w:name="__RefHeading___Toc3972703_1067777946"/>
      <w:bookmarkStart w:id="2040" w:name="_Toc859"/>
      <w:bookmarkEnd w:id="2039"/>
      <w:r>
        <w:rPr>
          <w:rtl w:val="true"/>
        </w:rPr>
        <w:t>مراد از مرتد</w:t>
      </w:r>
      <w:bookmarkEnd w:id="2040"/>
    </w:p>
    <w:p>
      <w:pPr>
        <w:pStyle w:val="BookText"/>
        <w:rPr/>
      </w:pPr>
      <w:r>
        <w:rPr>
          <w:rFonts w:ascii="IRNazanin" w:hAnsi="IRNazanin" w:eastAsia="IRNazanin"/>
          <w:color w:val="111111"/>
          <w:sz w:val="28"/>
          <w:sz w:val="28"/>
          <w:szCs w:val="28"/>
          <w:rtl w:val="true"/>
          <w:lang w:bidi="fa-IR"/>
        </w:rPr>
        <w:t>كسى كه بعد از اسلامِ خودش كافر بشود مرتدّ است، چه آن كه اسلام او مسبوق به كفر بوده يا نه</w:t>
      </w:r>
      <w:r>
        <w:rPr>
          <w:rFonts w:eastAsia="IRNazanin" w:cs="IRNazanin"/>
          <w:color w:val="111111"/>
          <w:sz w:val="28"/>
          <w:szCs w:val="28"/>
          <w:rtl w:val="true"/>
          <w:lang w:bidi="fa-IR"/>
        </w:rPr>
        <w:t>.</w:t>
      </w:r>
    </w:p>
    <w:p>
      <w:pPr>
        <w:pStyle w:val="Heading5"/>
        <w:numPr>
          <w:ilvl w:val="4"/>
          <w:numId w:val="1"/>
        </w:numPr>
        <w:rPr/>
      </w:pPr>
      <w:bookmarkStart w:id="2041" w:name="__RefHeading___Toc3972705_1067777946"/>
      <w:bookmarkStart w:id="2042" w:name="_Toc860"/>
      <w:bookmarkEnd w:id="2041"/>
      <w:r>
        <w:rPr>
          <w:rtl w:val="true"/>
        </w:rPr>
        <w:t>نحوۀ ثابت شدن ارتداد</w:t>
      </w:r>
      <w:bookmarkEnd w:id="2042"/>
    </w:p>
    <w:p>
      <w:pPr>
        <w:pStyle w:val="BookText"/>
        <w:rPr/>
      </w:pPr>
      <w:r>
        <w:rPr>
          <w:rFonts w:ascii="IRNazanin" w:hAnsi="IRNazanin" w:eastAsia="IRNazanin"/>
          <w:color w:val="111111"/>
          <w:sz w:val="28"/>
          <w:sz w:val="28"/>
          <w:szCs w:val="28"/>
          <w:rtl w:val="true"/>
          <w:lang w:bidi="fa-IR"/>
        </w:rPr>
        <w:t>و ثابت مى شود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بيّنه؛ و با اقرار به خروج از دين؛ و با هر قول و فعلى كه دالّ صريح يا ظاهر باشد بر استهزاى به دين و اهانت به آن و دست برداشتن از آن، مثل القاى مصحف در قاذورات، و زير پا كردن آن از روى عمد و نحو اينها، و تلويث كعبه يا ضرايح مقدّسۀ دينيّه با قاذورات، و سجود براى بُتها</w:t>
      </w:r>
      <w:r>
        <w:rPr>
          <w:rFonts w:eastAsia="IRNazanin" w:cs="IRNazanin"/>
          <w:color w:val="111111"/>
          <w:sz w:val="28"/>
          <w:szCs w:val="28"/>
          <w:rtl w:val="true"/>
          <w:lang w:bidi="fa-IR"/>
        </w:rPr>
        <w:t>.</w:t>
      </w:r>
    </w:p>
    <w:p>
      <w:pPr>
        <w:pStyle w:val="Heading5"/>
        <w:numPr>
          <w:ilvl w:val="4"/>
          <w:numId w:val="1"/>
        </w:numPr>
        <w:rPr/>
      </w:pPr>
      <w:bookmarkStart w:id="2043" w:name="__RefHeading___Toc3972707_1067777946"/>
      <w:bookmarkStart w:id="2044" w:name="_Toc861"/>
      <w:bookmarkEnd w:id="2043"/>
      <w:r>
        <w:rPr>
          <w:rtl w:val="true"/>
        </w:rPr>
        <w:t>لزوم ضرورى بودن نزد منكر</w:t>
      </w:r>
      <w:bookmarkEnd w:id="204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اقتصار بر ضروريات دينيه يا تعميم از حيث مجمعٌ عليه بودن يا ثابت نزد منكِر بودن، پس اظهر لزوم ثابت شدن نزد منكر است؛ پس اگر انكار او راجع به تبعيض در تصديق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خودش باشد، و ثابت باشد آن امر نزد حاكم به كفر او، موجب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ضرورى دينى، معلوم شخص منكر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قرب عهد به اسلام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ايجاب ارتداد، تأمل است؛ بلكه كفر به </w:t>
      </w:r>
      <w:bookmarkStart w:id="2045" w:name="pg10275_96746"/>
    </w:p>
    <w:p>
      <w:pPr>
        <w:pStyle w:val="BookText"/>
        <w:rPr/>
      </w:pPr>
      <w:bookmarkEnd w:id="20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ضرورى از باب معلوميت براى همه حتى منكر است و موجب تكذيب وجدانى رسالت است؛ لذا اختصاصى به ضرورى دين اسلام ندارد و عامّ است به ضرورى مذهب حق كه تشيع است؛ پس جاهل اگر چه معذور نباشد، ارتداد او به انكار محل تأمل است</w:t>
      </w:r>
      <w:r>
        <w:rPr>
          <w:rFonts w:eastAsia="IRNazanin" w:cs="IRNazanin"/>
          <w:color w:val="111111"/>
          <w:sz w:val="28"/>
          <w:szCs w:val="28"/>
          <w:rtl w:val="true"/>
          <w:lang w:bidi="fa-IR"/>
        </w:rPr>
        <w:t>.</w:t>
      </w:r>
    </w:p>
    <w:p>
      <w:pPr>
        <w:pStyle w:val="Heading4"/>
        <w:numPr>
          <w:ilvl w:val="3"/>
          <w:numId w:val="1"/>
        </w:numPr>
        <w:rPr/>
      </w:pPr>
      <w:bookmarkStart w:id="2046" w:name="__RefHeading___Toc3972709_1067777946"/>
      <w:bookmarkStart w:id="2047" w:name="_Toc862"/>
      <w:bookmarkEnd w:id="2046"/>
      <w:r>
        <w:rPr/>
        <w:t>2</w:t>
      </w:r>
      <w:r>
        <w:rPr>
          <w:rtl w:val="true"/>
        </w:rPr>
        <w:t xml:space="preserve">. </w:t>
      </w:r>
      <w:r>
        <w:rPr>
          <w:rtl w:val="true"/>
        </w:rPr>
        <w:t>مرتدّ فطرى</w:t>
      </w:r>
      <w:bookmarkEnd w:id="2047"/>
    </w:p>
    <w:p>
      <w:pPr>
        <w:pStyle w:val="Heading5"/>
        <w:numPr>
          <w:ilvl w:val="4"/>
          <w:numId w:val="1"/>
        </w:numPr>
        <w:rPr/>
      </w:pPr>
      <w:bookmarkStart w:id="2048" w:name="__RefHeading___Toc3972711_1067777946"/>
      <w:bookmarkStart w:id="2049" w:name="_Toc863"/>
      <w:bookmarkEnd w:id="2048"/>
      <w:r>
        <w:rPr>
          <w:rtl w:val="true"/>
        </w:rPr>
        <w:t>احكام مرتد فطرى</w:t>
      </w:r>
      <w:bookmarkEnd w:id="2049"/>
    </w:p>
    <w:p>
      <w:pPr>
        <w:pStyle w:val="BookText"/>
        <w:rPr/>
      </w:pPr>
      <w:r>
        <w:rPr>
          <w:rFonts w:ascii="IRNazanin" w:hAnsi="IRNazanin" w:eastAsia="IRNazanin"/>
          <w:color w:val="111111"/>
          <w:sz w:val="28"/>
          <w:sz w:val="28"/>
          <w:szCs w:val="28"/>
          <w:rtl w:val="true"/>
          <w:lang w:bidi="fa-IR"/>
        </w:rPr>
        <w:t xml:space="preserve">كسى كه مولود بر اسلام حكمى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احد الابوين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قبل از ارتداد، اسلام حقيقى را اختيار كرده باشد بعد از بلوغ، پس از آن كافر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استتابه نمى شود، بلكه مقتول مى شود، و زوجه اش از او باين مى شود و معتدّۀ به عدّه وفات مى شود اگر چه دخول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كه در حكم موت زوج است در اعتداد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املاك او از ملك او خارج مى شوند و تقسيم بين ورثۀ او مى شوند؛ و فرقى در كفر، بين آن چه ابقا مى شود اهل آن بر آن يا نه، نيست</w:t>
      </w:r>
      <w:r>
        <w:rPr>
          <w:rFonts w:eastAsia="IRNazanin" w:cs="IRNazanin"/>
          <w:color w:val="111111"/>
          <w:sz w:val="28"/>
          <w:szCs w:val="28"/>
          <w:rtl w:val="true"/>
          <w:lang w:bidi="fa-IR"/>
        </w:rPr>
        <w:t>.</w:t>
      </w:r>
    </w:p>
    <w:p>
      <w:pPr>
        <w:pStyle w:val="Heading5"/>
        <w:numPr>
          <w:ilvl w:val="4"/>
          <w:numId w:val="1"/>
        </w:numPr>
        <w:rPr/>
      </w:pPr>
      <w:bookmarkStart w:id="2050" w:name="__RefHeading___Toc3972713_1067777946"/>
      <w:bookmarkStart w:id="2051" w:name="_Toc864"/>
      <w:bookmarkEnd w:id="2050"/>
      <w:r>
        <w:rPr>
          <w:rtl w:val="true"/>
        </w:rPr>
        <w:t>تجديد عقد و حكم عبادات او</w:t>
      </w:r>
      <w:bookmarkEnd w:id="2051"/>
    </w:p>
    <w:p>
      <w:pPr>
        <w:pStyle w:val="BookText"/>
        <w:rPr/>
      </w:pPr>
      <w:r>
        <w:rPr>
          <w:rFonts w:ascii="IRNazanin" w:hAnsi="IRNazanin" w:eastAsia="IRNazanin"/>
          <w:color w:val="111111"/>
          <w:sz w:val="28"/>
          <w:sz w:val="28"/>
          <w:szCs w:val="28"/>
          <w:rtl w:val="true"/>
          <w:lang w:bidi="fa-IR"/>
        </w:rPr>
        <w:t>و جايز است بر تقدير عدم اطلاع يا ظفر بر او، تجديد عقد بر زوجۀ معتدّۀ خودش بعد از عدّه؛ و محتمل است جواز آن در عدّه بنا بر قبول توبه او در غير احكام مشهوره، چنان چه در مطلّقۀ باين فى الجمله جايز است تجديد عقد بعد از عده و در اثناى آن؛ پس عبادات او بعد از توبه و اسلام، صحيح است مثل عبادات زن مرتدّه از فطرت، و قضاى فائت در زمان ردّه لازم است مثل مرتدّ ملّى، و محكوم به طهارت و مشروط به آن است بنا بر اظهر</w:t>
      </w:r>
      <w:r>
        <w:rPr>
          <w:rFonts w:eastAsia="IRNazanin" w:cs="IRNazanin"/>
          <w:color w:val="111111"/>
          <w:sz w:val="28"/>
          <w:szCs w:val="28"/>
          <w:rtl w:val="true"/>
          <w:lang w:bidi="fa-IR"/>
        </w:rPr>
        <w:t>.</w:t>
      </w:r>
    </w:p>
    <w:p>
      <w:pPr>
        <w:pStyle w:val="Heading5"/>
        <w:numPr>
          <w:ilvl w:val="4"/>
          <w:numId w:val="1"/>
        </w:numPr>
        <w:rPr/>
      </w:pPr>
      <w:bookmarkStart w:id="2052" w:name="__RefHeading___Toc3972715_1067777946"/>
      <w:bookmarkStart w:id="2053" w:name="_Toc865"/>
      <w:bookmarkEnd w:id="2052"/>
      <w:r>
        <w:rPr>
          <w:rtl w:val="true"/>
        </w:rPr>
        <w:t>اسلام حكمى</w:t>
      </w:r>
      <w:bookmarkEnd w:id="205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اعتبار به اسلام حكمى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است، و احوط اعتبار اسلام حكمى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وقت انعقاد تا وقت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بلكه احوط اكتفاى به حكم اسلام است </w:t>
      </w:r>
      <w:bookmarkStart w:id="2054" w:name="pg10275_96748"/>
    </w:p>
    <w:p>
      <w:pPr>
        <w:pStyle w:val="BookText"/>
        <w:rPr/>
      </w:pPr>
      <w:bookmarkEnd w:id="20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 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موجب دفن زن كافرۀ حامله در مقابر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عدم كفايت اسلام حكمى در حصول ارتداد فطرى و حكم آن، و لزوم اسلام حقيقى بعد از بلوغ، اظهر است، اگر چه اعتبار وصف اسلام در خصوص اول بلوغ محل تأمل است در تحقق ارتداد فطرى</w:t>
      </w:r>
      <w:r>
        <w:rPr>
          <w:rFonts w:eastAsia="IRNazanin" w:cs="IRNazanin"/>
          <w:color w:val="111111"/>
          <w:sz w:val="28"/>
          <w:szCs w:val="28"/>
          <w:rtl w:val="true"/>
          <w:lang w:bidi="fa-IR"/>
        </w:rPr>
        <w:t>.</w:t>
      </w:r>
    </w:p>
    <w:p>
      <w:pPr>
        <w:pStyle w:val="Heading4"/>
        <w:numPr>
          <w:ilvl w:val="3"/>
          <w:numId w:val="1"/>
        </w:numPr>
        <w:rPr/>
      </w:pPr>
      <w:bookmarkStart w:id="2055" w:name="__RefHeading___Toc3972717_1067777946"/>
      <w:bookmarkStart w:id="2056" w:name="_Toc866"/>
      <w:bookmarkEnd w:id="2055"/>
      <w:r>
        <w:rPr/>
        <w:t>2</w:t>
      </w:r>
      <w:r>
        <w:rPr>
          <w:rtl w:val="true"/>
        </w:rPr>
        <w:t xml:space="preserve">. </w:t>
      </w:r>
      <w:r>
        <w:rPr>
          <w:rtl w:val="true"/>
        </w:rPr>
        <w:t>شرايط حصول ارتداد</w:t>
      </w:r>
      <w:bookmarkEnd w:id="2056"/>
    </w:p>
    <w:p>
      <w:pPr>
        <w:pStyle w:val="Heading5"/>
        <w:numPr>
          <w:ilvl w:val="4"/>
          <w:numId w:val="1"/>
        </w:numPr>
        <w:rPr/>
      </w:pPr>
      <w:bookmarkStart w:id="2057" w:name="__RefHeading___Toc3972719_1067777946"/>
      <w:bookmarkStart w:id="2058" w:name="_Toc867"/>
      <w:bookmarkEnd w:id="2057"/>
      <w:r>
        <w:rPr>
          <w:rtl w:val="true"/>
        </w:rPr>
        <w:t>اشاره</w:t>
      </w:r>
      <w:bookmarkEnd w:id="2058"/>
    </w:p>
    <w:p>
      <w:pPr>
        <w:pStyle w:val="BookText"/>
        <w:rPr/>
      </w:pPr>
      <w:r>
        <w:rPr>
          <w:rFonts w:ascii="Amiri" w:hAnsi="Amiri" w:eastAsia="Amiri" w:cs="Amiri"/>
          <w:color w:val="111111"/>
          <w:sz w:val="28"/>
          <w:sz w:val="28"/>
          <w:szCs w:val="28"/>
          <w:rtl w:val="true"/>
          <w:lang w:bidi="ar-SA"/>
        </w:rPr>
        <w:t>معتبر است در تأثير ارتداد فطرى و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و عقل و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ارتداد غير بالغ، تأثيرى در زوال حكم اسلام ندارد اگر چه ده ساله و مراهق باشد؛ و همچنين ارتداد مجنون در حال جنون مطبق يا ادوارى او، به خلاف ارتداد در حال افاقه ادوارى؛ و همچنين مكرَه به نحوى كه جايز باشد براى تخلّص از وعيد، قول يا فعل دالّ بر كفر اگر چه صريح باشد اگر چه برائت باشد و بر خصوص آن اكراه بشود</w:t>
      </w:r>
      <w:r>
        <w:rPr>
          <w:rFonts w:eastAsia="IRNazanin" w:cs="IRNazanin"/>
          <w:color w:val="111111"/>
          <w:sz w:val="28"/>
          <w:szCs w:val="28"/>
          <w:rtl w:val="true"/>
          <w:lang w:bidi="fa-IR"/>
        </w:rPr>
        <w:t>.</w:t>
      </w:r>
    </w:p>
    <w:p>
      <w:pPr>
        <w:pStyle w:val="Heading5"/>
        <w:numPr>
          <w:ilvl w:val="4"/>
          <w:numId w:val="1"/>
        </w:numPr>
        <w:rPr/>
      </w:pPr>
      <w:bookmarkStart w:id="2059" w:name="__RefHeading___Toc3972721_1067777946"/>
      <w:bookmarkStart w:id="2060" w:name="_Toc868"/>
      <w:bookmarkEnd w:id="2059"/>
      <w:r>
        <w:rPr>
          <w:rtl w:val="true"/>
        </w:rPr>
        <w:t>مورد وجوب توريه</w:t>
      </w:r>
      <w:bookmarkEnd w:id="2060"/>
    </w:p>
    <w:p>
      <w:pPr>
        <w:pStyle w:val="BookText"/>
        <w:rPr/>
      </w:pPr>
      <w:r>
        <w:rPr>
          <w:rFonts w:ascii="Amiri" w:hAnsi="Amiri" w:eastAsia="Amiri" w:cs="Amiri"/>
          <w:color w:val="111111"/>
          <w:sz w:val="28"/>
          <w:sz w:val="28"/>
          <w:szCs w:val="28"/>
          <w:rtl w:val="true"/>
          <w:lang w:bidi="ar-SA"/>
        </w:rPr>
        <w:t>و اظهر وجوب توريه است بر ملتفت متمكن بدون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وجوب عمل بر طبق اكراه است در اظهار كفر در صورت خوف بر نفس يا طرف، و محتمل است وجوب در مال واجب 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ارتداد غافل و ساهى و نائم و مغمىٰ عليه، به قول يا فعل، بى اثر است؛ و اگر ادّعاى عدم قصد كرد و احتمال صدق داده شد تصديق مى شود بدون يمين</w:t>
      </w:r>
      <w:r>
        <w:rPr>
          <w:rFonts w:eastAsia="IRNazanin" w:cs="IRNazanin"/>
          <w:color w:val="111111"/>
          <w:sz w:val="28"/>
          <w:szCs w:val="28"/>
          <w:rtl w:val="true"/>
          <w:lang w:bidi="fa-IR"/>
        </w:rPr>
        <w:t>.</w:t>
      </w:r>
    </w:p>
    <w:p>
      <w:pPr>
        <w:pStyle w:val="Heading5"/>
        <w:numPr>
          <w:ilvl w:val="4"/>
          <w:numId w:val="1"/>
        </w:numPr>
        <w:rPr/>
      </w:pPr>
      <w:bookmarkStart w:id="2061" w:name="__RefHeading___Toc3972723_1067777946"/>
      <w:bookmarkStart w:id="2062" w:name="_Toc869"/>
      <w:bookmarkEnd w:id="2061"/>
      <w:r>
        <w:rPr>
          <w:rtl w:val="true"/>
        </w:rPr>
        <w:t>غضب شديد</w:t>
      </w:r>
      <w:bookmarkEnd w:id="2062"/>
    </w:p>
    <w:p>
      <w:pPr>
        <w:pStyle w:val="BookText"/>
        <w:rPr/>
      </w:pPr>
      <w:r>
        <w:rPr>
          <w:rFonts w:ascii="IRNazanin" w:hAnsi="IRNazanin" w:eastAsia="IRNazanin"/>
          <w:color w:val="111111"/>
          <w:sz w:val="28"/>
          <w:sz w:val="28"/>
          <w:szCs w:val="28"/>
          <w:rtl w:val="true"/>
          <w:lang w:bidi="fa-IR"/>
        </w:rPr>
        <w:t>و همچنين آن چه در حال غضب شديد مُخرِج از اختيار صادر مى شود بى اثر است، به خلاف غير مُخرج از اختيار</w:t>
      </w:r>
      <w:r>
        <w:rPr>
          <w:rFonts w:eastAsia="IRNazanin" w:cs="IRNazanin"/>
          <w:color w:val="111111"/>
          <w:sz w:val="28"/>
          <w:szCs w:val="28"/>
          <w:rtl w:val="true"/>
          <w:lang w:bidi="fa-IR"/>
        </w:rPr>
        <w:t>.</w:t>
      </w:r>
    </w:p>
    <w:p>
      <w:pPr>
        <w:pStyle w:val="Heading5"/>
        <w:numPr>
          <w:ilvl w:val="4"/>
          <w:numId w:val="1"/>
        </w:numPr>
        <w:rPr/>
      </w:pPr>
      <w:bookmarkStart w:id="2063" w:name="__RefHeading___Toc3972725_1067777946"/>
      <w:bookmarkStart w:id="2064" w:name="_Toc870"/>
      <w:bookmarkEnd w:id="2063"/>
      <w:r>
        <w:rPr>
          <w:rtl w:val="true"/>
        </w:rPr>
        <w:t>ادّعاى اكراه</w:t>
      </w:r>
      <w:bookmarkEnd w:id="206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ادّعاى اكراه كرد تصديق مى شود؛ و همچنين اگر بيّنه، نقل كلمۀ كفر نمود و او </w:t>
      </w:r>
      <w:bookmarkStart w:id="2065" w:name="pg10275_96751"/>
    </w:p>
    <w:p>
      <w:pPr>
        <w:pStyle w:val="BookText"/>
        <w:rPr/>
      </w:pPr>
      <w:bookmarkEnd w:id="2065"/>
      <w:r>
        <w:rPr>
          <w:rFonts w:ascii="Amiri" w:hAnsi="Amiri" w:eastAsia="Amiri" w:cs="Amiri"/>
          <w:color w:val="111111"/>
          <w:sz w:val="28"/>
          <w:sz w:val="28"/>
          <w:szCs w:val="28"/>
          <w:rtl w:val="true"/>
          <w:lang w:bidi="ar-SA"/>
        </w:rPr>
        <w:t>ادّعاى اكراه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اثبات بيّنه ارتداد را به اختيار و با عدم اكراه، كه تصديق دعواى إكراه با امارۀ بر اكراه مى شود، يا آن كه ادّعا نمايد امرى را كه مخفىّ بر بيّنه است بر تقدير ثبوت، و بايد احداث شبهۀ دارئۀ حدّ نمايد</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3972727_1067777946"/>
      <w:bookmarkStart w:id="2067" w:name="_Toc871"/>
      <w:bookmarkEnd w:id="2066"/>
      <w:r>
        <w:rPr>
          <w:rtl w:val="true"/>
        </w:rPr>
        <w:t>عدم لزوم تجديد اسلام در مكره</w:t>
      </w:r>
      <w:bookmarkEnd w:id="2067"/>
    </w:p>
    <w:p>
      <w:pPr>
        <w:pStyle w:val="BookText"/>
        <w:rPr/>
      </w:pPr>
      <w:r>
        <w:rPr>
          <w:rFonts w:ascii="Amiri" w:hAnsi="Amiri" w:eastAsia="Amiri" w:cs="Amiri"/>
          <w:color w:val="111111"/>
          <w:sz w:val="28"/>
          <w:sz w:val="28"/>
          <w:szCs w:val="28"/>
          <w:rtl w:val="true"/>
          <w:lang w:bidi="ar-SA"/>
        </w:rPr>
        <w:t xml:space="preserve">و مكرَه و هر كه به حكم او است، محتاج به تجديد اسلام نيست، و عرض اسلام بر او واجب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ساير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امتناع از تجديد در فرض، موجب كفر او نمى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ساير مسلمين</w:t>
      </w:r>
      <w:r>
        <w:rPr>
          <w:rFonts w:eastAsia="Amiri" w:cs="Amiri" w:ascii="Amiri" w:hAnsi="Amiri"/>
          <w:color w:val="111111"/>
          <w:sz w:val="28"/>
          <w:szCs w:val="28"/>
          <w:rtl w:val="true"/>
          <w:lang w:bidi="ar-SA"/>
        </w:rPr>
        <w:t>).</w:t>
      </w:r>
    </w:p>
    <w:p>
      <w:pPr>
        <w:pStyle w:val="Heading4"/>
        <w:numPr>
          <w:ilvl w:val="3"/>
          <w:numId w:val="1"/>
        </w:numPr>
        <w:rPr/>
      </w:pPr>
      <w:bookmarkStart w:id="2068" w:name="__RefHeading___Toc3972729_1067777946"/>
      <w:bookmarkStart w:id="2069" w:name="_Toc872"/>
      <w:bookmarkEnd w:id="2068"/>
      <w:r>
        <w:rPr/>
        <w:t>4</w:t>
      </w:r>
      <w:r>
        <w:rPr>
          <w:rtl w:val="true"/>
        </w:rPr>
        <w:t xml:space="preserve">. </w:t>
      </w:r>
      <w:r>
        <w:rPr>
          <w:rtl w:val="true"/>
        </w:rPr>
        <w:t>حكم زن مرتدّه</w:t>
      </w:r>
      <w:bookmarkEnd w:id="2069"/>
    </w:p>
    <w:p>
      <w:pPr>
        <w:pStyle w:val="BookText"/>
        <w:rPr/>
      </w:pPr>
      <w:r>
        <w:rPr>
          <w:rFonts w:ascii="IRNazanin" w:hAnsi="IRNazanin" w:eastAsia="IRNazanin"/>
          <w:color w:val="111111"/>
          <w:sz w:val="28"/>
          <w:sz w:val="28"/>
          <w:szCs w:val="28"/>
          <w:rtl w:val="true"/>
          <w:lang w:bidi="fa-IR"/>
        </w:rPr>
        <w:t>زن مسلمان اگر مرتدّه به ارتداد فطرى شد، او را به قتل نمى رسانند بلكه استتابه مى نمايند، اگر توبة كرد عفو مى نمايند وگرنه به حبس دائم محكوم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خنثاى مشكل را به قتل نمى رسانند اگر فطرى باشد؛ و الحاقش به زن در استتابه و ادامۀ حبس تا توبه يا موت، بى وجه نيست بنا بر آن كه طبيعت ثالثه نباشد، و در اين تقدير هم محتمل است</w:t>
      </w:r>
      <w:r>
        <w:rPr>
          <w:rFonts w:eastAsia="IRNazanin" w:cs="IRNazanin"/>
          <w:color w:val="111111"/>
          <w:sz w:val="28"/>
          <w:szCs w:val="28"/>
          <w:rtl w:val="true"/>
          <w:lang w:bidi="fa-IR"/>
        </w:rPr>
        <w:t>.</w:t>
      </w:r>
    </w:p>
    <w:p>
      <w:pPr>
        <w:pStyle w:val="Heading4"/>
        <w:numPr>
          <w:ilvl w:val="3"/>
          <w:numId w:val="1"/>
        </w:numPr>
        <w:rPr/>
      </w:pPr>
      <w:bookmarkStart w:id="2070" w:name="__RefHeading___Toc3972731_1067777946"/>
      <w:bookmarkStart w:id="2071" w:name="_Toc873"/>
      <w:bookmarkEnd w:id="2070"/>
      <w:r>
        <w:rPr/>
        <w:t>5</w:t>
      </w:r>
      <w:r>
        <w:rPr>
          <w:rtl w:val="true"/>
        </w:rPr>
        <w:t xml:space="preserve">. </w:t>
      </w:r>
      <w:r>
        <w:rPr>
          <w:rtl w:val="true"/>
        </w:rPr>
        <w:t>مرتدّ ملّى</w:t>
      </w:r>
      <w:bookmarkEnd w:id="2071"/>
    </w:p>
    <w:p>
      <w:pPr>
        <w:pStyle w:val="Heading5"/>
        <w:numPr>
          <w:ilvl w:val="4"/>
          <w:numId w:val="1"/>
        </w:numPr>
        <w:rPr/>
      </w:pPr>
      <w:bookmarkStart w:id="2072" w:name="__RefHeading___Toc3972733_1067777946"/>
      <w:bookmarkStart w:id="2073" w:name="_Toc874"/>
      <w:bookmarkEnd w:id="2072"/>
      <w:r>
        <w:rPr>
          <w:rtl w:val="true"/>
        </w:rPr>
        <w:t>اشاره</w:t>
      </w:r>
      <w:bookmarkEnd w:id="20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اسلام او مسبوق به كفر بوده پس از آن مرتد شد، استتابه او واجب است؛ و احوط ادامۀ استتابه او است تا سه روز، پس اگر امتناع از توبه كرد او را به قتل مى رسانند، و اگر ادّعاى شبهه و طلب حل آن نمود، اظهر وجوب امهال و اشتغال به ازاله شبهه و ايضاح مطلب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شود كذب او در ادّعاى شبهه؛ و احوط در اين زمان الزام به توبه است در صورتى كه مدعى احتمال بطلان شبهه باشد؛ پس اگر توبه كرد، محكوم مى شود به اسلام، اگر چه تعليم او و تعلم بر او واجب باشد، وگرنه در وجوب قتل تأمل است؛ و احوط تأخير قتل است تا زمان حل شبهه، پس اگر توبه نكرد او را به قتل برسانند؛ و اگر توبه كرد، حكم به اسلام او مى نمايند</w:t>
      </w:r>
      <w:r>
        <w:rPr>
          <w:rFonts w:eastAsia="IRNazanin" w:cs="IRNazanin"/>
          <w:color w:val="111111"/>
          <w:sz w:val="28"/>
          <w:szCs w:val="28"/>
          <w:rtl w:val="true"/>
          <w:lang w:bidi="fa-IR"/>
        </w:rPr>
        <w:t xml:space="preserve">. </w:t>
      </w:r>
      <w:bookmarkStart w:id="2074" w:name="pg10275_96753"/>
    </w:p>
    <w:p>
      <w:pPr>
        <w:pStyle w:val="Heading5"/>
        <w:numPr>
          <w:ilvl w:val="4"/>
          <w:numId w:val="1"/>
        </w:numPr>
        <w:rPr/>
      </w:pPr>
      <w:bookmarkStart w:id="2075" w:name="__RefHeading___Toc3972735_1067777946"/>
      <w:bookmarkStart w:id="2076" w:name="_Toc875"/>
      <w:bookmarkEnd w:id="2074"/>
      <w:bookmarkEnd w:id="2075"/>
      <w:r>
        <w:rPr>
          <w:rtl w:val="true"/>
        </w:rPr>
        <w:t>عدم اخذ املاك مرتد ملّى</w:t>
      </w:r>
      <w:bookmarkEnd w:id="2076"/>
    </w:p>
    <w:p>
      <w:pPr>
        <w:pStyle w:val="BookText"/>
        <w:rPr/>
      </w:pPr>
      <w:r>
        <w:rPr>
          <w:rFonts w:ascii="IRNazanin" w:hAnsi="IRNazanin" w:eastAsia="IRNazanin"/>
          <w:color w:val="111111"/>
          <w:sz w:val="28"/>
          <w:sz w:val="28"/>
          <w:szCs w:val="28"/>
          <w:rtl w:val="true"/>
          <w:lang w:bidi="fa-IR"/>
        </w:rPr>
        <w:t xml:space="preserve">و املاك مرتد ملى از او زايل نمى شود فقط منفسخ مى شود نكاح زوجه اش، به جهت عدم جواز نكاح كافر، مسلمه را ابتدائاً و بقاءً‌، و اعتداد مى نمايد به عده طلاق؛ پس در عده اگر توبه كرد و مسلمان شد، رجوع مى نمايد، و خودش تصرّف در مال خودش نمى نمايد بعد از حجر حاكم، و حاكم ديونش را از مال او ادا مى نمايد و حقوق واجبه را مثل نفقه زوجه 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نفقه اقارب را ادا مى نمايد از مال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از قتل يا موت او ديون باقيمانده و حقوق واجبه باقيمانده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نفقه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مال او ادا مى شود، به خلاف نفقه اقارب كه تكليف محض ما دام الحياة بوده</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3972737_1067777946"/>
      <w:bookmarkStart w:id="2078" w:name="_Toc876"/>
      <w:bookmarkEnd w:id="2077"/>
      <w:r>
        <w:rPr>
          <w:rtl w:val="true"/>
        </w:rPr>
        <w:t>حكم ما ترك مرتد ملى</w:t>
      </w:r>
      <w:bookmarkEnd w:id="2078"/>
    </w:p>
    <w:p>
      <w:pPr>
        <w:pStyle w:val="BookText"/>
        <w:rPr/>
      </w:pPr>
      <w:r>
        <w:rPr>
          <w:rFonts w:ascii="IRNazanin" w:hAnsi="IRNazanin" w:eastAsia="IRNazanin"/>
          <w:color w:val="111111"/>
          <w:sz w:val="28"/>
          <w:sz w:val="28"/>
          <w:szCs w:val="28"/>
          <w:rtl w:val="true"/>
          <w:lang w:bidi="fa-IR"/>
        </w:rPr>
        <w:t xml:space="preserve">و اگر او را به قتل رسانيدند يا وفات نمود متروكات او مال ورثه مسلمين او مى باشد نه غير مسلم، و اگر وارث خاص مسلم ندارد ميراث او مال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79" w:name="__RefHeading___Toc3972739_1067777946"/>
      <w:bookmarkStart w:id="2080" w:name="_Toc877"/>
      <w:bookmarkEnd w:id="2079"/>
      <w:r>
        <w:rPr>
          <w:rtl w:val="true"/>
        </w:rPr>
        <w:t>حكم اولاد مرتدّ ملّى</w:t>
      </w:r>
      <w:bookmarkEnd w:id="2080"/>
    </w:p>
    <w:p>
      <w:pPr>
        <w:pStyle w:val="BookText"/>
        <w:rPr/>
      </w:pPr>
      <w:r>
        <w:rPr>
          <w:rFonts w:ascii="IRNazanin" w:hAnsi="IRNazanin" w:eastAsia="IRNazanin"/>
          <w:color w:val="111111"/>
          <w:sz w:val="28"/>
          <w:sz w:val="28"/>
          <w:szCs w:val="28"/>
          <w:rtl w:val="true"/>
          <w:lang w:bidi="fa-IR"/>
        </w:rPr>
        <w:t>و اولاد او كه محكوم به اسلام بوده اند قبل از ارتداد پدر، باقى بر حكم اسلام هستند و به ارتداد پدر تغيير نمى كنند در محكوميّت به اسلام؛ و همچنين است حكم اولاد مرتد فطرى قبل از 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محكوم به اسلام تبعى شد، پس از بلوغ و عرض اسلام بر او اختيار كفر كرد، بعد از استتابه و امتناع، او را به قتل مى رسانند، و محكوم به ارتداد فطرى نمى شود تا توبه او قبول نشود؛ چنان چه گذشت لزوم وصف اسلام بعد از بلوغ در ارتداد فطرى و عدم قبول توبه به سبب آن، اگر چه بر حسب احتياط و شبهه دارئه باشد، و اللّٰه العالم</w:t>
      </w:r>
      <w:r>
        <w:rPr>
          <w:rFonts w:eastAsia="IRNazanin" w:cs="IRNazanin"/>
          <w:color w:val="111111"/>
          <w:sz w:val="28"/>
          <w:szCs w:val="28"/>
          <w:rtl w:val="true"/>
          <w:lang w:bidi="fa-IR"/>
        </w:rPr>
        <w:t>.</w:t>
      </w:r>
    </w:p>
    <w:p>
      <w:pPr>
        <w:pStyle w:val="Heading5"/>
        <w:numPr>
          <w:ilvl w:val="4"/>
          <w:numId w:val="1"/>
        </w:numPr>
        <w:rPr/>
      </w:pPr>
      <w:bookmarkStart w:id="2081" w:name="__RefHeading___Toc3972741_1067777946"/>
      <w:bookmarkStart w:id="2082" w:name="_Toc878"/>
      <w:bookmarkEnd w:id="2081"/>
      <w:r>
        <w:rPr>
          <w:rtl w:val="true"/>
        </w:rPr>
        <w:t>حكم كشتن اولاد مرتد ملىّ‌</w:t>
      </w:r>
      <w:bookmarkEnd w:id="208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مسلمى بعد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بعد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قتل رسانيد، به قصاص مقتول نمى شود؛ و قبل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بعد از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 كه متردد باشد يا نه، پس در </w:t>
      </w:r>
      <w:bookmarkStart w:id="2083" w:name="pg10275_96755"/>
    </w:p>
    <w:p>
      <w:pPr>
        <w:pStyle w:val="BookText"/>
        <w:rPr/>
      </w:pPr>
      <w:bookmarkEnd w:id="2083"/>
      <w:r>
        <w:rPr>
          <w:rFonts w:ascii="IRNazanin" w:hAnsi="IRNazanin" w:eastAsia="IRNazanin"/>
          <w:color w:val="111111"/>
          <w:sz w:val="28"/>
          <w:sz w:val="28"/>
          <w:szCs w:val="28"/>
          <w:rtl w:val="true"/>
          <w:lang w:bidi="fa-IR"/>
        </w:rPr>
        <w:t>قصاص تأمل است، اگر چه طهارت او مستصحب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بلوغ، به حكم مسلم است، چنان چه گذشت</w:t>
      </w:r>
      <w:r>
        <w:rPr>
          <w:rFonts w:eastAsia="IRNazanin" w:cs="IRNazanin"/>
          <w:color w:val="111111"/>
          <w:sz w:val="28"/>
          <w:szCs w:val="28"/>
          <w:rtl w:val="true"/>
          <w:lang w:bidi="fa-IR"/>
        </w:rPr>
        <w:t>.</w:t>
      </w:r>
    </w:p>
    <w:p>
      <w:pPr>
        <w:pStyle w:val="Heading5"/>
        <w:numPr>
          <w:ilvl w:val="4"/>
          <w:numId w:val="1"/>
        </w:numPr>
        <w:rPr/>
      </w:pPr>
      <w:bookmarkStart w:id="2084" w:name="__RefHeading___Toc3972743_1067777946"/>
      <w:bookmarkStart w:id="2085" w:name="_Toc879"/>
      <w:bookmarkEnd w:id="2084"/>
      <w:r>
        <w:rPr>
          <w:rtl w:val="true"/>
        </w:rPr>
        <w:t>ديگر احكام اولاد مرتدّ ملىّ‌</w:t>
      </w:r>
      <w:bookmarkEnd w:id="2085"/>
    </w:p>
    <w:p>
      <w:pPr>
        <w:pStyle w:val="BookText"/>
        <w:rPr/>
      </w:pPr>
      <w:r>
        <w:rPr>
          <w:rFonts w:ascii="IRNazanin" w:hAnsi="IRNazanin" w:eastAsia="IRNazanin"/>
          <w:color w:val="111111"/>
          <w:sz w:val="28"/>
          <w:sz w:val="28"/>
          <w:szCs w:val="28"/>
          <w:rtl w:val="true"/>
          <w:lang w:bidi="fa-IR"/>
        </w:rPr>
        <w:t>و اگر جنون او متصل به صغر او با حكم به اسلام او بود، پس محكوميت به اسلام، مستصحب است در او؛ و مسلم را به سبب قتل او، به قصاص به قتل نمى رسانند به واسطه جنون مقتصّ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انعقاد ولد بعد از ارتداد پدر بود و مادر مسلمان بود، تابع مادر است در اسلام، و قاتل او قاتل مسلمان حكمى است قبل از بلوغ، و حكم آن بعد از بلوغ و قبل از وصف اسلام و كفر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حمل بعد از ارتداد ابوين بود، به حكم ايشان است؛ و قاتل او اگر مسلم باشد، مقتول به قصاص نمى شود، مگر آن كه بعد از بلوغ و وصف اسلام باشد يا آن كه احد ابوين مسلمان بشود قبل از بلوغ او، كه تابع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جواز استرقاق ولد در فرض، به جهت انتفاى اسلام اگر چه تبعى باشد بعد از انعقاد متأخر از ارتداد ابوين، و عدم جواز آن مثل والدين او پس بعد از بلوغ، اسلام، عرض مى شود بر او و حكم سابق عملى مى شود، بدون تفصيل بين مولود در دار اسلام يا دار كفر، تأمل است؛ و بر تقدير عدم جواز استرقاق يا عدم استرقاق، امر مى شود بعد از بلوغ، به اسلام يا جزيه در مورد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معاهد، اگر گذاشته شد در دار اسلام و بعد از بلوغ، وصف اسلام يا قبول جزيه كرد، ابقا مى شود؛ و اگر به مأمن حمل شد حربى مى شود، و معاهده ابوين در بالغ از اولاد آنها مؤثر نيست</w:t>
      </w:r>
      <w:r>
        <w:rPr>
          <w:rFonts w:eastAsia="IRNazanin" w:cs="IRNazanin"/>
          <w:color w:val="111111"/>
          <w:sz w:val="28"/>
          <w:szCs w:val="28"/>
          <w:rtl w:val="true"/>
          <w:lang w:bidi="fa-IR"/>
        </w:rPr>
        <w:t>.</w:t>
      </w:r>
    </w:p>
    <w:p>
      <w:pPr>
        <w:pStyle w:val="Heading5"/>
        <w:numPr>
          <w:ilvl w:val="4"/>
          <w:numId w:val="1"/>
        </w:numPr>
        <w:rPr/>
      </w:pPr>
      <w:bookmarkStart w:id="2086" w:name="__RefHeading___Toc3972745_1067777946"/>
      <w:bookmarkStart w:id="2087" w:name="_Toc880"/>
      <w:bookmarkEnd w:id="2086"/>
      <w:r>
        <w:rPr>
          <w:rtl w:val="true"/>
        </w:rPr>
        <w:t>حكم اموال مرتد ملّى</w:t>
      </w:r>
      <w:bookmarkEnd w:id="208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مانع مى شود حاكم، مرتد ملى را، از تصرّف در اموال خودش حتى آن چه متجدد </w:t>
      </w:r>
      <w:bookmarkStart w:id="2088" w:name="pg10275_96757"/>
    </w:p>
    <w:p>
      <w:pPr>
        <w:pStyle w:val="BookText"/>
        <w:rPr/>
      </w:pPr>
      <w:bookmarkEnd w:id="2088"/>
      <w:r>
        <w:rPr>
          <w:rFonts w:ascii="Amiri" w:hAnsi="Amiri" w:eastAsia="Amiri" w:cs="Amiri"/>
          <w:color w:val="111111"/>
          <w:sz w:val="28"/>
          <w:sz w:val="28"/>
          <w:szCs w:val="28"/>
          <w:rtl w:val="true"/>
          <w:lang w:bidi="ar-SA"/>
        </w:rPr>
        <w:t xml:space="preserve">مى شود مالكيّت آن بعد از 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مثل احتطاب و ساير اعمال و نحو اينها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جهت مراعىٰ بودن عود ملك تصرّف، به توبه و اسلام، و مضر بودن تصرفات به ورثه بر تقدير عدم رجوع به اسلام و وفات او به قتل يا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احوط انشاى حَجر از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ابطال تصرفات معامليۀ او؛ و متصرّف در آنها در امور لازمه، خود حاكم است، چنان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مرتد ملحق به دار الحرب شد، حفظ عين يا قيمت مال او را حاكم مى نمايد تا زمان وفات او و انتقال مال به ورثه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تصرفات مرتد در ذمّۀ خودش بعد از محجوريت، در صورتى كه منتهى به اضرار ورثه مى شود بر حسب احتمال عدم توبه، موقوف بودن نفوذ آنها به رجوع از ارتداد، خالى از وجه نيست؛ و تصرفاتى كه نقل مال در آن نباشد و اتلاف اختيارىِ ممنوع، نباشد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موجبات ضمان او به غصب يا اتلاف، و حقوق سابقه فائته و حقوق متجدده، همه را حاكم از مال او ادا مى نمايد، چنان چه گذشت</w:t>
      </w:r>
      <w:r>
        <w:rPr>
          <w:rFonts w:eastAsia="IRNazanin" w:cs="IRNazanin"/>
          <w:color w:val="111111"/>
          <w:sz w:val="28"/>
          <w:szCs w:val="28"/>
          <w:rtl w:val="true"/>
          <w:lang w:bidi="fa-IR"/>
        </w:rPr>
        <w:t>.</w:t>
      </w:r>
    </w:p>
    <w:p>
      <w:pPr>
        <w:pStyle w:val="Heading5"/>
        <w:numPr>
          <w:ilvl w:val="4"/>
          <w:numId w:val="1"/>
        </w:numPr>
        <w:rPr/>
      </w:pPr>
      <w:bookmarkStart w:id="2089" w:name="__RefHeading___Toc3972747_1067777946"/>
      <w:bookmarkStart w:id="2090" w:name="_Toc881"/>
      <w:bookmarkEnd w:id="2089"/>
      <w:r>
        <w:rPr>
          <w:rtl w:val="true"/>
        </w:rPr>
        <w:t>چند مسأله</w:t>
      </w:r>
      <w:bookmarkEnd w:id="2090"/>
    </w:p>
    <w:p>
      <w:pPr>
        <w:pStyle w:val="Heading6"/>
        <w:numPr>
          <w:ilvl w:val="5"/>
          <w:numId w:val="1"/>
        </w:numPr>
        <w:rPr/>
      </w:pPr>
      <w:bookmarkStart w:id="2091" w:name="__RefHeading___Toc3972749_1067777946"/>
      <w:bookmarkStart w:id="2092" w:name="_Toc882"/>
      <w:bookmarkEnd w:id="2091"/>
      <w:r>
        <w:rPr>
          <w:rtl w:val="true"/>
        </w:rPr>
        <w:t>تكرار ارتداد بعد از توبه</w:t>
      </w:r>
      <w:bookmarkEnd w:id="20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احوط در صورت تكرار ارتداد متخلل به توبه، قتل مرتد است در دفعه چهارم ارتداد</w:t>
      </w:r>
      <w:r>
        <w:rPr>
          <w:rFonts w:eastAsia="IRNazanin" w:cs="IRNazanin"/>
          <w:color w:val="111111"/>
          <w:sz w:val="28"/>
          <w:szCs w:val="28"/>
          <w:rtl w:val="true"/>
          <w:lang w:bidi="fa-IR"/>
        </w:rPr>
        <w:t>.</w:t>
      </w:r>
    </w:p>
    <w:p>
      <w:pPr>
        <w:pStyle w:val="Heading6"/>
        <w:numPr>
          <w:ilvl w:val="5"/>
          <w:numId w:val="1"/>
        </w:numPr>
        <w:rPr/>
      </w:pPr>
      <w:bookmarkStart w:id="2093" w:name="__RefHeading___Toc3972751_1067777946"/>
      <w:bookmarkStart w:id="2094" w:name="_Toc883"/>
      <w:bookmarkEnd w:id="2093"/>
      <w:r>
        <w:rPr>
          <w:rtl w:val="true"/>
        </w:rPr>
        <w:t>كافر مكره</w:t>
      </w:r>
      <w:bookmarkEnd w:id="20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كافر اگر اكراه بر اسلام شد؛ پس اگر از كفّارى باشد كه اقرار بر دين خودش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نمى شود اسلام اكراهى او مگر با قراين بر عدم انبعاث اسلام او از اكراه مقارن؛ و اگر از غير آنها باشد، قبول مى شود اسلام او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نفاق او و به عدم موافقت قلب او با زبان او نداشته باشيم</w:t>
      </w:r>
      <w:r>
        <w:rPr>
          <w:rFonts w:eastAsia="IRNazanin" w:cs="IRNazanin"/>
          <w:color w:val="111111"/>
          <w:sz w:val="28"/>
          <w:szCs w:val="28"/>
          <w:rtl w:val="true"/>
          <w:lang w:bidi="fa-IR"/>
        </w:rPr>
        <w:t>.</w:t>
      </w:r>
      <w:bookmarkStart w:id="2095" w:name="pg10275_96759"/>
    </w:p>
    <w:p>
      <w:pPr>
        <w:pStyle w:val="Heading6"/>
        <w:numPr>
          <w:ilvl w:val="5"/>
          <w:numId w:val="1"/>
        </w:numPr>
        <w:rPr/>
      </w:pPr>
      <w:bookmarkStart w:id="2096" w:name="__RefHeading___Toc3972753_1067777946"/>
      <w:bookmarkStart w:id="2097" w:name="_Toc884"/>
      <w:bookmarkEnd w:id="2095"/>
      <w:bookmarkEnd w:id="2096"/>
      <w:r>
        <w:rPr>
          <w:rtl w:val="true"/>
        </w:rPr>
        <w:t>كفايت نماز در حكم به اسلام</w:t>
      </w:r>
      <w:bookmarkEnd w:id="209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ارتداد يا كفر اصلى مشغول نماز شد بدون احتمال تقيه كه منشأ عقلايى داشته باشد؛ پس اگر كاشف از سبق اسلام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حمل بر صحت نزد عقلاء يا به سبب اطمينان شخصى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اسلام او مى شود، و همچنين ساير عبادات اسلاميه مشروطه به اسلام؛ و اگر اين كشف نبود، پس حكم به اسلام به مجرد شهادتين در نماز و از همان وقت تشهد، خالى از اشكال نيست اگر چه اقرب است، و اين در صورتى است كه ارتداد مرتد در غير شهادتين نباشد، و همچنين ضروريات غير مربوطه به نماز در فرض خواندن نماز</w:t>
      </w:r>
      <w:r>
        <w:rPr>
          <w:rFonts w:eastAsia="IRNazanin" w:cs="IRNazanin"/>
          <w:color w:val="111111"/>
          <w:sz w:val="28"/>
          <w:szCs w:val="28"/>
          <w:rtl w:val="true"/>
          <w:lang w:bidi="fa-IR"/>
        </w:rPr>
        <w:t>.</w:t>
      </w:r>
    </w:p>
    <w:p>
      <w:pPr>
        <w:pStyle w:val="Heading6"/>
        <w:numPr>
          <w:ilvl w:val="5"/>
          <w:numId w:val="1"/>
        </w:numPr>
        <w:rPr/>
      </w:pPr>
      <w:bookmarkStart w:id="2098" w:name="__RefHeading___Toc3972755_1067777946"/>
      <w:bookmarkStart w:id="2099" w:name="_Toc885"/>
      <w:bookmarkEnd w:id="2098"/>
      <w:r>
        <w:rPr>
          <w:rtl w:val="true"/>
        </w:rPr>
        <w:t>سكران</w:t>
      </w:r>
      <w:bookmarkEnd w:id="20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سكران از روى عصيان به سبب آن يا غير او، حكم به اسلام او، در صورت اتيان به سبب در حال سكر يا ارتداد او در اين صورت، با يقين به زوال تمييز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ساير اعمال و اقوال مقارنه يا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خالى از تأمل نيست، و اظهر عدم تغيير حكمى است در او؛ بلى اگر ساير اعمال و اقوال او عقلايى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غير عالم به سبب، عالم به سكر او نمى شود، و اعمال و اقوال او را موافق عقلاء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تأثير است و اين كه به منزلۀ صاحى است، و اللّٰه العالم</w:t>
      </w:r>
      <w:r>
        <w:rPr>
          <w:rFonts w:eastAsia="IRNazanin" w:cs="IRNazanin"/>
          <w:color w:val="111111"/>
          <w:sz w:val="28"/>
          <w:szCs w:val="28"/>
          <w:rtl w:val="true"/>
          <w:lang w:bidi="fa-IR"/>
        </w:rPr>
        <w:t>.</w:t>
      </w:r>
    </w:p>
    <w:p>
      <w:pPr>
        <w:pStyle w:val="Heading6"/>
        <w:numPr>
          <w:ilvl w:val="5"/>
          <w:numId w:val="1"/>
        </w:numPr>
        <w:rPr/>
      </w:pPr>
      <w:bookmarkStart w:id="2100" w:name="__RefHeading___Toc3972757_1067777946"/>
      <w:bookmarkStart w:id="2101" w:name="_Toc886"/>
      <w:bookmarkEnd w:id="2100"/>
      <w:r>
        <w:rPr>
          <w:rtl w:val="true"/>
        </w:rPr>
        <w:t>ضمان مرتد</w:t>
      </w:r>
      <w:bookmarkEnd w:id="2101"/>
    </w:p>
    <w:p>
      <w:pPr>
        <w:pStyle w:val="Heading6"/>
        <w:numPr>
          <w:ilvl w:val="5"/>
          <w:numId w:val="1"/>
        </w:numPr>
        <w:rPr/>
      </w:pPr>
      <w:bookmarkStart w:id="2102" w:name="__RefHeading___Toc3972759_1067777946"/>
      <w:bookmarkStart w:id="2103" w:name="_Toc887"/>
      <w:bookmarkEnd w:id="2102"/>
      <w:r>
        <w:rPr>
          <w:rtl w:val="true"/>
        </w:rPr>
        <w:t>اشاره</w:t>
      </w:r>
      <w:bookmarkEnd w:id="210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اتلاف نمايد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قسمى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مسلمين، در نفس ايشان يا طرف يا مال، ضامن است؛ و فايده آن در فطرى، در آخرت است يا در دنيا با تبرّع غير از او به مال يا تملّك جديد مال بنا بر مالكيّت او؛ و فرقى در ضمان، بين اين كه اتلاف در دار حرب يا دار اسلام باشد نيست</w:t>
      </w:r>
      <w:r>
        <w:rPr>
          <w:rFonts w:eastAsia="IRNazanin" w:cs="IRNazanin"/>
          <w:color w:val="111111"/>
          <w:sz w:val="28"/>
          <w:szCs w:val="28"/>
          <w:rtl w:val="true"/>
          <w:lang w:bidi="fa-IR"/>
        </w:rPr>
        <w:t>.</w:t>
      </w:r>
    </w:p>
    <w:p>
      <w:pPr>
        <w:pStyle w:val="Heading6"/>
        <w:numPr>
          <w:ilvl w:val="5"/>
          <w:numId w:val="1"/>
        </w:numPr>
        <w:rPr/>
      </w:pPr>
      <w:bookmarkStart w:id="2104" w:name="__RefHeading___Toc3972761_1067777946"/>
      <w:bookmarkStart w:id="2105" w:name="_Toc888"/>
      <w:bookmarkEnd w:id="2104"/>
      <w:r>
        <w:rPr>
          <w:rtl w:val="true"/>
        </w:rPr>
        <w:t>قصاص مرتد</w:t>
      </w:r>
      <w:bookmarkEnd w:id="210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مرتد فطرى يا ملى، مسلمانى را كشت، مقتول مى شود در قصاص با مطالبۀ </w:t>
      </w:r>
      <w:bookmarkStart w:id="2106" w:name="pg10275_96761"/>
    </w:p>
    <w:p>
      <w:pPr>
        <w:pStyle w:val="BookText"/>
        <w:rPr/>
      </w:pPr>
      <w:bookmarkEnd w:id="2106"/>
      <w:r>
        <w:rPr>
          <w:rFonts w:ascii="IRNazanin" w:hAnsi="IRNazanin" w:eastAsia="IRNazanin"/>
          <w:color w:val="111111"/>
          <w:sz w:val="28"/>
          <w:sz w:val="28"/>
          <w:szCs w:val="28"/>
          <w:rtl w:val="true"/>
          <w:lang w:bidi="fa-IR"/>
        </w:rPr>
        <w:t>ولىّ‌، و مقدم است بر قتل به ارتداد ملى اگر منتظر وقت او باشند؛ و ديه از مال مرتد ملى مأخوذ مى شود در شبيه عمد و در صورتى كه در عمد مصالحه بر مالى بشود؛ و در خطأ، ثبوت مال بر عاقله با عدم اطراد ارث براى آنها بالخصوص يا آن كه از مال خودش باشد، محل تأمل است، و اقرب در صورت توافق، اول؛ و در صورت عدم توافق،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شبيه عمد و خطأ محض از فطرى، در املاك سابقۀ او تأثيرى ندارد، و در املاك متجدّده بنا بر قول به تملك،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خطأ، تأمل در عاقله و مال خودش مثل 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مرتد ملى را قبل از استتابه به قتل رسانيد، در قصاص مقتول مى شود؛ و با امتناع از توبه بعد از استتابه، قصاص نمى شود چون محترم نيست دم او در اين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مرتد ملى مطلقاً، اگر فطرى را به قتل رسانيد، قصاص نمى شود، و ديه هم در شبيه به عمد و خطأ محض ندارد</w:t>
      </w:r>
      <w:r>
        <w:rPr>
          <w:rFonts w:eastAsia="IRNazanin" w:cs="IRNazanin"/>
          <w:color w:val="111111"/>
          <w:sz w:val="28"/>
          <w:szCs w:val="28"/>
          <w:rtl w:val="true"/>
          <w:lang w:bidi="fa-IR"/>
        </w:rPr>
        <w:t>.</w:t>
      </w:r>
    </w:p>
    <w:p>
      <w:pPr>
        <w:pStyle w:val="Heading6"/>
        <w:numPr>
          <w:ilvl w:val="5"/>
          <w:numId w:val="1"/>
        </w:numPr>
        <w:rPr/>
      </w:pPr>
      <w:bookmarkStart w:id="2107" w:name="__RefHeading___Toc3972763_1067777946"/>
      <w:bookmarkStart w:id="2108" w:name="_Toc889"/>
      <w:bookmarkEnd w:id="2107"/>
      <w:r>
        <w:rPr>
          <w:rtl w:val="true"/>
        </w:rPr>
        <w:t>ضمان كافر حربى</w:t>
      </w:r>
      <w:bookmarkEnd w:id="2108"/>
    </w:p>
    <w:p>
      <w:pPr>
        <w:pStyle w:val="BookText"/>
        <w:rPr/>
      </w:pPr>
      <w:r>
        <w:rPr>
          <w:rFonts w:ascii="IRNazanin" w:hAnsi="IRNazanin" w:eastAsia="IRNazanin"/>
          <w:color w:val="111111"/>
          <w:sz w:val="28"/>
          <w:sz w:val="28"/>
          <w:szCs w:val="28"/>
          <w:rtl w:val="true"/>
          <w:lang w:bidi="fa-IR"/>
        </w:rPr>
        <w:t>و حربى، ضمان او مال و نفس مسلمان را، اظهر است، چه در حال حرب يا غير آن، و چه در دار اسلام يا كفر؛ و اگر ضمان باقى باشد و از عهده خارج نشده باشد تا زمان اسلام او، اظهر انتفاى ضمان است بعد از حدوث آن در نفس يا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2109" w:name="__RefHeading___Toc3972765_1067777946"/>
      <w:bookmarkStart w:id="2110" w:name="_Toc890"/>
      <w:bookmarkEnd w:id="2109"/>
      <w:r>
        <w:rPr>
          <w:rtl w:val="true"/>
        </w:rPr>
        <w:t>جنون مرتد ملّى قبل از استتابه</w:t>
      </w:r>
      <w:bookmarkEnd w:id="21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مرتد ملى مجنون شد بعد از ارتداد و قبل از استتابه، مقتول در حدّ نمى شود، زيرا امتناع از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قتل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ندارد از مجنون؛ و اگر بعد از امتناع از توبه مجنون شد، حكم او حكم مرتد فطرى است اگر جنون عارض شود بعد از ارتداد اگر مرتد ازدواج كرد</w:t>
      </w:r>
      <w:r>
        <w:rPr>
          <w:rFonts w:eastAsia="IRNazanin" w:cs="IRNazanin"/>
          <w:color w:val="111111"/>
          <w:sz w:val="28"/>
          <w:szCs w:val="28"/>
          <w:rtl w:val="true"/>
          <w:lang w:bidi="fa-IR"/>
        </w:rPr>
        <w:t>.</w:t>
      </w:r>
    </w:p>
    <w:p>
      <w:pPr>
        <w:pStyle w:val="Heading6"/>
        <w:numPr>
          <w:ilvl w:val="5"/>
          <w:numId w:val="1"/>
        </w:numPr>
        <w:rPr/>
      </w:pPr>
      <w:bookmarkStart w:id="2111" w:name="__RefHeading___Toc3972767_1067777946"/>
      <w:bookmarkStart w:id="2112" w:name="_Toc891"/>
      <w:bookmarkEnd w:id="2111"/>
      <w:r>
        <w:rPr>
          <w:rtl w:val="true"/>
        </w:rPr>
        <w:t>تزويج مرتد</w:t>
      </w:r>
      <w:bookmarkEnd w:id="211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احوط ترك تزويج مرتد است به مسلمه يا كافره، و ترك تزويج مرتده است به</w:t>
      </w:r>
      <w:bookmarkStart w:id="2113" w:name="pg10275_96763"/>
    </w:p>
    <w:p>
      <w:pPr>
        <w:pStyle w:val="BookText"/>
        <w:rPr/>
      </w:pPr>
      <w:bookmarkEnd w:id="2113"/>
      <w:r>
        <w:rPr>
          <w:rFonts w:ascii="IRNazanin" w:hAnsi="IRNazanin" w:eastAsia="IRNazanin"/>
          <w:color w:val="111111"/>
          <w:sz w:val="28"/>
          <w:sz w:val="28"/>
          <w:szCs w:val="28"/>
          <w:rtl w:val="true"/>
          <w:lang w:bidi="fa-IR"/>
        </w:rPr>
        <w:t>مسلم يا كافر، و ترك تزويج دو مرتد است با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انفساخ نكاح به سبب ارتداد هر دو با هم، محتمل است</w:t>
      </w:r>
      <w:r>
        <w:rPr>
          <w:rFonts w:eastAsia="IRNazanin" w:cs="IRNazanin"/>
          <w:color w:val="111111"/>
          <w:sz w:val="28"/>
          <w:szCs w:val="28"/>
          <w:rtl w:val="true"/>
          <w:lang w:bidi="fa-IR"/>
        </w:rPr>
        <w:t>.</w:t>
      </w:r>
    </w:p>
    <w:p>
      <w:pPr>
        <w:pStyle w:val="Heading6"/>
        <w:numPr>
          <w:ilvl w:val="5"/>
          <w:numId w:val="1"/>
        </w:numPr>
        <w:rPr/>
      </w:pPr>
      <w:bookmarkStart w:id="2114" w:name="__RefHeading___Toc3972769_1067777946"/>
      <w:bookmarkStart w:id="2115" w:name="_Toc892"/>
      <w:bookmarkEnd w:id="2114"/>
      <w:r>
        <w:rPr>
          <w:rtl w:val="true"/>
        </w:rPr>
        <w:t>عدم ولايت مرتد به تزويج دخترش</w:t>
      </w:r>
      <w:bookmarkEnd w:id="211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تزويج كرد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قسم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مسلمان خود را در موردى كه اگر مسلمان بود ولايت داشت، اظهر عدم صحّت تزويج است؛ و همچنين ساير اقسام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مرتد ملى قبل از استتابه يا با امتناع از توبه و عدم امكان قتل او، كنيز مسلمان را تزويج كرد به نحوى كه صحيح است با قطع نظر از ارتداد، احوط عدم صحت تزويج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اذن حاكم شرع</w:t>
      </w:r>
      <w:r>
        <w:rPr>
          <w:rFonts w:eastAsia="IRNazanin" w:cs="IRNazanin"/>
          <w:color w:val="111111"/>
          <w:sz w:val="28"/>
          <w:szCs w:val="28"/>
          <w:rtl w:val="true"/>
          <w:lang w:bidi="fa-IR"/>
        </w:rPr>
        <w:t>).</w:t>
      </w:r>
    </w:p>
    <w:p>
      <w:pPr>
        <w:pStyle w:val="Heading6"/>
        <w:numPr>
          <w:ilvl w:val="5"/>
          <w:numId w:val="1"/>
        </w:numPr>
        <w:rPr/>
      </w:pPr>
      <w:bookmarkStart w:id="2116" w:name="__RefHeading___Toc3972771_1067777946"/>
      <w:bookmarkStart w:id="2117" w:name="_Toc893"/>
      <w:bookmarkEnd w:id="2116"/>
      <w:r>
        <w:rPr>
          <w:rtl w:val="true"/>
        </w:rPr>
        <w:t>كلمۀ اسلام</w:t>
      </w:r>
      <w:bookmarkEnd w:id="2117"/>
    </w:p>
    <w:p>
      <w:pPr>
        <w:pStyle w:val="Heading6"/>
        <w:numPr>
          <w:ilvl w:val="5"/>
          <w:numId w:val="1"/>
        </w:numPr>
        <w:rPr/>
      </w:pPr>
      <w:bookmarkStart w:id="2118" w:name="__RefHeading___Toc3972773_1067777946"/>
      <w:bookmarkStart w:id="2119" w:name="_Toc894"/>
      <w:bookmarkEnd w:id="2118"/>
      <w:r>
        <w:rPr>
          <w:rtl w:val="true"/>
        </w:rPr>
        <w:t>اشاره</w:t>
      </w:r>
      <w:bookmarkEnd w:id="211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كلامى كه با او حكم به اسلام متكلم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 التفات به معنى، و هر عبارتى كه دالّ بر معناى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اكتفاى به دو اقرار بدون تلفظ به شهادت، تأمل است اگر چه قراين دلالت بر ارادۀ اسلام به آن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اظهار برائت از ساير اديان، تأكيد است و لازم نيست و از شهادتين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كفرش در غير شهادتين باشد، بايد زياد نمايد بر شهادتين كه رافع كفر است، زايد را كه رافع خصوصيت كفر او است، و اقرار به ثبوت آن ضرورى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كفايت اقرار مخصوص است، از اعادۀ شهادتين، براى مُقرّ به شهادتين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كافر اصلى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 هستم به اسلامى كه اين جماعت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مسلمين كرد؛ پس اگر مقصود اين باشد كه شهادتين كه سبب اسلام است، از من محقق شده است و كاشف باشد اين قول، از آنها به نحو يقين، پس مثل تشهد نماز است؛ و اگر مقصود اين باشد كه با اين لفظ، اختيار اسلام مى نمايم، پس خالى از شبهه نيست</w:t>
      </w:r>
      <w:r>
        <w:rPr>
          <w:rFonts w:eastAsia="IRNazanin" w:cs="IRNazanin"/>
          <w:color w:val="111111"/>
          <w:sz w:val="28"/>
          <w:szCs w:val="28"/>
          <w:rtl w:val="true"/>
          <w:lang w:bidi="fa-IR"/>
        </w:rPr>
        <w:t xml:space="preserve">. </w:t>
      </w:r>
      <w:bookmarkStart w:id="2120" w:name="pg10275_96765"/>
    </w:p>
    <w:p>
      <w:pPr>
        <w:pStyle w:val="Heading6"/>
        <w:numPr>
          <w:ilvl w:val="5"/>
          <w:numId w:val="1"/>
        </w:numPr>
        <w:rPr/>
      </w:pPr>
      <w:bookmarkStart w:id="2121" w:name="__RefHeading___Toc3972775_1067777946"/>
      <w:bookmarkStart w:id="2122" w:name="_Toc895"/>
      <w:bookmarkEnd w:id="2120"/>
      <w:bookmarkEnd w:id="2121"/>
      <w:r>
        <w:rPr>
          <w:rtl w:val="true"/>
        </w:rPr>
        <w:t>اسلام و كفر زنديق و منافق</w:t>
      </w:r>
      <w:bookmarkEnd w:id="2122"/>
    </w:p>
    <w:p>
      <w:pPr>
        <w:pStyle w:val="BookText"/>
        <w:rPr/>
      </w:pPr>
      <w:r>
        <w:rPr>
          <w:rFonts w:ascii="Amiri" w:hAnsi="Amiri" w:eastAsia="Amiri" w:cs="Amiri"/>
          <w:color w:val="111111"/>
          <w:sz w:val="28"/>
          <w:sz w:val="28"/>
          <w:szCs w:val="28"/>
          <w:rtl w:val="true"/>
          <w:lang w:bidi="ar-SA"/>
        </w:rPr>
        <w:t>و اسلام زنديق و منافق، با اسلام ساير كفار متحد است؛ و حكم كفر آنها، در فطرى و ملى متحد است بنا بر اظهر؛ و در توبۀ آنها يا اسلام، لازم است، زيادتى علم يا بيّنه بر افتراق اين شهادت از شهادت هاى عادى او در اظهار اسلام و ستر كفر، و صادق بودن آنها در اظهار اسلام به نحوى كه در كفار و زنادقه و منافقين مفقود است،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23" w:name="__RefHeading___Toc3972777_1067777946"/>
      <w:bookmarkStart w:id="2124" w:name="_Toc896"/>
      <w:bookmarkEnd w:id="2123"/>
      <w:r>
        <w:rPr>
          <w:rtl w:val="true"/>
        </w:rPr>
        <w:t>اگر ذمى به دار الحرب ملحق شود</w:t>
      </w:r>
      <w:bookmarkEnd w:id="212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ذمّى نقض كرد و ملحق به دار حرب شد و اموالش را گذاشت، پس در زوال امان نسبت به اموال او بالتبع، و بقاى امان نسبت به آنها، تأمل است، در غير صورت اطلاق امان نسبت به مال به نحوى كه مستقلّ و مؤثّر باشد در مال و از تبعيت آن را خارج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تقدير بقا اگر وفات كرد يا به قتل رسيد، ورثۀ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ذمّى باشند يا حربى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مى شوند؛ و اقرب در صورتى كه وارث، حربى باشد، زوال امان است در مال به تملك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انتفاى امان در مال، محسوب از انفال و اموال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اصاغر او، باقى در امان هستند تا بلوغ، و پس از آن مخير بين عهد ذمّه و اداى جزيه يا بلوغ به مأمن خودشان مى شوند</w:t>
      </w:r>
      <w:r>
        <w:rPr>
          <w:rFonts w:eastAsia="IRNazanin" w:cs="IRNazanin"/>
          <w:color w:val="111111"/>
          <w:sz w:val="28"/>
          <w:szCs w:val="28"/>
          <w:rtl w:val="true"/>
          <w:lang w:bidi="fa-IR"/>
        </w:rPr>
        <w:t>.</w:t>
      </w:r>
    </w:p>
    <w:p>
      <w:pPr>
        <w:pStyle w:val="Heading6"/>
        <w:numPr>
          <w:ilvl w:val="5"/>
          <w:numId w:val="1"/>
        </w:numPr>
        <w:rPr/>
      </w:pPr>
      <w:bookmarkStart w:id="2125" w:name="__RefHeading___Toc3972779_1067777946"/>
      <w:bookmarkStart w:id="2126" w:name="_Toc897"/>
      <w:bookmarkEnd w:id="2125"/>
      <w:r>
        <w:rPr>
          <w:rtl w:val="true"/>
        </w:rPr>
        <w:t>مرتدّ قاتل</w:t>
      </w:r>
      <w:bookmarkEnd w:id="212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مرتد مطلقاً اگر قاتلِ مسلمان شد،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مى رسد؛ و اگر ولىّ عفو كرد، به قتل مى رسانند او را به ارتداد، و اگر فطرى نيست منتظر زمان جواز قتل در رابعه مى شوند؛ و همچنين اگر ولىّ مصالحه با مالى كرد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قتل مرتد ملى از روى خطأ محض بود، پس در اين كه ديه از مال او باشد، به نحوى كه تخفيف و تأجيل تا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حلول مى نمايد به قتل يا موت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عاقله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مسلمين كه عقل كفار نمى نمايند، و از كفارى كه وارث او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27" w:name="pg10275_96767"/>
    </w:p>
    <w:p>
      <w:pPr>
        <w:pStyle w:val="BookText"/>
        <w:rPr/>
      </w:pPr>
      <w:bookmarkEnd w:id="2127"/>
      <w:r>
        <w:rPr>
          <w:rFonts w:ascii="IRNazanin" w:hAnsi="IRNazanin" w:eastAsia="IRNazanin"/>
          <w:color w:val="111111"/>
          <w:sz w:val="28"/>
          <w:sz w:val="28"/>
          <w:szCs w:val="28"/>
          <w:rtl w:val="true"/>
          <w:lang w:bidi="fa-IR"/>
        </w:rPr>
        <w:t>يا آن كه بر عاقله باشد از مسلمين كه وارث او مى شوند، تأمل است؛ و در شبيه عمد و در مصالحه حاكم با مال، حاكم از مال مرتد ملى ادا مى نمايد، مثل ساير اتلافات او را؛ و همچنين در قتل سابق بر ارتداد 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مرتد فطرى، در خطأ محض او؛ اين دو احتمال هست نسبت به اموال متجدّدۀ او بعد از ارتداد، بنا بر قول به مالكيّت او آنها را؛ و دور نيست به ارتداد حلول نمايد آن چه سابق بر ارتداد بوده از ديون مؤجّله در شبه عمد و در مصالحه به مال؛ و اما لاحق بر ارتداد، پس اگر دين مؤجّلى شد، نسبت به املاك متجدّده است و فقط با موت و قتل، حلول مى نمايند</w:t>
      </w:r>
      <w:r>
        <w:rPr>
          <w:rFonts w:eastAsia="IRNazanin" w:cs="IRNazanin"/>
          <w:color w:val="111111"/>
          <w:sz w:val="28"/>
          <w:szCs w:val="28"/>
          <w:rtl w:val="true"/>
          <w:lang w:bidi="fa-IR"/>
        </w:rPr>
        <w:t>.</w:t>
      </w:r>
    </w:p>
    <w:p>
      <w:pPr>
        <w:pStyle w:val="Heading6"/>
        <w:numPr>
          <w:ilvl w:val="5"/>
          <w:numId w:val="1"/>
        </w:numPr>
        <w:rPr/>
      </w:pPr>
      <w:bookmarkStart w:id="2128" w:name="__RefHeading___Toc3972781_1067777946"/>
      <w:bookmarkStart w:id="2129" w:name="_Toc898"/>
      <w:bookmarkEnd w:id="2128"/>
      <w:r>
        <w:rPr>
          <w:rtl w:val="true"/>
        </w:rPr>
        <w:t>قتل مرتدّ ملىّ بعد از توبه</w:t>
      </w:r>
      <w:bookmarkEnd w:id="212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مرتد ملى را، بعد از توبۀ بعد از استتابه به قتل رسانيد به اعتقاد جازم بر بقاى بر ارتداد، اظهر انتفاى قصاص و ثبوت ديه شبيه عمد از مال قاتل است</w:t>
      </w:r>
      <w:r>
        <w:rPr>
          <w:rFonts w:eastAsia="IRNazanin" w:cs="IRNazanin"/>
          <w:color w:val="111111"/>
          <w:sz w:val="28"/>
          <w:szCs w:val="28"/>
          <w:rtl w:val="true"/>
          <w:lang w:bidi="fa-IR"/>
        </w:rPr>
        <w:t>.</w:t>
      </w:r>
      <w:bookmarkStart w:id="2130" w:name="pg10275_96769"/>
    </w:p>
    <w:p>
      <w:pPr>
        <w:pStyle w:val="Heading3"/>
        <w:numPr>
          <w:ilvl w:val="2"/>
          <w:numId w:val="1"/>
        </w:numPr>
        <w:rPr/>
      </w:pPr>
      <w:bookmarkStart w:id="2131" w:name="__RefHeading___Toc3972783_1067777946"/>
      <w:bookmarkStart w:id="2132" w:name="_Toc899"/>
      <w:bookmarkEnd w:id="2130"/>
      <w:bookmarkEnd w:id="2131"/>
      <w:r>
        <w:rPr>
          <w:rtl w:val="true"/>
        </w:rPr>
        <w:t>فصل هشتم حد وطى بهايم</w:t>
      </w:r>
      <w:bookmarkEnd w:id="2132"/>
    </w:p>
    <w:p>
      <w:pPr>
        <w:pStyle w:val="Heading4"/>
        <w:numPr>
          <w:ilvl w:val="3"/>
          <w:numId w:val="1"/>
        </w:numPr>
        <w:rPr/>
      </w:pPr>
      <w:bookmarkStart w:id="2133" w:name="__RefHeading___Toc3972785_1067777946"/>
      <w:bookmarkStart w:id="2134" w:name="_Toc900"/>
      <w:bookmarkEnd w:id="2133"/>
      <w:r>
        <w:rPr/>
        <w:t>1</w:t>
      </w:r>
      <w:r>
        <w:rPr>
          <w:rtl w:val="true"/>
        </w:rPr>
        <w:t xml:space="preserve">. </w:t>
      </w:r>
      <w:r>
        <w:rPr>
          <w:rtl w:val="true"/>
        </w:rPr>
        <w:t>احكام وطى بهيمه</w:t>
      </w:r>
      <w:bookmarkEnd w:id="2134"/>
    </w:p>
    <w:p>
      <w:pPr>
        <w:pStyle w:val="Heading5"/>
        <w:numPr>
          <w:ilvl w:val="4"/>
          <w:numId w:val="1"/>
        </w:numPr>
        <w:rPr/>
      </w:pPr>
      <w:bookmarkStart w:id="2135" w:name="__RefHeading___Toc3972787_1067777946"/>
      <w:bookmarkStart w:id="2136" w:name="_Toc901"/>
      <w:bookmarkEnd w:id="2135"/>
      <w:r>
        <w:rPr>
          <w:rtl w:val="true"/>
        </w:rPr>
        <w:t>اشاره</w:t>
      </w:r>
      <w:bookmarkEnd w:id="2136"/>
    </w:p>
    <w:p>
      <w:pPr>
        <w:pStyle w:val="BookText"/>
        <w:rPr/>
      </w:pPr>
      <w:r>
        <w:rPr>
          <w:rFonts w:ascii="IRNazanin" w:hAnsi="IRNazanin" w:eastAsia="IRNazanin"/>
          <w:color w:val="111111"/>
          <w:sz w:val="28"/>
          <w:sz w:val="28"/>
          <w:szCs w:val="28"/>
          <w:rtl w:val="true"/>
          <w:lang w:bidi="fa-IR"/>
        </w:rPr>
        <w:t>اگر وطى كرد بالغ عاقل مختار، بهيمه را، چه نر باشد و چه ماده، در قُبل باشد يا در دُبر، احكامى بر وطى آن مرتب است؛ و در عكس آن، آن احكام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احكام، تعزير واطى، و تغريم قيمت آن است در حين وطى اگر مال خودش نباشد، و آن كه حرام مى شود گوشت موطوئه و نسل آن، و واجب مى شود ذبح آن و سوزانيدن آن</w:t>
      </w:r>
      <w:r>
        <w:rPr>
          <w:rFonts w:eastAsia="IRNazanin" w:cs="IRNazanin"/>
          <w:color w:val="111111"/>
          <w:sz w:val="28"/>
          <w:szCs w:val="28"/>
          <w:rtl w:val="true"/>
          <w:lang w:bidi="fa-IR"/>
        </w:rPr>
        <w:t>.</w:t>
      </w:r>
    </w:p>
    <w:p>
      <w:pPr>
        <w:pStyle w:val="Heading5"/>
        <w:numPr>
          <w:ilvl w:val="4"/>
          <w:numId w:val="1"/>
        </w:numPr>
        <w:rPr/>
      </w:pPr>
      <w:bookmarkStart w:id="2137" w:name="__RefHeading___Toc3972789_1067777946"/>
      <w:bookmarkStart w:id="2138" w:name="_Toc902"/>
      <w:bookmarkEnd w:id="2137"/>
      <w:r>
        <w:rPr>
          <w:rtl w:val="true"/>
        </w:rPr>
        <w:t>وطى بهيمه توسط صبىّ و مجنون و مكرَه</w:t>
      </w:r>
      <w:bookmarkEnd w:id="2138"/>
    </w:p>
    <w:p>
      <w:pPr>
        <w:pStyle w:val="BookText"/>
        <w:rPr/>
      </w:pPr>
      <w:r>
        <w:rPr>
          <w:rFonts w:ascii="IRNazanin" w:hAnsi="IRNazanin" w:eastAsia="IRNazanin"/>
          <w:color w:val="111111"/>
          <w:sz w:val="28"/>
          <w:sz w:val="28"/>
          <w:szCs w:val="28"/>
          <w:rtl w:val="true"/>
          <w:lang w:bidi="fa-IR"/>
        </w:rPr>
        <w:t>يعنى در وطى صبىّ و مجنون و مكرَه، تعزير نيست اگر چه تأديبِ مناسب در غير مكرَه باشد؛ و اما حرمت لحم و لبن و وجوب ذبح و احراق پس مرتب مى شود بر وطى صادر از انسان، چه صغير باشد يا كبير، و چه عاقل يا مجنون، چه عالم باشد يا جاهل، آزاد باشد يا بنده، مختار باشد يا مكرَه؛ و در ذمۀ صبىّ و مجنون، مال ثابت مى شود، و اگر صاحب آن مال هستند در آن وقت، ولىّ از آنها دفع مى نمايد، وگرنه بعد از يسار، مطالبه از بالغ عاقل يا ولىّ آنها مى شود</w:t>
      </w:r>
      <w:r>
        <w:rPr>
          <w:rFonts w:eastAsia="IRNazanin" w:cs="IRNazanin"/>
          <w:color w:val="111111"/>
          <w:sz w:val="28"/>
          <w:szCs w:val="28"/>
          <w:rtl w:val="true"/>
          <w:lang w:bidi="fa-IR"/>
        </w:rPr>
        <w:t>.</w:t>
      </w:r>
    </w:p>
    <w:p>
      <w:pPr>
        <w:pStyle w:val="Heading5"/>
        <w:numPr>
          <w:ilvl w:val="4"/>
          <w:numId w:val="1"/>
        </w:numPr>
        <w:rPr/>
      </w:pPr>
      <w:bookmarkStart w:id="2139" w:name="__RefHeading___Toc3972791_1067777946"/>
      <w:bookmarkStart w:id="2140" w:name="_Toc903"/>
      <w:bookmarkEnd w:id="2139"/>
      <w:r>
        <w:rPr>
          <w:rtl w:val="true"/>
        </w:rPr>
        <w:t>ديگر احكام مترتب بر وطى بهيمه</w:t>
      </w:r>
      <w:bookmarkEnd w:id="214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ذبح و احراق را حاكم انجام مى دهد اگر ديگرى انجام نداده باشد</w:t>
      </w:r>
      <w:r>
        <w:rPr>
          <w:rFonts w:eastAsia="IRNazanin" w:cs="IRNazanin"/>
          <w:color w:val="111111"/>
          <w:sz w:val="28"/>
          <w:szCs w:val="28"/>
          <w:rtl w:val="true"/>
          <w:lang w:bidi="fa-IR"/>
        </w:rPr>
        <w:t xml:space="preserve">. </w:t>
      </w:r>
      <w:bookmarkStart w:id="2141" w:name="pg10275_96771"/>
    </w:p>
    <w:p>
      <w:pPr>
        <w:pStyle w:val="BookText"/>
        <w:rPr/>
      </w:pPr>
      <w:bookmarkEnd w:id="2141"/>
      <w:r>
        <w:rPr>
          <w:rFonts w:ascii="IRNazanin" w:hAnsi="IRNazanin" w:eastAsia="IRNazanin"/>
          <w:color w:val="111111"/>
          <w:sz w:val="28"/>
          <w:sz w:val="28"/>
          <w:szCs w:val="28"/>
          <w:rtl w:val="true"/>
          <w:lang w:bidi="fa-IR"/>
        </w:rPr>
        <w:t>و در چيزهايى كه مطلوب، ركوب است، اظهر ضمان نقص قيمت است اگر حاصل شود، با عمل به وظيفه در آن حتى براى غير مكلف به نحوى كه گذشت در مأكول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اختيار تحديد تعزير در وطى بهيمه در غير مرتبۀ اخيره، به نظر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به مشهور منسوب است؛ و احوط براى غير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اختيار بيست و پنج تازيانه است</w:t>
      </w:r>
      <w:r>
        <w:rPr>
          <w:rFonts w:eastAsia="IRNazanin" w:cs="IRNazanin"/>
          <w:color w:val="111111"/>
          <w:sz w:val="28"/>
          <w:szCs w:val="28"/>
          <w:rtl w:val="true"/>
          <w:lang w:bidi="fa-IR"/>
        </w:rPr>
        <w:t>.</w:t>
      </w:r>
    </w:p>
    <w:p>
      <w:pPr>
        <w:pStyle w:val="Heading5"/>
        <w:numPr>
          <w:ilvl w:val="4"/>
          <w:numId w:val="1"/>
        </w:numPr>
        <w:rPr/>
      </w:pPr>
      <w:bookmarkStart w:id="2142" w:name="__RefHeading___Toc3972793_1067777946"/>
      <w:bookmarkStart w:id="2143" w:name="_Toc904"/>
      <w:bookmarkEnd w:id="2142"/>
      <w:r>
        <w:rPr>
          <w:rtl w:val="true"/>
        </w:rPr>
        <w:t>حصول تحريم در موطوئه و نسل آن</w:t>
      </w:r>
      <w:bookmarkEnd w:id="2143"/>
    </w:p>
    <w:p>
      <w:pPr>
        <w:pStyle w:val="BookText"/>
        <w:rPr/>
      </w:pPr>
      <w:r>
        <w:rPr>
          <w:rFonts w:ascii="IRNazanin" w:hAnsi="IRNazanin" w:eastAsia="IRNazanin"/>
          <w:color w:val="111111"/>
          <w:sz w:val="28"/>
          <w:sz w:val="28"/>
          <w:szCs w:val="28"/>
          <w:rtl w:val="true"/>
          <w:lang w:bidi="fa-IR"/>
        </w:rPr>
        <w:t>و تحريم لحم و لبن و بيض و شعر و صوف به حسب منافع آنها، شامل موطوئه و نسل آن است، يعنى آن چه متجدد بعد از وطى است نه آن چه سابق بر وطى است حتى حمل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آن بعد از احراق،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ذبح آن كه متعبد به آن هستيم دفع تناسل، و در احراق آن دفع اشتباهات با محلّله است؛ و در اينها عقوبت مالك است در تحفظ ممكن</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3972795_1067777946"/>
      <w:bookmarkStart w:id="2145" w:name="_Toc905"/>
      <w:bookmarkEnd w:id="2144"/>
      <w:r>
        <w:rPr>
          <w:rtl w:val="true"/>
        </w:rPr>
        <w:t>عدم لزوم ذبح در آن چه مقصود براى اكل نيست</w:t>
      </w:r>
      <w:bookmarkEnd w:id="2145"/>
    </w:p>
    <w:p>
      <w:pPr>
        <w:pStyle w:val="BookText"/>
        <w:rPr/>
      </w:pPr>
      <w:r>
        <w:rPr>
          <w:rFonts w:ascii="IRNazanin" w:hAnsi="IRNazanin" w:eastAsia="IRNazanin"/>
          <w:color w:val="111111"/>
          <w:sz w:val="28"/>
          <w:sz w:val="28"/>
          <w:szCs w:val="28"/>
          <w:rtl w:val="true"/>
          <w:lang w:bidi="fa-IR"/>
        </w:rPr>
        <w:t xml:space="preserve">و اگر مطلوب، در بهيمه، گوشت نباشد بلكه ركوب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اسب و الاغ و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ذبح نمى شود، اگر چه محرّم است لحم آن؛ و تغريم قيمت آن براى مالك آن مى شود، يعنى قيمت در زمان وطى؛ و محتمل است قيمت در زمان سابق متّصل به وطى؛ و اخراج از بلد و محل واقعه مى شود، و در غير آن محل، بيع مى شود كه دور از آن محل باشد و معلوم نشود براى مشترى و اهل محل او؛ و اين عمل فوراً انجام داده مى شود؛ و لازم نيست مباشرت حاكم يا مأذون او؛ و اگر براى مشترى معلوم شد محتمل است جواز فسخ براى او</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بيع در بلد بعيد از محل عمل و اخذ ثمن آن، احوط اعاده بر مغترم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بر قيمت آن اگر وطى نبود، از آن چه به عنوان قيمت داده بود و </w:t>
      </w:r>
      <w:bookmarkStart w:id="2146" w:name="pg10275_96772"/>
    </w:p>
    <w:p>
      <w:pPr>
        <w:pStyle w:val="BookText"/>
        <w:rPr/>
      </w:pPr>
      <w:bookmarkEnd w:id="2146"/>
      <w:r>
        <w:rPr>
          <w:rFonts w:ascii="IRNazanin" w:hAnsi="IRNazanin" w:eastAsia="IRNazanin"/>
          <w:color w:val="111111"/>
          <w:sz w:val="28"/>
          <w:sz w:val="28"/>
          <w:szCs w:val="28"/>
          <w:rtl w:val="true"/>
          <w:lang w:bidi="fa-IR"/>
        </w:rPr>
        <w:t>آن چه مغترم شد به عنوان نفقه تا زمان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فاعل، معسر بود و چيزى نتوانست بدهد، اين احتياط محل ندارد و تمام ثمن را مالك برمى دارد؛ لكن محتمل است در 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قيمت يا مقدارى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ذمۀ او به قيمت تا زمان بيع و اخذ تمام ثمن، يا تا زمان ادا بنا بر اين كه ثمن در بيع، ملك مستقر مالك مى شود؛ و محتمل است وجوب نفقه بر فاعل تا زمان بيع اگر چه ملك مالك زايل نشده باشد و فاعل مالك نشود بعد از اداى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شد احتياط در ارجاع غرامت ها به فاعل و اقتصار مالك به آن چه قيمت زمان متصل به وطى است</w:t>
      </w:r>
      <w:r>
        <w:rPr>
          <w:rFonts w:eastAsia="IRNazanin" w:cs="IRNazanin"/>
          <w:color w:val="111111"/>
          <w:sz w:val="28"/>
          <w:szCs w:val="28"/>
          <w:rtl w:val="true"/>
          <w:lang w:bidi="fa-IR"/>
        </w:rPr>
        <w:t>.</w:t>
      </w:r>
    </w:p>
    <w:p>
      <w:pPr>
        <w:pStyle w:val="Heading5"/>
        <w:numPr>
          <w:ilvl w:val="4"/>
          <w:numId w:val="1"/>
        </w:numPr>
        <w:rPr/>
      </w:pPr>
      <w:bookmarkStart w:id="2147" w:name="__RefHeading___Toc3972797_1067777946"/>
      <w:bookmarkStart w:id="2148" w:name="_Toc906"/>
      <w:bookmarkEnd w:id="2147"/>
      <w:r>
        <w:rPr>
          <w:rtl w:val="true"/>
        </w:rPr>
        <w:t>حكم ادّعاى فعل و انكار در فرض</w:t>
      </w:r>
      <w:bookmarkEnd w:id="2148"/>
    </w:p>
    <w:p>
      <w:pPr>
        <w:pStyle w:val="BookText"/>
        <w:rPr/>
      </w:pPr>
      <w:r>
        <w:rPr>
          <w:rFonts w:ascii="IRNazanin" w:hAnsi="IRNazanin" w:eastAsia="IRNazanin"/>
          <w:color w:val="111111"/>
          <w:sz w:val="28"/>
          <w:sz w:val="28"/>
          <w:szCs w:val="28"/>
          <w:rtl w:val="true"/>
          <w:lang w:bidi="fa-IR"/>
        </w:rPr>
        <w:t>اگر مالك، مدّعى فعل بود و مدّعىٰ عليه انكار نمود، مى تواند احلاف نمايد منكر را در مال؛ و با ردّ يمين و يمين مردوده، تعزير ثابت نمى شود، بلكه خصوص مال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مقتضاى اقرار مالك، حرمت اكل لحم و مأكولات از بهيمۀ مأكوله است، و نجاست بول و غايط و عرق آن است، و آن كه استعمال جلد آن بعد از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غير مأكول اللحم در آن استعمال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به سبب نجاست در حال حيات، و نفى انتفاع به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وجوب احراق آن با جلد است؛ و همه اينها موافق احتياط است</w:t>
      </w:r>
      <w:r>
        <w:rPr>
          <w:rFonts w:eastAsia="IRNazanin" w:cs="IRNazanin"/>
          <w:color w:val="111111"/>
          <w:sz w:val="28"/>
          <w:szCs w:val="28"/>
          <w:rtl w:val="true"/>
          <w:lang w:bidi="fa-IR"/>
        </w:rPr>
        <w:t>.</w:t>
      </w:r>
    </w:p>
    <w:p>
      <w:pPr>
        <w:pStyle w:val="Heading4"/>
        <w:numPr>
          <w:ilvl w:val="3"/>
          <w:numId w:val="1"/>
        </w:numPr>
        <w:rPr/>
      </w:pPr>
      <w:bookmarkStart w:id="2149" w:name="__RefHeading___Toc3972799_1067777946"/>
      <w:bookmarkStart w:id="2150" w:name="_Toc907"/>
      <w:bookmarkEnd w:id="2149"/>
      <w:r>
        <w:rPr/>
        <w:t>2</w:t>
      </w:r>
      <w:r>
        <w:rPr>
          <w:rtl w:val="true"/>
        </w:rPr>
        <w:t xml:space="preserve">. </w:t>
      </w:r>
      <w:r>
        <w:rPr>
          <w:rtl w:val="true"/>
        </w:rPr>
        <w:t>ثبوت وطى بهيمه</w:t>
      </w:r>
      <w:bookmarkEnd w:id="2150"/>
    </w:p>
    <w:p>
      <w:pPr>
        <w:pStyle w:val="BookText"/>
        <w:rPr/>
      </w:pPr>
      <w:r>
        <w:rPr>
          <w:rFonts w:ascii="IRNazanin" w:hAnsi="IRNazanin" w:eastAsia="IRNazanin"/>
          <w:color w:val="111111"/>
          <w:sz w:val="28"/>
          <w:sz w:val="28"/>
          <w:szCs w:val="28"/>
          <w:rtl w:val="true"/>
          <w:lang w:bidi="fa-IR"/>
        </w:rPr>
        <w:t>ثابت مى شود وطى 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دو مرد عادل، و به اقرار اگر چه يك مرتبه باشد اگر دابّه مملوك مُقِرّ باشد، وگرنه فقط تعزير فاعل، ثابت مى شود و غير آن در حق غير است و نافذ نيست اگر چه مكرّر بشود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زنهاى عادله به تنهايى آنها يا با ضميمۀ عدول از مردها، ثابت نمى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خفا اين عمل انجام داده شده بود و دابّه ملك فاعل بوده، احوط انجام وظايف مذكوره است حتى در غير مأكوله</w:t>
      </w:r>
      <w:r>
        <w:rPr>
          <w:rFonts w:eastAsia="IRNazanin" w:cs="IRNazanin"/>
          <w:color w:val="111111"/>
          <w:sz w:val="28"/>
          <w:szCs w:val="28"/>
          <w:rtl w:val="true"/>
          <w:lang w:bidi="fa-IR"/>
        </w:rPr>
        <w:t xml:space="preserve">. </w:t>
      </w:r>
      <w:bookmarkStart w:id="2151" w:name="pg10275_96774"/>
    </w:p>
    <w:p>
      <w:pPr>
        <w:pStyle w:val="BookText"/>
        <w:rPr/>
      </w:pPr>
      <w:bookmarkEnd w:id="2151"/>
      <w:r>
        <w:rPr>
          <w:rFonts w:ascii="IRNazanin" w:hAnsi="IRNazanin" w:eastAsia="IRNazanin"/>
          <w:color w:val="111111"/>
          <w:sz w:val="28"/>
          <w:sz w:val="28"/>
          <w:szCs w:val="28"/>
          <w:rtl w:val="true"/>
          <w:lang w:bidi="fa-IR"/>
        </w:rPr>
        <w:t>و با تخلل تعزير سه مرتبه، در مرتبۀ سوم يا چهارم، وجوب قتل فاعل، معروف است</w:t>
      </w:r>
      <w:r>
        <w:rPr>
          <w:rFonts w:eastAsia="IRNazanin" w:cs="IRNazanin"/>
          <w:color w:val="111111"/>
          <w:sz w:val="28"/>
          <w:szCs w:val="28"/>
          <w:rtl w:val="true"/>
          <w:lang w:bidi="fa-IR"/>
        </w:rPr>
        <w:t>.</w:t>
      </w:r>
    </w:p>
    <w:p>
      <w:pPr>
        <w:pStyle w:val="Heading4"/>
        <w:numPr>
          <w:ilvl w:val="3"/>
          <w:numId w:val="1"/>
        </w:numPr>
        <w:rPr/>
      </w:pPr>
      <w:bookmarkStart w:id="2152" w:name="__RefHeading___Toc3972801_1067777946"/>
      <w:bookmarkStart w:id="2153" w:name="_Toc908"/>
      <w:bookmarkEnd w:id="2152"/>
      <w:r>
        <w:rPr/>
        <w:t>3</w:t>
      </w:r>
      <w:r>
        <w:rPr>
          <w:rtl w:val="true"/>
        </w:rPr>
        <w:t xml:space="preserve">. </w:t>
      </w:r>
      <w:r>
        <w:rPr>
          <w:rtl w:val="true"/>
        </w:rPr>
        <w:t>احكام وطى ميّت و استمنا</w:t>
      </w:r>
      <w:bookmarkEnd w:id="2153"/>
    </w:p>
    <w:p>
      <w:pPr>
        <w:pStyle w:val="Heading5"/>
        <w:numPr>
          <w:ilvl w:val="4"/>
          <w:numId w:val="1"/>
        </w:numPr>
        <w:rPr/>
      </w:pPr>
      <w:bookmarkStart w:id="2154" w:name="__RefHeading___Toc3972803_1067777946"/>
      <w:bookmarkStart w:id="2155" w:name="_Toc909"/>
      <w:bookmarkEnd w:id="2154"/>
      <w:r>
        <w:rPr>
          <w:rtl w:val="true"/>
        </w:rPr>
        <w:t>وطى زن ميّت</w:t>
      </w:r>
      <w:bookmarkEnd w:id="2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وطى زن مُرده اجنبيّه، مثل وطى زن زنده است، در اثم، و در شروط، و احكام، و حدّ از رجم و قتل و جلد، و اعتبار احصان و عدم آن؛ و به ملاحظه افحش بودن معصيت، عقوبت آن ازيد است به آن چه موافق نظر امام است، و در رجم و قتل، عقوبت زايده تقديم مى شود بر قتل و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زوجۀ ميتۀ خود يا امۀ ميتۀ خود وطى نمود، تعزير مى شود بر اين حرام، و چون زنا نيست حد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اقتصار در اثبات اين قسم از زنا، با بيّنه، بر چهار شاهد از مردهاى عادل است؛ و اقرار تابع شهادت است در كمّيّت آن و اثبات زنا با آن</w:t>
      </w:r>
      <w:r>
        <w:rPr>
          <w:rFonts w:eastAsia="IRNazanin" w:cs="IRNazanin"/>
          <w:color w:val="111111"/>
          <w:sz w:val="28"/>
          <w:szCs w:val="28"/>
          <w:rtl w:val="true"/>
          <w:lang w:bidi="fa-IR"/>
        </w:rPr>
        <w:t>.</w:t>
      </w:r>
    </w:p>
    <w:p>
      <w:pPr>
        <w:pStyle w:val="Heading5"/>
        <w:numPr>
          <w:ilvl w:val="4"/>
          <w:numId w:val="1"/>
        </w:numPr>
        <w:rPr/>
      </w:pPr>
      <w:bookmarkStart w:id="2156" w:name="__RefHeading___Toc3972805_1067777946"/>
      <w:bookmarkStart w:id="2157" w:name="_Toc910"/>
      <w:bookmarkEnd w:id="2156"/>
      <w:r>
        <w:rPr>
          <w:rtl w:val="true"/>
        </w:rPr>
        <w:t>حكم لواط با مرد ميّت</w:t>
      </w:r>
      <w:bookmarkEnd w:id="21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لواط با مرد ميّت، مثل لواط با مرد زنده است در حكم، در صورت ايقاب و عدم آن؛ و زايد مى شود عقوبت، به واسطۀ افحش بودن اين گناه با مرده، به تغليظى كه در زنا با مرده نظير آن گذشت در جلد و قتل</w:t>
      </w:r>
      <w:r>
        <w:rPr>
          <w:rFonts w:eastAsia="IRNazanin" w:cs="IRNazanin"/>
          <w:color w:val="111111"/>
          <w:sz w:val="28"/>
          <w:szCs w:val="28"/>
          <w:rtl w:val="true"/>
          <w:lang w:bidi="fa-IR"/>
        </w:rPr>
        <w:t>.</w:t>
      </w:r>
    </w:p>
    <w:p>
      <w:pPr>
        <w:pStyle w:val="Heading5"/>
        <w:numPr>
          <w:ilvl w:val="4"/>
          <w:numId w:val="1"/>
        </w:numPr>
        <w:rPr/>
      </w:pPr>
      <w:bookmarkStart w:id="2158" w:name="__RefHeading___Toc3972807_1067777946"/>
      <w:bookmarkStart w:id="2159" w:name="_Toc911"/>
      <w:bookmarkEnd w:id="2158"/>
      <w:r>
        <w:rPr>
          <w:rtl w:val="true"/>
        </w:rPr>
        <w:t>استمنا</w:t>
      </w:r>
      <w:bookmarkEnd w:id="21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انزال منى عمداً با دست يا غير آن از غير اسباب محلّله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موجب تعزير است به آن چه امام مصلحت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مى شود اين موجب تعزير، به شهادت دو عادل، و به اقرار اگر چه يك مرتبه باشد؛ و با شهادت زنها ثابت نمى شود مطلقاً بنا بر احوط</w:t>
      </w:r>
      <w:r>
        <w:rPr>
          <w:rFonts w:eastAsia="IRNazanin" w:cs="IRNazanin"/>
          <w:color w:val="111111"/>
          <w:sz w:val="28"/>
          <w:szCs w:val="28"/>
          <w:rtl w:val="true"/>
          <w:lang w:bidi="fa-IR"/>
        </w:rPr>
        <w:t>.</w:t>
      </w:r>
      <w:bookmarkStart w:id="2160" w:name="pg10275_96776"/>
    </w:p>
    <w:p>
      <w:pPr>
        <w:pStyle w:val="Heading3"/>
        <w:numPr>
          <w:ilvl w:val="2"/>
          <w:numId w:val="1"/>
        </w:numPr>
        <w:rPr/>
      </w:pPr>
      <w:bookmarkStart w:id="2161" w:name="__RefHeading___Toc3972809_1067777946"/>
      <w:bookmarkStart w:id="2162" w:name="_Toc912"/>
      <w:bookmarkEnd w:id="2160"/>
      <w:bookmarkEnd w:id="2161"/>
      <w:r>
        <w:rPr>
          <w:rtl w:val="true"/>
        </w:rPr>
        <w:t>فصل نهم حكم دفاع</w:t>
      </w:r>
      <w:bookmarkEnd w:id="2162"/>
    </w:p>
    <w:p>
      <w:pPr>
        <w:pStyle w:val="Heading4"/>
        <w:numPr>
          <w:ilvl w:val="3"/>
          <w:numId w:val="1"/>
        </w:numPr>
        <w:rPr/>
      </w:pPr>
      <w:bookmarkStart w:id="2163" w:name="__RefHeading___Toc3972811_1067777946"/>
      <w:bookmarkStart w:id="2164" w:name="_Toc913"/>
      <w:bookmarkEnd w:id="2163"/>
      <w:r>
        <w:rPr>
          <w:rtl w:val="true"/>
        </w:rPr>
        <w:t>اشاره</w:t>
      </w:r>
      <w:bookmarkEnd w:id="2164"/>
    </w:p>
    <w:p>
      <w:pPr>
        <w:pStyle w:val="BookText"/>
        <w:rPr/>
      </w:pPr>
      <w:r>
        <w:rPr>
          <w:rFonts w:ascii="Amiri" w:hAnsi="Amiri" w:eastAsia="Amiri" w:cs="Amiri"/>
          <w:color w:val="111111"/>
          <w:sz w:val="28"/>
          <w:sz w:val="28"/>
          <w:szCs w:val="28"/>
          <w:rtl w:val="true"/>
          <w:lang w:bidi="ar-SA"/>
        </w:rPr>
        <w:t>جايز است براى هر كسى، دفاع از نفس و عِرض و مال خود</w:t>
      </w:r>
      <w:r>
        <w:rPr>
          <w:rFonts w:eastAsia="Amiri" w:cs="Amiri" w:ascii="Amiri" w:hAnsi="Amiri"/>
          <w:color w:val="111111"/>
          <w:sz w:val="28"/>
          <w:szCs w:val="28"/>
          <w:rtl w:val="true"/>
          <w:lang w:bidi="ar-SA"/>
        </w:rPr>
        <w:t>.</w:t>
      </w:r>
    </w:p>
    <w:p>
      <w:pPr>
        <w:pStyle w:val="Heading4"/>
        <w:numPr>
          <w:ilvl w:val="3"/>
          <w:numId w:val="1"/>
        </w:numPr>
        <w:rPr/>
      </w:pPr>
      <w:bookmarkStart w:id="2165" w:name="__RefHeading___Toc3972813_1067777946"/>
      <w:bookmarkStart w:id="2166" w:name="_Toc914"/>
      <w:bookmarkEnd w:id="2165"/>
      <w:r>
        <w:rPr>
          <w:rtl w:val="true"/>
        </w:rPr>
        <w:t>دفاع از مال</w:t>
      </w:r>
      <w:bookmarkEnd w:id="2166"/>
    </w:p>
    <w:p>
      <w:pPr>
        <w:pStyle w:val="BookText"/>
        <w:rPr/>
      </w:pPr>
      <w:r>
        <w:rPr>
          <w:rFonts w:ascii="IRNazanin" w:hAnsi="IRNazanin" w:eastAsia="IRNazanin"/>
          <w:color w:val="111111"/>
          <w:sz w:val="28"/>
          <w:sz w:val="28"/>
          <w:szCs w:val="28"/>
          <w:rtl w:val="true"/>
          <w:lang w:bidi="fa-IR"/>
        </w:rPr>
        <w:t>و احوط اعتبار ظن به سلامت است در جواز دفع از مال، مخصوصاً غير مضطرّ اليه؛ و اما مضطرّ اليه پس دفاع از آن، دفاع از نفس است در بعض مراتب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نهى از منكر را رعايت مى كند از حيث صعوبت و سهولت به سبب دفع؛ و در مُحارب و لصّ‌، احتمال عدم لزوم ترتيب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 حرّ و عبد و هر مكلّفى يا هر سببى فرق ندارد</w:t>
      </w:r>
      <w:r>
        <w:rPr>
          <w:rFonts w:eastAsia="IRNazanin" w:cs="IRNazanin"/>
          <w:color w:val="111111"/>
          <w:sz w:val="28"/>
          <w:szCs w:val="28"/>
          <w:rtl w:val="true"/>
          <w:lang w:bidi="fa-IR"/>
        </w:rPr>
        <w:t>.</w:t>
      </w:r>
    </w:p>
    <w:p>
      <w:pPr>
        <w:pStyle w:val="Heading4"/>
        <w:numPr>
          <w:ilvl w:val="3"/>
          <w:numId w:val="1"/>
        </w:numPr>
        <w:rPr/>
      </w:pPr>
      <w:bookmarkStart w:id="2167" w:name="__RefHeading___Toc3972815_1067777946"/>
      <w:bookmarkStart w:id="2168" w:name="_Toc915"/>
      <w:bookmarkEnd w:id="2167"/>
      <w:r>
        <w:rPr>
          <w:rtl w:val="true"/>
        </w:rPr>
        <w:t>دفاع از جان</w:t>
      </w:r>
      <w:bookmarkEnd w:id="2168"/>
    </w:p>
    <w:p>
      <w:pPr>
        <w:pStyle w:val="BookText"/>
        <w:rPr/>
      </w:pPr>
      <w:r>
        <w:rPr>
          <w:rFonts w:ascii="Amiri" w:hAnsi="Amiri" w:eastAsia="Amiri" w:cs="Amiri"/>
          <w:color w:val="111111"/>
          <w:sz w:val="28"/>
          <w:sz w:val="28"/>
          <w:szCs w:val="28"/>
          <w:rtl w:val="true"/>
          <w:lang w:bidi="ar-SA"/>
        </w:rPr>
        <w:t>و در دفاع از نفس، ظن به سلامت، معتبر نيست، و واجب است دفاع از نفس خود و متعلقين خود كه ضعيف باشند و دافع، قادر باشد</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3972817_1067777946"/>
      <w:bookmarkStart w:id="2170" w:name="_Toc916"/>
      <w:bookmarkEnd w:id="2169"/>
      <w:r>
        <w:rPr>
          <w:rtl w:val="true"/>
        </w:rPr>
        <w:t>دفاع از ناموس</w:t>
      </w:r>
      <w:bookmarkEnd w:id="2170"/>
    </w:p>
    <w:p>
      <w:pPr>
        <w:pStyle w:val="BookText"/>
        <w:rPr/>
      </w:pPr>
      <w:r>
        <w:rPr>
          <w:rFonts w:ascii="Amiri" w:hAnsi="Amiri" w:eastAsia="Amiri" w:cs="Amiri"/>
          <w:color w:val="111111"/>
          <w:sz w:val="28"/>
          <w:sz w:val="28"/>
          <w:szCs w:val="28"/>
          <w:rtl w:val="true"/>
          <w:lang w:bidi="ar-SA"/>
        </w:rPr>
        <w:t xml:space="preserve">و مدافعه از عِرض، با ظن سلامت، جايز و واجب است، و جايز نيست تسليم شدن مكره بر زنا مثلاً با تمكن؛ و با عدم ظن سلامت، اظهر جواز استسلام و عدم وجوب دفع است با خوف بر نفس؛ بلكه در ساير اطراف و خوف نقص آنها، جواز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تحقق اضطرار و عدم ثبوت حدّ بر مستكرهه بر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وجه نيست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متمكن شد از نجات دادن نفس و عرض خودش با مثل فرار، واجب است</w:t>
      </w:r>
      <w:r>
        <w:rPr>
          <w:rFonts w:eastAsia="IRNazanin" w:cs="IRNazanin"/>
          <w:color w:val="111111"/>
          <w:sz w:val="28"/>
          <w:szCs w:val="28"/>
          <w:rtl w:val="true"/>
          <w:lang w:bidi="fa-IR"/>
        </w:rPr>
        <w:t xml:space="preserve">. </w:t>
      </w:r>
      <w:bookmarkStart w:id="2171" w:name="pg10275_96778"/>
    </w:p>
    <w:p>
      <w:pPr>
        <w:pStyle w:val="Heading4"/>
        <w:numPr>
          <w:ilvl w:val="3"/>
          <w:numId w:val="1"/>
        </w:numPr>
        <w:rPr/>
      </w:pPr>
      <w:bookmarkStart w:id="2172" w:name="__RefHeading___Toc3972819_1067777946"/>
      <w:bookmarkStart w:id="2173" w:name="_Toc917"/>
      <w:bookmarkEnd w:id="2171"/>
      <w:bookmarkEnd w:id="2172"/>
      <w:r>
        <w:rPr>
          <w:rtl w:val="true"/>
        </w:rPr>
        <w:t>وجوب دفاع</w:t>
      </w:r>
      <w:bookmarkEnd w:id="2173"/>
    </w:p>
    <w:p>
      <w:pPr>
        <w:pStyle w:val="BookText"/>
        <w:rPr/>
      </w:pPr>
      <w:r>
        <w:rPr>
          <w:rFonts w:ascii="IRNazanin" w:hAnsi="IRNazanin" w:eastAsia="IRNazanin"/>
          <w:color w:val="111111"/>
          <w:sz w:val="28"/>
          <w:sz w:val="28"/>
          <w:szCs w:val="28"/>
          <w:rtl w:val="true"/>
          <w:lang w:bidi="fa-IR"/>
        </w:rPr>
        <w:t xml:space="preserve">پس حاصل شد كه دفاع از نفس و طَرَف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حريم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بلكه واجب است با عدم خوف بر نفس و طرف و با ظنّ به خلاص عرض، و در اين صورت نفس و طرف در مدفوع، هدر است، و رعايت مراتب به نحوى كه گذشت مى شود</w:t>
      </w:r>
      <w:r>
        <w:rPr>
          <w:rFonts w:eastAsia="IRNazanin" w:cs="IRNazanin"/>
          <w:color w:val="111111"/>
          <w:sz w:val="28"/>
          <w:szCs w:val="28"/>
          <w:rtl w:val="true"/>
          <w:lang w:bidi="fa-IR"/>
        </w:rPr>
        <w:t>.</w:t>
      </w:r>
    </w:p>
    <w:p>
      <w:pPr>
        <w:pStyle w:val="Heading4"/>
        <w:numPr>
          <w:ilvl w:val="3"/>
          <w:numId w:val="1"/>
        </w:numPr>
        <w:rPr/>
      </w:pPr>
      <w:bookmarkStart w:id="2174" w:name="__RefHeading___Toc3972821_1067777946"/>
      <w:bookmarkStart w:id="2175" w:name="_Toc918"/>
      <w:bookmarkEnd w:id="2174"/>
      <w:r>
        <w:rPr>
          <w:rtl w:val="true"/>
        </w:rPr>
        <w:t>دفاع از عرض با خوف بر نفس</w:t>
      </w:r>
      <w:bookmarkEnd w:id="2175"/>
    </w:p>
    <w:p>
      <w:pPr>
        <w:pStyle w:val="BookText"/>
        <w:rPr/>
      </w:pPr>
      <w:r>
        <w:rPr>
          <w:rFonts w:ascii="IRNazanin" w:hAnsi="IRNazanin" w:eastAsia="IRNazanin"/>
          <w:color w:val="111111"/>
          <w:sz w:val="28"/>
          <w:sz w:val="28"/>
          <w:szCs w:val="28"/>
          <w:rtl w:val="true"/>
          <w:lang w:bidi="fa-IR"/>
        </w:rPr>
        <w:t>و دفاع از عرض با خوف بر نفس يا نقص طرف، مشكل است وجوب آن، به جهت اهميّت نفس از عرض به حسب ظاهر؛ بلى اظهر جواز دفع است با خوف بر نفس دفاع كننده يا علم به تلف، چون تكليف به حفظ نفس تعييناً، شاق است نسبت به نفوس شريفه؛ لكن جواز دفاع، منوط به اندفاع به قتال منتهى به قتل دافع به حسب ظن يا علم است، و اگر بداند كه عرض منهتك است يا با نفس دافع يا بدون آن، اظهر عدم جواز دفع است مگر با عدم خوف بر نفس دفاع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نقص اطراف به نفس، محتمل است</w:t>
      </w:r>
      <w:r>
        <w:rPr>
          <w:rFonts w:eastAsia="IRNazanin" w:cs="IRNazanin"/>
          <w:color w:val="111111"/>
          <w:sz w:val="28"/>
          <w:szCs w:val="28"/>
          <w:rtl w:val="true"/>
          <w:lang w:bidi="fa-IR"/>
        </w:rPr>
        <w:t>.</w:t>
      </w:r>
    </w:p>
    <w:p>
      <w:pPr>
        <w:pStyle w:val="Heading4"/>
        <w:numPr>
          <w:ilvl w:val="3"/>
          <w:numId w:val="1"/>
        </w:numPr>
        <w:rPr/>
      </w:pPr>
      <w:bookmarkStart w:id="2176" w:name="__RefHeading___Toc3972823_1067777946"/>
      <w:bookmarkStart w:id="2177" w:name="_Toc919"/>
      <w:bookmarkEnd w:id="2176"/>
      <w:r>
        <w:rPr>
          <w:rtl w:val="true"/>
        </w:rPr>
        <w:t>دفاع از مال واجب منتهى به نفس</w:t>
      </w:r>
      <w:bookmarkEnd w:id="2177"/>
    </w:p>
    <w:p>
      <w:pPr>
        <w:pStyle w:val="BookText"/>
        <w:rPr/>
      </w:pPr>
      <w:r>
        <w:rPr>
          <w:rFonts w:ascii="IRNazanin" w:hAnsi="IRNazanin" w:eastAsia="IRNazanin"/>
          <w:color w:val="111111"/>
          <w:sz w:val="28"/>
          <w:sz w:val="28"/>
          <w:szCs w:val="28"/>
          <w:rtl w:val="true"/>
          <w:lang w:bidi="fa-IR"/>
        </w:rPr>
        <w:t>و دفاع از مال واجب منتهى به نفس، در حكم دفاع از نفس است؛ و در غير آن، با خوف بر نفس يا نقص طرف دفاع كننده، خالى از شبهه نيست؛ و با عدم خوف بر نفس يا نقص اطراف دافع،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نفس مدفوع و نقص طرف او اگر معلوم يا مخوف باشد هدر است‌؟ دور نيست در تقدير جواز يا وجوب دفاع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با علم به هلاك طرف يا نقص در اطراف او به واسطۀ عدم اندفاع به غير آن، جايز است دفاع از مال غير مضطر اليه يا نه‌؟ خالى از اشكال نيست اگر چه جواز آن خالى از وجه موافق اطلاق نص و فتوىٰ نيست با مرتبه اى از مرجوحيت؛ و همچنين در صورت خوف بر نفس دفاع كننده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با جواز يا وجوب، هدر است، </w:t>
      </w:r>
      <w:bookmarkStart w:id="2178" w:name="pg10275_96780"/>
    </w:p>
    <w:p>
      <w:pPr>
        <w:pStyle w:val="BookText"/>
        <w:rPr/>
      </w:pPr>
      <w:bookmarkEnd w:id="2178"/>
      <w:r>
        <w:rPr>
          <w:rFonts w:ascii="IRNazanin" w:hAnsi="IRNazanin" w:eastAsia="IRNazanin"/>
          <w:color w:val="111111"/>
          <w:sz w:val="28"/>
          <w:sz w:val="28"/>
          <w:szCs w:val="28"/>
          <w:rtl w:val="true"/>
          <w:lang w:bidi="fa-IR"/>
        </w:rPr>
        <w:t>چنان كه ضامن هر چه مفقود بشود در طرف دفاع كننده،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دفاع كننده از مال غير مضطر اليه، عالم به قتل خودش بود، جايز نيست دفاع، اگر چه بداند سالم مى شود مال براى ورثه خودش؛ و همچنين هتك عرض دفاع كننده از مال</w:t>
      </w:r>
      <w:r>
        <w:rPr>
          <w:rFonts w:eastAsia="IRNazanin" w:cs="IRNazanin"/>
          <w:color w:val="111111"/>
          <w:sz w:val="28"/>
          <w:szCs w:val="28"/>
          <w:rtl w:val="true"/>
          <w:lang w:bidi="fa-IR"/>
        </w:rPr>
        <w:t>.</w:t>
      </w:r>
    </w:p>
    <w:p>
      <w:pPr>
        <w:pStyle w:val="Heading4"/>
        <w:numPr>
          <w:ilvl w:val="3"/>
          <w:numId w:val="1"/>
        </w:numPr>
        <w:rPr/>
      </w:pPr>
      <w:bookmarkStart w:id="2179" w:name="__RefHeading___Toc3972825_1067777946"/>
      <w:bookmarkStart w:id="2180" w:name="_Toc920"/>
      <w:bookmarkEnd w:id="2179"/>
      <w:r>
        <w:rPr>
          <w:rtl w:val="true"/>
        </w:rPr>
        <w:t>وجوب دفاع از نفس با احتمال نجات</w:t>
      </w:r>
      <w:bookmarkEnd w:id="2180"/>
    </w:p>
    <w:p>
      <w:pPr>
        <w:pStyle w:val="BookText"/>
        <w:rPr/>
      </w:pPr>
      <w:r>
        <w:rPr>
          <w:rFonts w:ascii="IRNazanin" w:hAnsi="IRNazanin" w:eastAsia="IRNazanin"/>
          <w:color w:val="111111"/>
          <w:sz w:val="28"/>
          <w:sz w:val="28"/>
          <w:szCs w:val="28"/>
          <w:rtl w:val="true"/>
          <w:lang w:bidi="fa-IR"/>
        </w:rPr>
        <w:t>و اما دفاع از نفس، پس با احتمال نجات، واجب است؛ و با علم يا ظن اطمينانى به عدم خلاص، پس براى مجرد تأخير قتل در زمان اشتغال به قتل مدفوع يا ساير تعذيبات به مدفوع، در وجوب دفاع مذكور، تأمل است</w:t>
      </w:r>
      <w:r>
        <w:rPr>
          <w:rFonts w:eastAsia="IRNazanin" w:cs="IRNazanin"/>
          <w:color w:val="111111"/>
          <w:sz w:val="28"/>
          <w:szCs w:val="28"/>
          <w:rtl w:val="true"/>
          <w:lang w:bidi="fa-IR"/>
        </w:rPr>
        <w:t>.</w:t>
      </w:r>
    </w:p>
    <w:p>
      <w:pPr>
        <w:pStyle w:val="Heading4"/>
        <w:numPr>
          <w:ilvl w:val="3"/>
          <w:numId w:val="1"/>
        </w:numPr>
        <w:rPr/>
      </w:pPr>
      <w:bookmarkStart w:id="2181" w:name="__RefHeading___Toc3972827_1067777946"/>
      <w:bookmarkStart w:id="2182" w:name="_Toc921"/>
      <w:bookmarkEnd w:id="2181"/>
      <w:r>
        <w:rPr>
          <w:rtl w:val="true"/>
        </w:rPr>
        <w:t>شروع دفاع</w:t>
      </w:r>
      <w:bookmarkEnd w:id="2182"/>
    </w:p>
    <w:p>
      <w:pPr>
        <w:pStyle w:val="BookText"/>
        <w:rPr/>
      </w:pPr>
      <w:r>
        <w:rPr>
          <w:rFonts w:ascii="IRNazanin" w:hAnsi="IRNazanin" w:eastAsia="IRNazanin"/>
          <w:color w:val="111111"/>
          <w:sz w:val="28"/>
          <w:sz w:val="28"/>
          <w:szCs w:val="28"/>
          <w:rtl w:val="true"/>
          <w:lang w:bidi="fa-IR"/>
        </w:rPr>
        <w:t xml:space="preserve">و جايز نيست ابتداى در دفاع مگر با علم به قصد مدفوع، آن چه را كه مسوّغ دفاع است يا خوف ناشى از امارات ظنّيۀ عقلائيه؛ و اگر تشخيص قصد، خطايى بود ضمان ثابت است؛ و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تسلط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اعتقاد دفاع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مقصود</w:t>
      </w:r>
      <w:r>
        <w:rPr>
          <w:rFonts w:eastAsia="IRNazanin" w:cs="IRNazanin"/>
          <w:color w:val="111111"/>
          <w:sz w:val="28"/>
          <w:szCs w:val="28"/>
          <w:rtl w:val="true"/>
          <w:lang w:bidi="fa-IR"/>
        </w:rPr>
        <w:t>.</w:t>
      </w:r>
    </w:p>
    <w:p>
      <w:pPr>
        <w:pStyle w:val="Heading4"/>
        <w:numPr>
          <w:ilvl w:val="3"/>
          <w:numId w:val="1"/>
        </w:numPr>
        <w:rPr/>
      </w:pPr>
      <w:bookmarkStart w:id="2183" w:name="__RefHeading___Toc3972829_1067777946"/>
      <w:bookmarkStart w:id="2184" w:name="_Toc922"/>
      <w:bookmarkEnd w:id="2183"/>
      <w:r>
        <w:rPr>
          <w:rtl w:val="true"/>
        </w:rPr>
        <w:t>عدم جواز ضرب و جرح در حال فرار مهاجم</w:t>
      </w:r>
      <w:bookmarkEnd w:id="2184"/>
    </w:p>
    <w:p>
      <w:pPr>
        <w:pStyle w:val="BookText"/>
        <w:rPr/>
      </w:pPr>
      <w:r>
        <w:rPr>
          <w:rFonts w:ascii="IRNazanin" w:hAnsi="IRNazanin" w:eastAsia="IRNazanin"/>
          <w:color w:val="111111"/>
          <w:sz w:val="28"/>
          <w:sz w:val="28"/>
          <w:szCs w:val="28"/>
          <w:rtl w:val="true"/>
          <w:lang w:bidi="fa-IR"/>
        </w:rPr>
        <w:t xml:space="preserve">و وقتى دفع جايز است كه طرف، مُقبل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ترتيب متقدم، در صورت لزوم رعايت ترتيب با امكان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مُدبر باشد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برگشتن و انصراف از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او به مؤلمات</w:t>
      </w:r>
      <w:r>
        <w:rPr>
          <w:rFonts w:eastAsia="IRNazanin" w:cs="IRNazanin"/>
          <w:color w:val="111111"/>
          <w:sz w:val="28"/>
          <w:szCs w:val="28"/>
          <w:rtl w:val="true"/>
          <w:lang w:bidi="fa-IR"/>
        </w:rPr>
        <w:t>.</w:t>
      </w:r>
    </w:p>
    <w:p>
      <w:pPr>
        <w:pStyle w:val="Heading4"/>
        <w:numPr>
          <w:ilvl w:val="3"/>
          <w:numId w:val="1"/>
        </w:numPr>
        <w:rPr/>
      </w:pPr>
      <w:bookmarkStart w:id="2185" w:name="__RefHeading___Toc3972831_1067777946"/>
      <w:bookmarkStart w:id="2186" w:name="_Toc923"/>
      <w:bookmarkEnd w:id="2185"/>
      <w:r>
        <w:rPr>
          <w:rtl w:val="true"/>
        </w:rPr>
        <w:t>صور مختلف جرح در حال حمله و فرار و حكم هر كدام</w:t>
      </w:r>
      <w:bookmarkEnd w:id="218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حال اقبال، قطع يد مهاجم نمود، ضامن جرح و سرايت آن نيست در صورت رعايت ترتيب ممكن و عدم اندفاع به غير آن؛ پس اگر در برگشتن اصابت كرد او را به ضربت ديگر، دومى مضمون است؛ و اگر هر دو مندمل شدند قصاص در دومى ثابت است با مطالبه در جرح؛ و اگر اولى مندمل و دومى سرايت به نفس كرد قصاص نفس </w:t>
      </w:r>
      <w:bookmarkStart w:id="2187" w:name="pg10275_96782"/>
    </w:p>
    <w:p>
      <w:pPr>
        <w:pStyle w:val="BookText"/>
        <w:rPr/>
      </w:pPr>
      <w:bookmarkEnd w:id="2187"/>
      <w:r>
        <w:rPr>
          <w:rFonts w:ascii="IRNazanin" w:hAnsi="IRNazanin" w:eastAsia="IRNazanin"/>
          <w:color w:val="111111"/>
          <w:sz w:val="28"/>
          <w:sz w:val="28"/>
          <w:szCs w:val="28"/>
          <w:rtl w:val="true"/>
          <w:lang w:bidi="fa-IR"/>
        </w:rPr>
        <w:t>ثابت است با مطالبه ولىّ‌؛ و اگر هر دو ضربت، سرايت كردند، قصاص ثابت است با مطالبه ولىّ با ردّ نصف ديه براى جرح اول به مقتصّ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دست او را در حال اقبال مدفوع، قطع كرد و در بين آنها پاى او را قطع كرد و همه سرايت كردند، قصاص ثابت است بعد از ردّ ديۀ دو دست يعنى دو ثلث ديه، بر حسب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قطع كرد دست و پاى او را در حال اقبال با اتصال و دست ديگر را در حال ادبار، و سرايت كرد همۀ سه قطع، پس بر حسب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توافق، نصف ديه ثابت است؛ و با طلب قصاص، نصف ديه را مى دهند به مقتصّ منه؛ به جهت اين كه توالى، دو قطع را به حكم يك جرح مى نمايد، در ديه گرفتن در قصاص، و دادن در غير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عدم فرق بين دو صورت اخيره، و اين كه ديه در هر دو صورت نصف باشد، و اين كه اعتبار به عدد جنايت نباشد از جانى واحد؛ مثل اين كه يكى قطع نمايد يد را و ديگرى رجل را و اولى يد ديگر را، پس با سرايت، ممكن است اختيار تنصيف در ديه گرفتن و دادن اگر چه يكى دو جنايت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بيان مختار، كتاب قصاص است</w:t>
      </w:r>
      <w:r>
        <w:rPr>
          <w:rFonts w:eastAsia="IRNazanin" w:cs="IRNazanin"/>
          <w:color w:val="111111"/>
          <w:sz w:val="28"/>
          <w:szCs w:val="28"/>
          <w:rtl w:val="true"/>
          <w:lang w:bidi="fa-IR"/>
        </w:rPr>
        <w:t>.</w:t>
      </w:r>
    </w:p>
    <w:p>
      <w:pPr>
        <w:pStyle w:val="Heading4"/>
        <w:numPr>
          <w:ilvl w:val="3"/>
          <w:numId w:val="1"/>
        </w:numPr>
        <w:rPr/>
      </w:pPr>
      <w:bookmarkStart w:id="2188" w:name="__RefHeading___Toc3972833_1067777946"/>
      <w:bookmarkStart w:id="2189" w:name="_Toc924"/>
      <w:bookmarkEnd w:id="2188"/>
      <w:r>
        <w:rPr>
          <w:rtl w:val="true"/>
        </w:rPr>
        <w:t>چند مسأله در باب دفاع</w:t>
      </w:r>
      <w:bookmarkEnd w:id="2189"/>
    </w:p>
    <w:p>
      <w:pPr>
        <w:pStyle w:val="Heading5"/>
        <w:numPr>
          <w:ilvl w:val="4"/>
          <w:numId w:val="1"/>
        </w:numPr>
        <w:rPr/>
      </w:pPr>
      <w:bookmarkStart w:id="2190" w:name="__RefHeading___Toc3972835_1067777946"/>
      <w:bookmarkStart w:id="2191" w:name="_Toc925"/>
      <w:bookmarkEnd w:id="2190"/>
      <w:r>
        <w:rPr>
          <w:rtl w:val="true"/>
        </w:rPr>
        <w:t>قتل مجامع با زوجه</w:t>
      </w:r>
      <w:bookmarkEnd w:id="2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ديد با زوجۀ خودش يا يكى از ارحام خودش يا مملوك و مملوكۀ خودش كسى را كه مرتكب پايين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جماع مى شود، دفع او به نحوى كه گذشت با رعايت مراتب با امكان،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مدفوع،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 اجانب، لازم است، لكن در هدر نفس و جرح تأمل است</w:t>
      </w:r>
      <w:r>
        <w:rPr>
          <w:rFonts w:eastAsia="IRNazanin" w:cs="IRNazanin"/>
          <w:color w:val="111111"/>
          <w:sz w:val="28"/>
          <w:szCs w:val="28"/>
          <w:rtl w:val="true"/>
          <w:lang w:bidi="fa-IR"/>
        </w:rPr>
        <w:t>.</w:t>
      </w:r>
      <w:bookmarkStart w:id="2192" w:name="pg10275_96784"/>
    </w:p>
    <w:p>
      <w:pPr>
        <w:pStyle w:val="BookText"/>
        <w:rPr/>
      </w:pPr>
      <w:bookmarkEnd w:id="2192"/>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دفع متوقف بر قتل، در حفظ عرض اجانب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اختيار جواز قتل مجامع با زوجه و مملوك و رحم واقعاً، و مهدوريّت دم مدفوع در واقع، اگر چه ظاهراً مطالبۀ به بيّنه مى شود وگرنه قصاص از او مى شود، و همچنين در ساير موارد ادّعاى فاحشه بدون بيّنه به نحوى كه خواهد آمد إن شاء اللّٰه</w:t>
      </w:r>
      <w:r>
        <w:rPr>
          <w:rFonts w:eastAsia="IRNazanin" w:cs="IRNazanin"/>
          <w:color w:val="111111"/>
          <w:sz w:val="28"/>
          <w:szCs w:val="28"/>
          <w:rtl w:val="true"/>
          <w:lang w:bidi="fa-IR"/>
        </w:rPr>
        <w:t>.</w:t>
      </w:r>
    </w:p>
    <w:p>
      <w:pPr>
        <w:pStyle w:val="Heading5"/>
        <w:numPr>
          <w:ilvl w:val="4"/>
          <w:numId w:val="1"/>
        </w:numPr>
        <w:rPr/>
      </w:pPr>
      <w:bookmarkStart w:id="2193" w:name="__RefHeading___Toc3972837_1067777946"/>
      <w:bookmarkStart w:id="2194" w:name="_Toc926"/>
      <w:bookmarkEnd w:id="2193"/>
      <w:r>
        <w:rPr>
          <w:rtl w:val="true"/>
        </w:rPr>
        <w:t>ناظر به عورتهاى محرّمه</w:t>
      </w:r>
      <w:bookmarkEnd w:id="2194"/>
    </w:p>
    <w:p>
      <w:pPr>
        <w:pStyle w:val="Heading6"/>
        <w:numPr>
          <w:ilvl w:val="5"/>
          <w:numId w:val="1"/>
        </w:numPr>
        <w:rPr/>
      </w:pPr>
      <w:bookmarkStart w:id="2195" w:name="__RefHeading___Toc3972839_1067777946"/>
      <w:bookmarkStart w:id="2196" w:name="_Toc927"/>
      <w:bookmarkEnd w:id="2195"/>
      <w:r>
        <w:rPr>
          <w:rtl w:val="true"/>
        </w:rPr>
        <w:t>اشاره</w:t>
      </w:r>
      <w:bookmarkEnd w:id="21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مطلع شد بر عورت هاى قومى به قصد نظر حرام به آنها، اگر چه مكان نظر، ملك ناظر باشد، مى توانند بلكه واجب است منع كردن آنها و دفاع از عرض، و احوط رعايت ترتيب در نهى از منكر است؛ پس اگر اصرار كرد و ممتنع نشد و او را رمى كرد با سنگريزه يا چوب و نحو آنها پس جنايتى بر آنها وارد شد هدر است و مضمون نيست، بلكه تعمّد جنايت با عدم اندفاع به غير آن، جايز و موجب ضمان نيست؛ و در صورت مبادرت به موجب جنايت، بدون رعايت ترتيب، احوط ضمان جانى است</w:t>
      </w:r>
      <w:r>
        <w:rPr>
          <w:rFonts w:eastAsia="IRNazanin" w:cs="IRNazanin"/>
          <w:color w:val="111111"/>
          <w:sz w:val="28"/>
          <w:szCs w:val="28"/>
          <w:rtl w:val="true"/>
          <w:lang w:bidi="fa-IR"/>
        </w:rPr>
        <w:t>.</w:t>
      </w:r>
    </w:p>
    <w:p>
      <w:pPr>
        <w:pStyle w:val="Heading6"/>
        <w:numPr>
          <w:ilvl w:val="5"/>
          <w:numId w:val="1"/>
        </w:numPr>
        <w:rPr/>
      </w:pPr>
      <w:bookmarkStart w:id="2197" w:name="__RefHeading___Toc3972841_1067777946"/>
      <w:bookmarkStart w:id="2198" w:name="_Toc928"/>
      <w:bookmarkEnd w:id="2197"/>
      <w:r>
        <w:rPr>
          <w:rtl w:val="true"/>
        </w:rPr>
        <w:t>برهنگى در ملأ عام</w:t>
      </w:r>
      <w:bookmarkEnd w:id="2198"/>
    </w:p>
    <w:p>
      <w:pPr>
        <w:pStyle w:val="BookText"/>
        <w:rPr/>
      </w:pPr>
      <w:r>
        <w:rPr>
          <w:rFonts w:ascii="IRNazanin" w:hAnsi="IRNazanin" w:eastAsia="IRNazanin"/>
          <w:color w:val="111111"/>
          <w:sz w:val="28"/>
          <w:sz w:val="28"/>
          <w:szCs w:val="28"/>
          <w:rtl w:val="true"/>
          <w:lang w:bidi="fa-IR"/>
        </w:rPr>
        <w:t>و اگر برهنه در طريق عام واقف است، پس نهى از منكر با ترتيب، نسبت به مطلع خصوصى لازم است، بر كسى كه مضطر يا مكرَه به برهنه شدن در آن معبر است، و اظهر جواز رمى است بعد از مراتب زجر و عدم انزجار؛ و در غير صورت جواز شرعى براى برهنه بودن در آن محل، پس جواز رمى بنا بر لزوم رعايت ترتيب، محلّ ندارد، به واسطۀ تمكّن از خروج از آن محل يا تستّر در آن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در لزوم رعايت ترتيب، علم به اندفاع به اسهل و مقدور بودن آن است؛ پس در صورت جهل به حال يا مقدور نبودن اسهل بالفعل و خوف مبادرت متعرض عرض، جايز است دفع به اصعب، و موجب ضمان نيست، چنان چه مقتضاى اطلاق روايات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از آنها غير مفروض است؛ و لكن در مثل اطلاع بر </w:t>
      </w:r>
      <w:bookmarkStart w:id="2199" w:name="pg10275_96786"/>
    </w:p>
    <w:p>
      <w:pPr>
        <w:pStyle w:val="BookText"/>
        <w:rPr/>
      </w:pPr>
      <w:bookmarkEnd w:id="2199"/>
      <w:r>
        <w:rPr>
          <w:rFonts w:ascii="Amiri" w:hAnsi="Amiri" w:eastAsia="Amiri" w:cs="Amiri"/>
          <w:color w:val="111111"/>
          <w:sz w:val="28"/>
          <w:sz w:val="28"/>
          <w:szCs w:val="28"/>
          <w:rtl w:val="true"/>
          <w:lang w:bidi="ar-SA"/>
        </w:rPr>
        <w:t>عورت و نظر محض به آن، احوط رعايت ترتيب و اقتصار بر معلوم كه در مرتبۀ متقدمه است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مطلع، از محارم همه اهل منزل باشد، پس زجر او از نظر با ريبه و از نظر به برهنه هاى ايشان به آن چه حرام است نظر به آن حتى به محارم، جايز و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قدر، رمى در صورت عدم اندفاع به اسهل، جايز است و موجب ضمان نيست؛ به خلاف غير موارد مذكوره كه واجب نيست زجر، و جايز نيست رمى، و موجب ضمان است</w:t>
      </w:r>
      <w:r>
        <w:rPr>
          <w:rFonts w:eastAsia="IRNazanin" w:cs="IRNazanin"/>
          <w:color w:val="111111"/>
          <w:sz w:val="28"/>
          <w:szCs w:val="28"/>
          <w:rtl w:val="true"/>
          <w:lang w:bidi="fa-IR"/>
        </w:rPr>
        <w:t>.</w:t>
      </w:r>
    </w:p>
    <w:p>
      <w:pPr>
        <w:pStyle w:val="Heading5"/>
        <w:numPr>
          <w:ilvl w:val="4"/>
          <w:numId w:val="1"/>
        </w:numPr>
        <w:rPr/>
      </w:pPr>
      <w:bookmarkStart w:id="2200" w:name="__RefHeading___Toc3972843_1067777946"/>
      <w:bookmarkStart w:id="2201" w:name="_Toc929"/>
      <w:bookmarkEnd w:id="2200"/>
      <w:r>
        <w:rPr>
          <w:rtl w:val="true"/>
        </w:rPr>
        <w:t>ادّعاى مهاجم بودن مقتولِ در منزل</w:t>
      </w:r>
      <w:bookmarkEnd w:id="22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در منزل دافع به قتل رسانيد پس از آن ادّعا نمود كه اراده نفس يا عرض يا مال دافع داشته و ورثه انكار كردند، و قاتل اقامۀ بيّنه نمود بر اين كه مقتول، داراى شمشير برهنه و مهاجم و مُقبل بر صاحب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نحوى كه ظاهر موافق دعواى او بوده، ضمان از قاتل ساقط مى شود</w:t>
      </w:r>
      <w:r>
        <w:rPr>
          <w:rFonts w:eastAsia="IRNazanin" w:cs="IRNazanin"/>
          <w:color w:val="111111"/>
          <w:sz w:val="28"/>
          <w:szCs w:val="28"/>
          <w:rtl w:val="true"/>
          <w:lang w:bidi="fa-IR"/>
        </w:rPr>
        <w:t>.</w:t>
      </w:r>
    </w:p>
    <w:p>
      <w:pPr>
        <w:pStyle w:val="Heading5"/>
        <w:numPr>
          <w:ilvl w:val="4"/>
          <w:numId w:val="1"/>
        </w:numPr>
        <w:rPr/>
      </w:pPr>
      <w:bookmarkStart w:id="2202" w:name="__RefHeading___Toc3972845_1067777946"/>
      <w:bookmarkStart w:id="2203" w:name="_Toc930"/>
      <w:bookmarkEnd w:id="2202"/>
      <w:r>
        <w:rPr>
          <w:rtl w:val="true"/>
        </w:rPr>
        <w:t>جواز دفع مركب</w:t>
      </w:r>
      <w:bookmarkEnd w:id="22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دفع دابّۀ حمله كننده، از نفس و مال و غير، اگر چه منتهى به جرح يا اتلاف آن باشد، در صورت عدم انصراف به غير آن، و ضامن جنايت بر آن در صورت مذكوره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امكان تخلص به فرار، پس جواز اتلاف و نحو آن محل تأمّل است</w:t>
      </w:r>
      <w:r>
        <w:rPr>
          <w:rFonts w:eastAsia="IRNazanin" w:cs="IRNazanin"/>
          <w:color w:val="111111"/>
          <w:sz w:val="28"/>
          <w:szCs w:val="28"/>
          <w:rtl w:val="true"/>
          <w:lang w:bidi="fa-IR"/>
        </w:rPr>
        <w:t>.</w:t>
      </w:r>
    </w:p>
    <w:p>
      <w:pPr>
        <w:pStyle w:val="Heading5"/>
        <w:numPr>
          <w:ilvl w:val="4"/>
          <w:numId w:val="1"/>
        </w:numPr>
        <w:rPr/>
      </w:pPr>
      <w:bookmarkStart w:id="2204" w:name="__RefHeading___Toc3972847_1067777946"/>
      <w:bookmarkStart w:id="2205" w:name="_Toc931"/>
      <w:bookmarkEnd w:id="2204"/>
      <w:r>
        <w:rPr>
          <w:rtl w:val="true"/>
        </w:rPr>
        <w:t>ضمان و عدم ضمان دندان در فرض گاز گرفتن</w:t>
      </w:r>
      <w:bookmarkEnd w:id="220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روى ظلم، دندان گرفت دست انسانى را پس كشيد دست خود را پس ساقط شد دندان ظالم، هدر است، و ضامن سقوط دندان ظالم نيست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صاحب دست، ظالم بوده و براى تخلص از ظلمِ مقارن، دندان گرفته پس با كشيدنِ ظالم، اسقاط دندان مظلوم نمود،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دندان مظلوم را؛ و اگر </w:t>
      </w:r>
      <w:bookmarkStart w:id="2206" w:name="pg10275_96788"/>
    </w:p>
    <w:p>
      <w:pPr>
        <w:pStyle w:val="BookText"/>
        <w:rPr/>
      </w:pPr>
      <w:bookmarkEnd w:id="2206"/>
      <w:r>
        <w:rPr>
          <w:rFonts w:ascii="IRNazanin" w:hAnsi="IRNazanin" w:eastAsia="IRNazanin"/>
          <w:color w:val="111111"/>
          <w:sz w:val="28"/>
          <w:sz w:val="28"/>
          <w:szCs w:val="28"/>
          <w:rtl w:val="true"/>
          <w:lang w:bidi="fa-IR"/>
        </w:rPr>
        <w:t>براى تخلص از ظلم ديگرى كه مسوّغ دندان گرفتن نيست اين عمل انجام داده شد، ضامن نيست سقوط دندان مظلوم در مورد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مظلوم صاحب دست، خواست با سيلى زدن و غير، دفاع نمايد، جايز است با رعايت مراتب، حتى اگر با سلاح، ارادۀ دفع كرد با رعايت ترتيب، جايز است، و ضامن جنايت بر دندان گيرندۀ ظالم نيست، حتى قتل او با انحصار دفع در آن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ضامن نيست مگر با عدم رعايت ترتيب در مورد لزوم آن كه عمل غير جايز، موجب ضمان است؛ پس با تمكّن از فكّ دهان با دست ديگر، جذب يد معضوضه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احتمال سقوط دندان 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احتياط است در تكليف، و احتياط، موافق ضمان سقوط دندان است</w:t>
      </w:r>
      <w:r>
        <w:rPr>
          <w:rFonts w:eastAsia="IRNazanin" w:cs="IRNazanin"/>
          <w:color w:val="111111"/>
          <w:sz w:val="28"/>
          <w:szCs w:val="28"/>
          <w:rtl w:val="true"/>
          <w:lang w:bidi="fa-IR"/>
        </w:rPr>
        <w:t>.</w:t>
      </w:r>
    </w:p>
    <w:p>
      <w:pPr>
        <w:pStyle w:val="Heading5"/>
        <w:numPr>
          <w:ilvl w:val="4"/>
          <w:numId w:val="1"/>
        </w:numPr>
        <w:rPr/>
      </w:pPr>
      <w:bookmarkStart w:id="2207" w:name="__RefHeading___Toc3972849_1067777946"/>
      <w:bookmarkStart w:id="2208" w:name="_Toc932"/>
      <w:bookmarkEnd w:id="2207"/>
      <w:r>
        <w:rPr>
          <w:rtl w:val="true"/>
        </w:rPr>
        <w:t>حكم مقاتلين مسلمان</w:t>
      </w:r>
      <w:bookmarkEnd w:id="220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كسى كه با هم مقاتله نمايند و بر هم حمله كنند از مسلمانها، چه قليل باشند يا كثير، سواره باشند يا پياده، از روى عدوان، ضامن جنايت بر همديگر هستند؛ و اگر يكى دست برداشت از قتال و ديگرى بر او حمله كرد از روى عدوان، پس خواست اوّلى دفاع نمايد از خودش، بر دافع در حال دفع، ضمان جنايات بر مدفوع نيست در صورت رعايت ترتيب ممكن در دفاع بر حسب احتياط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نفر همديگر را مجروح نمودند و هر دو ادّعاى قصد دفاع نمودند، هر دو تضمين جراحت مخصوصه مى شوند با حلف منكر، قصد طرف دفاع را، مثل آن كه جراحت و ادّعاى يك طرفى باشد بنا بر اظهر</w:t>
      </w:r>
      <w:r>
        <w:rPr>
          <w:rFonts w:eastAsia="IRNazanin" w:cs="IRNazanin"/>
          <w:color w:val="111111"/>
          <w:sz w:val="28"/>
          <w:szCs w:val="28"/>
          <w:rtl w:val="true"/>
          <w:lang w:bidi="fa-IR"/>
        </w:rPr>
        <w:t>.</w:t>
      </w:r>
    </w:p>
    <w:p>
      <w:pPr>
        <w:pStyle w:val="Heading5"/>
        <w:numPr>
          <w:ilvl w:val="4"/>
          <w:numId w:val="1"/>
        </w:numPr>
        <w:rPr/>
      </w:pPr>
      <w:bookmarkStart w:id="2209" w:name="__RefHeading___Toc3972851_1067777946"/>
      <w:bookmarkStart w:id="2210" w:name="_Toc933"/>
      <w:bookmarkEnd w:id="2209"/>
      <w:r>
        <w:rPr>
          <w:rtl w:val="true"/>
        </w:rPr>
        <w:t>ضمان و عدم ضمان در مأمور توسط نايب و غير او</w:t>
      </w:r>
      <w:bookmarkEnd w:id="221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نايب امام، امر كرد شخصى را به صعود به نخله اى يا نزول در بئرى، پس اتفاق افتاد موت امتثال كننده، با عدم قصد قتل غير مستحَق و عدم غلبۀ موت با اين سبب يا آن كه امر براى مصلحت مسلمين باشد، پس با اكراه جايز، ضامن است از مال خودش،</w:t>
      </w:r>
      <w:bookmarkStart w:id="2211" w:name="pg10275_96790"/>
    </w:p>
    <w:p>
      <w:pPr>
        <w:pStyle w:val="BookText"/>
        <w:rPr/>
      </w:pPr>
      <w:bookmarkEnd w:id="2211"/>
      <w:r>
        <w:rPr>
          <w:rFonts w:ascii="IRNazanin" w:hAnsi="IRNazanin" w:eastAsia="IRNazanin"/>
          <w:color w:val="111111"/>
          <w:sz w:val="28"/>
          <w:sz w:val="28"/>
          <w:szCs w:val="28"/>
          <w:rtl w:val="true"/>
          <w:lang w:bidi="fa-IR"/>
        </w:rPr>
        <w:t>مگر آن كه براى مصلحت عامۀ مسلمين باشد كه از بيت المال ضامن مى شود؛ و اگر با اكراه نباشد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 غير نايب با اكراه، از مال خودش ضامن است در جميع صور؛ و بدون اكراه، ضامن نيست مطلقاً، مگر سبب ديگرى براى ضمان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سلطان ظالم مُخوف، به منزلۀ اكراه است</w:t>
      </w:r>
      <w:r>
        <w:rPr>
          <w:rFonts w:eastAsia="IRNazanin" w:cs="IRNazanin"/>
          <w:color w:val="111111"/>
          <w:sz w:val="28"/>
          <w:szCs w:val="28"/>
          <w:rtl w:val="true"/>
          <w:lang w:bidi="fa-IR"/>
        </w:rPr>
        <w:t>.</w:t>
      </w:r>
    </w:p>
    <w:p>
      <w:pPr>
        <w:pStyle w:val="Heading5"/>
        <w:numPr>
          <w:ilvl w:val="4"/>
          <w:numId w:val="1"/>
        </w:numPr>
        <w:rPr/>
      </w:pPr>
      <w:bookmarkStart w:id="2212" w:name="__RefHeading___Toc3972853_1067777946"/>
      <w:bookmarkStart w:id="2213" w:name="_Toc934"/>
      <w:bookmarkEnd w:id="2212"/>
      <w:r>
        <w:rPr>
          <w:rtl w:val="true"/>
        </w:rPr>
        <w:t>ضمان در فرض ضرب براى تأديب</w:t>
      </w:r>
      <w:bookmarkEnd w:id="221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يا پدر يا مادر يا معلّم، بزند در مقام تأديب مشروع، پس متعقّب به فوت مضروب يا نقص او از جرح بشود، اظهر ضمان ديه است با عدم قصد قتل و عدم غلبۀ قتل در سبب؛ و ضمان از مال ضارب است در شبيه عمد، كه عامد در فعل و مخطئ در قصد است و قاصد قتل با سبب قاتل غالبى نيست، مثل مفروض از ضرب تأديبى</w:t>
      </w:r>
      <w:r>
        <w:rPr>
          <w:rFonts w:eastAsia="IRNazanin" w:cs="IRNazanin"/>
          <w:color w:val="111111"/>
          <w:sz w:val="28"/>
          <w:szCs w:val="28"/>
          <w:rtl w:val="true"/>
          <w:lang w:bidi="fa-IR"/>
        </w:rPr>
        <w:t>.</w:t>
      </w:r>
    </w:p>
    <w:p>
      <w:pPr>
        <w:pStyle w:val="Heading5"/>
        <w:numPr>
          <w:ilvl w:val="4"/>
          <w:numId w:val="1"/>
        </w:numPr>
        <w:rPr/>
      </w:pPr>
      <w:bookmarkStart w:id="2214" w:name="__RefHeading___Toc3972855_1067777946"/>
      <w:bookmarkStart w:id="2215" w:name="_Toc935"/>
      <w:bookmarkEnd w:id="2214"/>
      <w:r>
        <w:rPr>
          <w:rtl w:val="true"/>
        </w:rPr>
        <w:t>ضمان و عدم ضمان در قطع عضو مريض</w:t>
      </w:r>
      <w:bookmarkEnd w:id="221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امر كرد يا اذن داد بالغ كاملى كه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خارج است از لوازم امراض، ديگرى را در قطع آن مادّه، پس قطع كرد آن را بدون تعدّى در قطع، و قطع هم مقصود به آن قتل نبود، و سبب مقصود هم قاتل غالبى نبود، لكن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نادر واقع شد و وفات كرد، قاطع مأذون، ضامن نيست؛ و در صورت ظن به سلامت و انحصار طريق در قطع، جايز است و با اذن، ضمان آور نيست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يقين داشته باشند كه با اين سبب، مرض بيش از يك ساعت مثلاً باقى نيست، و احتمال بدهند كه با قطع، در زمان قطع وفات نمايد، و احتمال بدهند كه نجات از هلاكت، بعد از يك ساعت هم حاصل شود، محتمل است جواز قطع و هر چه به حكم قطع است، و عدم ضمان با اذن مريض در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 عدم هلاك در زمان قطع، مجرد احتمال عدم حرام كه قتل نفس است نيست، بلكه احتمال نجات از هلاك و محافظت بر حيات است كه واجب است</w:t>
      </w:r>
      <w:r>
        <w:rPr>
          <w:rFonts w:eastAsia="IRNazanin" w:cs="IRNazanin"/>
          <w:color w:val="111111"/>
          <w:sz w:val="28"/>
          <w:szCs w:val="28"/>
          <w:rtl w:val="true"/>
          <w:lang w:bidi="fa-IR"/>
        </w:rPr>
        <w:t xml:space="preserve">). </w:t>
      </w:r>
      <w:bookmarkStart w:id="2216" w:name="pg10275_96792"/>
    </w:p>
    <w:p>
      <w:pPr>
        <w:pStyle w:val="BookText"/>
        <w:rPr/>
      </w:pPr>
      <w:bookmarkEnd w:id="2216"/>
      <w:r>
        <w:rPr>
          <w:rFonts w:ascii="IRNazanin" w:hAnsi="IRNazanin" w:eastAsia="IRNazanin"/>
          <w:color w:val="111111"/>
          <w:sz w:val="28"/>
          <w:sz w:val="28"/>
          <w:szCs w:val="28"/>
          <w:rtl w:val="true"/>
          <w:lang w:bidi="fa-IR"/>
        </w:rPr>
        <w:t>و اگر مريض، مولّى عليه باشد و قاطع، اب يا جدّ ابى بود يا مأذون از آنها، در فرض جواز يا وجوب قطع براى نجات از هلاك، اقرب عدم ضمان مباشر است در صورت وجوب؛ و ضمان او در صورت جواز و عدم وجوب،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بدون اذنِ بالغِ كاملِ مريض قطع شد يا بدون اذن ولىّ مولّى عليه قطع شد، ضمان ثابت است با امكان استيذان براى مباشر قطع، از مال مباشر، به جهت اتلاف شبيه به عمد</w:t>
      </w:r>
      <w:r>
        <w:rPr>
          <w:rFonts w:eastAsia="IRNazanin" w:cs="IRNazanin"/>
          <w:color w:val="111111"/>
          <w:sz w:val="28"/>
          <w:szCs w:val="28"/>
          <w:rtl w:val="true"/>
          <w:lang w:bidi="fa-IR"/>
        </w:rPr>
        <w:t>.</w:t>
      </w:r>
    </w:p>
    <w:p>
      <w:pPr>
        <w:pStyle w:val="Heading5"/>
        <w:numPr>
          <w:ilvl w:val="4"/>
          <w:numId w:val="1"/>
        </w:numPr>
        <w:rPr/>
      </w:pPr>
      <w:bookmarkStart w:id="2217" w:name="__RefHeading___Toc3972857_1067777946"/>
      <w:bookmarkStart w:id="2218" w:name="_Toc936"/>
      <w:bookmarkEnd w:id="2217"/>
      <w:r>
        <w:rPr>
          <w:rtl w:val="true"/>
        </w:rPr>
        <w:t>حق ختان كامل ممتنع براى حاكم</w:t>
      </w:r>
      <w:bookmarkEnd w:id="221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حاكم شرع است ختان كامل ممتنع؛ و با فقدش، براى عدول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ضمان اتفاق تلف است مگر با تعدّى مباشر؛ و اگر در اوقات ظن به تلف، اين عمل را انجام داد، ضمان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خفض جاريه، ضمان است مگر با اذن كامله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بكارت زن، ضمان است مگر براى 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المقام بحمده تعالى، في آخر ذى الحجة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و الصلاة</w:t>
      </w:r>
    </w:p>
    <w:p>
      <w:pPr>
        <w:pStyle w:val="BookText"/>
        <w:rPr/>
      </w:pPr>
      <w:r>
        <w:rPr>
          <w:rFonts w:ascii="Amiri" w:hAnsi="Amiri" w:eastAsia="Amiri" w:cs="Amiri"/>
          <w:color w:val="111111"/>
          <w:sz w:val="28"/>
          <w:sz w:val="28"/>
          <w:szCs w:val="28"/>
          <w:rtl w:val="true"/>
          <w:lang w:bidi="ar-SA"/>
        </w:rPr>
        <w:t>علىٰ سيّد الأنبياء و آله سادة الأوصياء و اللعن علىٰ أعدائهم</w:t>
      </w:r>
    </w:p>
    <w:p>
      <w:pPr>
        <w:pStyle w:val="BookText"/>
        <w:rPr/>
      </w:pPr>
      <w:r>
        <w:rPr>
          <w:rFonts w:ascii="Amiri" w:hAnsi="Amiri" w:eastAsia="Amiri" w:cs="Amiri"/>
          <w:color w:val="111111"/>
          <w:sz w:val="28"/>
          <w:sz w:val="28"/>
          <w:szCs w:val="28"/>
          <w:rtl w:val="true"/>
          <w:lang w:bidi="ar-SA"/>
        </w:rPr>
        <w:t>المغضوب عليهم و الضالّين بيد العبد محمد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 بن محمود عفى عنهما</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9" w:name="pg10275_96796"/>
      <w:bookmarkStart w:id="2220" w:name="pg10275_96796"/>
      <w:bookmarkEnd w:id="2220"/>
    </w:p>
    <w:p>
      <w:pPr>
        <w:pStyle w:val="Heading2"/>
        <w:numPr>
          <w:ilvl w:val="1"/>
          <w:numId w:val="1"/>
        </w:numPr>
        <w:rPr/>
      </w:pPr>
      <w:bookmarkStart w:id="2221" w:name="pg10275_96796"/>
      <w:bookmarkStart w:id="2222" w:name="__RefHeading___Toc3972859_1067777946"/>
      <w:bookmarkStart w:id="2223" w:name="_Toc937"/>
      <w:bookmarkEnd w:id="2221"/>
      <w:bookmarkEnd w:id="2222"/>
      <w:r>
        <w:rPr>
          <w:rtl w:val="true"/>
        </w:rPr>
        <w:t>كتاب قصاص</w:t>
      </w:r>
      <w:bookmarkEnd w:id="2223"/>
    </w:p>
    <w:p>
      <w:pPr>
        <w:pStyle w:val="Heading3"/>
        <w:numPr>
          <w:ilvl w:val="2"/>
          <w:numId w:val="1"/>
        </w:numPr>
        <w:rPr/>
      </w:pPr>
      <w:bookmarkStart w:id="2224" w:name="__RefHeading___Toc3972861_1067777946"/>
      <w:bookmarkStart w:id="2225" w:name="_Toc938"/>
      <w:bookmarkEnd w:id="2224"/>
      <w:r>
        <w:rPr>
          <w:rtl w:val="true"/>
        </w:rPr>
        <w:t>اشاره</w:t>
      </w:r>
      <w:bookmarkEnd w:id="2225"/>
    </w:p>
    <w:p>
      <w:pPr>
        <w:pStyle w:val="BookText"/>
        <w:rPr/>
      </w:pPr>
      <w:r>
        <w:rPr>
          <w:rFonts w:ascii="Amiri" w:hAnsi="Amiri" w:eastAsia="Amiri" w:cs="Amiri"/>
          <w:color w:val="111111"/>
          <w:sz w:val="28"/>
          <w:sz w:val="28"/>
          <w:szCs w:val="28"/>
          <w:rtl w:val="true"/>
          <w:lang w:bidi="ar-SA"/>
        </w:rPr>
        <w:t>موجبات قصاص نفس و مراتب تسبيب عمدى قتل</w:t>
      </w:r>
    </w:p>
    <w:p>
      <w:pPr>
        <w:pStyle w:val="BookText"/>
        <w:rPr/>
      </w:pPr>
      <w:r>
        <w:rPr>
          <w:rFonts w:ascii="Amiri" w:hAnsi="Amiri" w:eastAsia="Amiri" w:cs="Amiri"/>
          <w:color w:val="111111"/>
          <w:sz w:val="28"/>
          <w:sz w:val="28"/>
          <w:szCs w:val="28"/>
          <w:rtl w:val="true"/>
          <w:lang w:bidi="ar-SA"/>
        </w:rPr>
        <w:t>اشتراك در قتل</w:t>
      </w:r>
    </w:p>
    <w:p>
      <w:pPr>
        <w:pStyle w:val="BookText"/>
        <w:rPr/>
      </w:pPr>
      <w:r>
        <w:rPr>
          <w:rFonts w:ascii="IRNazanin" w:hAnsi="IRNazanin" w:eastAsia="IRNazanin"/>
          <w:color w:val="111111"/>
          <w:sz w:val="28"/>
          <w:sz w:val="28"/>
          <w:szCs w:val="28"/>
          <w:rtl w:val="true"/>
          <w:lang w:bidi="fa-IR"/>
        </w:rPr>
        <w:t>شروط معتبره در قصاص</w:t>
      </w:r>
    </w:p>
    <w:p>
      <w:pPr>
        <w:pStyle w:val="BookText"/>
        <w:rPr/>
      </w:pPr>
      <w:r>
        <w:rPr>
          <w:rFonts w:ascii="Amiri" w:hAnsi="Amiri" w:eastAsia="Amiri" w:cs="Amiri"/>
          <w:color w:val="111111"/>
          <w:sz w:val="28"/>
          <w:sz w:val="28"/>
          <w:szCs w:val="28"/>
          <w:rtl w:val="true"/>
          <w:lang w:bidi="ar-SA"/>
        </w:rPr>
        <w:t>دعواى قتل و مُثبِت آن</w:t>
      </w:r>
    </w:p>
    <w:p>
      <w:pPr>
        <w:pStyle w:val="BookText"/>
        <w:rPr/>
      </w:pPr>
      <w:r>
        <w:rPr>
          <w:rFonts w:ascii="Amiri" w:hAnsi="Amiri" w:eastAsia="Amiri" w:cs="Amiri"/>
          <w:color w:val="111111"/>
          <w:sz w:val="28"/>
          <w:sz w:val="28"/>
          <w:szCs w:val="28"/>
          <w:rtl w:val="true"/>
          <w:lang w:bidi="ar-SA"/>
        </w:rPr>
        <w:t>كيفيّت استيفا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قصاص در طرف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6" w:name="pg10275_96799"/>
      <w:bookmarkStart w:id="2227" w:name="pg10275_96799"/>
      <w:bookmarkEnd w:id="2227"/>
    </w:p>
    <w:p>
      <w:pPr>
        <w:pStyle w:val="Heading3"/>
        <w:numPr>
          <w:ilvl w:val="2"/>
          <w:numId w:val="1"/>
        </w:numPr>
        <w:rPr/>
      </w:pPr>
      <w:bookmarkStart w:id="2228" w:name="pg10275_96799"/>
      <w:bookmarkStart w:id="2229" w:name="__RefHeading___Toc3972863_1067777946"/>
      <w:bookmarkStart w:id="2230" w:name="_Toc939"/>
      <w:bookmarkEnd w:id="2228"/>
      <w:bookmarkEnd w:id="2229"/>
      <w:r>
        <w:rPr>
          <w:rtl w:val="true"/>
        </w:rPr>
        <w:t>فصل اوّل موجبات قصاص نفس</w:t>
      </w:r>
      <w:bookmarkEnd w:id="2230"/>
    </w:p>
    <w:p>
      <w:pPr>
        <w:pStyle w:val="Heading4"/>
        <w:numPr>
          <w:ilvl w:val="3"/>
          <w:numId w:val="1"/>
        </w:numPr>
        <w:rPr/>
      </w:pPr>
      <w:bookmarkStart w:id="2231" w:name="__RefHeading___Toc3972865_1067777946"/>
      <w:bookmarkStart w:id="2232" w:name="_Toc940"/>
      <w:bookmarkEnd w:id="2231"/>
      <w:r>
        <w:rPr>
          <w:rtl w:val="true"/>
        </w:rPr>
        <w:t>اشاره</w:t>
      </w:r>
      <w:bookmarkEnd w:id="2232"/>
    </w:p>
    <w:p>
      <w:pPr>
        <w:pStyle w:val="BookText"/>
        <w:rPr/>
      </w:pPr>
      <w:r>
        <w:rPr>
          <w:rFonts w:ascii="Amiri" w:hAnsi="Amiri" w:eastAsia="Amiri" w:cs="Amiri"/>
          <w:color w:val="111111"/>
          <w:sz w:val="28"/>
          <w:sz w:val="28"/>
          <w:szCs w:val="28"/>
          <w:rtl w:val="true"/>
          <w:lang w:bidi="ar-SA"/>
        </w:rPr>
        <w:t>و مراتب تسبيب عمدى قتل</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انبيائه و آله سادة الاوصياء و اللعن على اعدائهم</w:t>
      </w:r>
    </w:p>
    <w:p>
      <w:pPr>
        <w:pStyle w:val="Heading4"/>
        <w:numPr>
          <w:ilvl w:val="3"/>
          <w:numId w:val="1"/>
        </w:numPr>
        <w:rPr/>
      </w:pPr>
      <w:bookmarkStart w:id="2233" w:name="__RefHeading___Toc3972867_1067777946"/>
      <w:bookmarkStart w:id="2234" w:name="_Toc941"/>
      <w:bookmarkEnd w:id="2233"/>
      <w:r>
        <w:rPr/>
        <w:t>1</w:t>
      </w:r>
      <w:r>
        <w:rPr>
          <w:rtl w:val="true"/>
        </w:rPr>
        <w:t xml:space="preserve">. </w:t>
      </w:r>
      <w:r>
        <w:rPr>
          <w:rtl w:val="true"/>
        </w:rPr>
        <w:t>موجبات قصاص نفس</w:t>
      </w:r>
      <w:bookmarkEnd w:id="2234"/>
    </w:p>
    <w:p>
      <w:pPr>
        <w:pStyle w:val="Heading5"/>
        <w:numPr>
          <w:ilvl w:val="4"/>
          <w:numId w:val="1"/>
        </w:numPr>
        <w:rPr/>
      </w:pPr>
      <w:bookmarkStart w:id="2235" w:name="__RefHeading___Toc3972869_1067777946"/>
      <w:bookmarkStart w:id="2236" w:name="_Toc942"/>
      <w:bookmarkEnd w:id="2235"/>
      <w:r>
        <w:rPr>
          <w:rtl w:val="true"/>
        </w:rPr>
        <w:t>اشاره</w:t>
      </w:r>
      <w:bookmarkEnd w:id="2236"/>
    </w:p>
    <w:p>
      <w:pPr>
        <w:pStyle w:val="BookText"/>
        <w:rPr/>
      </w:pPr>
      <w:r>
        <w:rPr>
          <w:rFonts w:ascii="IRNazanin" w:hAnsi="IRNazanin" w:eastAsia="IRNazanin"/>
          <w:color w:val="111111"/>
          <w:sz w:val="28"/>
          <w:sz w:val="28"/>
          <w:szCs w:val="28"/>
          <w:rtl w:val="true"/>
          <w:lang w:bidi="fa-IR"/>
        </w:rPr>
        <w:t>موجِب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ازهاق نفس معصومه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شرعاً مهدور الدم نباشد اگر چه مباشرت حاكم معتبر باشد مثل مرتد و زانى محصن و حربى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قاتل يا اعلى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 قاتل ذمّى نباشد، يا حرّ قاتل عبد، يا اب قاتل ابن، به خلاف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از روى عمد و عدوان باشد؛ و عمد صبى، و مجنون، و قاصد در موارد شبه عمد، معتبر نيست قصد آنها، و موجب قصاص نيست</w:t>
      </w:r>
      <w:r>
        <w:rPr>
          <w:rFonts w:eastAsia="IRNazanin" w:cs="IRNazanin"/>
          <w:color w:val="111111"/>
          <w:sz w:val="28"/>
          <w:szCs w:val="28"/>
          <w:rtl w:val="true"/>
          <w:lang w:bidi="fa-IR"/>
        </w:rPr>
        <w:t>.</w:t>
      </w:r>
    </w:p>
    <w:p>
      <w:pPr>
        <w:pStyle w:val="Heading5"/>
        <w:numPr>
          <w:ilvl w:val="4"/>
          <w:numId w:val="1"/>
        </w:numPr>
        <w:rPr/>
      </w:pPr>
      <w:bookmarkStart w:id="2237" w:name="__RefHeading___Toc3972871_1067777946"/>
      <w:bookmarkStart w:id="2238" w:name="_Toc943"/>
      <w:bookmarkEnd w:id="2237"/>
      <w:r>
        <w:rPr>
          <w:rtl w:val="true"/>
        </w:rPr>
        <w:t>تحقّق قتل عمد</w:t>
      </w:r>
      <w:bookmarkEnd w:id="223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مى شود عمدى كه معتبر است 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بالغ عاقل، قتل را به سببى كه غالباً قاتل است؛ و هم چنين با قصد اعمال سببى كه غالباً قاتل است اگر چه قصد قتل نداشته باشد بنا بر اظهر</w:t>
      </w:r>
      <w:r>
        <w:rPr>
          <w:rFonts w:eastAsia="IRNazanin" w:cs="IRNazanin"/>
          <w:color w:val="111111"/>
          <w:sz w:val="28"/>
          <w:szCs w:val="28"/>
          <w:rtl w:val="true"/>
          <w:lang w:bidi="fa-IR"/>
        </w:rPr>
        <w:t xml:space="preserve">. </w:t>
      </w:r>
      <w:bookmarkStart w:id="2239" w:name="pg10275_96801"/>
    </w:p>
    <w:p>
      <w:pPr>
        <w:pStyle w:val="BookText"/>
        <w:rPr/>
      </w:pPr>
      <w:bookmarkEnd w:id="2239"/>
      <w:r>
        <w:rPr>
          <w:rFonts w:ascii="IRNazanin" w:hAnsi="IRNazanin" w:eastAsia="IRNazanin"/>
          <w:color w:val="111111"/>
          <w:sz w:val="28"/>
          <w:sz w:val="28"/>
          <w:szCs w:val="28"/>
          <w:rtl w:val="true"/>
          <w:lang w:bidi="fa-IR"/>
        </w:rPr>
        <w:t>و لكن اگر قاصد قتل بود با سببى كه غالباً قاتل نبود و اتفاق افتاد قتل با آن، آيا موجب قصاص است يا نه‌؟ اظهر تحقق عمد موجب قصاص است نسبت به حكم واقعى، اگر چه در منازعه، منكر قصد، بر او جز يمين و ديه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قاصد قتل نبود و سبب، قاتل غالبى نبود، اتفاق افتاد ترتب قتل بر آن، اظهر انتفاى عمد و قصاص است، و ديه شبه عمد در آن ثابت است، مثل ضرب با سنگ ريزه يا چوب سبك و نحو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عمدى موجب قصاص است، چه مباشرى باشد چه تسبيبى به ايجاد سبب آن؛ و قتل غير عمدى موجب ديه است اگر چه تسبيبى باشد، با استناد موت به مباشر يا موجد سبب، به نحوى كه مذكور مى شود، إن شاء اللّٰه</w:t>
      </w:r>
      <w:r>
        <w:rPr>
          <w:rFonts w:eastAsia="IRNazanin" w:cs="IRNazanin"/>
          <w:color w:val="111111"/>
          <w:sz w:val="28"/>
          <w:szCs w:val="28"/>
          <w:rtl w:val="true"/>
          <w:lang w:bidi="fa-IR"/>
        </w:rPr>
        <w:t>.</w:t>
      </w:r>
    </w:p>
    <w:p>
      <w:pPr>
        <w:pStyle w:val="Heading5"/>
        <w:numPr>
          <w:ilvl w:val="4"/>
          <w:numId w:val="1"/>
        </w:numPr>
        <w:rPr/>
      </w:pPr>
      <w:bookmarkStart w:id="2240" w:name="__RefHeading___Toc3972873_1067777946"/>
      <w:bookmarkStart w:id="2241" w:name="_Toc944"/>
      <w:bookmarkEnd w:id="2240"/>
      <w:r>
        <w:rPr>
          <w:rtl w:val="true"/>
        </w:rPr>
        <w:t>چند نمونه از مباشرت عمديه در قتل</w:t>
      </w:r>
      <w:bookmarkEnd w:id="2241"/>
    </w:p>
    <w:p>
      <w:pPr>
        <w:pStyle w:val="BookText"/>
        <w:rPr/>
      </w:pPr>
      <w:r>
        <w:rPr>
          <w:rFonts w:ascii="IRNazanin" w:hAnsi="IRNazanin" w:eastAsia="IRNazanin"/>
          <w:color w:val="111111"/>
          <w:sz w:val="28"/>
          <w:sz w:val="28"/>
          <w:szCs w:val="28"/>
          <w:rtl w:val="true"/>
          <w:lang w:bidi="fa-IR"/>
        </w:rPr>
        <w:t>و از قبيل مباشرت عمديه است خفه كردن و سر بريدن و با شمشير زدن يا كارد يا سنگ ثقيلى و نحو اينها</w:t>
      </w:r>
      <w:r>
        <w:rPr>
          <w:rFonts w:eastAsia="IRNazanin" w:cs="IRNazanin"/>
          <w:color w:val="111111"/>
          <w:sz w:val="28"/>
          <w:szCs w:val="28"/>
          <w:rtl w:val="true"/>
          <w:lang w:bidi="fa-IR"/>
        </w:rPr>
        <w:t>.</w:t>
      </w:r>
    </w:p>
    <w:p>
      <w:pPr>
        <w:pStyle w:val="Heading4"/>
        <w:numPr>
          <w:ilvl w:val="3"/>
          <w:numId w:val="1"/>
        </w:numPr>
        <w:rPr/>
      </w:pPr>
      <w:bookmarkStart w:id="2242" w:name="__RefHeading___Toc3972875_1067777946"/>
      <w:bookmarkStart w:id="2243" w:name="_Toc945"/>
      <w:bookmarkEnd w:id="2242"/>
      <w:r>
        <w:rPr/>
        <w:t>2</w:t>
      </w:r>
      <w:r>
        <w:rPr>
          <w:rtl w:val="true"/>
        </w:rPr>
        <w:t xml:space="preserve">. </w:t>
      </w:r>
      <w:r>
        <w:rPr>
          <w:rtl w:val="true"/>
        </w:rPr>
        <w:t>مراتب تسبيب عمدى در قتل</w:t>
      </w:r>
      <w:bookmarkEnd w:id="2243"/>
    </w:p>
    <w:p>
      <w:pPr>
        <w:pStyle w:val="Heading5"/>
        <w:numPr>
          <w:ilvl w:val="4"/>
          <w:numId w:val="1"/>
        </w:numPr>
        <w:rPr/>
      </w:pPr>
      <w:bookmarkStart w:id="2244" w:name="__RefHeading___Toc3972877_1067777946"/>
      <w:bookmarkStart w:id="2245" w:name="_Toc946"/>
      <w:bookmarkEnd w:id="2244"/>
      <w:r>
        <w:rPr>
          <w:rtl w:val="true"/>
        </w:rPr>
        <w:t>اشاره</w:t>
      </w:r>
      <w:bookmarkEnd w:id="2245"/>
    </w:p>
    <w:p>
      <w:pPr>
        <w:pStyle w:val="BookText"/>
        <w:rPr/>
      </w:pPr>
      <w:r>
        <w:rPr>
          <w:rFonts w:ascii="Amiri" w:hAnsi="Amiri" w:eastAsia="Amiri" w:cs="Amiri"/>
          <w:color w:val="111111"/>
          <w:sz w:val="28"/>
          <w:sz w:val="28"/>
          <w:szCs w:val="28"/>
          <w:rtl w:val="true"/>
          <w:lang w:bidi="ar-SA"/>
        </w:rPr>
        <w:t>و تسبيب عمدى مراتبى دارد</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3972879_1067777946"/>
      <w:bookmarkStart w:id="2247" w:name="_Toc947"/>
      <w:bookmarkEnd w:id="2246"/>
      <w:r>
        <w:rPr>
          <w:rtl w:val="true"/>
        </w:rPr>
        <w:t>مرتبۀ اُولى</w:t>
      </w:r>
      <w:bookmarkEnd w:id="2247"/>
    </w:p>
    <w:p>
      <w:pPr>
        <w:pStyle w:val="Heading6"/>
        <w:numPr>
          <w:ilvl w:val="5"/>
          <w:numId w:val="1"/>
        </w:numPr>
        <w:rPr/>
      </w:pPr>
      <w:bookmarkStart w:id="2248" w:name="__RefHeading___Toc3972881_1067777946"/>
      <w:bookmarkStart w:id="2249" w:name="_Toc948"/>
      <w:bookmarkEnd w:id="2248"/>
      <w:r>
        <w:rPr>
          <w:rtl w:val="true"/>
        </w:rPr>
        <w:t>اشاره</w:t>
      </w:r>
      <w:bookmarkEnd w:id="2249"/>
    </w:p>
    <w:p>
      <w:pPr>
        <w:pStyle w:val="BookText"/>
        <w:rPr/>
      </w:pPr>
      <w:r>
        <w:rPr>
          <w:rFonts w:ascii="Amiri" w:hAnsi="Amiri" w:eastAsia="Amiri" w:cs="Amiri"/>
          <w:color w:val="111111"/>
          <w:sz w:val="28"/>
          <w:sz w:val="28"/>
          <w:szCs w:val="28"/>
          <w:rtl w:val="true"/>
          <w:lang w:bidi="ar-SA"/>
        </w:rPr>
        <w:t>از آن جمله انفراد جانى به تسبيب مُتلف است، و اين مرتبه اُولى است كه صور آن ذكر مى شود</w:t>
      </w:r>
      <w:r>
        <w:rPr>
          <w:rFonts w:eastAsia="Amiri" w:cs="Amiri" w:ascii="Amiri" w:hAnsi="Amiri"/>
          <w:color w:val="111111"/>
          <w:sz w:val="28"/>
          <w:szCs w:val="28"/>
          <w:rtl w:val="true"/>
          <w:lang w:bidi="ar-SA"/>
        </w:rPr>
        <w:t>:</w:t>
      </w:r>
    </w:p>
    <w:p>
      <w:pPr>
        <w:pStyle w:val="Heading6"/>
        <w:numPr>
          <w:ilvl w:val="5"/>
          <w:numId w:val="1"/>
        </w:numPr>
        <w:rPr/>
      </w:pPr>
      <w:bookmarkStart w:id="2250" w:name="__RefHeading___Toc3972883_1067777946"/>
      <w:bookmarkStart w:id="2251" w:name="_Toc949"/>
      <w:bookmarkEnd w:id="2250"/>
      <w:r>
        <w:rPr>
          <w:rtl w:val="true"/>
        </w:rPr>
        <w:t>صورت اوّل تيراندازى</w:t>
      </w:r>
      <w:bookmarkEnd w:id="2251"/>
    </w:p>
    <w:p>
      <w:pPr>
        <w:pStyle w:val="BookText"/>
        <w:rPr/>
      </w:pPr>
      <w:r>
        <w:rPr>
          <w:rFonts w:ascii="IRNazanin" w:hAnsi="IRNazanin" w:eastAsia="IRNazanin"/>
          <w:color w:val="111111"/>
          <w:sz w:val="28"/>
          <w:sz w:val="28"/>
          <w:szCs w:val="28"/>
          <w:rtl w:val="true"/>
          <w:lang w:bidi="fa-IR"/>
        </w:rPr>
        <w:t>و از تسبيب عمدى است تير انداختن به محل قتل غالبى اگر چه قاصد قتل نباشد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محل قتل نزند و اتفاقاً به محل قتل اصابت نمايد و مقتول بشود، يا آن كه به محل غير قتل بزند و اتفاقاً قتل واقع شود، اظهر عدم صدق قتل عمدى است</w:t>
      </w:r>
      <w:r>
        <w:rPr>
          <w:rFonts w:eastAsia="IRNazanin" w:cs="IRNazanin"/>
          <w:color w:val="111111"/>
          <w:sz w:val="28"/>
          <w:szCs w:val="28"/>
          <w:rtl w:val="true"/>
          <w:lang w:bidi="fa-IR"/>
        </w:rPr>
        <w:t xml:space="preserve">. </w:t>
      </w:r>
      <w:bookmarkStart w:id="2252" w:name="pg10275_96803"/>
    </w:p>
    <w:p>
      <w:pPr>
        <w:pStyle w:val="Heading6"/>
        <w:numPr>
          <w:ilvl w:val="5"/>
          <w:numId w:val="1"/>
        </w:numPr>
        <w:rPr/>
      </w:pPr>
      <w:bookmarkStart w:id="2253" w:name="__RefHeading___Toc3972885_1067777946"/>
      <w:bookmarkStart w:id="2254" w:name="_Toc950"/>
      <w:bookmarkEnd w:id="2252"/>
      <w:bookmarkEnd w:id="2253"/>
      <w:r>
        <w:rPr>
          <w:rtl w:val="true"/>
        </w:rPr>
        <w:t>صورت دوّم</w:t>
      </w:r>
      <w:bookmarkEnd w:id="2254"/>
    </w:p>
    <w:p>
      <w:pPr>
        <w:pStyle w:val="Heading6"/>
        <w:numPr>
          <w:ilvl w:val="5"/>
          <w:numId w:val="1"/>
        </w:numPr>
        <w:rPr/>
      </w:pPr>
      <w:bookmarkStart w:id="2255" w:name="__RefHeading___Toc3972887_1067777946"/>
      <w:bookmarkStart w:id="2256" w:name="_Toc951"/>
      <w:bookmarkEnd w:id="2255"/>
      <w:r>
        <w:rPr>
          <w:rtl w:val="true"/>
        </w:rPr>
        <w:t>نبودن قصد و غالبى نبودن زدن و آلت</w:t>
      </w:r>
      <w:bookmarkEnd w:id="2256"/>
    </w:p>
    <w:p>
      <w:pPr>
        <w:pStyle w:val="BookText"/>
        <w:rPr/>
      </w:pPr>
      <w:r>
        <w:rPr>
          <w:rFonts w:ascii="IRNazanin" w:hAnsi="IRNazanin" w:eastAsia="IRNazanin"/>
          <w:color w:val="111111"/>
          <w:sz w:val="28"/>
          <w:sz w:val="28"/>
          <w:szCs w:val="28"/>
          <w:rtl w:val="true"/>
          <w:lang w:bidi="fa-IR"/>
        </w:rPr>
        <w:t xml:space="preserve">و هم چنين اگر زدن و تكرار آن و آلت آن، قاتل غالبى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خصوصيات از قبيل ضعف بدن مضروب و زمان و مكان ضرب و محل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قتل نداشت، اتفاقاً بدون فاصله يا با آن، مقتول شد، قصاص نيست و ديه ثابت است، مگر آن كه معلوم باشد قصد يا ثابت بشود اگر چه با اعتراف باشد</w:t>
      </w:r>
      <w:r>
        <w:rPr>
          <w:rFonts w:eastAsia="IRNazanin" w:cs="IRNazanin"/>
          <w:color w:val="111111"/>
          <w:sz w:val="28"/>
          <w:szCs w:val="28"/>
          <w:rtl w:val="true"/>
          <w:lang w:bidi="fa-IR"/>
        </w:rPr>
        <w:t>.</w:t>
      </w:r>
    </w:p>
    <w:p>
      <w:pPr>
        <w:pStyle w:val="Heading6"/>
        <w:numPr>
          <w:ilvl w:val="5"/>
          <w:numId w:val="1"/>
        </w:numPr>
        <w:rPr/>
      </w:pPr>
      <w:bookmarkStart w:id="2257" w:name="__RefHeading___Toc3972889_1067777946"/>
      <w:bookmarkStart w:id="2258" w:name="_Toc952"/>
      <w:bookmarkEnd w:id="2257"/>
      <w:r>
        <w:rPr>
          <w:rtl w:val="true"/>
        </w:rPr>
        <w:t>مريض شدن در اثر زدن و فوت بعد از آن</w:t>
      </w:r>
      <w:bookmarkEnd w:id="2258"/>
    </w:p>
    <w:p>
      <w:pPr>
        <w:pStyle w:val="BookText"/>
        <w:rPr/>
      </w:pPr>
      <w:r>
        <w:rPr>
          <w:rFonts w:ascii="IRNazanin" w:hAnsi="IRNazanin" w:eastAsia="IRNazanin"/>
          <w:color w:val="111111"/>
          <w:sz w:val="28"/>
          <w:sz w:val="28"/>
          <w:szCs w:val="28"/>
          <w:rtl w:val="true"/>
          <w:lang w:bidi="fa-IR"/>
        </w:rPr>
        <w:t>و از اين بيان معلوم مى شود حكم صورتى كه در اثر ضرب، مريض شد و وفات كرد، كه با عدم غالبيت تعقب آن ضرب به مرض متّصل به وفات، ديه ثابت است مگر با قصد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صورت غلبۀ سرايت مُهلكه، از يكى از دو نحو قتل عمدى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غلبۀ اتلاف يا قصد اتلاف با نادر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نيست</w:t>
      </w:r>
      <w:r>
        <w:rPr>
          <w:rFonts w:eastAsia="Amiri" w:cs="Amiri" w:ascii="Amiri" w:hAnsi="Amiri"/>
          <w:color w:val="111111"/>
          <w:sz w:val="28"/>
          <w:szCs w:val="28"/>
          <w:rtl w:val="true"/>
          <w:lang w:bidi="ar-SA"/>
        </w:rPr>
        <w:t>.</w:t>
      </w:r>
    </w:p>
    <w:p>
      <w:pPr>
        <w:pStyle w:val="Heading6"/>
        <w:numPr>
          <w:ilvl w:val="5"/>
          <w:numId w:val="1"/>
        </w:numPr>
        <w:rPr/>
      </w:pPr>
      <w:bookmarkStart w:id="2259" w:name="__RefHeading___Toc3972891_1067777946"/>
      <w:bookmarkStart w:id="2260" w:name="_Toc953"/>
      <w:bookmarkEnd w:id="2259"/>
      <w:r>
        <w:rPr>
          <w:rtl w:val="true"/>
        </w:rPr>
        <w:t>حبس و منع از غذا و آب</w:t>
      </w:r>
      <w:bookmarkEnd w:id="2260"/>
    </w:p>
    <w:p>
      <w:pPr>
        <w:pStyle w:val="BookText"/>
        <w:rPr/>
      </w:pPr>
      <w:r>
        <w:rPr>
          <w:rFonts w:ascii="IRNazanin" w:hAnsi="IRNazanin" w:eastAsia="IRNazanin"/>
          <w:color w:val="111111"/>
          <w:sz w:val="28"/>
          <w:sz w:val="28"/>
          <w:szCs w:val="28"/>
          <w:rtl w:val="true"/>
          <w:lang w:bidi="fa-IR"/>
        </w:rPr>
        <w:t>و هم چنين حبس و منع از طعام و شراب در مدتى كه محبوس به حسب عادت تحمل آن را ندارد و تلف مى شود يا آن كه قصد اتلاف داشته باشد، موجب قصاص است؛ وگرنه اتفاقى و نادر باشد تعقب به موت، موجب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الحاق صورت احتمال غلبۀ اهلاك، به صورت علم است</w:t>
      </w:r>
      <w:r>
        <w:rPr>
          <w:rFonts w:eastAsia="IRNazanin" w:cs="IRNazanin"/>
          <w:color w:val="111111"/>
          <w:sz w:val="28"/>
          <w:szCs w:val="28"/>
          <w:rtl w:val="true"/>
          <w:lang w:bidi="fa-IR"/>
        </w:rPr>
        <w:t>.</w:t>
      </w:r>
    </w:p>
    <w:p>
      <w:pPr>
        <w:pStyle w:val="Heading6"/>
        <w:numPr>
          <w:ilvl w:val="5"/>
          <w:numId w:val="1"/>
        </w:numPr>
        <w:rPr/>
      </w:pPr>
      <w:bookmarkStart w:id="2261" w:name="__RefHeading___Toc3972893_1067777946"/>
      <w:bookmarkStart w:id="2262" w:name="_Toc954"/>
      <w:bookmarkEnd w:id="2261"/>
      <w:r>
        <w:rPr>
          <w:rtl w:val="true"/>
        </w:rPr>
        <w:t>صورت سوّم</w:t>
      </w:r>
      <w:bookmarkEnd w:id="2262"/>
    </w:p>
    <w:p>
      <w:pPr>
        <w:pStyle w:val="Heading6"/>
        <w:numPr>
          <w:ilvl w:val="5"/>
          <w:numId w:val="1"/>
        </w:numPr>
        <w:rPr/>
      </w:pPr>
      <w:bookmarkStart w:id="2263" w:name="__RefHeading___Toc3972895_1067777946"/>
      <w:bookmarkStart w:id="2264" w:name="_Toc955"/>
      <w:bookmarkEnd w:id="2263"/>
      <w:r>
        <w:rPr>
          <w:rtl w:val="true"/>
        </w:rPr>
        <w:t>انداختن در آتش</w:t>
      </w:r>
      <w:bookmarkEnd w:id="22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انداخت كسى را در آتش و وفات كرد، پس با عدم ميسوريت خروج مُنجى از سوختن،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ميسوريت آن و اختيار عدم خروج، ديۀ نفس ثابت است در صورت عدم استناد قتل به نفس بلكه در صورت عدم معلوميّت استناد قتل به </w:t>
      </w:r>
      <w:bookmarkStart w:id="2265" w:name="pg10275_96805"/>
    </w:p>
    <w:p>
      <w:pPr>
        <w:pStyle w:val="BookText"/>
        <w:rPr/>
      </w:pPr>
      <w:bookmarkEnd w:id="2265"/>
      <w:r>
        <w:rPr>
          <w:rFonts w:ascii="IRNazanin" w:hAnsi="IRNazanin" w:eastAsia="IRNazanin"/>
          <w:color w:val="111111"/>
          <w:sz w:val="28"/>
          <w:sz w:val="28"/>
          <w:szCs w:val="28"/>
          <w:rtl w:val="true"/>
          <w:lang w:bidi="fa-IR"/>
        </w:rPr>
        <w:t xml:space="preserve">تخاذل، وگرنه ضامن ديه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انتفاى قصاص، به واسطۀ عدم صدق تعمد است 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تخاذل ضامن، مشترك بين صورت تخاذل و قتل مُلقىٖ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به تخاذل و استناد قتل به نفس، نه قصاص ثابت است نه ديۀ نفس بلكه ديه مشترك چنان 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نشد خروج از آتش مگر به سوى آب غرق كننده پس غرق شد، اظهر ضمان نفس است، مثل آتش اخفّ و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محتمل بلكه مظنون است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از خروج از تأثير آتش در احراق مُهلِك مگر با قتل نفس كه اختيار اخفّ است در نظر قاتل اگر چه حرام باشد</w:t>
      </w:r>
      <w:r>
        <w:rPr>
          <w:rFonts w:eastAsia="IRNazanin" w:cs="IRNazanin"/>
          <w:color w:val="111111"/>
          <w:sz w:val="28"/>
          <w:szCs w:val="28"/>
          <w:rtl w:val="true"/>
          <w:lang w:bidi="fa-IR"/>
        </w:rPr>
        <w:t>.</w:t>
      </w:r>
    </w:p>
    <w:p>
      <w:pPr>
        <w:pStyle w:val="Heading6"/>
        <w:numPr>
          <w:ilvl w:val="5"/>
          <w:numId w:val="1"/>
        </w:numPr>
        <w:rPr/>
      </w:pPr>
      <w:bookmarkStart w:id="2266" w:name="__RefHeading___Toc3972897_1067777946"/>
      <w:bookmarkStart w:id="2267" w:name="_Toc956"/>
      <w:bookmarkEnd w:id="2266"/>
      <w:r>
        <w:rPr>
          <w:rtl w:val="true"/>
        </w:rPr>
        <w:t>انداختن در رود و نهر</w:t>
      </w:r>
      <w:bookmarkEnd w:id="2267"/>
    </w:p>
    <w:p>
      <w:pPr>
        <w:pStyle w:val="BookText"/>
        <w:rPr/>
      </w:pPr>
      <w:r>
        <w:rPr>
          <w:rFonts w:ascii="IRNazanin" w:hAnsi="IRNazanin" w:eastAsia="IRNazanin"/>
          <w:color w:val="111111"/>
          <w:sz w:val="28"/>
          <w:sz w:val="28"/>
          <w:szCs w:val="28"/>
          <w:rtl w:val="true"/>
          <w:lang w:bidi="fa-IR"/>
        </w:rPr>
        <w:t xml:space="preserve">و همچنين اگر در لُجّه انداخت، كه با عدم تمكن از خروج و با تعمد، قصاص است؛ و با عدم تعمد، ديۀ نفس است؛ و با علم به عدم خروج و به تخاذل، هيچ كدام نيست مگر ديه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القاى در آتش،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ديگرى غرق كرد با آن كه قاصد نجات از غرق بود، اقرب ضمان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قصد ديگرى تخليص از زيادتى تألم را، تأمل است در تعيين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حكم به عدم ضمان مُلقىٖ در صورت تخاذل مُلقىٰ‌، خالى از اشكال نيست، به جهت وجوب اخراج بر مُلقىٖ با قدرت؛ پس با تمكن از اخراج ممكن اگر ترك نمايد، اشتراك ترك او با تخاذل مُلقىٰ حاصل است و ضمان نصف بر مُلقىٖ ثابت است</w:t>
      </w:r>
      <w:r>
        <w:rPr>
          <w:rFonts w:eastAsia="IRNazanin" w:cs="IRNazanin"/>
          <w:color w:val="111111"/>
          <w:sz w:val="28"/>
          <w:szCs w:val="28"/>
          <w:rtl w:val="true"/>
          <w:lang w:bidi="fa-IR"/>
        </w:rPr>
        <w:t>.</w:t>
      </w:r>
    </w:p>
    <w:p>
      <w:pPr>
        <w:pStyle w:val="Heading6"/>
        <w:numPr>
          <w:ilvl w:val="5"/>
          <w:numId w:val="1"/>
        </w:numPr>
        <w:rPr/>
      </w:pPr>
      <w:bookmarkStart w:id="2268" w:name="__RefHeading___Toc3972899_1067777946"/>
      <w:bookmarkStart w:id="2269" w:name="_Toc957"/>
      <w:bookmarkEnd w:id="2268"/>
      <w:r>
        <w:rPr>
          <w:rtl w:val="true"/>
        </w:rPr>
        <w:t>سرايت كردن جرح به نفس</w:t>
      </w:r>
      <w:bookmarkEnd w:id="226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مجروح كرد پس سرايت كرد به نفس به واسطۀ ترك معالجه و مداواة ممكنه، پس احوط براى جارح، ضمان نفس است؛ بلكه ضمان نصف براى جارح با تمكن از معالجه واجب بر او، خالى از وجه نيست، و ضمان نصف ديگر موافق احتياط براى او است</w:t>
      </w:r>
      <w:r>
        <w:rPr>
          <w:rFonts w:eastAsia="IRNazanin" w:cs="IRNazanin"/>
          <w:color w:val="111111"/>
          <w:sz w:val="28"/>
          <w:szCs w:val="28"/>
          <w:rtl w:val="true"/>
          <w:lang w:bidi="fa-IR"/>
        </w:rPr>
        <w:t xml:space="preserve">. </w:t>
      </w:r>
      <w:bookmarkStart w:id="2270" w:name="pg10275_96807"/>
    </w:p>
    <w:p>
      <w:pPr>
        <w:pStyle w:val="Heading6"/>
        <w:numPr>
          <w:ilvl w:val="5"/>
          <w:numId w:val="1"/>
        </w:numPr>
        <w:rPr/>
      </w:pPr>
      <w:bookmarkStart w:id="2271" w:name="__RefHeading___Toc3972901_1067777946"/>
      <w:bookmarkStart w:id="2272" w:name="_Toc958"/>
      <w:bookmarkEnd w:id="2270"/>
      <w:bookmarkEnd w:id="2271"/>
      <w:r>
        <w:rPr>
          <w:rtl w:val="true"/>
        </w:rPr>
        <w:t>فوت بعد از حجامت</w:t>
      </w:r>
      <w:bookmarkEnd w:id="2272"/>
    </w:p>
    <w:p>
      <w:pPr>
        <w:pStyle w:val="BookText"/>
        <w:rPr/>
      </w:pPr>
      <w:r>
        <w:rPr>
          <w:rFonts w:ascii="IRNazanin" w:hAnsi="IRNazanin" w:eastAsia="IRNazanin"/>
          <w:color w:val="111111"/>
          <w:sz w:val="28"/>
          <w:sz w:val="28"/>
          <w:szCs w:val="28"/>
          <w:rtl w:val="true"/>
          <w:lang w:bidi="fa-IR"/>
        </w:rPr>
        <w:t>و در فصد حجّام اگر ترك شدّ لازم كرد تا وفات كرد به واسطۀ استمرار خروج دم، جارى است صورت تخاذل با تمكن از شدّ و حكم انتفاى ضمان يا ضمان نصف، و صورت عدم تمكن، با تعمّد و بدون آن، از قصاص در اول و ديۀ نفس در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فصد معالجه اى و عدوانى نيست مگر در اثم در دوّم، و ضمان مشترك بين مشدود و غير آن در تقدير عدم ضمان حجّام، زايد بر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سرايت جراحت به سبب ترك معالجه، جارى است آن چه مذكور شد از تعمد و عدم آن بدون تخاذل يا با تخاذل و احكام سه صورت</w:t>
      </w:r>
      <w:r>
        <w:rPr>
          <w:rFonts w:eastAsia="IRNazanin" w:cs="IRNazanin"/>
          <w:color w:val="111111"/>
          <w:sz w:val="28"/>
          <w:szCs w:val="28"/>
          <w:rtl w:val="true"/>
          <w:lang w:bidi="fa-IR"/>
        </w:rPr>
        <w:t>.</w:t>
      </w:r>
    </w:p>
    <w:p>
      <w:pPr>
        <w:pStyle w:val="Heading6"/>
        <w:numPr>
          <w:ilvl w:val="5"/>
          <w:numId w:val="1"/>
        </w:numPr>
        <w:rPr/>
      </w:pPr>
      <w:bookmarkStart w:id="2273" w:name="__RefHeading___Toc3972903_1067777946"/>
      <w:bookmarkStart w:id="2274" w:name="_Toc959"/>
      <w:bookmarkEnd w:id="2273"/>
      <w:r>
        <w:rPr>
          <w:rtl w:val="true"/>
        </w:rPr>
        <w:t>صورت چهارم سرايت جنايت عمديّه</w:t>
      </w:r>
      <w:bookmarkEnd w:id="2274"/>
    </w:p>
    <w:p>
      <w:pPr>
        <w:pStyle w:val="BookText"/>
        <w:rPr/>
      </w:pPr>
      <w:r>
        <w:rPr>
          <w:rFonts w:ascii="IRNazanin" w:hAnsi="IRNazanin" w:eastAsia="IRNazanin"/>
          <w:color w:val="111111"/>
          <w:sz w:val="28"/>
          <w:sz w:val="28"/>
          <w:szCs w:val="28"/>
          <w:rtl w:val="true"/>
          <w:lang w:bidi="fa-IR"/>
        </w:rPr>
        <w:t>سرايت جنايت عمديه اگر چه به مثل قطع يد باشد، موجب قصاص است در صورت قصد قتل با آن يا غلبه سرايت با آن جنايت به نحو مخصوص يا امكان معالجه و منع از سرايت براى خصوص جانى، و در غير اين صورت تأمل است</w:t>
      </w:r>
      <w:r>
        <w:rPr>
          <w:rFonts w:eastAsia="IRNazanin" w:cs="IRNazanin"/>
          <w:color w:val="111111"/>
          <w:sz w:val="28"/>
          <w:szCs w:val="28"/>
          <w:rtl w:val="true"/>
          <w:lang w:bidi="fa-IR"/>
        </w:rPr>
        <w:t>.</w:t>
      </w:r>
    </w:p>
    <w:p>
      <w:pPr>
        <w:pStyle w:val="Heading6"/>
        <w:numPr>
          <w:ilvl w:val="5"/>
          <w:numId w:val="1"/>
        </w:numPr>
        <w:rPr/>
      </w:pPr>
      <w:bookmarkStart w:id="2275" w:name="__RefHeading___Toc3972905_1067777946"/>
      <w:bookmarkStart w:id="2276" w:name="_Toc960"/>
      <w:bookmarkEnd w:id="2275"/>
      <w:r>
        <w:rPr>
          <w:rtl w:val="true"/>
        </w:rPr>
        <w:t>صورت پنجم</w:t>
      </w:r>
      <w:bookmarkEnd w:id="2276"/>
    </w:p>
    <w:p>
      <w:pPr>
        <w:pStyle w:val="Heading6"/>
        <w:numPr>
          <w:ilvl w:val="5"/>
          <w:numId w:val="1"/>
        </w:numPr>
        <w:rPr/>
      </w:pPr>
      <w:bookmarkStart w:id="2277" w:name="__RefHeading___Toc3972907_1067777946"/>
      <w:bookmarkStart w:id="2278" w:name="_Toc961"/>
      <w:bookmarkEnd w:id="2277"/>
      <w:r>
        <w:rPr>
          <w:rtl w:val="true"/>
        </w:rPr>
        <w:t>پرتاب خود از بالا روى كسى</w:t>
      </w:r>
      <w:bookmarkEnd w:id="2278"/>
    </w:p>
    <w:p>
      <w:pPr>
        <w:pStyle w:val="BookText"/>
        <w:rPr/>
      </w:pPr>
      <w:r>
        <w:rPr>
          <w:rFonts w:ascii="IRNazanin" w:hAnsi="IRNazanin" w:eastAsia="IRNazanin"/>
          <w:color w:val="111111"/>
          <w:sz w:val="28"/>
          <w:sz w:val="28"/>
          <w:szCs w:val="28"/>
          <w:rtl w:val="true"/>
          <w:lang w:bidi="fa-IR"/>
        </w:rPr>
        <w:t>اگر خود را از بلندى به پايين به روى كسى انداخت از روى عمد، به وضعى كه غالب، اهلاك پايينى بود يا آن كه قاصد قتل بود و هلاك شد، قصاص ثابت است، و ملقىٖ هلاك او هَدَر است؛ و اگر وقوع از روى عمد نبوده، خطأ يا شبه عمد است و در آن ديۀ مقتول كه بر او واقع شده است ثابت است با تفصيلى كه در ديات مذكور است</w:t>
      </w:r>
      <w:r>
        <w:rPr>
          <w:rFonts w:eastAsia="IRNazanin" w:cs="IRNazanin"/>
          <w:color w:val="111111"/>
          <w:sz w:val="28"/>
          <w:szCs w:val="28"/>
          <w:rtl w:val="true"/>
          <w:lang w:bidi="fa-IR"/>
        </w:rPr>
        <w:t>.</w:t>
      </w:r>
    </w:p>
    <w:p>
      <w:pPr>
        <w:pStyle w:val="Heading6"/>
        <w:numPr>
          <w:ilvl w:val="5"/>
          <w:numId w:val="1"/>
        </w:numPr>
        <w:rPr/>
      </w:pPr>
      <w:bookmarkStart w:id="2279" w:name="__RefHeading___Toc3972909_1067777946"/>
      <w:bookmarkStart w:id="2280" w:name="_Toc962"/>
      <w:bookmarkEnd w:id="2279"/>
      <w:r>
        <w:rPr>
          <w:rtl w:val="true"/>
        </w:rPr>
        <w:t>پرتاب شخصى روى شخص ديگر</w:t>
      </w:r>
      <w:bookmarkEnd w:id="228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القا كرد شخصى را روى ديگرى و هر دو هلاك شدند؛ هر كدام را قاصد قتل او بوده يا آن كه غالب، مقتول بودن آن به آن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ملقىٰ و چه ملقىٰ عليه </w:t>
      </w:r>
      <w:bookmarkStart w:id="2281" w:name="pg10275_96809"/>
    </w:p>
    <w:p>
      <w:pPr>
        <w:pStyle w:val="BookText"/>
        <w:rPr/>
      </w:pPr>
      <w:bookmarkEnd w:id="2281"/>
      <w:r>
        <w:rPr>
          <w:rFonts w:ascii="IRNazanin" w:hAnsi="IRNazanin" w:eastAsia="IRNazanin"/>
          <w:color w:val="111111"/>
          <w:sz w:val="28"/>
          <w:sz w:val="28"/>
          <w:szCs w:val="28"/>
          <w:rtl w:val="true"/>
          <w:lang w:bidi="fa-IR"/>
        </w:rPr>
        <w:t>و چه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به سبب او ثابت؛ و هر كدام فاقد اين دو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قصدى او ديۀ شبه عمد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به دفع، واقع بود، و پايينى مقصود در دفع نبوده، نسبت به پايينى خطأ محض است و ديۀ آن ثابت است؛ و نسبت به بالايى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صورت مذكوره ثابت است</w:t>
      </w:r>
      <w:r>
        <w:rPr>
          <w:rFonts w:eastAsia="IRNazanin" w:cs="IRNazanin"/>
          <w:color w:val="111111"/>
          <w:sz w:val="28"/>
          <w:szCs w:val="28"/>
          <w:rtl w:val="true"/>
          <w:lang w:bidi="fa-IR"/>
        </w:rPr>
        <w:t>.</w:t>
      </w:r>
    </w:p>
    <w:p>
      <w:pPr>
        <w:pStyle w:val="Heading6"/>
        <w:numPr>
          <w:ilvl w:val="5"/>
          <w:numId w:val="1"/>
        </w:numPr>
        <w:rPr/>
      </w:pPr>
      <w:bookmarkStart w:id="2282" w:name="__RefHeading___Toc3972911_1067777946"/>
      <w:bookmarkStart w:id="2283" w:name="_Toc963"/>
      <w:bookmarkEnd w:id="2282"/>
      <w:r>
        <w:rPr>
          <w:rtl w:val="true"/>
        </w:rPr>
        <w:t>دفاع از پياده در مقابل سواره</w:t>
      </w:r>
      <w:bookmarkEnd w:id="2283"/>
    </w:p>
    <w:p>
      <w:pPr>
        <w:pStyle w:val="BookText"/>
        <w:rPr/>
      </w:pPr>
      <w:r>
        <w:rPr>
          <w:rFonts w:ascii="IRNazanin" w:hAnsi="IRNazanin" w:eastAsia="IRNazanin"/>
          <w:color w:val="111111"/>
          <w:sz w:val="28"/>
          <w:sz w:val="28"/>
          <w:szCs w:val="28"/>
          <w:rtl w:val="true"/>
          <w:lang w:bidi="fa-IR"/>
        </w:rPr>
        <w:t xml:space="preserve">اگر راكبى مسّ نمود ماشيى را تا نزديك شد خطر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يا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اعلام يا در مكان و زمانى كه اعلام، مفيد نبود، پس دفاع كرد ماشى از خودش و زجر كرد مركوب او را، و بر زجر، مترتب شد موت يا جرحى بر راكب و يا دابّۀ او يا به هر دو، اقرب عدم ضمان زاجر است در صورت عدوان راكب به عدم اعلام يا تأخير آن يا عدم توقف تا رفع خطر با عدم عدوان ماشى در مشى در آن مكان خاص و زمان خاص</w:t>
      </w:r>
      <w:r>
        <w:rPr>
          <w:rFonts w:eastAsia="IRNazanin" w:cs="IRNazanin"/>
          <w:color w:val="111111"/>
          <w:sz w:val="28"/>
          <w:szCs w:val="28"/>
          <w:rtl w:val="true"/>
          <w:lang w:bidi="fa-IR"/>
        </w:rPr>
        <w:t>.</w:t>
      </w:r>
    </w:p>
    <w:p>
      <w:pPr>
        <w:pStyle w:val="Heading6"/>
        <w:numPr>
          <w:ilvl w:val="5"/>
          <w:numId w:val="1"/>
        </w:numPr>
        <w:rPr/>
      </w:pPr>
      <w:bookmarkStart w:id="2284" w:name="__RefHeading___Toc3972913_1067777946"/>
      <w:bookmarkStart w:id="2285" w:name="_Toc964"/>
      <w:bookmarkEnd w:id="2284"/>
      <w:r>
        <w:rPr>
          <w:rtl w:val="true"/>
        </w:rPr>
        <w:t>صورت ششم سحر</w:t>
      </w:r>
      <w:bookmarkEnd w:id="2285"/>
    </w:p>
    <w:p>
      <w:pPr>
        <w:pStyle w:val="BookText"/>
        <w:rPr/>
      </w:pPr>
      <w:r>
        <w:rPr>
          <w:rFonts w:ascii="IRNazanin" w:hAnsi="IRNazanin" w:eastAsia="IRNazanin"/>
          <w:color w:val="111111"/>
          <w:sz w:val="28"/>
          <w:sz w:val="28"/>
          <w:szCs w:val="28"/>
          <w:rtl w:val="true"/>
          <w:lang w:bidi="fa-IR"/>
        </w:rPr>
        <w:t xml:space="preserve">اقرب حقيقت داشتن سحر است؛ و با اقرار 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قصد قتل با آن يا غلبۀ قتل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ثابت مى شود، وگرنه شبه عمد است و ديه در آن ثابت است؛ و اگر اقرار بر خطأ كرد، ديه از مال خودش است مگر با تصديق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بيّنه ثابت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عدالت و خبرويت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اقرار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 هم محتمل است ثبوت با اعتراف به قتل با آن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كه مورد اعتراف يا شهادت، قتل به دعاى صالحين باشد كه يا كاذب است يا آن كه قاتل، فاعل مختار حكيم تعالى است، و بر هر تقدير، ضمان منتفى است</w:t>
      </w:r>
      <w:r>
        <w:rPr>
          <w:rFonts w:eastAsia="IRNazanin" w:cs="IRNazanin"/>
          <w:color w:val="111111"/>
          <w:sz w:val="28"/>
          <w:szCs w:val="28"/>
          <w:rtl w:val="true"/>
          <w:lang w:bidi="fa-IR"/>
        </w:rPr>
        <w:t>.</w:t>
      </w:r>
    </w:p>
    <w:p>
      <w:pPr>
        <w:pStyle w:val="Heading5"/>
        <w:numPr>
          <w:ilvl w:val="4"/>
          <w:numId w:val="1"/>
        </w:numPr>
        <w:rPr/>
      </w:pPr>
      <w:bookmarkStart w:id="2286" w:name="__RefHeading___Toc3972915_1067777946"/>
      <w:bookmarkStart w:id="2287" w:name="_Toc965"/>
      <w:bookmarkEnd w:id="2286"/>
      <w:r>
        <w:rPr>
          <w:rtl w:val="true"/>
        </w:rPr>
        <w:t>مرتبۀ ثانيه</w:t>
      </w:r>
      <w:bookmarkEnd w:id="2287"/>
    </w:p>
    <w:p>
      <w:pPr>
        <w:pStyle w:val="Heading6"/>
        <w:numPr>
          <w:ilvl w:val="5"/>
          <w:numId w:val="1"/>
        </w:numPr>
        <w:rPr/>
      </w:pPr>
      <w:bookmarkStart w:id="2288" w:name="__RefHeading___Toc3972917_1067777946"/>
      <w:bookmarkStart w:id="2289" w:name="_Toc966"/>
      <w:bookmarkEnd w:id="2288"/>
      <w:r>
        <w:rPr>
          <w:rtl w:val="true"/>
        </w:rPr>
        <w:t>اشاره</w:t>
      </w:r>
      <w:bookmarkEnd w:id="228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مراتب تسبيب، ضمّ مباشرت مجنىّ عليه است با موجد شرط يا سبب</w:t>
      </w:r>
      <w:r>
        <w:rPr>
          <w:rFonts w:eastAsia="Amiri" w:cs="Amiri" w:ascii="Amiri" w:hAnsi="Amiri"/>
          <w:color w:val="111111"/>
          <w:sz w:val="28"/>
          <w:szCs w:val="28"/>
          <w:rtl w:val="true"/>
          <w:lang w:bidi="ar-SA"/>
        </w:rPr>
        <w:t xml:space="preserve">. </w:t>
      </w:r>
      <w:bookmarkStart w:id="2290" w:name="pg10275_96811"/>
    </w:p>
    <w:p>
      <w:pPr>
        <w:pStyle w:val="Heading6"/>
        <w:numPr>
          <w:ilvl w:val="5"/>
          <w:numId w:val="1"/>
        </w:numPr>
        <w:rPr/>
      </w:pPr>
      <w:bookmarkStart w:id="2291" w:name="__RefHeading___Toc3972919_1067777946"/>
      <w:bookmarkStart w:id="2292" w:name="_Toc967"/>
      <w:bookmarkEnd w:id="2290"/>
      <w:bookmarkEnd w:id="2291"/>
      <w:r>
        <w:rPr>
          <w:rtl w:val="true"/>
        </w:rPr>
        <w:t>صورت اوّل</w:t>
      </w:r>
      <w:bookmarkEnd w:id="2292"/>
    </w:p>
    <w:p>
      <w:pPr>
        <w:pStyle w:val="Heading6"/>
        <w:numPr>
          <w:ilvl w:val="5"/>
          <w:numId w:val="1"/>
        </w:numPr>
        <w:rPr/>
      </w:pPr>
      <w:bookmarkStart w:id="2293" w:name="__RefHeading___Toc3972921_1067777946"/>
      <w:bookmarkStart w:id="2294" w:name="_Toc968"/>
      <w:bookmarkEnd w:id="2293"/>
      <w:r>
        <w:rPr>
          <w:rtl w:val="true"/>
        </w:rPr>
        <w:t>تقديم سم به آگاه به حال</w:t>
      </w:r>
      <w:bookmarkEnd w:id="2294"/>
    </w:p>
    <w:p>
      <w:pPr>
        <w:pStyle w:val="BookText"/>
        <w:rPr/>
      </w:pPr>
      <w:r>
        <w:rPr>
          <w:rFonts w:ascii="Amiri" w:hAnsi="Amiri" w:eastAsia="Amiri" w:cs="Amiri"/>
          <w:color w:val="111111"/>
          <w:sz w:val="28"/>
          <w:sz w:val="28"/>
          <w:szCs w:val="28"/>
          <w:rtl w:val="true"/>
          <w:lang w:bidi="ar-SA"/>
        </w:rPr>
        <w:t>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طعام مسموم براى مميّز عالم به حال، موجب قصاص يا ديه نيست؛ و مباشرت، اقوى از تسبيب است به ايجاد شرط مثل دادن كارد به قاتل نفس</w:t>
      </w:r>
      <w:r>
        <w:rPr>
          <w:rFonts w:eastAsia="Amiri" w:cs="Amiri" w:ascii="Amiri" w:hAnsi="Amiri"/>
          <w:color w:val="111111"/>
          <w:sz w:val="28"/>
          <w:szCs w:val="28"/>
          <w:rtl w:val="true"/>
          <w:lang w:bidi="ar-SA"/>
        </w:rPr>
        <w:t>.</w:t>
      </w:r>
    </w:p>
    <w:p>
      <w:pPr>
        <w:pStyle w:val="Heading6"/>
        <w:numPr>
          <w:ilvl w:val="5"/>
          <w:numId w:val="1"/>
        </w:numPr>
        <w:rPr/>
      </w:pPr>
      <w:bookmarkStart w:id="2295" w:name="__RefHeading___Toc3972923_1067777946"/>
      <w:bookmarkStart w:id="2296" w:name="_Toc969"/>
      <w:bookmarkEnd w:id="2295"/>
      <w:r>
        <w:rPr>
          <w:rtl w:val="true"/>
        </w:rPr>
        <w:t>تقديم به جاهل</w:t>
      </w:r>
      <w:bookmarkEnd w:id="2296"/>
    </w:p>
    <w:p>
      <w:pPr>
        <w:pStyle w:val="BookText"/>
        <w:rPr/>
      </w:pPr>
      <w:r>
        <w:rPr>
          <w:rFonts w:ascii="IRNazanin" w:hAnsi="IRNazanin" w:eastAsia="IRNazanin"/>
          <w:color w:val="111111"/>
          <w:sz w:val="28"/>
          <w:sz w:val="28"/>
          <w:szCs w:val="28"/>
          <w:rtl w:val="true"/>
          <w:lang w:bidi="fa-IR"/>
        </w:rPr>
        <w:t>و اگر عالم به حال نبود و احتمالى كه منشأ خاص عقلايى داشته باشد نداد و تناول كرد طعام مسموم را و وفات كرد، قصاص ثابت است با علم تقديم كننده به حال، يا آن چه به منزلۀ علم است در تحقق عمد، طعام از مال آكل يا حاضركننده يا مجموع بوده باشد يا اجنبى اگر چه مالك، راضى نبوده است با اذن مقدّم عالم به حال و مغروركننده آكل اگر چه عاصى باشد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جهل هر دو و عدم غرور، اظهر عدم ضمان مقدّم است ديه را؛ مثل عدم ضمان دافعِ غير در بئر محفور در طريق به عدوان با جهل دافع به آن، كه حافر، ضامن است چون سبب، اقوى است</w:t>
      </w:r>
      <w:r>
        <w:rPr>
          <w:rFonts w:eastAsia="IRNazanin" w:cs="IRNazanin"/>
          <w:color w:val="111111"/>
          <w:sz w:val="28"/>
          <w:szCs w:val="28"/>
          <w:rtl w:val="true"/>
          <w:lang w:bidi="fa-IR"/>
        </w:rPr>
        <w:t>.</w:t>
      </w:r>
    </w:p>
    <w:p>
      <w:pPr>
        <w:pStyle w:val="Heading6"/>
        <w:numPr>
          <w:ilvl w:val="5"/>
          <w:numId w:val="1"/>
        </w:numPr>
        <w:rPr/>
      </w:pPr>
      <w:bookmarkStart w:id="2297" w:name="__RefHeading___Toc3972925_1067777946"/>
      <w:bookmarkStart w:id="2298" w:name="_Toc970"/>
      <w:bookmarkEnd w:id="2297"/>
      <w:r>
        <w:rPr>
          <w:rtl w:val="true"/>
        </w:rPr>
        <w:t>اختلاف در جنس سم</w:t>
      </w:r>
      <w:bookmarkEnd w:id="2298"/>
    </w:p>
    <w:p>
      <w:pPr>
        <w:pStyle w:val="BookText"/>
        <w:rPr/>
      </w:pPr>
      <w:r>
        <w:rPr>
          <w:rFonts w:ascii="IRNazanin" w:hAnsi="IRNazanin" w:eastAsia="IRNazanin"/>
          <w:color w:val="111111"/>
          <w:sz w:val="28"/>
          <w:sz w:val="28"/>
          <w:szCs w:val="28"/>
          <w:rtl w:val="true"/>
          <w:lang w:bidi="fa-IR"/>
        </w:rPr>
        <w:t xml:space="preserve">اگر اختلاف شد در جنس سمّ يا قدر آن كه قاتل غالبى هست يا نه، پس با عدم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غالب است در طعام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ثابت است و از ولىّ مطالبه بيّنه بر قاتل بودن جنس يا قدر نمى شود، وگرنه ديه ثابت است؛ و با عدم غلبۀ قاتل بودن و اختلاف در قصد قتل، قول مقدّم طعام مقدَّم است و قصاص ثابت نيست</w:t>
      </w:r>
      <w:r>
        <w:rPr>
          <w:rFonts w:eastAsia="IRNazanin" w:cs="IRNazanin"/>
          <w:color w:val="111111"/>
          <w:sz w:val="28"/>
          <w:szCs w:val="28"/>
          <w:rtl w:val="true"/>
          <w:lang w:bidi="fa-IR"/>
        </w:rPr>
        <w:t>.</w:t>
      </w:r>
    </w:p>
    <w:p>
      <w:pPr>
        <w:pStyle w:val="Heading6"/>
        <w:numPr>
          <w:ilvl w:val="5"/>
          <w:numId w:val="1"/>
        </w:numPr>
        <w:rPr/>
      </w:pPr>
      <w:bookmarkStart w:id="2299" w:name="__RefHeading___Toc3972927_1067777946"/>
      <w:bookmarkStart w:id="2300" w:name="_Toc971"/>
      <w:bookmarkEnd w:id="2299"/>
      <w:r>
        <w:rPr>
          <w:rtl w:val="true"/>
        </w:rPr>
        <w:t>ضمان تقديم كنندۀ قاصد قتل</w:t>
      </w:r>
      <w:bookmarkEnd w:id="230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تقديم طعام مسموم، قصد قتل غير آكل داشت از روى اشتباه در تاريكى و نحو آن، ضامن ديۀ آكل است كه از روى خطأ محض مقتول است</w:t>
      </w:r>
      <w:r>
        <w:rPr>
          <w:rFonts w:eastAsia="IRNazanin" w:cs="IRNazanin"/>
          <w:color w:val="111111"/>
          <w:sz w:val="28"/>
          <w:szCs w:val="28"/>
          <w:rtl w:val="true"/>
          <w:lang w:bidi="fa-IR"/>
        </w:rPr>
        <w:t xml:space="preserve">. </w:t>
      </w:r>
      <w:bookmarkStart w:id="2301" w:name="pg10275_96813"/>
    </w:p>
    <w:p>
      <w:pPr>
        <w:pStyle w:val="Heading6"/>
        <w:numPr>
          <w:ilvl w:val="5"/>
          <w:numId w:val="1"/>
        </w:numPr>
        <w:rPr/>
      </w:pPr>
      <w:bookmarkStart w:id="2302" w:name="__RefHeading___Toc3972929_1067777946"/>
      <w:bookmarkStart w:id="2303" w:name="_Toc972"/>
      <w:bookmarkEnd w:id="2301"/>
      <w:bookmarkEnd w:id="2302"/>
      <w:r>
        <w:rPr>
          <w:rtl w:val="true"/>
        </w:rPr>
        <w:t>مسموم كنندۀ طعام صاحب منزل</w:t>
      </w:r>
      <w:bookmarkEnd w:id="2303"/>
    </w:p>
    <w:p>
      <w:pPr>
        <w:pStyle w:val="BookText"/>
        <w:rPr/>
      </w:pPr>
      <w:r>
        <w:rPr>
          <w:rFonts w:ascii="IRNazanin" w:hAnsi="IRNazanin" w:eastAsia="IRNazanin"/>
          <w:color w:val="111111"/>
          <w:sz w:val="28"/>
          <w:sz w:val="28"/>
          <w:szCs w:val="28"/>
          <w:rtl w:val="true"/>
          <w:lang w:bidi="fa-IR"/>
        </w:rPr>
        <w:t>و اگر طعام صاحب منزل را مسموم نمود، اظهر جريان او است مجراى تقديم طعام مسموم، كه با علم آكل، چيزى نيست بر مُلقىٖ‌، و با جهل او و علم مُلقىٖ قصاص است، و با جهل هر دو و عدم غرور، ضمان نيست مگر در مورد اثبات ديه كه مذكور در ديات است</w:t>
      </w:r>
      <w:r>
        <w:rPr>
          <w:rFonts w:eastAsia="IRNazanin" w:cs="IRNazanin"/>
          <w:color w:val="111111"/>
          <w:sz w:val="28"/>
          <w:szCs w:val="28"/>
          <w:rtl w:val="true"/>
          <w:lang w:bidi="fa-IR"/>
        </w:rPr>
        <w:t>.</w:t>
      </w:r>
    </w:p>
    <w:p>
      <w:pPr>
        <w:pStyle w:val="Heading6"/>
        <w:numPr>
          <w:ilvl w:val="5"/>
          <w:numId w:val="1"/>
        </w:numPr>
        <w:rPr/>
      </w:pPr>
      <w:bookmarkStart w:id="2304" w:name="__RefHeading___Toc3972931_1067777946"/>
      <w:bookmarkStart w:id="2305" w:name="_Toc973"/>
      <w:bookmarkEnd w:id="2304"/>
      <w:r>
        <w:rPr>
          <w:rtl w:val="true"/>
        </w:rPr>
        <w:t>مسموم نمودن طعام خود و اكل غير</w:t>
      </w:r>
      <w:bookmarkEnd w:id="2305"/>
    </w:p>
    <w:p>
      <w:pPr>
        <w:pStyle w:val="BookText"/>
        <w:rPr/>
      </w:pPr>
      <w:r>
        <w:rPr>
          <w:rFonts w:ascii="IRNazanin" w:hAnsi="IRNazanin" w:eastAsia="IRNazanin"/>
          <w:color w:val="111111"/>
          <w:sz w:val="28"/>
          <w:sz w:val="28"/>
          <w:szCs w:val="28"/>
          <w:rtl w:val="true"/>
          <w:lang w:bidi="fa-IR"/>
        </w:rPr>
        <w:t>اگر طعام خود را مسموم كرد و در منزل خودش گذاشت و شخصى بدون اذن، آن را تناول نمود، با استيذان در اصل دخول يا بدون آن، قصاص و ديه بر مُلقىٖ نيست؛ و هم چنين اگر قاصد دفاع منحصر مهاجم در خانه بود، چيزى بر دافع نيست؛ و در داخلى كه براى او جايز است اكل در بيوت جماعتى، تأمل است</w:t>
      </w:r>
      <w:r>
        <w:rPr>
          <w:rFonts w:eastAsia="IRNazanin" w:cs="IRNazanin"/>
          <w:color w:val="111111"/>
          <w:sz w:val="28"/>
          <w:szCs w:val="28"/>
          <w:rtl w:val="true"/>
          <w:lang w:bidi="fa-IR"/>
        </w:rPr>
        <w:t>.</w:t>
      </w:r>
    </w:p>
    <w:p>
      <w:pPr>
        <w:pStyle w:val="Heading6"/>
        <w:numPr>
          <w:ilvl w:val="5"/>
          <w:numId w:val="1"/>
        </w:numPr>
        <w:rPr/>
      </w:pPr>
      <w:bookmarkStart w:id="2306" w:name="__RefHeading___Toc3972933_1067777946"/>
      <w:bookmarkStart w:id="2307" w:name="_Toc974"/>
      <w:bookmarkEnd w:id="2306"/>
      <w:r>
        <w:rPr>
          <w:rtl w:val="true"/>
        </w:rPr>
        <w:t>قرار دادن سم در منزل آكل</w:t>
      </w:r>
      <w:bookmarkEnd w:id="2307"/>
    </w:p>
    <w:p>
      <w:pPr>
        <w:pStyle w:val="BookText"/>
        <w:rPr/>
      </w:pPr>
      <w:r>
        <w:rPr>
          <w:rFonts w:ascii="IRNazanin" w:hAnsi="IRNazanin" w:eastAsia="IRNazanin"/>
          <w:color w:val="111111"/>
          <w:sz w:val="28"/>
          <w:sz w:val="28"/>
          <w:szCs w:val="28"/>
          <w:rtl w:val="true"/>
          <w:lang w:bidi="fa-IR"/>
        </w:rPr>
        <w:t>و هم چنين اگر بعد از القاى سمّ‌، طعام را در منزل آكل گذاشت بدون شاهد اذن در أكل، و صاحب منزل بدون اشتباه و با علم بعدم ملك و اذن، آن را تناول نمود، مُلقىٖ بر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مشتبه بودن طعام به ملك صاحب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شباهت و نحو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ملحق به عمد،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قاتل بودن آن به حسب غالب با مقصود بودن قتل؛ و در غير آن، ديه است با استناد قتل به ملقىٖ‌، به نحوى كه در ديات مذكور است</w:t>
      </w:r>
      <w:r>
        <w:rPr>
          <w:rFonts w:eastAsia="IRNazanin" w:cs="IRNazanin"/>
          <w:color w:val="111111"/>
          <w:sz w:val="28"/>
          <w:szCs w:val="28"/>
          <w:rtl w:val="true"/>
          <w:lang w:bidi="fa-IR"/>
        </w:rPr>
        <w:t>.</w:t>
      </w:r>
    </w:p>
    <w:p>
      <w:pPr>
        <w:pStyle w:val="Heading6"/>
        <w:numPr>
          <w:ilvl w:val="5"/>
          <w:numId w:val="1"/>
        </w:numPr>
        <w:rPr/>
      </w:pPr>
      <w:bookmarkStart w:id="2308" w:name="__RefHeading___Toc3972935_1067777946"/>
      <w:bookmarkStart w:id="2309" w:name="_Toc975"/>
      <w:bookmarkEnd w:id="2308"/>
      <w:r>
        <w:rPr>
          <w:rtl w:val="true"/>
        </w:rPr>
        <w:t>صورت دوّم حفر نمودن چاه در طريق</w:t>
      </w:r>
      <w:bookmarkEnd w:id="2309"/>
    </w:p>
    <w:p>
      <w:pPr>
        <w:pStyle w:val="BookText"/>
        <w:rPr/>
      </w:pPr>
      <w:r>
        <w:rPr>
          <w:rFonts w:ascii="IRNazanin" w:hAnsi="IRNazanin" w:eastAsia="IRNazanin"/>
          <w:color w:val="111111"/>
          <w:sz w:val="28"/>
          <w:sz w:val="28"/>
          <w:szCs w:val="28"/>
          <w:rtl w:val="true"/>
          <w:lang w:bidi="fa-IR"/>
        </w:rPr>
        <w:t>اگر به عدوان، در طريق، حفر بئر عميق كرد كه قاتل غالبى است واقع در آن را، و ديگرى را دعوت به طرف آن كرد بدون اعلام و علم، پس قصاص ثابت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قصد قتل داشت بدون غلبۀ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bookmarkStart w:id="2310" w:name="pg10275_96815"/>
    </w:p>
    <w:p>
      <w:pPr>
        <w:pStyle w:val="BookText"/>
        <w:rPr/>
      </w:pPr>
      <w:bookmarkEnd w:id="2310"/>
      <w:r>
        <w:rPr>
          <w:rFonts w:ascii="IRNazanin" w:hAnsi="IRNazanin" w:eastAsia="IRNazanin"/>
          <w:color w:val="111111"/>
          <w:sz w:val="28"/>
          <w:sz w:val="28"/>
          <w:szCs w:val="28"/>
          <w:rtl w:val="true"/>
          <w:lang w:bidi="fa-IR"/>
        </w:rPr>
        <w:t>و اگر هيچ كدام نبود و مترتب شد بر ايقاع، مرض منتهى به موت، در آن تأمل در سرايت شبهه به مقام، جارى است؛ وگرنه ديه ثابت است با استناد قتل به حافر دعوت كننده، به نحو مذكور در ديات</w:t>
      </w:r>
      <w:r>
        <w:rPr>
          <w:rFonts w:eastAsia="IRNazanin" w:cs="IRNazanin"/>
          <w:color w:val="111111"/>
          <w:sz w:val="28"/>
          <w:szCs w:val="28"/>
          <w:rtl w:val="true"/>
          <w:lang w:bidi="fa-IR"/>
        </w:rPr>
        <w:t>.</w:t>
      </w:r>
    </w:p>
    <w:p>
      <w:pPr>
        <w:pStyle w:val="Heading6"/>
        <w:numPr>
          <w:ilvl w:val="5"/>
          <w:numId w:val="1"/>
        </w:numPr>
        <w:rPr/>
      </w:pPr>
      <w:bookmarkStart w:id="2311" w:name="__RefHeading___Toc3972937_1067777946"/>
      <w:bookmarkStart w:id="2312" w:name="_Toc976"/>
      <w:bookmarkEnd w:id="2311"/>
      <w:r>
        <w:rPr>
          <w:rtl w:val="true"/>
        </w:rPr>
        <w:t>صورت سوّم</w:t>
      </w:r>
      <w:bookmarkEnd w:id="2312"/>
    </w:p>
    <w:p>
      <w:pPr>
        <w:pStyle w:val="Heading6"/>
        <w:numPr>
          <w:ilvl w:val="5"/>
          <w:numId w:val="1"/>
        </w:numPr>
        <w:rPr/>
      </w:pPr>
      <w:bookmarkStart w:id="2313" w:name="__RefHeading___Toc3972939_1067777946"/>
      <w:bookmarkStart w:id="2314" w:name="_Toc977"/>
      <w:bookmarkEnd w:id="2313"/>
      <w:r>
        <w:rPr>
          <w:rtl w:val="true"/>
        </w:rPr>
        <w:t>معالجه نمودن مجروح خودش را با دواى مسموم</w:t>
      </w:r>
      <w:bookmarkEnd w:id="2314"/>
    </w:p>
    <w:p>
      <w:pPr>
        <w:pStyle w:val="BookText"/>
        <w:rPr/>
      </w:pPr>
      <w:r>
        <w:rPr>
          <w:rFonts w:ascii="IRNazanin" w:hAnsi="IRNazanin" w:eastAsia="IRNazanin"/>
          <w:color w:val="111111"/>
          <w:sz w:val="28"/>
          <w:sz w:val="28"/>
          <w:szCs w:val="28"/>
          <w:rtl w:val="true"/>
          <w:lang w:bidi="fa-IR"/>
        </w:rPr>
        <w:t xml:space="preserve">اگر مجروح كرد شخصى را، پس معالجه كرد خود را با دواى مسموم، پس اگر اوّلى مهلك بود و جز حركت مذبوحى باقى نمانده بود، اوّلى كه جارح بوده قاتل است و قصاص ثابت است؛ و اگر اوّلى مهلك نبوده و دواى خاص متلف بوده پس اوّلى جارح و خودش قاتل است، قصاص و ديۀ نفس منتفى است، و ولىّ مى تواند از جارح، قصاص نمايد در محل قصاص وگرنه ديه يا ارش جراحت را مى گيرد؛ و اگر دوّمى هم متلف نبود و غالب در آن سلامت بود و اتفاق افتاد هلاك با آن به تنهايى بلكه هلاك مستند به مجموع جرح و سقى بوده، مقابل فعل مجروح از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است و نصف، بر جارح، ثابت است، و مى تواند ولىّ ردّ نصف ديه به جارح نمايد و قصاص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ساير موارد اشتراك در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دواى متلف نبود مگر به حسب غلبه، و اتلاف، مستند به مجموع جرح و مداوات بود، به مقتضاى شركت بين دو جانى قصاص از جارح مى شود بعد از ردّ نصف ديه به او</w:t>
      </w:r>
      <w:r>
        <w:rPr>
          <w:rFonts w:eastAsia="IRNazanin" w:cs="IRNazanin"/>
          <w:color w:val="111111"/>
          <w:sz w:val="28"/>
          <w:szCs w:val="28"/>
          <w:rtl w:val="true"/>
          <w:lang w:bidi="fa-IR"/>
        </w:rPr>
        <w:t>.</w:t>
      </w:r>
    </w:p>
    <w:p>
      <w:pPr>
        <w:pStyle w:val="Heading6"/>
        <w:numPr>
          <w:ilvl w:val="5"/>
          <w:numId w:val="1"/>
        </w:numPr>
        <w:rPr/>
      </w:pPr>
      <w:bookmarkStart w:id="2315" w:name="__RefHeading___Toc3972941_1067777946"/>
      <w:bookmarkStart w:id="2316" w:name="_Toc978"/>
      <w:bookmarkEnd w:id="2315"/>
      <w:r>
        <w:rPr>
          <w:rtl w:val="true"/>
        </w:rPr>
        <w:t>عفونت نمودن محل جرّاحى</w:t>
      </w:r>
      <w:bookmarkEnd w:id="231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سقى دواى مسموم است، خياطت محل جراحت در موضعى كه احساس دارد پس سرايت نمايد و موجب قتل بشود، از حيث جريان اقسام مذكوره و احكام آنها از مهلك بودن خياطت و نبودن و تفصيل قصاص يا ديه كه با مهلك بودن خياطت، قصاص نيست؛ وگرنه قصاص هست بعد از ردّ نصف ديه به نحو مذكور</w:t>
      </w:r>
      <w:r>
        <w:rPr>
          <w:rFonts w:eastAsia="IRNazanin" w:cs="IRNazanin"/>
          <w:color w:val="111111"/>
          <w:sz w:val="28"/>
          <w:szCs w:val="28"/>
          <w:rtl w:val="true"/>
          <w:lang w:bidi="fa-IR"/>
        </w:rPr>
        <w:t xml:space="preserve">. </w:t>
      </w:r>
      <w:bookmarkStart w:id="2317" w:name="pg10275_96817"/>
    </w:p>
    <w:p>
      <w:pPr>
        <w:pStyle w:val="Heading5"/>
        <w:numPr>
          <w:ilvl w:val="4"/>
          <w:numId w:val="1"/>
        </w:numPr>
        <w:rPr/>
      </w:pPr>
      <w:bookmarkStart w:id="2318" w:name="__RefHeading___Toc3972943_1067777946"/>
      <w:bookmarkStart w:id="2319" w:name="_Toc979"/>
      <w:bookmarkEnd w:id="2317"/>
      <w:bookmarkEnd w:id="2318"/>
      <w:r>
        <w:rPr>
          <w:rtl w:val="true"/>
        </w:rPr>
        <w:t>مرتبۀ ثالثه انضمام مباشرت حيوان با فعل شخص قاتل</w:t>
      </w:r>
      <w:bookmarkEnd w:id="2319"/>
    </w:p>
    <w:p>
      <w:pPr>
        <w:pStyle w:val="Heading6"/>
        <w:numPr>
          <w:ilvl w:val="5"/>
          <w:numId w:val="1"/>
        </w:numPr>
        <w:rPr/>
      </w:pPr>
      <w:bookmarkStart w:id="2320" w:name="__RefHeading___Toc3972945_1067777946"/>
      <w:bookmarkStart w:id="2321" w:name="_Toc980"/>
      <w:bookmarkEnd w:id="2320"/>
      <w:r>
        <w:rPr>
          <w:rtl w:val="true"/>
        </w:rPr>
        <w:t>صورت اوّل انداختن كسى در دريا و بلعيده شدن وى</w:t>
      </w:r>
      <w:bookmarkEnd w:id="2321"/>
    </w:p>
    <w:p>
      <w:pPr>
        <w:pStyle w:val="BookText"/>
        <w:rPr/>
      </w:pPr>
      <w:r>
        <w:rPr>
          <w:rFonts w:ascii="IRNazanin" w:hAnsi="IRNazanin" w:eastAsia="IRNazanin"/>
          <w:color w:val="111111"/>
          <w:sz w:val="28"/>
          <w:sz w:val="28"/>
          <w:szCs w:val="28"/>
          <w:rtl w:val="true"/>
          <w:lang w:bidi="fa-IR"/>
        </w:rPr>
        <w:t xml:space="preserve">اگر كسى را انداخت در دريا، و قبل از وصول به آن يا بعد از وصول و قبل از غرق، ماهى او را بلع كرد و هلاك كرد، پس با قصد اهلاك و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تعدد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هست؛ و با قصد واحد متعلق به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بحيثى كه اگر مى دانست، در آن وقت و مكان القا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نيست و ديه ثابت است؛ و اگر مقصود، القاى به سوى ماهى براى بلع بود، پس مثل القاى به سوى سبع براى دريدن است در ثبوت قصاص</w:t>
      </w:r>
      <w:r>
        <w:rPr>
          <w:rFonts w:eastAsia="IRNazanin" w:cs="IRNazanin"/>
          <w:color w:val="111111"/>
          <w:sz w:val="28"/>
          <w:szCs w:val="28"/>
          <w:rtl w:val="true"/>
          <w:lang w:bidi="fa-IR"/>
        </w:rPr>
        <w:t>.</w:t>
      </w:r>
    </w:p>
    <w:p>
      <w:pPr>
        <w:pStyle w:val="Heading6"/>
        <w:numPr>
          <w:ilvl w:val="5"/>
          <w:numId w:val="1"/>
        </w:numPr>
        <w:rPr/>
      </w:pPr>
      <w:bookmarkStart w:id="2322" w:name="__RefHeading___Toc3972947_1067777946"/>
      <w:bookmarkStart w:id="2323" w:name="_Toc981"/>
      <w:bookmarkEnd w:id="2322"/>
      <w:r>
        <w:rPr>
          <w:rtl w:val="true"/>
        </w:rPr>
        <w:t>صورت دوّم وادار نمودن سگ براى حمله</w:t>
      </w:r>
      <w:bookmarkEnd w:id="2323"/>
    </w:p>
    <w:p>
      <w:pPr>
        <w:pStyle w:val="BookText"/>
        <w:rPr/>
      </w:pPr>
      <w:r>
        <w:rPr>
          <w:rFonts w:ascii="IRNazanin" w:hAnsi="IRNazanin" w:eastAsia="IRNazanin"/>
          <w:color w:val="111111"/>
          <w:sz w:val="28"/>
          <w:sz w:val="28"/>
          <w:szCs w:val="28"/>
          <w:rtl w:val="true"/>
          <w:lang w:bidi="fa-IR"/>
        </w:rPr>
        <w:t>اگر سگى را وادار كرد به حمله كردن بر شخصى و گيرنده و كُشنده بود يا آن كه قصد قتل داشت، پس او را مقتول نمود، قصاص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كُشنده نبود به حسب غالب، و با گزيدن آن مريض شد تا هلاك شد، گذشت تأمل در سرايت غير غالبه و تأمل در قصاص يا ديه قتل تسبيبى</w:t>
      </w:r>
      <w:r>
        <w:rPr>
          <w:rFonts w:eastAsia="IRNazanin" w:cs="IRNazanin"/>
          <w:color w:val="111111"/>
          <w:sz w:val="28"/>
          <w:szCs w:val="28"/>
          <w:rtl w:val="true"/>
          <w:lang w:bidi="fa-IR"/>
        </w:rPr>
        <w:t>.</w:t>
      </w:r>
    </w:p>
    <w:p>
      <w:pPr>
        <w:pStyle w:val="Heading6"/>
        <w:numPr>
          <w:ilvl w:val="5"/>
          <w:numId w:val="1"/>
        </w:numPr>
        <w:rPr/>
      </w:pPr>
      <w:bookmarkStart w:id="2324" w:name="__RefHeading___Toc3972949_1067777946"/>
      <w:bookmarkStart w:id="2325" w:name="_Toc982"/>
      <w:bookmarkEnd w:id="2324"/>
      <w:r>
        <w:rPr>
          <w:rtl w:val="true"/>
        </w:rPr>
        <w:t>صورت سوّم انداختن مار گزنده</w:t>
      </w:r>
      <w:bookmarkEnd w:id="232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مار گزندۀ را انداخت بر بدن كسى به هر نحوى باشد، پس او را گزيد و كشت، قصاص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قصد قتل اگر وضع آن مار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سرايت غير غالبه و غير مقصوده، مورد تأمل است</w:t>
      </w:r>
      <w:r>
        <w:rPr>
          <w:rFonts w:eastAsia="IRNazanin" w:cs="IRNazanin"/>
          <w:color w:val="111111"/>
          <w:sz w:val="28"/>
          <w:szCs w:val="28"/>
          <w:rtl w:val="true"/>
          <w:lang w:bidi="fa-IR"/>
        </w:rPr>
        <w:t xml:space="preserve">. </w:t>
      </w:r>
      <w:bookmarkStart w:id="2326" w:name="pg10275_96819"/>
    </w:p>
    <w:p>
      <w:pPr>
        <w:pStyle w:val="Heading6"/>
        <w:numPr>
          <w:ilvl w:val="5"/>
          <w:numId w:val="1"/>
        </w:numPr>
        <w:rPr/>
      </w:pPr>
      <w:bookmarkStart w:id="2327" w:name="__RefHeading___Toc3972951_1067777946"/>
      <w:bookmarkStart w:id="2328" w:name="_Toc983"/>
      <w:bookmarkEnd w:id="2326"/>
      <w:bookmarkEnd w:id="2327"/>
      <w:r>
        <w:rPr>
          <w:rtl w:val="true"/>
        </w:rPr>
        <w:t>صورت چهارم ايجاد جرح و تعاقب آن به جرح درنده</w:t>
      </w:r>
      <w:bookmarkEnd w:id="2328"/>
    </w:p>
    <w:p>
      <w:pPr>
        <w:pStyle w:val="BookText"/>
        <w:rPr/>
      </w:pPr>
      <w:r>
        <w:rPr>
          <w:rFonts w:ascii="IRNazanin" w:hAnsi="IRNazanin" w:eastAsia="IRNazanin"/>
          <w:color w:val="111111"/>
          <w:sz w:val="28"/>
          <w:sz w:val="28"/>
          <w:szCs w:val="28"/>
          <w:rtl w:val="true"/>
          <w:lang w:bidi="fa-IR"/>
        </w:rPr>
        <w:t xml:space="preserve">اگر مجروح كرد، پس از آن درنده اى جراحت ديگرى وارد كرد و سرايت كردند و با مجموع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به نحو متقدم ساقط نمى شود، يعنى نصف ديه را به او ردّ مى نمايند و قصاص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گزيدن مارى هم شركت داشت همچنين دو ثلث ديه را ردّ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عفو بر ديه شد، بر او است نصف ديه در فرض اول و ثلث آن در 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پدر مقتول، شريك بود، قصاص از اجنبى با ردّ نصف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مأخوذ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عبد و حرّى شريك شدند در قتل عبدى، قصاص از بنده مى شود با ردّ نصف قيمت كه مأخوذ از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كدام از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نصف ديه يا قيمت، مأخوذ مى شود در صورت عفو ولىّ با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صورت اشتراك مخطى و عامد، از مخطى يا عاقلۀ او نصف، مأخوذ مى شود و به عامد كه از او قصاص مى شود ردّ مى شود؛ و اگر عفو بر ديه شد، از عامد، نصف، مأخوذ مى شود</w:t>
      </w:r>
      <w:r>
        <w:rPr>
          <w:rFonts w:eastAsia="IRNazanin" w:cs="IRNazanin"/>
          <w:color w:val="111111"/>
          <w:sz w:val="28"/>
          <w:szCs w:val="28"/>
          <w:rtl w:val="true"/>
          <w:lang w:bidi="fa-IR"/>
        </w:rPr>
        <w:t>.</w:t>
      </w:r>
    </w:p>
    <w:p>
      <w:pPr>
        <w:pStyle w:val="Heading6"/>
        <w:numPr>
          <w:ilvl w:val="5"/>
          <w:numId w:val="1"/>
        </w:numPr>
        <w:rPr/>
      </w:pPr>
      <w:bookmarkStart w:id="2329" w:name="__RefHeading___Toc3972953_1067777946"/>
      <w:bookmarkStart w:id="2330" w:name="_Toc984"/>
      <w:bookmarkEnd w:id="2329"/>
      <w:r>
        <w:rPr>
          <w:rtl w:val="true"/>
        </w:rPr>
        <w:t>صورت پنجم انداختن كسى با دست بسته جلوى شير</w:t>
      </w:r>
      <w:bookmarkEnd w:id="233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را دست بسته انداخت در مسبعه اى مثلاً، اظهر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قصد قتل داشته باشد كافى است احتمال تعقب به افتراس اگر چه معرضيّت غالبيه براى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تعقب به جرح شير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قاتل لكن به سرايت آن هلاك شد، تأمل سابق در سرايت غير غالبيه جارى است؛ و اگر قصاص نباشد ديه ثابت است</w:t>
      </w:r>
      <w:r>
        <w:rPr>
          <w:rFonts w:eastAsia="IRNazanin" w:cs="IRNazanin"/>
          <w:color w:val="111111"/>
          <w:sz w:val="28"/>
          <w:szCs w:val="28"/>
          <w:rtl w:val="true"/>
          <w:lang w:bidi="fa-IR"/>
        </w:rPr>
        <w:t xml:space="preserve">. </w:t>
      </w:r>
      <w:bookmarkStart w:id="2331" w:name="pg10275_96821"/>
    </w:p>
    <w:p>
      <w:pPr>
        <w:pStyle w:val="Heading5"/>
        <w:numPr>
          <w:ilvl w:val="4"/>
          <w:numId w:val="1"/>
        </w:numPr>
        <w:rPr/>
      </w:pPr>
      <w:bookmarkStart w:id="2332" w:name="__RefHeading___Toc3972955_1067777946"/>
      <w:bookmarkStart w:id="2333" w:name="_Toc985"/>
      <w:bookmarkEnd w:id="2331"/>
      <w:bookmarkEnd w:id="2332"/>
      <w:r>
        <w:rPr>
          <w:rtl w:val="true"/>
        </w:rPr>
        <w:t>مرتبۀ رابعه در انضمام مباشرت انسانى با جانى</w:t>
      </w:r>
      <w:bookmarkEnd w:id="2333"/>
    </w:p>
    <w:p>
      <w:pPr>
        <w:pStyle w:val="Heading6"/>
        <w:numPr>
          <w:ilvl w:val="5"/>
          <w:numId w:val="1"/>
        </w:numPr>
        <w:rPr/>
      </w:pPr>
      <w:bookmarkStart w:id="2334" w:name="__RefHeading___Toc3972957_1067777946"/>
      <w:bookmarkStart w:id="2335" w:name="_Toc986"/>
      <w:bookmarkEnd w:id="2334"/>
      <w:r>
        <w:rPr>
          <w:rtl w:val="true"/>
        </w:rPr>
        <w:t>صورت اوّل</w:t>
      </w:r>
      <w:bookmarkEnd w:id="2335"/>
    </w:p>
    <w:p>
      <w:pPr>
        <w:pStyle w:val="Heading6"/>
        <w:numPr>
          <w:ilvl w:val="5"/>
          <w:numId w:val="1"/>
        </w:numPr>
        <w:rPr/>
      </w:pPr>
      <w:bookmarkStart w:id="2336" w:name="__RefHeading___Toc3972959_1067777946"/>
      <w:bookmarkStart w:id="2337" w:name="_Toc987"/>
      <w:bookmarkEnd w:id="2336"/>
      <w:r>
        <w:rPr>
          <w:rtl w:val="true"/>
        </w:rPr>
        <w:t>تعقّب دفع شخصى در چاه بر حفر ديگرى</w:t>
      </w:r>
      <w:bookmarkEnd w:id="2337"/>
    </w:p>
    <w:p>
      <w:pPr>
        <w:pStyle w:val="BookText"/>
        <w:rPr/>
      </w:pPr>
      <w:r>
        <w:rPr>
          <w:rFonts w:ascii="IRNazanin" w:hAnsi="IRNazanin" w:eastAsia="IRNazanin"/>
          <w:color w:val="111111"/>
          <w:sz w:val="28"/>
          <w:sz w:val="28"/>
          <w:szCs w:val="28"/>
          <w:rtl w:val="true"/>
          <w:lang w:bidi="fa-IR"/>
        </w:rPr>
        <w:t>اگر حفر نمود چاهى را پس واقع شد در آن شخصى بوسيله دفع ثالث، قاتل، دافع است نه حافر</w:t>
      </w:r>
      <w:r>
        <w:rPr>
          <w:rFonts w:eastAsia="IRNazanin" w:cs="IRNazanin"/>
          <w:color w:val="111111"/>
          <w:sz w:val="28"/>
          <w:szCs w:val="28"/>
          <w:rtl w:val="true"/>
          <w:lang w:bidi="fa-IR"/>
        </w:rPr>
        <w:t>.</w:t>
      </w:r>
    </w:p>
    <w:p>
      <w:pPr>
        <w:pStyle w:val="Heading6"/>
        <w:numPr>
          <w:ilvl w:val="5"/>
          <w:numId w:val="1"/>
        </w:numPr>
        <w:rPr/>
      </w:pPr>
      <w:bookmarkStart w:id="2338" w:name="__RefHeading___Toc3972961_1067777946"/>
      <w:bookmarkStart w:id="2339" w:name="_Toc988"/>
      <w:bookmarkEnd w:id="2338"/>
      <w:r>
        <w:rPr>
          <w:rtl w:val="true"/>
        </w:rPr>
        <w:t>قتل كسى بعد از انداختن ديگرى وى را</w:t>
      </w:r>
      <w:bookmarkEnd w:id="2339"/>
    </w:p>
    <w:p>
      <w:pPr>
        <w:pStyle w:val="BookText"/>
        <w:rPr/>
      </w:pPr>
      <w:r>
        <w:rPr>
          <w:rFonts w:ascii="IRNazanin" w:hAnsi="IRNazanin" w:eastAsia="IRNazanin"/>
          <w:color w:val="111111"/>
          <w:sz w:val="28"/>
          <w:sz w:val="28"/>
          <w:szCs w:val="28"/>
          <w:rtl w:val="true"/>
          <w:lang w:bidi="fa-IR"/>
        </w:rPr>
        <w:t>و هم چنين اگر از بلندى كسى را انداخت به سوى پايين، در اثنا، ثالثى بدن او را با شمشيرى قطع نمود و به قتل رسانيد، قاتل، ثالث است نه مُسقط؛ مگر آن كه قصد قتل به إلقا داشته يا آن كه در آن موضع، غلبۀ قتل بوده و طرف، غير عاقل بوده، كه قصاص بر مُلقىٖ است، و طرف اگر ضامن ديه بود نصف را ردّ به مُلقىٖ مى نمود وگرنه مثل القا در دهان درنده است</w:t>
      </w:r>
      <w:r>
        <w:rPr>
          <w:rFonts w:eastAsia="IRNazanin" w:cs="IRNazanin"/>
          <w:color w:val="111111"/>
          <w:sz w:val="28"/>
          <w:szCs w:val="28"/>
          <w:rtl w:val="true"/>
          <w:lang w:bidi="fa-IR"/>
        </w:rPr>
        <w:t>.</w:t>
      </w:r>
    </w:p>
    <w:p>
      <w:pPr>
        <w:pStyle w:val="Heading6"/>
        <w:numPr>
          <w:ilvl w:val="5"/>
          <w:numId w:val="1"/>
        </w:numPr>
        <w:rPr/>
      </w:pPr>
      <w:bookmarkStart w:id="2340" w:name="__RefHeading___Toc3972963_1067777946"/>
      <w:bookmarkStart w:id="2341" w:name="_Toc989"/>
      <w:bookmarkEnd w:id="2340"/>
      <w:r>
        <w:rPr>
          <w:rtl w:val="true"/>
        </w:rPr>
        <w:t>نگه داشتن فراركننده و كشتن وى توسط ديگرى</w:t>
      </w:r>
      <w:bookmarkEnd w:id="2341"/>
    </w:p>
    <w:p>
      <w:pPr>
        <w:pStyle w:val="BookText"/>
        <w:rPr/>
      </w:pPr>
      <w:r>
        <w:rPr>
          <w:rFonts w:ascii="IRNazanin" w:hAnsi="IRNazanin" w:eastAsia="IRNazanin"/>
          <w:color w:val="111111"/>
          <w:sz w:val="28"/>
          <w:sz w:val="28"/>
          <w:szCs w:val="28"/>
          <w:rtl w:val="true"/>
          <w:lang w:bidi="fa-IR"/>
        </w:rPr>
        <w:t>اگر يكى نگاهدارى كرد شخص فرار كننده اى را و يكى براى محافظت از خطرها نگهبان بود و ثالث كشت به مباشرت، شخصى را، قصاص بر قاتل مباشر است، و نگاه دارنده به حبس ابد محكوم مى شود، و نگاه كننده چشمهاى او سَمل و با ميل داغ مى شود</w:t>
      </w:r>
      <w:r>
        <w:rPr>
          <w:rFonts w:eastAsia="IRNazanin" w:cs="IRNazanin"/>
          <w:color w:val="111111"/>
          <w:sz w:val="28"/>
          <w:szCs w:val="28"/>
          <w:rtl w:val="true"/>
          <w:lang w:bidi="fa-IR"/>
        </w:rPr>
        <w:t>.</w:t>
      </w:r>
    </w:p>
    <w:p>
      <w:pPr>
        <w:pStyle w:val="Heading6"/>
        <w:numPr>
          <w:ilvl w:val="5"/>
          <w:numId w:val="1"/>
        </w:numPr>
        <w:rPr/>
      </w:pPr>
      <w:bookmarkStart w:id="2342" w:name="__RefHeading___Toc3972965_1067777946"/>
      <w:bookmarkStart w:id="2343" w:name="_Toc990"/>
      <w:bookmarkEnd w:id="2342"/>
      <w:r>
        <w:rPr>
          <w:rtl w:val="true"/>
        </w:rPr>
        <w:t>صورت دوّم</w:t>
      </w:r>
      <w:bookmarkEnd w:id="2343"/>
    </w:p>
    <w:p>
      <w:pPr>
        <w:pStyle w:val="Heading6"/>
        <w:numPr>
          <w:ilvl w:val="5"/>
          <w:numId w:val="1"/>
        </w:numPr>
        <w:rPr/>
      </w:pPr>
      <w:bookmarkStart w:id="2344" w:name="__RefHeading___Toc3972967_1067777946"/>
      <w:bookmarkStart w:id="2345" w:name="_Toc991"/>
      <w:bookmarkEnd w:id="2344"/>
      <w:r>
        <w:rPr>
          <w:rtl w:val="true"/>
        </w:rPr>
        <w:t>اكراه بر قتل با تهديد</w:t>
      </w:r>
      <w:bookmarkEnd w:id="234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را از روى ظلم، تهديد به قتل كرد اگر نكشد شخصى را بدون استحقاق، پس كشت او را، قصاص بر مباشر است، نه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قصاص و ديه و كفاره </w:t>
      </w:r>
      <w:bookmarkStart w:id="2346" w:name="pg10275_96822"/>
    </w:p>
    <w:p>
      <w:pPr>
        <w:pStyle w:val="BookText"/>
        <w:rPr/>
      </w:pPr>
      <w:bookmarkEnd w:id="2346"/>
      <w:r>
        <w:rPr>
          <w:rFonts w:ascii="IRNazanin" w:hAnsi="IRNazanin" w:eastAsia="IRNazanin"/>
          <w:color w:val="111111"/>
          <w:sz w:val="28"/>
          <w:sz w:val="28"/>
          <w:szCs w:val="28"/>
          <w:rtl w:val="true"/>
          <w:lang w:bidi="fa-IR"/>
        </w:rPr>
        <w:t xml:space="preserve">نيست، بلكه محتمل است انتفاى ممنوعيت از ارث؛ و آمر، به حبس دائم محكوم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نگاه دارنده در فرع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ديه در اين فرع، ثابت باشد به واسطۀ عفو بر ديه يا عدم تكافؤ، آن هم بر مباشر است نه 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عاقل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طفل غير مميز يا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بر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طفل مميّز غير مملوك، قصاص نيست از هيچ كدام از آمر و مأمور، و ديه ثابت بر عاقله غير بالغ است بنا بر اقرب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قصاص از مباشر 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 از مكرِه در غير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حرّ و عبد در مكرَه نيست بنا بر اقرب؛ و مروىّ در مكرِه مملوك، قصاص از مالك است، و عفو بر ديه طريق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جنايت مملوك مميز غير بالغ، موجب قصاص از مالك و مملوك نيست اگر چه مالك، اكراه نمايد، چنان چه گذشت، و ديه هم بر مالك نيست بلكه متعلق به رقبۀ مملوك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بالغ مملوك در جنايت خطايى او</w:t>
      </w:r>
      <w:r>
        <w:rPr>
          <w:rFonts w:eastAsia="IRNazanin" w:cs="IRNazanin"/>
          <w:color w:val="111111"/>
          <w:sz w:val="28"/>
          <w:szCs w:val="28"/>
          <w:rtl w:val="true"/>
          <w:lang w:bidi="fa-IR"/>
        </w:rPr>
        <w:t>).</w:t>
      </w:r>
    </w:p>
    <w:p>
      <w:pPr>
        <w:pStyle w:val="Heading6"/>
        <w:numPr>
          <w:ilvl w:val="5"/>
          <w:numId w:val="1"/>
        </w:numPr>
        <w:rPr/>
      </w:pPr>
      <w:bookmarkStart w:id="2347" w:name="__RefHeading___Toc3972969_1067777946"/>
      <w:bookmarkStart w:id="2348" w:name="_Toc992"/>
      <w:bookmarkEnd w:id="2347"/>
      <w:r>
        <w:rPr>
          <w:rtl w:val="true"/>
        </w:rPr>
        <w:t>حبس ابد</w:t>
      </w:r>
      <w:bookmarkEnd w:id="2348"/>
    </w:p>
    <w:p>
      <w:pPr>
        <w:pStyle w:val="BookText"/>
        <w:rPr/>
      </w:pPr>
      <w:r>
        <w:rPr>
          <w:rFonts w:ascii="Amiri" w:hAnsi="Amiri" w:eastAsia="Amiri" w:cs="Amiri"/>
          <w:color w:val="111111"/>
          <w:sz w:val="28"/>
          <w:sz w:val="28"/>
          <w:szCs w:val="28"/>
          <w:rtl w:val="true"/>
          <w:lang w:bidi="ar-SA"/>
        </w:rPr>
        <w:t xml:space="preserve">و تخليد در حبس، براى مكرِه و آمر ثابت است در موارد عدم قصاص از مباشر به واسطۀ عدم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كمال عقل</w:t>
      </w:r>
      <w:r>
        <w:rPr>
          <w:rFonts w:eastAsia="Amiri" w:cs="Amiri" w:ascii="Amiri" w:hAnsi="Amiri"/>
          <w:color w:val="111111"/>
          <w:sz w:val="28"/>
          <w:szCs w:val="28"/>
          <w:rtl w:val="true"/>
          <w:lang w:bidi="ar-SA"/>
        </w:rPr>
        <w:t>.</w:t>
      </w:r>
    </w:p>
    <w:p>
      <w:pPr>
        <w:pStyle w:val="Heading6"/>
        <w:numPr>
          <w:ilvl w:val="5"/>
          <w:numId w:val="1"/>
        </w:numPr>
        <w:rPr/>
      </w:pPr>
      <w:bookmarkStart w:id="2349" w:name="__RefHeading___Toc3972971_1067777946"/>
      <w:bookmarkStart w:id="2350" w:name="_Toc993"/>
      <w:bookmarkEnd w:id="2349"/>
      <w:r>
        <w:rPr>
          <w:rtl w:val="true"/>
        </w:rPr>
        <w:t>چند فرع</w:t>
      </w:r>
      <w:bookmarkEnd w:id="2350"/>
    </w:p>
    <w:p>
      <w:pPr>
        <w:pStyle w:val="Heading6"/>
        <w:numPr>
          <w:ilvl w:val="5"/>
          <w:numId w:val="1"/>
        </w:numPr>
        <w:rPr/>
      </w:pPr>
      <w:bookmarkStart w:id="2351" w:name="__RefHeading___Toc3972973_1067777946"/>
      <w:bookmarkStart w:id="2352" w:name="_Toc994"/>
      <w:bookmarkEnd w:id="2351"/>
      <w:r>
        <w:rPr>
          <w:rtl w:val="true"/>
        </w:rPr>
        <w:t>تهديد كسى براى قتل خود</w:t>
      </w:r>
      <w:bookmarkEnd w:id="2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كاملى به مثل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قتل برسان وگرنه تو را به قتل مى 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جايز نيست قتل، و قصاص ثابت است و هم چنين ديه در محل ثبوت آن؛ مگر دفاع از نفس، متوقف بر قتل آمر باشد و به آن مندفع بشود قتل تهديدى، كه اثم و قصاص و ديه منتفى است</w:t>
      </w:r>
      <w:r>
        <w:rPr>
          <w:rFonts w:eastAsia="IRNazanin" w:cs="IRNazanin"/>
          <w:color w:val="111111"/>
          <w:sz w:val="28"/>
          <w:szCs w:val="28"/>
          <w:rtl w:val="true"/>
          <w:lang w:bidi="fa-IR"/>
        </w:rPr>
        <w:t>.</w:t>
      </w:r>
      <w:bookmarkStart w:id="2353" w:name="pg10275_96825"/>
    </w:p>
    <w:p>
      <w:pPr>
        <w:pStyle w:val="BookText"/>
        <w:rPr/>
      </w:pPr>
      <w:bookmarkEnd w:id="2353"/>
      <w:r>
        <w:rPr>
          <w:rFonts w:ascii="IRNazanin" w:hAnsi="IRNazanin" w:eastAsia="IRNazanin"/>
          <w:color w:val="111111"/>
          <w:sz w:val="28"/>
          <w:sz w:val="28"/>
          <w:szCs w:val="28"/>
          <w:rtl w:val="true"/>
          <w:lang w:bidi="fa-IR"/>
        </w:rPr>
        <w:t>و اگر كامل به ناقص بگويد، مطلقاً قصاص نيست و ديه بر عاقله فى الجمله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عكس، قصاص ثابت است با تفصيل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ناقصَين قصاص نيست مطلقاً و ديه فى الجمله ثابت است</w:t>
      </w:r>
      <w:r>
        <w:rPr>
          <w:rFonts w:eastAsia="IRNazanin" w:cs="IRNazanin"/>
          <w:color w:val="111111"/>
          <w:sz w:val="28"/>
          <w:szCs w:val="28"/>
          <w:rtl w:val="true"/>
          <w:lang w:bidi="fa-IR"/>
        </w:rPr>
        <w:t>.</w:t>
      </w:r>
    </w:p>
    <w:p>
      <w:pPr>
        <w:pStyle w:val="Heading6"/>
        <w:numPr>
          <w:ilvl w:val="5"/>
          <w:numId w:val="1"/>
        </w:numPr>
        <w:rPr/>
      </w:pPr>
      <w:bookmarkStart w:id="2354" w:name="__RefHeading___Toc3972975_1067777946"/>
      <w:bookmarkStart w:id="2355" w:name="_Toc995"/>
      <w:bookmarkEnd w:id="2354"/>
      <w:r>
        <w:rPr>
          <w:rtl w:val="true"/>
        </w:rPr>
        <w:t>اگر كسى به ديگرى بگويد خودت را بكش</w:t>
      </w:r>
      <w:bookmarkEnd w:id="23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مميز بود، چيزى بر 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قصاص و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حتى اگر اكراه نمايد؛ و مباشرت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تهديد نمايد به نوعى از قتل كه قابل تحمل نيست براى متحمّل اصل قتل، پس در تحقق اكراه و جواز قتل نفس و قصاص از مكرِه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غير مميز باشد، قصاص بر مكرِه بلكه آمر ثابت است</w:t>
      </w:r>
      <w:r>
        <w:rPr>
          <w:rFonts w:eastAsia="IRNazanin" w:cs="IRNazanin"/>
          <w:color w:val="111111"/>
          <w:sz w:val="28"/>
          <w:szCs w:val="28"/>
          <w:rtl w:val="true"/>
          <w:lang w:bidi="fa-IR"/>
        </w:rPr>
        <w:t>.</w:t>
      </w:r>
    </w:p>
    <w:p>
      <w:pPr>
        <w:pStyle w:val="Heading6"/>
        <w:numPr>
          <w:ilvl w:val="5"/>
          <w:numId w:val="1"/>
        </w:numPr>
        <w:rPr/>
      </w:pPr>
      <w:bookmarkStart w:id="2356" w:name="__RefHeading___Toc3972977_1067777946"/>
      <w:bookmarkStart w:id="2357" w:name="_Toc996"/>
      <w:bookmarkEnd w:id="2356"/>
      <w:r>
        <w:rPr>
          <w:rtl w:val="true"/>
        </w:rPr>
        <w:t>جواز قطع عضو براى تخلص از قتل</w:t>
      </w:r>
      <w:bookmarkEnd w:id="23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اكراه در پايين تر از نفس، محقَّق و مسوّغ عمل مكره عليه است؛ پس اگر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كن دست اين شخص يا احد الشخصين را وگرنه تو را خواهم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جايز است قطع براى تخلص از قتل، و بر او قصاص نيست، و بر مُكرِه قصاص ثابت است</w:t>
      </w:r>
      <w:r>
        <w:rPr>
          <w:rFonts w:eastAsia="IRNazanin" w:cs="IRNazanin"/>
          <w:color w:val="111111"/>
          <w:sz w:val="28"/>
          <w:szCs w:val="28"/>
          <w:rtl w:val="true"/>
          <w:lang w:bidi="fa-IR"/>
        </w:rPr>
        <w:t>.</w:t>
      </w:r>
    </w:p>
    <w:p>
      <w:pPr>
        <w:pStyle w:val="Heading6"/>
        <w:numPr>
          <w:ilvl w:val="5"/>
          <w:numId w:val="1"/>
        </w:numPr>
        <w:rPr/>
      </w:pPr>
      <w:bookmarkStart w:id="2358" w:name="__RefHeading___Toc3972979_1067777946"/>
      <w:bookmarkStart w:id="2359" w:name="_Toc997"/>
      <w:bookmarkEnd w:id="2358"/>
      <w:r>
        <w:rPr>
          <w:rtl w:val="true"/>
        </w:rPr>
        <w:t>اكراه كسى بر بالا رفتن از درخت</w:t>
      </w:r>
      <w:bookmarkEnd w:id="23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اكراه كرد كسى را بر بالا رفتن به درختى پس از آنجا بدون اختيار افتاد و هلاك شد، بر مكرِه ضمان ديه است؛ مگر با غلبۀ قتل در آن بالا رفتن با خصوصيات آن، يا قصد قتل به وسيله اين سبب كه نادر است تعقب آن به هلاك، كه قصاص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نادر غير مقصود با استناد هلاك به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تعين ديه، بر آن چه گذشت</w:t>
      </w:r>
      <w:r>
        <w:rPr>
          <w:rFonts w:eastAsia="IRNazanin" w:cs="IRNazanin"/>
          <w:color w:val="111111"/>
          <w:sz w:val="28"/>
          <w:szCs w:val="28"/>
          <w:rtl w:val="true"/>
          <w:lang w:bidi="fa-IR"/>
        </w:rPr>
        <w:t>.</w:t>
      </w:r>
    </w:p>
    <w:p>
      <w:pPr>
        <w:pStyle w:val="Heading6"/>
        <w:numPr>
          <w:ilvl w:val="5"/>
          <w:numId w:val="1"/>
        </w:numPr>
        <w:rPr/>
      </w:pPr>
      <w:bookmarkStart w:id="2360" w:name="__RefHeading___Toc3972981_1067777946"/>
      <w:bookmarkStart w:id="2361" w:name="_Toc998"/>
      <w:bookmarkEnd w:id="2360"/>
      <w:r>
        <w:rPr>
          <w:rtl w:val="true"/>
        </w:rPr>
        <w:t>صورت سوّم شهادت دروغ بيّنه بر قتل و امثال آن</w:t>
      </w:r>
      <w:bookmarkEnd w:id="236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شهادت دادند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لازم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كه موجب قتل است مثل ارتداد و </w:t>
      </w:r>
      <w:bookmarkStart w:id="2362" w:name="pg10275_96827"/>
    </w:p>
    <w:p>
      <w:pPr>
        <w:pStyle w:val="BookText"/>
        <w:rPr/>
      </w:pPr>
      <w:bookmarkEnd w:id="2362"/>
      <w:r>
        <w:rPr>
          <w:rFonts w:ascii="Amiri" w:hAnsi="Amiri" w:eastAsia="Amiri" w:cs="Amiri"/>
          <w:color w:val="111111"/>
          <w:sz w:val="28"/>
          <w:sz w:val="28"/>
          <w:szCs w:val="28"/>
          <w:rtl w:val="true"/>
          <w:lang w:bidi="ar-SA"/>
        </w:rPr>
        <w:t>زنا و قتل نفس، و بعد از استيفا ثابت شد كه شهادت آنها بر باطل بوده، حاكم و مباشر، ضامن نيست، و قصاص از شهود مى شود در صورت تعمد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ولىّ‌، عالم به كذب شهود بود و مباشرت قصاص نمود، قصاص از ولىّ مى شود نه از شهود؛ و اگر در صورت علم ولىّ با بقاى او بر طلب، مباشر قصاص، مأمور حاكم بود، پس ولىّ و شهود شريكند، به تنصيف در شهود و ولىّ‌، يا به حسب رءوس از شهود و ولىّ يا اوليا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مباشر كه عالم به خطأ در 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علم او به فسق شهود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قتل محكوم عليه؛ و اگر اقدام نمود قصاص مى شود، مگر آن كه ابداى شبهه اى نمايد كه كافى باشد در اسقاط حدّ</w:t>
      </w:r>
      <w:r>
        <w:rPr>
          <w:rFonts w:eastAsia="IRNazanin" w:cs="IRNazanin"/>
          <w:color w:val="111111"/>
          <w:sz w:val="28"/>
          <w:szCs w:val="28"/>
          <w:rtl w:val="true"/>
          <w:lang w:bidi="fa-IR"/>
        </w:rPr>
        <w:t>.</w:t>
      </w:r>
    </w:p>
    <w:p>
      <w:pPr>
        <w:pStyle w:val="Heading6"/>
        <w:numPr>
          <w:ilvl w:val="5"/>
          <w:numId w:val="1"/>
        </w:numPr>
        <w:rPr/>
      </w:pPr>
      <w:bookmarkStart w:id="2363" w:name="__RefHeading___Toc3972983_1067777946"/>
      <w:bookmarkStart w:id="2364" w:name="_Toc999"/>
      <w:bookmarkEnd w:id="2363"/>
      <w:r>
        <w:rPr>
          <w:rtl w:val="true"/>
        </w:rPr>
        <w:t>صورت چهارم قتل يك نفر توسط دو نفر</w:t>
      </w:r>
      <w:bookmarkEnd w:id="2364"/>
    </w:p>
    <w:p>
      <w:pPr>
        <w:pStyle w:val="BookText"/>
        <w:rPr/>
      </w:pPr>
      <w:r>
        <w:rPr>
          <w:rFonts w:ascii="IRNazanin" w:hAnsi="IRNazanin" w:eastAsia="IRNazanin"/>
          <w:color w:val="111111"/>
          <w:sz w:val="28"/>
          <w:sz w:val="28"/>
          <w:szCs w:val="28"/>
          <w:rtl w:val="true"/>
          <w:lang w:bidi="fa-IR"/>
        </w:rPr>
        <w:t xml:space="preserve">اگر دو نفر جنايت كردند بر يك نفر؛ پس اگر جنايت هر دو با هم واقع شود و هر دو قاتل فورى يا غير فورى باشد، هر دو قاتل هستند؛ و اگر يكى قاتل 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قاتل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جنايت متعاقب باشند، پس اگر دوّمى وارد شد بعد از آن كه به سبب جنايت اول، استقرار حيات در مجنىّ عليه نبود و حركت مذبوح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ادراك و نطق و حركت اختيارى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كه تأثير جنايتش فورى بوده مثل دو نصف كردن يا سر بريدن، يا به سرايت تا 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جنايت دوّمى حكم جنايت بر ميّت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حيات مستقره هنوز به سبب جنايت اول زايل نشده بوده كه دوّمى جنايت كرد، پس اگر جنايت دوّمى قاتل فورى است، قاتل، دوّمى است، نه اوّلى كه جنايت او قاتل با سرايت است كه به واسطۀ جنايت دوّم سرايت آن باطل شد، و بر اوّلى قصاص عضو يا ديۀ آن ثابت است، و توقع برء از جنايت اولى و عدم آن و يقين به وفات بعد از چند روز به سبب جنايت اول، فارق نيست؛ و اگر جنايت دوّم هم </w:t>
      </w:r>
      <w:bookmarkStart w:id="2365" w:name="pg10275_96828"/>
    </w:p>
    <w:p>
      <w:pPr>
        <w:pStyle w:val="BookText"/>
        <w:rPr/>
      </w:pPr>
      <w:bookmarkEnd w:id="2365"/>
      <w:r>
        <w:rPr>
          <w:rFonts w:ascii="IRNazanin" w:hAnsi="IRNazanin" w:eastAsia="IRNazanin"/>
          <w:color w:val="111111"/>
          <w:sz w:val="28"/>
          <w:sz w:val="28"/>
          <w:szCs w:val="28"/>
          <w:rtl w:val="true"/>
          <w:lang w:bidi="fa-IR"/>
        </w:rPr>
        <w:t>فورى نبود قاتل بودن آن، پس موت با سرايت جنايت هر دو واقع شده و هر دو قاتل هستند، مثل اين كه يكى دست را قطع كرد و ديگرى پا را و به سرايتِ هر دو جنايت، موت واقع شد</w:t>
      </w:r>
      <w:r>
        <w:rPr>
          <w:rFonts w:eastAsia="IRNazanin" w:cs="IRNazanin"/>
          <w:color w:val="111111"/>
          <w:sz w:val="28"/>
          <w:szCs w:val="28"/>
          <w:rtl w:val="true"/>
          <w:lang w:bidi="fa-IR"/>
        </w:rPr>
        <w:t>.</w:t>
      </w:r>
    </w:p>
    <w:p>
      <w:pPr>
        <w:pStyle w:val="Heading6"/>
        <w:numPr>
          <w:ilvl w:val="5"/>
          <w:numId w:val="1"/>
        </w:numPr>
        <w:rPr/>
      </w:pPr>
      <w:bookmarkStart w:id="2366" w:name="__RefHeading___Toc3972985_1067777946"/>
      <w:bookmarkStart w:id="2367" w:name="_Toc1000"/>
      <w:bookmarkEnd w:id="2366"/>
      <w:r>
        <w:rPr>
          <w:rtl w:val="true"/>
        </w:rPr>
        <w:t>صورت پنجم</w:t>
      </w:r>
      <w:bookmarkEnd w:id="2367"/>
    </w:p>
    <w:p>
      <w:pPr>
        <w:pStyle w:val="Heading6"/>
        <w:numPr>
          <w:ilvl w:val="5"/>
          <w:numId w:val="1"/>
        </w:numPr>
        <w:rPr/>
      </w:pPr>
      <w:bookmarkStart w:id="2368" w:name="__RefHeading___Toc3972987_1067777946"/>
      <w:bookmarkStart w:id="2369" w:name="_Toc1001"/>
      <w:bookmarkEnd w:id="2368"/>
      <w:r>
        <w:rPr>
          <w:rtl w:val="true"/>
        </w:rPr>
        <w:t>اشاره</w:t>
      </w:r>
      <w:bookmarkEnd w:id="2369"/>
    </w:p>
    <w:p>
      <w:pPr>
        <w:pStyle w:val="BookText"/>
        <w:rPr/>
      </w:pPr>
      <w:r>
        <w:rPr>
          <w:rFonts w:ascii="IRNazanin" w:hAnsi="IRNazanin" w:eastAsia="IRNazanin"/>
          <w:color w:val="111111"/>
          <w:sz w:val="28"/>
          <w:sz w:val="28"/>
          <w:szCs w:val="28"/>
          <w:rtl w:val="true"/>
          <w:lang w:bidi="fa-IR"/>
        </w:rPr>
        <w:t>اگر دو نفر جراحت وارد كردند مثل اين كه يكى دست را قطع كرد و ديگرى پا را، پس يكى خوب شد و از سرايت بازمانده شد و به سرايت ديگرى وفات كرد، قاتل، دوّمى است در عمد و خطأ آن، و اوّلى جارح است؛ و در استحقاق ديۀ اوّلى براى آن كه از او قصاص مى شود، تأمل است</w:t>
      </w:r>
      <w:r>
        <w:rPr>
          <w:rFonts w:eastAsia="IRNazanin" w:cs="IRNazanin"/>
          <w:color w:val="111111"/>
          <w:sz w:val="28"/>
          <w:szCs w:val="28"/>
          <w:rtl w:val="true"/>
          <w:lang w:bidi="fa-IR"/>
        </w:rPr>
        <w:t>.</w:t>
      </w:r>
    </w:p>
    <w:p>
      <w:pPr>
        <w:pStyle w:val="Heading6"/>
        <w:numPr>
          <w:ilvl w:val="5"/>
          <w:numId w:val="1"/>
        </w:numPr>
        <w:rPr/>
      </w:pPr>
      <w:bookmarkStart w:id="2370" w:name="__RefHeading___Toc3972989_1067777946"/>
      <w:bookmarkStart w:id="2371" w:name="_Toc1002"/>
      <w:bookmarkEnd w:id="2370"/>
      <w:r>
        <w:rPr>
          <w:rtl w:val="true"/>
        </w:rPr>
        <w:t>فرع</w:t>
      </w:r>
      <w:bookmarkEnd w:id="2371"/>
    </w:p>
    <w:p>
      <w:pPr>
        <w:pStyle w:val="BookText"/>
        <w:rPr/>
      </w:pPr>
      <w:r>
        <w:rPr>
          <w:rFonts w:ascii="IRNazanin" w:hAnsi="IRNazanin" w:eastAsia="IRNazanin"/>
          <w:color w:val="111111"/>
          <w:sz w:val="28"/>
          <w:sz w:val="28"/>
          <w:szCs w:val="28"/>
          <w:rtl w:val="true"/>
          <w:lang w:bidi="fa-IR"/>
        </w:rPr>
        <w:t xml:space="preserve">اگر دو نفر مجروح كردند شخصى را پس از آن وفات كرد، پس ادّعا نمود يكى از آنها كه جراحت او از سرايت، بازداشت بوده است و ولىّ تصديق نمود او را، اقرار او در حق ديگرى مسموع نيست، و بر خودش نافذ است؛ پس مطالبۀ ازيد از ديۀ جراحت از مدعى اندمال نمى نمايد؛ و از ديگرى اقتصاص مجانى نمى نمايد بلكه تا ثابت نكرده آن چه را كه او منكر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انفراد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نصف ديه را ردّ به او يا ولىّ او نمايد اگر اقتصاص مى كند وگرنه نصف ديه را از او اخذ نمايد؛ و در استحقاق مقتص منه، ديه جراحت مندمله را، از جارح،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شريك، تصديق كرد و ولىّ تصديق نكرد، تصديق شريك در حق ولىّ نفوذ ندارد، و خودش در اقتصاص، مطالبۀ ردّ نصف ديه نمى نمايد و از كمال ديه امتناع نمى نمايد؛ و در مطالبۀ او، ديۀ مندمل اعترافى شريك را، تأمل است</w:t>
      </w:r>
      <w:r>
        <w:rPr>
          <w:rFonts w:eastAsia="IRNazanin" w:cs="IRNazanin"/>
          <w:color w:val="111111"/>
          <w:sz w:val="28"/>
          <w:szCs w:val="28"/>
          <w:rtl w:val="true"/>
          <w:lang w:bidi="fa-IR"/>
        </w:rPr>
        <w:t>.</w:t>
      </w:r>
    </w:p>
    <w:p>
      <w:pPr>
        <w:pStyle w:val="Heading6"/>
        <w:numPr>
          <w:ilvl w:val="5"/>
          <w:numId w:val="1"/>
        </w:numPr>
        <w:rPr/>
      </w:pPr>
      <w:bookmarkStart w:id="2372" w:name="__RefHeading___Toc3972991_1067777946"/>
      <w:bookmarkStart w:id="2373" w:name="_Toc1003"/>
      <w:bookmarkEnd w:id="2372"/>
      <w:r>
        <w:rPr>
          <w:rtl w:val="true"/>
        </w:rPr>
        <w:t>صورت ششم</w:t>
      </w:r>
      <w:bookmarkEnd w:id="2373"/>
    </w:p>
    <w:p>
      <w:pPr>
        <w:pStyle w:val="Heading6"/>
        <w:numPr>
          <w:ilvl w:val="5"/>
          <w:numId w:val="1"/>
        </w:numPr>
        <w:rPr/>
      </w:pPr>
      <w:bookmarkStart w:id="2374" w:name="__RefHeading___Toc3972993_1067777946"/>
      <w:bookmarkStart w:id="2375" w:name="_Toc1004"/>
      <w:bookmarkEnd w:id="2374"/>
      <w:r>
        <w:rPr>
          <w:rtl w:val="true"/>
        </w:rPr>
        <w:t>قطع يد از بند توسط كسى و از مرفق توسط ديگرى و حصول قتل</w:t>
      </w:r>
      <w:bookmarkEnd w:id="237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دست را از بند آن قطع نمود و ديگرى از مرفق، و هلاك شد به سرايت هر دو، </w:t>
      </w:r>
      <w:bookmarkStart w:id="2376" w:name="pg10275_96830"/>
    </w:p>
    <w:p>
      <w:pPr>
        <w:pStyle w:val="BookText"/>
        <w:rPr/>
      </w:pPr>
      <w:bookmarkEnd w:id="2376"/>
      <w:r>
        <w:rPr>
          <w:rFonts w:ascii="IRNazanin" w:hAnsi="IRNazanin" w:eastAsia="IRNazanin"/>
          <w:color w:val="111111"/>
          <w:sz w:val="28"/>
          <w:sz w:val="28"/>
          <w:szCs w:val="28"/>
          <w:rtl w:val="true"/>
          <w:lang w:bidi="fa-IR"/>
        </w:rPr>
        <w:t>پس با اتّحاد در قصد قتل يا سرايت غالبيه، از هر دو قصاص مى شود؛ وگرنه از قاصد يا كسى كه جراحت او سارى است به حسب غلبه؛ و با تساوى احتمالها در موارد سرايت، دوّمى راجح است و انحصار قصاص به او با قصد يا غلبه راجح است؛ و در سرايت فاقد دو شرط، تأمل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وقوع قطع از يكى و ذبح از ديگرى، متعين است قصاص از صاحب تعجيل ازهاق كه با آن قطع سرايت مى شود</w:t>
      </w:r>
      <w:r>
        <w:rPr>
          <w:rFonts w:eastAsia="IRNazanin" w:cs="IRNazanin"/>
          <w:color w:val="111111"/>
          <w:sz w:val="28"/>
          <w:szCs w:val="28"/>
          <w:rtl w:val="true"/>
          <w:lang w:bidi="fa-IR"/>
        </w:rPr>
        <w:t>.</w:t>
      </w:r>
    </w:p>
    <w:p>
      <w:pPr>
        <w:pStyle w:val="Heading6"/>
        <w:numPr>
          <w:ilvl w:val="5"/>
          <w:numId w:val="1"/>
        </w:numPr>
        <w:rPr/>
      </w:pPr>
      <w:bookmarkStart w:id="2377" w:name="__RefHeading___Toc3972995_1067777946"/>
      <w:bookmarkStart w:id="2378" w:name="_Toc1005"/>
      <w:bookmarkEnd w:id="2377"/>
      <w:r>
        <w:rPr>
          <w:rtl w:val="true"/>
        </w:rPr>
        <w:t>وحدت جانى در طرف و نفس</w:t>
      </w:r>
      <w:bookmarkEnd w:id="237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جانى يكى باشد در طرف و نفس، داخل است ديۀ طرف در ديۀ نفس در صورت ثبوت به اصالت؛ و در صورت صلح بر ديه، تابع مختار در قصاص طرف است كه از جانى واحد، داخل در قصاص نفس است، يا نه در صورت سرايت؛ و در صورت اتحاد ضربه، داخل است؛ و در صورت تعدد بدون سرايت غير قاتل، اقوال مختلفه منسوب به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است، و هم چنين روايات معتبره مختلف است، مقتضاى استصحاب شخص يا كلى، عدم دخول است بنا بر اظهر در ضربات متعاقبۀ متراخيه؛ و در آن چه با هم عرفاً محقق شده است كه يكى از آنها قاتل بوده تأمل است، احوط براى ولىّ دخول است</w:t>
      </w:r>
      <w:r>
        <w:rPr>
          <w:rFonts w:eastAsia="IRNazanin" w:cs="IRNazanin"/>
          <w:color w:val="111111"/>
          <w:sz w:val="28"/>
          <w:szCs w:val="28"/>
          <w:rtl w:val="true"/>
          <w:lang w:bidi="fa-IR"/>
        </w:rPr>
        <w:t xml:space="preserve">. </w:t>
      </w:r>
      <w:bookmarkStart w:id="2379" w:name="pg10275_96832"/>
    </w:p>
    <w:p>
      <w:pPr>
        <w:pStyle w:val="Heading3"/>
        <w:numPr>
          <w:ilvl w:val="2"/>
          <w:numId w:val="1"/>
        </w:numPr>
        <w:rPr/>
      </w:pPr>
      <w:bookmarkStart w:id="2380" w:name="__RefHeading___Toc3972997_1067777946"/>
      <w:bookmarkStart w:id="2381" w:name="_Toc1006"/>
      <w:bookmarkEnd w:id="2379"/>
      <w:bookmarkEnd w:id="2380"/>
      <w:r>
        <w:rPr>
          <w:rtl w:val="true"/>
        </w:rPr>
        <w:t>فصل دوم اشتراك در قتل</w:t>
      </w:r>
      <w:bookmarkEnd w:id="2381"/>
    </w:p>
    <w:p>
      <w:pPr>
        <w:pStyle w:val="Heading4"/>
        <w:numPr>
          <w:ilvl w:val="3"/>
          <w:numId w:val="1"/>
        </w:numPr>
        <w:rPr/>
      </w:pPr>
      <w:bookmarkStart w:id="2382" w:name="__RefHeading___Toc3972999_1067777946"/>
      <w:bookmarkStart w:id="2383" w:name="_Toc1007"/>
      <w:bookmarkEnd w:id="2382"/>
      <w:r>
        <w:rPr>
          <w:rtl w:val="true"/>
        </w:rPr>
        <w:t>اگر چند نفر يكى را به قتل برسانند</w:t>
      </w:r>
      <w:bookmarkEnd w:id="2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جماعتى يكى را به قتل رساندند، ولىّ مختار است در قتل همه، بعد از ردّ به مقتولين به قصاص، آن چه زايد بر ديۀ مقتول به جنايت است؛ و بين قتل بعض، و بقيۀ جانيها ردّ مى نمايند ديۀ جنايت خودشان را به ولىّ مقتول به قصاص؛ و اگر براى مقتولين به قصاص زيادتى بود، ولىّ مقتول به جنايت، ادا مى نمايد آن زيادتى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سه نفر جانى بودند و هر سه را به قصاص كشت، به ولىّ هر كدام دو ثلث ديه را ردّ مى نمايد؛ و اگر دو نفر را به قصاص كشت، ثلت 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ردّ مى نمايد، و يك ديۀ كامله را ولىّ كه قصاص نموده ردّ مى نمايد، تا به هر كدام از دو ولىّ مقتول به قصاص، دو ثلث داده شود</w:t>
      </w:r>
      <w:r>
        <w:rPr>
          <w:rFonts w:eastAsia="IRNazanin" w:cs="IRNazanin"/>
          <w:color w:val="111111"/>
          <w:sz w:val="28"/>
          <w:szCs w:val="28"/>
          <w:rtl w:val="true"/>
          <w:lang w:bidi="fa-IR"/>
        </w:rPr>
        <w:t>.</w:t>
      </w:r>
    </w:p>
    <w:p>
      <w:pPr>
        <w:pStyle w:val="Heading4"/>
        <w:numPr>
          <w:ilvl w:val="3"/>
          <w:numId w:val="1"/>
        </w:numPr>
        <w:rPr/>
      </w:pPr>
      <w:bookmarkStart w:id="2384" w:name="__RefHeading___Toc3973001_1067777946"/>
      <w:bookmarkStart w:id="2385" w:name="_Toc1008"/>
      <w:bookmarkEnd w:id="2384"/>
      <w:r>
        <w:rPr>
          <w:rtl w:val="true"/>
        </w:rPr>
        <w:t>نحوۀ تحقق شركتى كه مجوّز قصاص از همه است</w:t>
      </w:r>
      <w:bookmarkEnd w:id="238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شركتى كه مجوّز قصاص از همۀ اهل شركت است، حاصل مى شود به اين كه هر كدام قاتل انفرادى را ايجاد نمايند به نحوى كه فوراً اماته مى نمايد يا به سبب سرايت اماته مى نمايد، يا آن كه اجتماع، مدخليت در قتل فورى يا در قتل به سرايت داشته باشد، مثل گرفتن مجموع و انداختن از بالا به پايين يا در آتش يا در دريا، يا زدنهايى كه مجموع آنها قاتل باشد بدون فرق بين زننده اوّلى يا آخرى و كسى كه يك مرتبه زده باشد يا بيش از آن؛ و در سرايت غير غالبيه قصد قتل هم لازم است به نحوى كه مذكور شده است</w:t>
      </w:r>
      <w:r>
        <w:rPr>
          <w:rFonts w:eastAsia="IRNazanin" w:cs="IRNazanin"/>
          <w:color w:val="111111"/>
          <w:sz w:val="28"/>
          <w:szCs w:val="28"/>
          <w:rtl w:val="true"/>
          <w:lang w:bidi="fa-IR"/>
        </w:rPr>
        <w:t xml:space="preserve">. </w:t>
      </w:r>
      <w:bookmarkStart w:id="2386" w:name="pg10275_96834"/>
    </w:p>
    <w:p>
      <w:pPr>
        <w:pStyle w:val="BookText"/>
        <w:rPr/>
      </w:pPr>
      <w:bookmarkEnd w:id="2386"/>
      <w:r>
        <w:rPr>
          <w:rFonts w:ascii="IRNazanin" w:hAnsi="IRNazanin" w:eastAsia="IRNazanin"/>
          <w:color w:val="111111"/>
          <w:sz w:val="28"/>
          <w:sz w:val="28"/>
          <w:szCs w:val="28"/>
          <w:rtl w:val="true"/>
          <w:lang w:bidi="fa-IR"/>
        </w:rPr>
        <w:t>و اگر زدنها مترتب و متعاقب و با تراخى و انفصال باشد كه استناد قتل به آخرى مثلاً باشد، نه غير آن حتّى به نحو سرايت اجتماعى، ضاربهاى ديگر قاتل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تقديم دو نفر طعام مسموم را با تمشى از يكى، از قبيل اول است؛ مثل جارحهايى كه جرح هر كدام كافى است اگر چه به نحو سرايت باشد اماته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تساوى در جنس جنايت، مثل عدد، معتبر نيست مثل اين كه يكى بزند و ديگرى مجروح نمايد و به هر دو قتل حاصل شود اگر چه به سرايت باشد؛ و اگر استحقاق ديه مى شود، پس مثل استحقاق قصاص است در اشتراك و موجب آن و محل آن</w:t>
      </w:r>
      <w:r>
        <w:rPr>
          <w:rFonts w:eastAsia="IRNazanin" w:cs="IRNazanin"/>
          <w:color w:val="111111"/>
          <w:sz w:val="28"/>
          <w:szCs w:val="28"/>
          <w:rtl w:val="true"/>
          <w:lang w:bidi="fa-IR"/>
        </w:rPr>
        <w:t>.</w:t>
      </w:r>
    </w:p>
    <w:p>
      <w:pPr>
        <w:pStyle w:val="Heading4"/>
        <w:numPr>
          <w:ilvl w:val="3"/>
          <w:numId w:val="1"/>
        </w:numPr>
        <w:rPr/>
      </w:pPr>
      <w:bookmarkStart w:id="2387" w:name="__RefHeading___Toc3973003_1067777946"/>
      <w:bookmarkStart w:id="2388" w:name="_Toc1009"/>
      <w:bookmarkEnd w:id="2387"/>
      <w:r>
        <w:rPr>
          <w:rtl w:val="true"/>
        </w:rPr>
        <w:t>جريان حكم قتل مشترك در جنايت مشترك بر طرف</w:t>
      </w:r>
      <w:bookmarkEnd w:id="23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گذشت از صور اشتراك در قصاص نفس، جارى است در جنايت بر طرف و قصاص آن؛ پس اگر دو نفر شريك در قطع يد شخصى شدند، مى تواند قطع يد هر دو بنمايد با ردّ ديۀ يك دست به هر دو، و مى تواند قطع يد يك نفر نمايد با ردّ نصف ديۀ يك دست به آن كه دستش را به قصاص بريده است؛ بلى در قصاص به سبب جنايت بر طرف،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در فعل واحد، مثل شهادت دو نفر به موجب قطع اگر رجوع نمايند از شهادت، يا اكراه انسانى بر قطع يد كسى، يا آن كه آهنى را بر مفصل گذراند و دو نفر اعتماد بر آن نمايند تا دست قطع شود، و نحو اينها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جنايت بر نفس نيست كه تفرق زدنها مثلاً با موت به مجموع، كافى باشد در قصاص از همه؛ پس اگر هر كدام جزئى از دست را قطع نمود تا آن كه همه قطع شد، قطع يد هيچ كدام در قصاص نمى شود، بلكه مثل همان جزء قطع مى شود اگر ممكن باشد، وگرنه ديه ثابت است براى همان قدر از جنايت او؛ و همچنين اگر يكى از بالاى مفصل قطع كرد و ديگرى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پايين آن، تا به هم رسانيدند آهن را و تمام بند دست قطع شد؛ بلى اگر به سرايت از دو قطع جداگانه دست جدا بشود، شركت محقق مى شود و قصاص از هر كدام مى شود</w:t>
      </w:r>
      <w:r>
        <w:rPr>
          <w:rFonts w:eastAsia="IRNazanin" w:cs="IRNazanin"/>
          <w:color w:val="111111"/>
          <w:sz w:val="28"/>
          <w:szCs w:val="28"/>
          <w:rtl w:val="true"/>
          <w:lang w:bidi="fa-IR"/>
        </w:rPr>
        <w:t xml:space="preserve">. </w:t>
      </w:r>
      <w:bookmarkStart w:id="2389" w:name="pg10275_96836"/>
    </w:p>
    <w:p>
      <w:pPr>
        <w:pStyle w:val="Heading4"/>
        <w:numPr>
          <w:ilvl w:val="3"/>
          <w:numId w:val="1"/>
        </w:numPr>
        <w:rPr/>
      </w:pPr>
      <w:bookmarkStart w:id="2390" w:name="__RefHeading___Toc3973005_1067777946"/>
      <w:bookmarkStart w:id="2391" w:name="_Toc1010"/>
      <w:bookmarkEnd w:id="2389"/>
      <w:bookmarkEnd w:id="2390"/>
      <w:r>
        <w:rPr>
          <w:rtl w:val="true"/>
        </w:rPr>
        <w:t>شركت دو يا چند زن در قتل مردى</w:t>
      </w:r>
      <w:bookmarkEnd w:id="239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قتل مردى، دو زن شريك شدند، هر دو را به قصاص به قتل مى رسانند و ردّى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بيش از دو زن شريك بودند، همه را به قصاص به قتل مى رساند بعد از ردّ زايد بر جنايت هر يك از ديه او؛ و اگر مختلف بود ديۀ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ذمّيه بودن يا كنيز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خاص هر كدام را با ملاحظه جنايت او ولىّ تكميل مى نمايد؛ پس اگر سه زن شريك بودند، مى تواند ولىّ‌، هر سه را به قتل برساند و ديۀ يك زن را بر آنها تقسيم نمايد بالسّويه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را به قتل رسانيد يا يك نفر را، در ردّ ملاحظه جنايت هر كدام كه ثلث است با مقدار زيادتى ديه در ردّ بر مقتوله مى شود؛ پس اگر يكى را به قتل رسانيد، ردّ مى نمايند دو نفر ديگر، به مقتوله، ثلث ديه او را، و بر ولىّ نصف ديه مقتول به جنايت را؛ و اگر دو نفر را به قصاص به قتل رسانيد، سوّمى ثلث ديۀ مرد را به دو مقتول قصاصى رد بنمايد بالسّويه</w:t>
      </w:r>
      <w:r>
        <w:rPr>
          <w:rFonts w:eastAsia="IRNazanin" w:cs="IRNazanin"/>
          <w:color w:val="111111"/>
          <w:sz w:val="28"/>
          <w:szCs w:val="28"/>
          <w:rtl w:val="true"/>
          <w:lang w:bidi="fa-IR"/>
        </w:rPr>
        <w:t>.</w:t>
      </w:r>
    </w:p>
    <w:p>
      <w:pPr>
        <w:pStyle w:val="Heading4"/>
        <w:numPr>
          <w:ilvl w:val="3"/>
          <w:numId w:val="1"/>
        </w:numPr>
        <w:rPr/>
      </w:pPr>
      <w:bookmarkStart w:id="2392" w:name="__RefHeading___Toc3973007_1067777946"/>
      <w:bookmarkStart w:id="2393" w:name="_Toc1011"/>
      <w:bookmarkEnd w:id="2392"/>
      <w:r>
        <w:rPr>
          <w:rtl w:val="true"/>
        </w:rPr>
        <w:t>قتل يك زن توسط دو مرد</w:t>
      </w:r>
      <w:bookmarkEnd w:id="2393"/>
    </w:p>
    <w:p>
      <w:pPr>
        <w:pStyle w:val="BookText"/>
        <w:rPr/>
      </w:pPr>
      <w:r>
        <w:rPr>
          <w:rFonts w:ascii="IRNazanin" w:hAnsi="IRNazanin" w:eastAsia="IRNazanin"/>
          <w:color w:val="111111"/>
          <w:sz w:val="28"/>
          <w:sz w:val="28"/>
          <w:szCs w:val="28"/>
          <w:rtl w:val="true"/>
          <w:lang w:bidi="fa-IR"/>
        </w:rPr>
        <w:t xml:space="preserve">و اگر دو مرد، يك زن را به قتل رسانيدند، مى تواند ولىّ‌، هر دو را به قصاص به قتل رساند و زيادتى ديه از جنايت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ديه و نصف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مرد بالسّويه ردّ نمايد</w:t>
      </w:r>
      <w:r>
        <w:rPr>
          <w:rFonts w:eastAsia="IRNazanin" w:cs="IRNazanin"/>
          <w:color w:val="111111"/>
          <w:sz w:val="28"/>
          <w:szCs w:val="28"/>
          <w:rtl w:val="true"/>
          <w:lang w:bidi="fa-IR"/>
        </w:rPr>
        <w:t>.</w:t>
      </w:r>
    </w:p>
    <w:p>
      <w:pPr>
        <w:pStyle w:val="Heading4"/>
        <w:numPr>
          <w:ilvl w:val="3"/>
          <w:numId w:val="1"/>
        </w:numPr>
        <w:rPr/>
      </w:pPr>
      <w:bookmarkStart w:id="2394" w:name="__RefHeading___Toc3973009_1067777946"/>
      <w:bookmarkStart w:id="2395" w:name="_Toc1012"/>
      <w:bookmarkEnd w:id="2394"/>
      <w:r>
        <w:rPr>
          <w:rtl w:val="true"/>
        </w:rPr>
        <w:t>شركت مرد و زن در قتل</w:t>
      </w:r>
      <w:bookmarkEnd w:id="239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شريك شدند مرد آزاد و زن آزاد، در قتل مرد آزاد مسلمان، مى تواند هر دو را به قصاص به قتل برساند، و ردّ مى نمايد نصف ديۀ مرد را به خصوص ولىّ مرد؛ و اگر قصاص نكرد، بر هر كدام نصف ديۀ مرد مقتول به جنايت است؛ و اگر ولىّ‌، زن را به قصاص به قتل رسانيد، بر زن چيزى ردّ نمى نمايد، و بر مرد قاتل است نصف ديۀ مقتول؛ و اگر مرد را فقط به قصاص به قتل رسانيد، زن به او نصف ديۀ مقتول به قصاص را مى دهد</w:t>
      </w:r>
      <w:r>
        <w:rPr>
          <w:rFonts w:eastAsia="IRNazanin" w:cs="IRNazanin"/>
          <w:color w:val="111111"/>
          <w:sz w:val="28"/>
          <w:szCs w:val="28"/>
          <w:rtl w:val="true"/>
          <w:lang w:bidi="fa-IR"/>
        </w:rPr>
        <w:t xml:space="preserve">. </w:t>
      </w:r>
      <w:bookmarkStart w:id="2396" w:name="pg10275_96838"/>
    </w:p>
    <w:p>
      <w:pPr>
        <w:pStyle w:val="BookText"/>
        <w:rPr/>
      </w:pPr>
      <w:bookmarkEnd w:id="2396"/>
      <w:r>
        <w:rPr>
          <w:rFonts w:ascii="Amiri" w:hAnsi="Amiri" w:eastAsia="Amiri" w:cs="Amiri"/>
          <w:color w:val="111111"/>
          <w:sz w:val="28"/>
          <w:sz w:val="28"/>
          <w:szCs w:val="28"/>
          <w:rtl w:val="true"/>
          <w:lang w:bidi="ar-SA"/>
        </w:rPr>
        <w:t>در موضع ثبوت ردّ به كسى كه از او قصاص مى شود، در عدم استحقاق قصاص قبل از ردّ يا عدم استحقاق ردّ قبل از قصاص، تأمل است در صورتى كه ردّ از شريك در جنايت باشد يا از ولىّ كه قصاص مى نمايد، و احوط تراضى به آن است مطلقاً</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3973011_1067777946"/>
      <w:bookmarkStart w:id="2398" w:name="_Toc1013"/>
      <w:bookmarkEnd w:id="2397"/>
      <w:r>
        <w:rPr>
          <w:rtl w:val="true"/>
        </w:rPr>
        <w:t>اشتراك حرّ و عبد در قتل</w:t>
      </w:r>
      <w:bookmarkEnd w:id="23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حرّى و عبدى اشتراك كردند در قتل حرّى از روى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مقتول مى تواند هر دو جانى را به قصاص به قتل رساند با آن كه ردّ نمايد به ولىّ حرّ نصف ديۀ او را، و چيزى براى مولاى عبد نيست مگر زيادتى قيمت از جنايت كه اقتضاى نصف ديۀ حرّ مى نمايد مادامى كه تجاوز از ديه حرّ ننمايد؛ وگرنه اقتصار بر نصف ديۀ حرّ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تواند حرّ را فقط به قصاص به قتل رساند و مولاى عبد ردّ مى نمايد به ولىّ مقتول به جنايت، عبد را كه استرقاق نمايد او را يا مقدار جنايت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نقصان قيمت او از جنايت او كه نصف ديه حرّ است، بر مولاى عبد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خودش براى مقتول به قصاص، نصف ديۀ او را به ولىّ او 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تواند عبد را به قصاص به قتل برساند و به مولاى او زايد بر جنايت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نمايد و نصف ديۀ مجنىّ عليه را از حرّ اخذ مى نمايد، يا آن كه حرّ به مولاى عبد زيادتى را ردّ مى نمايد و براى ولىّ مجنىّ عليه نصف ديه را تكميل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قيمت عبد مقتول، مساوى يا زايد بر جنايت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مقدار نصف ديه 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بلكه يا به مقدار ديه حرّ باشد يا ازيد، تمام مأخوذ از حرّ را ردّ به مولاى عبد مى نمايد و زايد اثرى ندارد؛ بلكه هر دو ديه ديۀ حرّ است متجاوز از قيمت بنده؛ و اگر كمتر باشد از نصف ديه، چيزى بر مولاى عبد نيست؛ و اگر زايد از نصف ديۀ حرّ باشد، چنان چه گذشت زيادتى را بر مولاى عبد ردّ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مأخوذ از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بقيۀ مأخوذ از حرّ، مال ولىّ مجنىّ عليه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هيچ كدام را به قصاص نكُشت، مستحق است ولىّ مجنىّ عليه، بر حرّ، نصف </w:t>
      </w:r>
      <w:bookmarkStart w:id="2399" w:name="pg10275_96840"/>
    </w:p>
    <w:p>
      <w:pPr>
        <w:pStyle w:val="BookText"/>
        <w:rPr/>
      </w:pPr>
      <w:bookmarkEnd w:id="2399"/>
      <w:r>
        <w:rPr>
          <w:rFonts w:ascii="Amiri" w:hAnsi="Amiri" w:eastAsia="Amiri" w:cs="Amiri"/>
          <w:color w:val="111111"/>
          <w:sz w:val="28"/>
          <w:sz w:val="28"/>
          <w:szCs w:val="28"/>
          <w:rtl w:val="true"/>
          <w:lang w:bidi="ar-SA"/>
        </w:rPr>
        <w:t>ديه حرّ را؛ و بر مولاى عبد، اقل از نصف ديه و قيمت عبد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است تخيير ولىّ بين استرقاق مقدار موافق جنايت از عبد را و بين اخذ عوض به نحو متقدم از مولى</w:t>
      </w:r>
      <w:r>
        <w:rPr>
          <w:rFonts w:eastAsia="Amiri" w:cs="Amiri" w:ascii="Amiri" w:hAnsi="Amiri"/>
          <w:color w:val="111111"/>
          <w:sz w:val="28"/>
          <w:szCs w:val="28"/>
          <w:rtl w:val="true"/>
          <w:lang w:bidi="ar-SA"/>
        </w:rPr>
        <w:t>.</w:t>
      </w:r>
    </w:p>
    <w:p>
      <w:pPr>
        <w:pStyle w:val="Heading4"/>
        <w:numPr>
          <w:ilvl w:val="3"/>
          <w:numId w:val="1"/>
        </w:numPr>
        <w:rPr/>
      </w:pPr>
      <w:bookmarkStart w:id="2400" w:name="__RefHeading___Toc3973013_1067777946"/>
      <w:bookmarkStart w:id="2401" w:name="_Toc1014"/>
      <w:bookmarkEnd w:id="2400"/>
      <w:r>
        <w:rPr>
          <w:rtl w:val="true"/>
        </w:rPr>
        <w:t>اشتراك حرّه و عبد در قتل</w:t>
      </w:r>
      <w:bookmarkEnd w:id="240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آزاد و عبدى، شريك شدند در قتل مرد مسلمان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اولياى مقتول، قتل هر دو است، و بر زن چيزى ردّ نمى نمايند، و هم چنين بر مولاى عبد مگر در صورت زيادتى قيمت او بر نصف ديه، كه خصوص زايد را ردّ مى نمايند يا نصف ديه را به نحوى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خصوص زن را به قصاص كشتند، مى توانند استرقاق بنده نمايند مثل جنايت عمديه، و زيادتى بر نصف ديه از قيمت، مردود به مولاى عبد است يا مورد شراكت است؛ و اگر فداء داد مولا به اوليا به آن چه تراضى به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نصف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استرقاق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تعيين يا تخيير مولا يا ولىّ‌، بين استرقاق و اخذ عوض به آن چه تراضى شود با مقتضاى رضا به فداء،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اختيار كردند قتل خصوص عبد را و قيمت او به قدر جنايت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ردّ بر مولا نمى شود، و بر زن است ديۀ جنايت او كه نصف است؛ و اگر قيمت عبد مقتول به قصاص، بيش از نصف ديه بود، زايد را از زن مأخوذ و بر مولا مردود مى نمايند، و اگر بازهم زيادتى بود از آن چه بر زن است، آن زايد مال ورثۀ مقتول به جنايت است</w:t>
      </w:r>
      <w:r>
        <w:rPr>
          <w:rFonts w:eastAsia="IRNazanin" w:cs="IRNazanin"/>
          <w:color w:val="111111"/>
          <w:sz w:val="28"/>
          <w:szCs w:val="28"/>
          <w:rtl w:val="true"/>
          <w:lang w:bidi="fa-IR"/>
        </w:rPr>
        <w:t>.</w:t>
      </w:r>
    </w:p>
    <w:p>
      <w:pPr>
        <w:pStyle w:val="Heading4"/>
        <w:numPr>
          <w:ilvl w:val="3"/>
          <w:numId w:val="1"/>
        </w:numPr>
        <w:rPr/>
      </w:pPr>
      <w:bookmarkStart w:id="2402" w:name="__RefHeading___Toc3973015_1067777946"/>
      <w:bookmarkStart w:id="2403" w:name="_Toc1015"/>
      <w:bookmarkEnd w:id="2402"/>
      <w:r>
        <w:rPr>
          <w:rtl w:val="true"/>
        </w:rPr>
        <w:t>تشارك مردى با خنثى در قتل مردى</w:t>
      </w:r>
      <w:bookmarkEnd w:id="24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مردى با خنثى شريك شد در قتل مردى، پس ولىّ مقتول مى تواند هر دو را به قصاص به قتل برساند با ردّ نصف ديۀ هر كدام به او يا ورثۀ او كه عبارت از نصف تمام ديه مرد، و تفاوت ديه خنثى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تمام آن سه ربع ديه است يعنى نصف ديه مرد</w:t>
      </w:r>
      <w:bookmarkStart w:id="2404" w:name="pg10275_96841"/>
    </w:p>
    <w:p>
      <w:pPr>
        <w:pStyle w:val="BookText"/>
        <w:rPr/>
      </w:pPr>
      <w:bookmarkEnd w:id="2404"/>
      <w:r>
        <w:rPr>
          <w:rFonts w:ascii="Amiri" w:hAnsi="Amiri" w:eastAsia="Amiri" w:cs="Amiri"/>
          <w:color w:val="111111"/>
          <w:sz w:val="28"/>
          <w:sz w:val="28"/>
          <w:szCs w:val="28"/>
          <w:rtl w:val="true"/>
          <w:lang w:bidi="ar-SA"/>
        </w:rPr>
        <w:t>با نصف ديه زن؛ و تفاوت آن با نصف ديه مقتول به جنايت، ربع ديه او است و بايد همان را به خنثى يا ولىّ او ردّ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زنى هم با آنها شريك بود، زايد بر جنايت هر كدام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قتل هر سه به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ردّ مى نمايد؛ پس به مجموع، يك ديه و ربع آن مردود مى شود، به مرد دو ثلث ديه، و به زن سدس ديه، و به خنثى ثلث ديه و نصف سدس آن ردّ مى شود؛ پس ديه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تقسيم مى شود، و ديه زن شش، و ديه خنثى نُه است؛ و فاضل مردود به مرد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 مردود به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 مردود به خنثى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pStyle w:val="Heading4"/>
        <w:numPr>
          <w:ilvl w:val="3"/>
          <w:numId w:val="1"/>
        </w:numPr>
        <w:rPr/>
      </w:pPr>
      <w:bookmarkStart w:id="2405" w:name="__RefHeading___Toc3973017_1067777946"/>
      <w:bookmarkStart w:id="2406" w:name="_Toc1016"/>
      <w:bookmarkEnd w:id="2405"/>
      <w:r>
        <w:rPr>
          <w:rtl w:val="true"/>
        </w:rPr>
        <w:t>تشارك مردى و خنثى در قتل يك زن</w:t>
      </w:r>
      <w:bookmarkEnd w:id="240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مردى و خنثى شريك شدند در قتل زنى و هر دو را به قصاص كشتند ردّ مى نمايند به مرد سه ربع ديه، و به خنثى نصف ديه را، كه فاضل از جنايت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نصف ديه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خنثى به تفاوت مذكور مردود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زنى با ايشان شريك قتل بود، فاضل از جنايت زن و مرد و خنثى را به آنها ردّ مى نمايد با توزيع، و مقدار جنايت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موافق ثلث ديه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مى شود، و ديۀ يك مرد و خنثى توزيع بر سه نفر مى شود به ظاهر محاسبه، بر مرد دو ثلث ديه و يك سدس آن، و بر زن ثلث ديه، و بر خنثى نصف ديه و سدس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ردّ منفى و ردّ فاضل از جنايت مردود مى شود، و اللّٰه العالم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وحده و الصلاة على محمّد و آله الطاهرين</w:t>
      </w:r>
      <w:r>
        <w:rPr>
          <w:rFonts w:eastAsia="Amiri" w:cs="Amiri" w:ascii="Amiri" w:hAnsi="Amiri"/>
          <w:color w:val="111111"/>
          <w:sz w:val="28"/>
          <w:szCs w:val="28"/>
          <w:rtl w:val="true"/>
          <w:lang w:bidi="ar-SA"/>
        </w:rPr>
        <w:t>.</w:t>
      </w:r>
      <w:r>
        <w:rPr>
          <w:rStyle w:val="FootnoteAnchor"/>
          <w:rtl w:val="true"/>
        </w:rPr>
        <w:footnoteReference w:id="20"/>
      </w:r>
      <w:bookmarkStart w:id="2407" w:name="pg10275_96843"/>
    </w:p>
    <w:p>
      <w:pPr>
        <w:pStyle w:val="Heading3"/>
        <w:numPr>
          <w:ilvl w:val="2"/>
          <w:numId w:val="1"/>
        </w:numPr>
        <w:rPr/>
      </w:pPr>
      <w:bookmarkStart w:id="2408" w:name="__RefHeading___Toc3973019_1067777946"/>
      <w:bookmarkStart w:id="2409" w:name="_Toc1017"/>
      <w:bookmarkEnd w:id="2407"/>
      <w:bookmarkEnd w:id="2408"/>
      <w:r>
        <w:rPr>
          <w:rtl w:val="true"/>
        </w:rPr>
        <w:t>فصل سوم شروط معتبره در قصاص</w:t>
      </w:r>
      <w:bookmarkEnd w:id="2409"/>
    </w:p>
    <w:p>
      <w:pPr>
        <w:pStyle w:val="Heading4"/>
        <w:numPr>
          <w:ilvl w:val="3"/>
          <w:numId w:val="1"/>
        </w:numPr>
        <w:rPr/>
      </w:pPr>
      <w:bookmarkStart w:id="2410" w:name="__RefHeading___Toc3973021_1067777946"/>
      <w:bookmarkStart w:id="2411" w:name="_Toc1018"/>
      <w:bookmarkEnd w:id="2410"/>
      <w:r>
        <w:rPr>
          <w:rtl w:val="true"/>
        </w:rPr>
        <w:t>اشاره</w:t>
      </w:r>
      <w:bookmarkEnd w:id="2411"/>
    </w:p>
    <w:p>
      <w:pPr>
        <w:pStyle w:val="BookText"/>
        <w:rPr/>
      </w:pPr>
      <w:r>
        <w:rPr>
          <w:rFonts w:ascii="IRNazanin" w:hAnsi="IRNazanin" w:eastAsia="IRNazanin"/>
          <w:color w:val="111111"/>
          <w:sz w:val="28"/>
          <w:sz w:val="28"/>
          <w:szCs w:val="28"/>
          <w:rtl w:val="true"/>
          <w:lang w:bidi="fa-IR"/>
        </w:rPr>
        <w:t>فصل سوم شروط معتبره در قصاص</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آن پنج است</w:t>
      </w:r>
      <w:r>
        <w:rPr>
          <w:rFonts w:eastAsia="IRNazanin" w:cs="IRNazanin"/>
          <w:color w:val="111111"/>
          <w:sz w:val="28"/>
          <w:szCs w:val="28"/>
          <w:rtl w:val="true"/>
          <w:lang w:bidi="fa-IR"/>
        </w:rPr>
        <w:t>:</w:t>
      </w:r>
    </w:p>
    <w:p>
      <w:pPr>
        <w:pStyle w:val="Heading4"/>
        <w:numPr>
          <w:ilvl w:val="3"/>
          <w:numId w:val="1"/>
        </w:numPr>
        <w:rPr/>
      </w:pPr>
      <w:bookmarkStart w:id="2412" w:name="__RefHeading___Toc3973023_1067777946"/>
      <w:bookmarkStart w:id="2413" w:name="_Toc1019"/>
      <w:bookmarkEnd w:id="2412"/>
      <w:r>
        <w:rPr/>
        <w:t>1</w:t>
      </w:r>
      <w:r>
        <w:rPr>
          <w:rtl w:val="true"/>
        </w:rPr>
        <w:t xml:space="preserve">. </w:t>
      </w:r>
      <w:r>
        <w:rPr>
          <w:rtl w:val="true"/>
        </w:rPr>
        <w:t>شرط اول</w:t>
      </w:r>
      <w:r>
        <w:rPr>
          <w:rtl w:val="true"/>
        </w:rPr>
        <w:t xml:space="preserve">: </w:t>
      </w:r>
      <w:r>
        <w:rPr>
          <w:rtl w:val="true"/>
        </w:rPr>
        <w:t>تساوى در حريّت و رقيّت</w:t>
      </w:r>
      <w:bookmarkEnd w:id="2413"/>
    </w:p>
    <w:p>
      <w:pPr>
        <w:pStyle w:val="Heading5"/>
        <w:numPr>
          <w:ilvl w:val="4"/>
          <w:numId w:val="1"/>
        </w:numPr>
        <w:rPr/>
      </w:pPr>
      <w:bookmarkStart w:id="2414" w:name="__RefHeading___Toc3973025_1067777946"/>
      <w:bookmarkStart w:id="2415" w:name="_Toc1020"/>
      <w:bookmarkEnd w:id="2414"/>
      <w:r>
        <w:rPr>
          <w:rtl w:val="true"/>
        </w:rPr>
        <w:t>اشاره</w:t>
      </w:r>
      <w:bookmarkEnd w:id="2415"/>
    </w:p>
    <w:p>
      <w:pPr>
        <w:pStyle w:val="BookText"/>
        <w:rPr/>
      </w:pPr>
      <w:r>
        <w:rPr>
          <w:rFonts w:ascii="IRNazanin" w:hAnsi="IRNazanin" w:eastAsia="IRNazanin"/>
          <w:color w:val="111111"/>
          <w:sz w:val="28"/>
          <w:sz w:val="28"/>
          <w:szCs w:val="28"/>
          <w:rtl w:val="true"/>
          <w:lang w:bidi="fa-IR"/>
        </w:rPr>
        <w:t>يعنى حرّ به سبب عبد كشته نمى شود 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حرّ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حرّه كشته مى شود بعد از ردّ فاضل ديۀ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يا ولىّ او؛ و اگر فقير بود ولىّ مقتول يا امتناع كرد از ادا نصف ديه پس استحقاق مطالبۀ نصف ديه از قاتل، محل تأمل است، بلكه محتمل است تعين قصاص مگر با تراضى بر ديه؛ پس تأخير مطالبه فاضل تا زمان قدرت مى شود، و با قدرت الزام مى شود بر ادا، مثل ساير ديون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زن حرّه را به قتل مى رسانند به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قتل زن حرّه، و از قتل مرد حرّ بدون ردّ فاضل ديه از زن يا ولىّ او</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3973027_1067777946"/>
      <w:bookmarkStart w:id="2417" w:name="_Toc1021"/>
      <w:bookmarkEnd w:id="2416"/>
      <w:r>
        <w:rPr>
          <w:rtl w:val="true"/>
        </w:rPr>
        <w:t>قصاص اطراف</w:t>
      </w:r>
      <w:bookmarkEnd w:id="241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قصاص اطراف زن براى جنايت در اطراف مرد، رجوعى براى مرد در فاضل ديه نيست از زن يا ولىّ او؛ و قصاص مى شود از مرد براى زن در اطراف، بدون رجوع مرد بر زن؛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ثلث ديۀ حرّ نرسد؛ پس اگر رسيد يا تجاوز كرد به </w:t>
      </w:r>
      <w:bookmarkStart w:id="2418" w:name="pg10275_96845"/>
    </w:p>
    <w:p>
      <w:pPr>
        <w:pStyle w:val="BookText"/>
        <w:rPr/>
      </w:pPr>
      <w:bookmarkEnd w:id="2418"/>
      <w:r>
        <w:rPr>
          <w:rFonts w:ascii="Amiri" w:hAnsi="Amiri" w:eastAsia="Amiri" w:cs="Amiri"/>
          <w:color w:val="111111"/>
          <w:sz w:val="28"/>
          <w:sz w:val="28"/>
          <w:szCs w:val="28"/>
          <w:rtl w:val="true"/>
          <w:lang w:bidi="ar-SA"/>
        </w:rPr>
        <w:t>نحوى كه تعيين مى شود، رجوع به نصف مى شود در ديه و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با ردّ نصف، قصاص در طرف مرد براى زن مى شود، و بدون ردّ، قصاص در طرف نمى شود</w:t>
      </w:r>
      <w:r>
        <w:rPr>
          <w:rFonts w:eastAsia="IRNazanin" w:cs="IRNazanin"/>
          <w:color w:val="111111"/>
          <w:sz w:val="28"/>
          <w:szCs w:val="28"/>
          <w:rtl w:val="true"/>
          <w:lang w:bidi="fa-IR"/>
        </w:rPr>
        <w:t>.</w:t>
      </w:r>
    </w:p>
    <w:p>
      <w:pPr>
        <w:pStyle w:val="Heading5"/>
        <w:numPr>
          <w:ilvl w:val="4"/>
          <w:numId w:val="1"/>
        </w:numPr>
        <w:rPr/>
      </w:pPr>
      <w:bookmarkStart w:id="2419" w:name="__RefHeading___Toc3973029_1067777946"/>
      <w:bookmarkStart w:id="2420" w:name="_Toc1022"/>
      <w:bookmarkEnd w:id="2419"/>
      <w:r>
        <w:rPr>
          <w:rtl w:val="true"/>
        </w:rPr>
        <w:t>ديۀ ثابتۀ زن و حدّ تنصيف آن</w:t>
      </w:r>
      <w:bookmarkEnd w:id="2420"/>
    </w:p>
    <w:p>
      <w:pPr>
        <w:pStyle w:val="BookText"/>
        <w:rPr/>
      </w:pPr>
      <w:r>
        <w:rPr>
          <w:rFonts w:ascii="IRNazanin" w:hAnsi="IRNazanin" w:eastAsia="IRNazanin"/>
          <w:color w:val="111111"/>
          <w:sz w:val="28"/>
          <w:sz w:val="28"/>
          <w:szCs w:val="28"/>
          <w:rtl w:val="true"/>
          <w:lang w:bidi="fa-IR"/>
        </w:rPr>
        <w:t>و همچنين ديۀ ثابته زن، نصف ديه مرد است در ثلث يا زايد به نحوى كه ذكر مى شود؛ و تا بلوغ ثلث، ديه آنها مساوى است در جرح؛ و در قصاص هم مساوى هستند، مگر در قصاص از مرد براى زن كه تفاوت مردود است بر مرد در ثلث ديۀ حرّ يا 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حدّ تنصيف ديۀ زن در جراحات، بلوغ ثلث ديۀ حرّ است نه تجاوز از آن؛ پس در قطع مرد، يك انگشت تا سه انگشت زن را، قصاص بدون ردّ است؛ و اگر ديه مأخوذ شده، ديۀ انگشتهاى مرد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انگشت قطع شد و قصاص شد، ديه دو انگشت مرد را ردّ مى نمايد به او يا ولىّ او؛ و اگر ديه مأخوذ شد، ديه دو انگشت مرد در عوض قطع چهار انگشت زن گرفته مى شود؛ پس مخيّر است زن، بين قصاص به قطع چهار انگشت و ردّ ديۀ دو انگشت و بين اخذ ديۀ دو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ترك غير اين دو قسم است براى زن به اين كه قطع نمايد دو انگشت را بدون ردّ ديه يا قطع نمايد سه انگشت را و ردّ نمايد ديه يك انگشت را با عفو از قطع چهارم يا صلح بر ديۀ آن، كه اينها خارج از متيقن از مستفاد از نصّ است؛ لكن اظهر در صورت قطع چهار انگشت، تخيير بين اداى ديه دو انگشت است و بين قطع چهار به قصاص با اداى ديۀ دو انگشت، يا قطع دو انگشت با اداى ديۀ يك انگشت و قطع سه انگشت با اداى سه ربع ديه دو انگشت، يا آن كه صاحب حق، عفو از تفاوت ديه بنمايد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چهار ضربه، چهار انگشت را قطع كرد، اظهر ثبوت قصاص در چهار انگشت مرد بدون ردّ است، و ثبوت ديه چهار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 ديه يك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ردّ در صورتى است كه با يك ضربت، چهار انگشت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نظاير فرع</w:t>
      </w:r>
      <w:r>
        <w:rPr>
          <w:rFonts w:eastAsia="IRNazanin" w:cs="IRNazanin"/>
          <w:color w:val="111111"/>
          <w:sz w:val="28"/>
          <w:szCs w:val="28"/>
          <w:rtl w:val="true"/>
          <w:lang w:bidi="fa-IR"/>
        </w:rPr>
        <w:t xml:space="preserve">. </w:t>
      </w:r>
      <w:bookmarkStart w:id="2421" w:name="pg10275_96847"/>
    </w:p>
    <w:p>
      <w:pPr>
        <w:pStyle w:val="Heading5"/>
        <w:numPr>
          <w:ilvl w:val="4"/>
          <w:numId w:val="1"/>
        </w:numPr>
        <w:rPr/>
      </w:pPr>
      <w:bookmarkStart w:id="2422" w:name="__RefHeading___Toc3973031_1067777946"/>
      <w:bookmarkStart w:id="2423" w:name="_Toc1023"/>
      <w:bookmarkEnd w:id="2421"/>
      <w:bookmarkEnd w:id="2422"/>
      <w:r>
        <w:rPr>
          <w:rtl w:val="true"/>
        </w:rPr>
        <w:t>قصاص عبد و بر عبد</w:t>
      </w:r>
      <w:bookmarkEnd w:id="2423"/>
    </w:p>
    <w:p>
      <w:pPr>
        <w:pStyle w:val="BookText"/>
        <w:rPr/>
      </w:pPr>
      <w:r>
        <w:rPr>
          <w:rFonts w:ascii="IRNazanin" w:hAnsi="IRNazanin" w:eastAsia="IRNazanin"/>
          <w:color w:val="111111"/>
          <w:sz w:val="28"/>
          <w:sz w:val="28"/>
          <w:szCs w:val="28"/>
          <w:rtl w:val="true"/>
          <w:lang w:bidi="fa-IR"/>
        </w:rPr>
        <w:t>و عبد در قصاص كشته مى شود به سبب عبد و امه، و همچنين امه كشته مى شود در قصاص به سبب عبد و امه، هر دو مال يك مالك باشند يا دو مالك، و تفاوت قيمت نداشته باشند يا آن كه داشته باشند اگر چه قاتل، ناقص باشد قيمت او بنا بر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ديه اختيار شد و استرقاق شد قاتل، به مقدار قيمت مقتول به جنايت، استرقاق براى مالك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 در قصاص و همچنين حرّه و خنثىٰ‌، به سبب عبد يا امه كشته نمى شود، چه مملوكِ قاتل باشد يا غير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اقسام مملوكيت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 و مدبّر و 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معتاد به قتل مماليك و غير نيست در حيثيت قتل به قصاص، نه در حيثيت قتل حدّى به افساد با شروط تحقق مفسِد و محارب؛ و در تقدير ثبوت حدّ، محلّى براى ردّ فاضل ديۀ حرّ از قيمت عبد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مولىٰ‌، قاتل عبد خودش و جانى بر او باشد، كفارۀ جمع بر او است براى قتل عمدى مؤمن، و تعزير مى شود، و احوط تغريم او است به قيمت مملوك خود، و تصدق به آن است بر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جانى حرّ، عبد غير را به قتل رسانيد، به قصاص كشته نمى شود، بلكه بر او است تمام قيمت عبد براى مالك او مادام كه تجاوز از ديۀ حرّ ننمايد، چه آن كه مالك عبد، مرد باشد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مملوكۀ غير را به قتل رسانيد، بر او است تمام قيمت او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ديۀ حرّه ننمايد وگرنه مردود به آن مى شود، مالك، مرد باشد يا زن</w:t>
      </w:r>
      <w:r>
        <w:rPr>
          <w:rFonts w:eastAsia="IRNazanin" w:cs="IRNazanin"/>
          <w:color w:val="111111"/>
          <w:sz w:val="28"/>
          <w:szCs w:val="28"/>
          <w:rtl w:val="true"/>
          <w:lang w:bidi="fa-IR"/>
        </w:rPr>
        <w:t>.</w:t>
      </w:r>
    </w:p>
    <w:p>
      <w:pPr>
        <w:pStyle w:val="Heading5"/>
        <w:numPr>
          <w:ilvl w:val="4"/>
          <w:numId w:val="1"/>
        </w:numPr>
        <w:rPr/>
      </w:pPr>
      <w:bookmarkStart w:id="2424" w:name="__RefHeading___Toc3973033_1067777946"/>
      <w:bookmarkStart w:id="2425" w:name="_Toc1024"/>
      <w:bookmarkEnd w:id="2424"/>
      <w:r>
        <w:rPr>
          <w:rtl w:val="true"/>
        </w:rPr>
        <w:t>جنايت بر مملوك</w:t>
      </w:r>
      <w:bookmarkEnd w:id="242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جنايتى كرد بر مملوك كه تا مدتى زنده بود و نقصان قيمت حاصل شده بود، پس از آن مدّت وفات كرد در اثر آن جنايت، و سرايت مضمونه بود، ضامن تمام قيمت آن است، نه ارش جنايت و قيمت روز وفات اگر كمتر از تمام قيمت قبل از جنايت باشد</w:t>
      </w:r>
      <w:r>
        <w:rPr>
          <w:rFonts w:eastAsia="IRNazanin" w:cs="IRNazanin"/>
          <w:color w:val="111111"/>
          <w:sz w:val="28"/>
          <w:szCs w:val="28"/>
          <w:rtl w:val="true"/>
          <w:lang w:bidi="fa-IR"/>
        </w:rPr>
        <w:t xml:space="preserve">. </w:t>
      </w:r>
      <w:bookmarkStart w:id="2426" w:name="pg10275_96849"/>
    </w:p>
    <w:p>
      <w:pPr>
        <w:pStyle w:val="Heading5"/>
        <w:numPr>
          <w:ilvl w:val="4"/>
          <w:numId w:val="1"/>
        </w:numPr>
        <w:rPr/>
      </w:pPr>
      <w:bookmarkStart w:id="2427" w:name="__RefHeading___Toc3973035_1067777946"/>
      <w:bookmarkStart w:id="2428" w:name="_Toc1025"/>
      <w:bookmarkEnd w:id="2426"/>
      <w:bookmarkEnd w:id="2427"/>
      <w:r>
        <w:rPr>
          <w:rtl w:val="true"/>
        </w:rPr>
        <w:t>قتل مملوك ذمّى و مملوكۀ ذميّه</w:t>
      </w:r>
      <w:bookmarkEnd w:id="2428"/>
    </w:p>
    <w:p>
      <w:pPr>
        <w:pStyle w:val="BookText"/>
        <w:rPr/>
      </w:pPr>
      <w:r>
        <w:rPr>
          <w:rFonts w:ascii="IRNazanin" w:hAnsi="IRNazanin" w:eastAsia="IRNazanin"/>
          <w:color w:val="111111"/>
          <w:sz w:val="28"/>
          <w:sz w:val="28"/>
          <w:szCs w:val="28"/>
          <w:rtl w:val="true"/>
          <w:lang w:bidi="fa-IR"/>
        </w:rPr>
        <w:t xml:space="preserve">اظهر در قتل مملوك ذمّى، ثبوت قيمت او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ديۀ حرّ ذمّى ننمايد؛ و در قتل مملوكه ذمّيه، قيمت او اگر تجاوز از ديه حرّۀ ذمّيه ننمايد؛ مالك در هر دو مرد باشد يا زن، مسلمان باشد يا ذمّى يا ذمّيه</w:t>
      </w:r>
      <w:r>
        <w:rPr>
          <w:rFonts w:eastAsia="IRNazanin" w:cs="IRNazanin"/>
          <w:color w:val="111111"/>
          <w:sz w:val="28"/>
          <w:szCs w:val="28"/>
          <w:rtl w:val="true"/>
          <w:lang w:bidi="fa-IR"/>
        </w:rPr>
        <w:t>.</w:t>
      </w:r>
    </w:p>
    <w:p>
      <w:pPr>
        <w:pStyle w:val="Heading5"/>
        <w:numPr>
          <w:ilvl w:val="4"/>
          <w:numId w:val="1"/>
        </w:numPr>
        <w:rPr/>
      </w:pPr>
      <w:bookmarkStart w:id="2429" w:name="__RefHeading___Toc3973037_1067777946"/>
      <w:bookmarkStart w:id="2430" w:name="_Toc1026"/>
      <w:bookmarkEnd w:id="2429"/>
      <w:r>
        <w:rPr>
          <w:rtl w:val="true"/>
        </w:rPr>
        <w:t>قتل عبد مسلمان توسط ذمّى</w:t>
      </w:r>
      <w:bookmarkEnd w:id="2430"/>
    </w:p>
    <w:p>
      <w:pPr>
        <w:pStyle w:val="BookText"/>
        <w:rPr/>
      </w:pPr>
      <w:r>
        <w:rPr>
          <w:rFonts w:ascii="IRNazanin" w:hAnsi="IRNazanin" w:eastAsia="IRNazanin"/>
          <w:color w:val="111111"/>
          <w:sz w:val="28"/>
          <w:sz w:val="28"/>
          <w:szCs w:val="28"/>
          <w:rtl w:val="true"/>
          <w:lang w:bidi="fa-IR"/>
        </w:rPr>
        <w:t xml:space="preserve">اگر ذمّى، عبد مسلمانى داشت، و قبل از بيع، او را آزادى كُشت، ديۀ او قيمت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ديه حرّ مسلمان ننمايد اگر چه تجاوز از ديه حرّ ذمّى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مملوكۀ مسلمه براى ذمّيه يا ذمّى، كه عدم تجاوز از ديه حرّۀ مسلمان رعايت در قيمت او مى شود، نه عدم تجاوز از ديه مولىٰ‌</w:t>
      </w:r>
      <w:r>
        <w:rPr>
          <w:rFonts w:eastAsia="IRNazanin" w:cs="IRNazanin"/>
          <w:color w:val="111111"/>
          <w:sz w:val="28"/>
          <w:szCs w:val="28"/>
          <w:rtl w:val="true"/>
          <w:lang w:bidi="fa-IR"/>
        </w:rPr>
        <w:t>.</w:t>
      </w:r>
    </w:p>
    <w:p>
      <w:pPr>
        <w:pStyle w:val="Heading5"/>
        <w:numPr>
          <w:ilvl w:val="4"/>
          <w:numId w:val="1"/>
        </w:numPr>
        <w:rPr/>
      </w:pPr>
      <w:bookmarkStart w:id="2431" w:name="__RefHeading___Toc3973039_1067777946"/>
      <w:bookmarkStart w:id="2432" w:name="_Toc1027"/>
      <w:bookmarkEnd w:id="2431"/>
      <w:r>
        <w:rPr>
          <w:rtl w:val="true"/>
        </w:rPr>
        <w:t>قتل حرّ توسط مملوك</w:t>
      </w:r>
      <w:bookmarkEnd w:id="2432"/>
    </w:p>
    <w:p>
      <w:pPr>
        <w:pStyle w:val="BookText"/>
        <w:rPr/>
      </w:pPr>
      <w:r>
        <w:rPr>
          <w:rFonts w:ascii="IRNazanin" w:hAnsi="IRNazanin" w:eastAsia="IRNazanin"/>
          <w:color w:val="111111"/>
          <w:sz w:val="28"/>
          <w:sz w:val="28"/>
          <w:szCs w:val="28"/>
          <w:rtl w:val="true"/>
          <w:lang w:bidi="fa-IR"/>
        </w:rPr>
        <w:t>اگر مملوك، آزادى را به جنايت، به قتل رسانيد، كشته مى شود به قصاص، و مولىٰ ضامن جنايت او نيست، و ولىّ دم، مختار بين قتل و استرقاق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تخيير ولىّ دم است مطلقاً، و مولاى عبد، اختيار فكّ او را به اداى قيمت ندارد اگر ولىّ راضى نشود، و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رضاى مولاى عبد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قيمت، ازيد از ديۀ آزاد باشد و اختيار كرد ولىّ استرقاق را در مقابل قصاص، احتمال استحقاق استرقاق معادل ديۀ آزاد از مملوك يا مملوكه، قائم است</w:t>
      </w:r>
      <w:r>
        <w:rPr>
          <w:rFonts w:eastAsia="IRNazanin" w:cs="IRNazanin"/>
          <w:color w:val="111111"/>
          <w:sz w:val="28"/>
          <w:szCs w:val="28"/>
          <w:rtl w:val="true"/>
          <w:lang w:bidi="fa-IR"/>
        </w:rPr>
        <w:t>.</w:t>
      </w:r>
    </w:p>
    <w:p>
      <w:pPr>
        <w:pStyle w:val="Heading5"/>
        <w:numPr>
          <w:ilvl w:val="4"/>
          <w:numId w:val="1"/>
        </w:numPr>
        <w:rPr/>
      </w:pPr>
      <w:bookmarkStart w:id="2433" w:name="__RefHeading___Toc3973041_1067777946"/>
      <w:bookmarkStart w:id="2434" w:name="_Toc1028"/>
      <w:bookmarkEnd w:id="2433"/>
      <w:r>
        <w:rPr>
          <w:rtl w:val="true"/>
        </w:rPr>
        <w:t>مجروح شدن حرّ توسط مملوك</w:t>
      </w:r>
      <w:bookmarkEnd w:id="243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عبد، مجروح كرد حرّ را، مى تواند قصاص نمايد از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مطالبۀ ديه نمود، مولىٰ فكّ مى نمايد او را به ارش جنايت يا به اقل از ارش و قيمت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احاطه مى نمايد جنايت به قيمت مملوك، استرقاق مى نمايد حرّ مجروح، مملوك جارح را؛ و اگر احاطه نمى نمايد، مولىٰ فداء مى دهد به آن چه مذكور شد؛ و اگر فداء نداد، به نسبت جنايت، مجروح، مالكِ مملوك مى شود و زايد، ملك مولىٰ است؛ و مى تواند مطالبۀ </w:t>
      </w:r>
      <w:bookmarkStart w:id="2435" w:name="pg10275_96851"/>
    </w:p>
    <w:p>
      <w:pPr>
        <w:pStyle w:val="BookText"/>
        <w:rPr/>
      </w:pPr>
      <w:bookmarkEnd w:id="2435"/>
      <w:r>
        <w:rPr>
          <w:rFonts w:ascii="IRNazanin" w:hAnsi="IRNazanin" w:eastAsia="IRNazanin"/>
          <w:color w:val="111111"/>
          <w:sz w:val="28"/>
          <w:sz w:val="28"/>
          <w:szCs w:val="28"/>
          <w:rtl w:val="true"/>
          <w:lang w:bidi="fa-IR"/>
        </w:rPr>
        <w:t>بيع نمايد و زايد از ثمن، مال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به احتياط لزومى، تراضى مجروح است با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اختيار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فداء يا استرقاق تمام يا بعض يا بيع، و تخصيص مولىٰ به زيادتى يا بيع مساوى جنايت و ابقاى زايد در ملك مولىٰ‌؛ و در صورت عدم رضاى مولىٰ به هيچ كدام، ساقط است رضاى او، و مى تواند مجروح، اختيار نمايد آن چه را كه اقل باشد ضرر او بر مالك</w:t>
      </w:r>
      <w:r>
        <w:rPr>
          <w:rFonts w:eastAsia="IRNazanin" w:cs="IRNazanin"/>
          <w:color w:val="111111"/>
          <w:sz w:val="28"/>
          <w:szCs w:val="28"/>
          <w:rtl w:val="true"/>
          <w:lang w:bidi="fa-IR"/>
        </w:rPr>
        <w:t>.</w:t>
      </w:r>
    </w:p>
    <w:p>
      <w:pPr>
        <w:pStyle w:val="Heading5"/>
        <w:numPr>
          <w:ilvl w:val="4"/>
          <w:numId w:val="1"/>
        </w:numPr>
        <w:rPr/>
      </w:pPr>
      <w:bookmarkStart w:id="2436" w:name="__RefHeading___Toc3973043_1067777946"/>
      <w:bookmarkStart w:id="2437" w:name="_Toc1029"/>
      <w:bookmarkEnd w:id="2436"/>
      <w:r>
        <w:rPr>
          <w:rtl w:val="true"/>
        </w:rPr>
        <w:t>صور مختلف قتل عبد توسط عبد و حكم هر كدام</w:t>
      </w:r>
      <w:bookmarkEnd w:id="2437"/>
    </w:p>
    <w:p>
      <w:pPr>
        <w:pStyle w:val="BookText"/>
        <w:rPr/>
      </w:pPr>
      <w:r>
        <w:rPr>
          <w:rFonts w:ascii="IRNazanin" w:hAnsi="IRNazanin" w:eastAsia="IRNazanin"/>
          <w:color w:val="111111"/>
          <w:sz w:val="28"/>
          <w:sz w:val="28"/>
          <w:szCs w:val="28"/>
          <w:rtl w:val="true"/>
          <w:lang w:bidi="fa-IR"/>
        </w:rPr>
        <w:t>اگر عبدى به جنايت عمديه عبدى را به قتل رسانيد، مولاى مقتول مى تواند قصاص نمايد؛ و متعين نيست بر او قصاص، و مى تواند مطالبۀ ديه نمايد؛ و متعلق مى شود ديه به رقبۀ عبد پس مولاى مقتول مى تواند استرقاق نمايد قاتل را با تساوى قيمت قاتل و مقتول، و احتياط در رعايت رضاى مولاى قاتل است در صورت ارادۀ فداء، يعنى هركدام از استرقاق يا فداء بشود با رضايت مولاى هر دو باشد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مولاى قاتل، ضامن جنايت عبد خودش نيست، و مى تواند تبرّع به فكّ او نمايد از ساير اموال خودش با اداى قيمت جنايت يا اقل از آن و از قيمت مملوك، با احتياط در رعايت رضاى مولاى مجنى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قيمت قاتل ازيد است، آن چه قيمت جنايت است راجع به مولاى مجنى عليه است از فداء به اداى آن قدر يا اداى آن مقدار از ثمن يا استرقاق مقابل قيمت جنايت، با احتياط در تعيين هركدام كه با رضاى دو مولا باشد، در صورتى كه مولاى قاتل، اختيار قصاص ننمايد؛ و اگر اختيار قصاص نمود محتمل است زيادتى قيمت مقتول به قصاص از قيمت مقتول به جنايت، مردود به مولاى مقتول به قصاص باشد؛ و اگر قيمت مقتول به جنايت ازيد است، مولاى قاتل، ضامن زيادتى نيست پس مى تواند ولىّ‌، قصاص نمايد يا استرقاق، و احتمال استحقاق مالك، فداء به قيمت را ثابت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قتل خطايى باشد قصاص نمى شود بلكه ديه ثابت است در رقبۀ جانى؛ و </w:t>
      </w:r>
    </w:p>
    <w:p>
      <w:pPr>
        <w:pStyle w:val="BookText"/>
        <w:rPr/>
      </w:pPr>
      <w:r>
        <w:rPr>
          <w:rFonts w:ascii="IRNazanin" w:hAnsi="IRNazanin" w:eastAsia="IRNazanin"/>
          <w:color w:val="111111"/>
          <w:sz w:val="28"/>
          <w:sz w:val="28"/>
          <w:szCs w:val="28"/>
          <w:rtl w:val="true"/>
          <w:lang w:bidi="fa-IR"/>
        </w:rPr>
        <w:t xml:space="preserve">مولاى قاتل مخير است بين فكّ قاتل به اداى قيمت او يا اداى اقل از قيمت او و قيمت مقتول به جنايت و بين دفع او به اولياى مقتول به جنايت كه استرقاق نمايند او را، و تخيير براى ولىّ مقتول به جنايت نيست؛ و اگر اختيار دفع نمود، زايد از قيمت مقتول به جنايت، باقى در ملك مالك قاتل است پس زيادتى باقى در ملك او است، و نقيصۀ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مالك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شد بين جانى و مولاى عبد مجنى عليه، در قيمت مقتول در وقت قتل، و بيّنۀ نباشد، قول جانى با يمين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مدبّر اگر جانى باشد، مثل قنّ است در قصاص در عمد و ديه در خطاى به نحو متقدم در ساير 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استحقاق قصاص، مى تواند مولاى مجنى عليه عفو بر ديه نمايد، و مى تواند استرقاق نمايد به نحو مذكور در قنّ‌، و مى تواند فكّ نمايد و در اين صورت تدبير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قتل خطايى باشد پس اگر مولا فك كرد عبد جانى را به ارش جنايت يا اقل از قيمت و ارش جنايت، تدبير باقى است، وگرنه تسليم مى نمايد به ولىّ مجنى عليه براى استرقاق به نحو متقدم در تساوى دو قيمت يا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مدبّر، بعد از جنايت در عمد يا در خطاى استرقاق شد، آيا تدبير باطل مى شود يا آن كه بعد از وفات مدبّر منعتق مى شود اگر چه داخل ملك ولىّ مجنى عليه شده است‌؟ خلاف است به حسب نص و فتوىٰ‌، اظهر بطلان است در غير صورت صلح به احتساب خدمت از قيمت، و صورت فكّ به اداى ارش جنايت يا اقل از آن و قيمت، و صورت زيادتى او از ارش جنايت، كه در اين صور، تدبير باقى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تقدير انعتاق و عدم بطلان تدبير، احوط وجوب سعى جانى است در فك آن چه از او در رقّيت بوده براى مجنى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اقل از ديه مقتول و قيمت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در صورت موت مولى قبل از استرقاق؛ و محتمل است مأخوذيت ديه از بيت المال در تقدير 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مكاتب مطلق قبل از اداى چيزى از مال الكتابه، و مكاتب مشروط، در حكم متقدم، به منزلۀ قنّ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قصاص در عمد، و كيفيت استيفاى ديه در خطا،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مكاتب مطلق اگر ادا نمود بعض مال الكتابه را، به قدر مؤدّىٰ تحرير مى شود، پس اگر به قتل رسانيد حرّى را، يا مساوى در قدر حرّيت را، يا ازيد در مقدار حرّيت را، قصاص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اقلّ در حرّيت را به قتل رسانيد قصاص نمى شود، بلكه جنايت عمديه متعلق به ذمۀ او مى شود به نحو تبعيض، و سعى مى كند در نصيب حرّيت براى اداى نصف قيمت مقتول مثلاً، و استرقاق مى شود در نصيب رقّيت براى مولاى مقتول تا مجموع قيمت او از سعى و استرقاق، حاصل شود؛ و ممكن است به نحو متقدم، در نصيب رقّيت، مالك فداء بدهد يا بيع نمايد قبل از استرقاق ولىّ يا بيع نمايد با رضايت طرفين بعد از استرقاق نصف مثلاً، مثل آن چه در رقّيت با استيعاب ذكر شد و با همان احتياط متقدم؛ و اگر از ملك مولاى جانى خارج شد كتابت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مكاتب مطلق كه بعضى را ادا كرده و به همان قدر تحرير شده است، به خطاى قنّى يا حرّى يا مبعّضى را به قتل رسانيد، پس بر امام است ديۀ مقتول، به قدر حرّيت قاتل، در صورتى كه عاقلۀ ديگرى نباشد و عاقلۀ او امام باشد؛ و در مقدار رقّيت او يا فداء مى شود از جانب مالك، به اقل امرين از قيمت نصف مثلاً و نصف قيمت مقتول يا نصف ديه او مثلاً يا آن كه دفع مى شود آن حصه مملوكه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اولياى مقتول، بر حسب آن چه در مملوك مستوعب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مروىّ آن است كه عبرت در مكاتب مبعّض به اداى نصف مال الكتابه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مكاتب جانى و مكاتب مجنى عليه به منزلۀ حرّ است در احكام، وگرنه به حكم متقدم محكوم است؛ و اوفق به قاعده، قول اول منسوب به مشهور است، اگر چه عمل به احتياط مناسب در موارد آن اولىٰ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عبد، مولاى خودش را به قتل رسانيد از روى عمد، ولىّ مى تواند قصاص نمايد و مى تواند عفو نمايد؛ و احتمال تأثير جنايت در استحقاق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نحوى </w:t>
      </w:r>
      <w:bookmarkStart w:id="2438" w:name="pg10275_96858"/>
    </w:p>
    <w:p>
      <w:pPr>
        <w:pStyle w:val="BookText"/>
        <w:rPr/>
      </w:pPr>
      <w:bookmarkEnd w:id="2438"/>
      <w:r>
        <w:rPr>
          <w:rFonts w:ascii="Amiri" w:hAnsi="Amiri" w:eastAsia="Amiri" w:cs="Amiri"/>
          <w:color w:val="111111"/>
          <w:sz w:val="28"/>
          <w:sz w:val="28"/>
          <w:szCs w:val="28"/>
          <w:rtl w:val="true"/>
          <w:lang w:bidi="ar-SA"/>
        </w:rPr>
        <w:t>كه مبطل رهن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دو عبد يك حرّ، اگر يكى ديگرى را از روى عمد به قتل رسانيد، مى تواند قاتل را به قصاص به قتل برساند و مى تواند عفو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 ولد، سيّد خودش را به قتل رسانيد از روى خطا، منعتق مى شود؛ و مذكور در فتوىٰ و نصّ‌، عدم استحقاق چيزى است بر او، لكن خالى از تأمل نيست؛ اگر چه در جنايت خطايى به غير قتل، نسبت به مولىٰ‌، چيزى براى مولىٰ بر ملك خودش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جنايت خطايى او به غير مولىٰ‌، محل فداء مولىٰ‌؛ و با امتناع، استرقاق مجنى عليه ثابت است</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3973045_1067777946"/>
      <w:bookmarkStart w:id="2440" w:name="_Toc1030"/>
      <w:bookmarkEnd w:id="2439"/>
      <w:r>
        <w:rPr>
          <w:rtl w:val="true"/>
        </w:rPr>
        <w:t>چند مسأله</w:t>
      </w:r>
      <w:bookmarkEnd w:id="2440"/>
    </w:p>
    <w:p>
      <w:pPr>
        <w:pStyle w:val="Heading6"/>
        <w:numPr>
          <w:ilvl w:val="5"/>
          <w:numId w:val="1"/>
        </w:numPr>
        <w:rPr/>
      </w:pPr>
      <w:bookmarkStart w:id="2441" w:name="__RefHeading___Toc3973047_1067777946"/>
      <w:bookmarkStart w:id="2442" w:name="_Toc1031"/>
      <w:bookmarkEnd w:id="2441"/>
      <w:r>
        <w:rPr>
          <w:rtl w:val="true"/>
        </w:rPr>
        <w:t>كشته شدن شخصى توسط دو نفر و مسأله قصاص</w:t>
      </w:r>
      <w:bookmarkEnd w:id="2442"/>
    </w:p>
    <w:p>
      <w:pPr>
        <w:pStyle w:val="Heading6"/>
        <w:numPr>
          <w:ilvl w:val="5"/>
          <w:numId w:val="1"/>
        </w:numPr>
        <w:rPr/>
      </w:pPr>
      <w:bookmarkStart w:id="2443" w:name="__RefHeading___Toc3973049_1067777946"/>
      <w:bookmarkStart w:id="2444" w:name="_Toc1032"/>
      <w:bookmarkEnd w:id="2443"/>
      <w:r>
        <w:rPr>
          <w:rtl w:val="true"/>
        </w:rPr>
        <w:t>اشاره</w:t>
      </w:r>
      <w:bookmarkEnd w:id="2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حرّى دو حرّ را كشت، براى اولياى آن دو قصاص است و غير از قصاص چيزى نيست؛ و مى توانند با هم انجام دهند يا توكيل نمايند شخصى را در استيفا و قصاص از هر دو، و ديگر استحقاق ديه موزّعه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اراده قصاص كرد و ديگرى اراده نكرد، پس با استيفاى اوّلى، استحقاق دومى ديه را محل تأمل است، چه آن كه قتل هر دو به نحو تعاقب بوده يا در يك دفعه؛ و مبادرت يكى به قصاص در صورت اشتراك در قتل در يك دفعه و در صورت تعاقب سبقت ولىّ دومى در قصاص، خالى از اشكال نيست؛ بلكه سبقت اوّلى يا انفراد هر كدام با وقوع در يك دفعه بى شائبه اشكال نيست؛ و در صورت تنازع و عدم امكان معيت در قصاص و توكيل يكى در آن، مقدم است سابق؛ و در صورت وقوع در يك دفعه يا اشتباه سابق، با قرعه تعيين مى شود</w:t>
      </w:r>
      <w:r>
        <w:rPr>
          <w:rFonts w:eastAsia="IRNazanin" w:cs="IRNazanin"/>
          <w:color w:val="111111"/>
          <w:sz w:val="28"/>
          <w:szCs w:val="28"/>
          <w:rtl w:val="true"/>
          <w:lang w:bidi="fa-IR"/>
        </w:rPr>
        <w:t>.</w:t>
      </w:r>
    </w:p>
    <w:p>
      <w:pPr>
        <w:pStyle w:val="Heading6"/>
        <w:numPr>
          <w:ilvl w:val="5"/>
          <w:numId w:val="1"/>
        </w:numPr>
        <w:rPr/>
      </w:pPr>
      <w:bookmarkStart w:id="2445" w:name="__RefHeading___Toc3973051_1067777946"/>
      <w:bookmarkStart w:id="2446" w:name="_Toc1033"/>
      <w:bookmarkEnd w:id="2445"/>
      <w:r>
        <w:rPr>
          <w:rtl w:val="true"/>
        </w:rPr>
        <w:t>تعاقب قطع دست توسط يك نفر</w:t>
      </w:r>
      <w:bookmarkEnd w:id="244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قطع كرد دو دست راست از دو نفر را، قطع مى شود در قصاص به سبب اوّلى دست </w:t>
      </w:r>
      <w:bookmarkStart w:id="2447" w:name="pg10275_96859"/>
    </w:p>
    <w:p>
      <w:pPr>
        <w:pStyle w:val="BookText"/>
        <w:rPr/>
      </w:pPr>
      <w:bookmarkEnd w:id="2447"/>
      <w:r>
        <w:rPr>
          <w:rFonts w:ascii="IRNazanin" w:hAnsi="IRNazanin" w:eastAsia="IRNazanin"/>
          <w:color w:val="111111"/>
          <w:sz w:val="28"/>
          <w:sz w:val="28"/>
          <w:szCs w:val="28"/>
          <w:rtl w:val="true"/>
          <w:lang w:bidi="fa-IR"/>
        </w:rPr>
        <w:t>راست جانى و به سبب دومى دست چپ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اگر قطع كرد دست شخص سوم را، قطع مى شود در قصاص، پاى راست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چهارمى را قطع كرد، قطع مى شود در قصاص، پاى چپ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دست پنجم را قطع كرد و چهار عضو نمانده و در قصاص قطع شده بود يا نحو آن، منتقل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ديه مى شود، و در ساير موارد فوت محل قصاص</w:t>
      </w:r>
      <w:r>
        <w:rPr>
          <w:rFonts w:eastAsia="IRNazanin" w:cs="IRNazanin"/>
          <w:color w:val="111111"/>
          <w:sz w:val="28"/>
          <w:szCs w:val="28"/>
          <w:rtl w:val="true"/>
          <w:lang w:bidi="fa-IR"/>
        </w:rPr>
        <w:t>.</w:t>
      </w:r>
    </w:p>
    <w:p>
      <w:pPr>
        <w:pStyle w:val="Heading6"/>
        <w:numPr>
          <w:ilvl w:val="5"/>
          <w:numId w:val="1"/>
        </w:numPr>
        <w:rPr/>
      </w:pPr>
      <w:bookmarkStart w:id="2448" w:name="__RefHeading___Toc3973053_1067777946"/>
      <w:bookmarkStart w:id="2449" w:name="_Toc1034"/>
      <w:bookmarkEnd w:id="2448"/>
      <w:r>
        <w:rPr>
          <w:rtl w:val="true"/>
        </w:rPr>
        <w:t>ثبوت قصاص به تبديل</w:t>
      </w:r>
      <w:bookmarkEnd w:id="2449"/>
    </w:p>
    <w:p>
      <w:pPr>
        <w:pStyle w:val="BookText"/>
        <w:rPr/>
      </w:pPr>
      <w:r>
        <w:rPr>
          <w:rFonts w:ascii="IRNazanin" w:hAnsi="IRNazanin" w:eastAsia="IRNazanin"/>
          <w:color w:val="111111"/>
          <w:sz w:val="28"/>
          <w:sz w:val="28"/>
          <w:szCs w:val="28"/>
          <w:rtl w:val="true"/>
          <w:lang w:bidi="fa-IR"/>
        </w:rPr>
        <w:t>اظهر ثبوت قصاص است به تبديل راست به چپ مثلاً در چشم و گوش و نحو اينها، در حال نبودن راست از جانى يا محكوم بودن به قصاص با عدم رضاى ولىّ به غير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عكس، يعنى براى چپ مجنىّ عليه، راست جانى را قطع نمايند در حال نبودن چپ يا مستحَقّ بودن براى قصاص، در موارد صدق اسم بر هر دو مثل چشم و گوش، نه مثل پا و دست مگر به نحو متقدّم در خصوص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قطع دست براى پا در صورت نبودن پا براى جانى، يا قطع اصابع رجلين براى اصابع يدين، پس در آن تأمل است، اگر چه ثبوت قصاص در اخير اظهر است؛ و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قطع اصابع يدين براى اصابع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تأمّل است</w:t>
      </w:r>
      <w:r>
        <w:rPr>
          <w:rFonts w:eastAsia="IRNazanin" w:cs="IRNazanin"/>
          <w:color w:val="111111"/>
          <w:sz w:val="28"/>
          <w:szCs w:val="28"/>
          <w:rtl w:val="true"/>
          <w:lang w:bidi="fa-IR"/>
        </w:rPr>
        <w:t>.</w:t>
      </w:r>
    </w:p>
    <w:p>
      <w:pPr>
        <w:pStyle w:val="Heading6"/>
        <w:numPr>
          <w:ilvl w:val="5"/>
          <w:numId w:val="1"/>
        </w:numPr>
        <w:rPr/>
      </w:pPr>
      <w:bookmarkStart w:id="2450" w:name="__RefHeading___Toc3973055_1067777946"/>
      <w:bookmarkStart w:id="2451" w:name="_Toc1035"/>
      <w:bookmarkEnd w:id="2450"/>
      <w:r>
        <w:rPr>
          <w:rtl w:val="true"/>
        </w:rPr>
        <w:t>قتل دفعى دو نفر توسط يك عبد</w:t>
      </w:r>
      <w:bookmarkEnd w:id="2451"/>
    </w:p>
    <w:p>
      <w:pPr>
        <w:pStyle w:val="BookText"/>
        <w:rPr/>
      </w:pPr>
      <w:r>
        <w:rPr>
          <w:rFonts w:ascii="IRNazanin" w:hAnsi="IRNazanin" w:eastAsia="IRNazanin"/>
          <w:color w:val="111111"/>
          <w:sz w:val="28"/>
          <w:sz w:val="28"/>
          <w:szCs w:val="28"/>
          <w:rtl w:val="true"/>
          <w:lang w:bidi="fa-IR"/>
        </w:rPr>
        <w:t xml:space="preserve">اگر عبدى، در يك دفعه دو حرّ را به قتل رسانيد، مشترك مى شوند در او ولىّ دو مقتول؛ و اگر به تعاقب، جنايت كرد، پس اگر حكم به استرقاق شد براى ولىّ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اختيار ولىّ استرقاق او را در غير صورت فداء سيد به حق يا به رضايت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ولىّ دومى مى شود، وگرنه مشترك بين دو ولىّ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حكم به اشتراك به واسطۀ دفعى بودن جنايت دو نفر يا تعاقب بدون استرقاق سابق، اظهر جواز استرقاق هر كدام از سابق و لاحق و از دو نفر در جنايت دفعيّه است نصف جانى را، و نصف ديگر متعلّق حقّ استرقاق ولىّ ديگر يا مجنى عليه </w:t>
      </w:r>
      <w:bookmarkStart w:id="2452" w:name="pg10275_96861"/>
    </w:p>
    <w:p>
      <w:pPr>
        <w:pStyle w:val="BookText"/>
        <w:rPr/>
      </w:pPr>
      <w:bookmarkEnd w:id="2452"/>
      <w:r>
        <w:rPr>
          <w:rFonts w:ascii="IRNazanin" w:hAnsi="IRNazanin" w:eastAsia="IRNazanin"/>
          <w:color w:val="111111"/>
          <w:sz w:val="28"/>
          <w:sz w:val="28"/>
          <w:szCs w:val="28"/>
          <w:rtl w:val="true"/>
          <w:lang w:bidi="fa-IR"/>
        </w:rPr>
        <w:t>ديگر است بدون فرق بين ولىّ اول يا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صورت تعاقب، اوّلى استرقاق كرد به سبب جنايت دوم بعد از استرقاق اوّلى، تمام او مختصّ به دوّمى مى شود در قتل و در جنايت جرح محيط به قيمت</w:t>
      </w:r>
      <w:r>
        <w:rPr>
          <w:rFonts w:eastAsia="IRNazanin" w:cs="IRNazanin"/>
          <w:color w:val="111111"/>
          <w:sz w:val="28"/>
          <w:szCs w:val="28"/>
          <w:rtl w:val="true"/>
          <w:lang w:bidi="fa-IR"/>
        </w:rPr>
        <w:t>.</w:t>
      </w:r>
    </w:p>
    <w:p>
      <w:pPr>
        <w:pStyle w:val="Heading6"/>
        <w:numPr>
          <w:ilvl w:val="5"/>
          <w:numId w:val="1"/>
        </w:numPr>
        <w:rPr/>
      </w:pPr>
      <w:bookmarkStart w:id="2453" w:name="__RefHeading___Toc3973057_1067777946"/>
      <w:bookmarkStart w:id="2454" w:name="_Toc1036"/>
      <w:bookmarkEnd w:id="2453"/>
      <w:r>
        <w:rPr>
          <w:rtl w:val="true"/>
        </w:rPr>
        <w:t>ملاحظۀ قيمت عبد در ديه</w:t>
      </w:r>
      <w:bookmarkEnd w:id="24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قيمت عبد به منزلۀ ديۀ حرّ است، پس همان طور كه ديۀ حرّ در جراحات اعضاى او ملاحظه مى شود، قيمت عبد همان طور ملاحظه مى شود؛ و هر جراحتى كه در حرّ تمام ديه او در آن است، در عبد تمام قيمت او در آن است، پس هر چيزى از اعضا كه در انسان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زبان و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 تمام ديۀ او و در عبد تمام قيمت او است، و هرچه كه در انسان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 نصف ديه و در عبد نصف قيمت او است، و هر چيزى كه در انسان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حرّ در يكى عُشر ديه و در عبد در يكى عشر قيمت او است مثل انگشت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قيمت عبد، متجاوز از ديۀ حرّ باشد مردود به آن مى شود؛ پس تمام ديۀ حرّ از قيمت عبد، يا نصف ديۀ حرّ از نصف قيمت عبد رعايت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اصل است براى عبد در تعيين ديه در آن موضعى كه ديۀ مقدّره هست، و عبد اصل است براى حرّ در مواضعى كه ديۀ مقدّره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جراحات حرّ حكومت و ارش است، يعنى، فرض مى شود حرّ، عبد خالى از نقص حاصل به جراحت، و تقويم مى شود، و فرض مى شود عبد، واجد آن نقص، و تقويم مى شود، و تفاوت بين دو قيمت به حسب نسبت يكى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ديۀ حرّ به همان نسبت اخذ مى شود، به نحوى كه در ديات مذكور است</w:t>
      </w:r>
      <w:r>
        <w:rPr>
          <w:rFonts w:eastAsia="IRNazanin" w:cs="IRNazanin"/>
          <w:color w:val="111111"/>
          <w:sz w:val="28"/>
          <w:szCs w:val="28"/>
          <w:rtl w:val="true"/>
          <w:lang w:bidi="fa-IR"/>
        </w:rPr>
        <w:t>.</w:t>
      </w:r>
    </w:p>
    <w:p>
      <w:pPr>
        <w:pStyle w:val="Heading6"/>
        <w:numPr>
          <w:ilvl w:val="5"/>
          <w:numId w:val="1"/>
        </w:numPr>
        <w:rPr/>
      </w:pPr>
      <w:bookmarkStart w:id="2455" w:name="__RefHeading___Toc3973059_1067777946"/>
      <w:bookmarkStart w:id="2456" w:name="_Toc1037"/>
      <w:bookmarkEnd w:id="2455"/>
      <w:r>
        <w:rPr>
          <w:rtl w:val="true"/>
        </w:rPr>
        <w:t>فرعى در جنايت حرّ بر عبد</w:t>
      </w:r>
      <w:bookmarkEnd w:id="24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 جنايت كرد به عبد، به چيزى كه در آن تمام قيمت او است، مولاى عبد مخيّر است بين امساك عبد و چيزى براى او نيست و بين دفع عبد به جانى و اخذ قيمت او،</w:t>
      </w:r>
      <w:bookmarkStart w:id="2457" w:name="pg10275_96863"/>
    </w:p>
    <w:p>
      <w:pPr>
        <w:pStyle w:val="BookText"/>
        <w:rPr/>
      </w:pPr>
      <w:bookmarkEnd w:id="2457"/>
      <w:r>
        <w:rPr>
          <w:rFonts w:ascii="IRNazanin" w:hAnsi="IRNazanin" w:eastAsia="IRNazanin"/>
          <w:color w:val="111111"/>
          <w:sz w:val="28"/>
          <w:sz w:val="28"/>
          <w:szCs w:val="28"/>
          <w:rtl w:val="true"/>
          <w:lang w:bidi="fa-IR"/>
        </w:rPr>
        <w:t>مثل اين كه يك دفعه دو دست او را قطع نمايد يا آن كه يك دفعه يك دست و يك پاى او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جانى غاصب، مأخوذيّت به 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دفع قيمت و عدم اخذ مجنىّ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قطع كرد يك دست عبد را، پس براى مالك است الزام جانى به نصف قيمت، و استحقاق مطالبۀ تمام قيمت سليم با دفع او به جانى را ندارد، و همچنين جانى استحقاق مطالبۀ عبد با دفع تمام قيمت را ندارد، مگر آن كه با تراضى معاملۀ واقع شود؛ و همچنين است حكم هر جنايتى كه مستوعب قيمت عبد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جانى قطع يك دست، و ديگرى قطع يك پا كرد، اظهر استحقاق بر هر كدام ديۀ جنايت او را است، و لازم نيست دفع عبد به آنها مثل صورت انفراد از جنايت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در جنايتهاى متعدّده از جانيهاى متعدد، اگر چه جمع شود نزد مالك، اضعاف قيمت مملوك، استحقاق اخذ عبد را ندارند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جماعتى اشتراك در جنايتى كه موجب تمام ديه است نمودند استحقاق اخذ مجنى عليه را مجموع آنها ندارند، و جنايت خاصۀ هر شخصى حكم مخصوص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تعاقب دو جنايت از يكى كه مجموع ديۀ آنها مستوعب است، تأمل است در استحقاق اخذ عبد با دفع مجموع ديه</w:t>
      </w:r>
      <w:r>
        <w:rPr>
          <w:rFonts w:eastAsia="Amiri" w:cs="Amiri" w:ascii="Amiri" w:hAnsi="Amiri"/>
          <w:color w:val="111111"/>
          <w:sz w:val="28"/>
          <w:szCs w:val="28"/>
          <w:rtl w:val="true"/>
          <w:lang w:bidi="ar-SA"/>
        </w:rPr>
        <w:t>.</w:t>
      </w:r>
    </w:p>
    <w:p>
      <w:pPr>
        <w:pStyle w:val="Heading6"/>
        <w:numPr>
          <w:ilvl w:val="5"/>
          <w:numId w:val="1"/>
        </w:numPr>
        <w:rPr/>
      </w:pPr>
      <w:bookmarkStart w:id="2458" w:name="__RefHeading___Toc3973061_1067777946"/>
      <w:bookmarkStart w:id="2459" w:name="_Toc1038"/>
      <w:bookmarkEnd w:id="2458"/>
      <w:r>
        <w:rPr>
          <w:rtl w:val="true"/>
        </w:rPr>
        <w:t>فرع ديگر</w:t>
      </w:r>
      <w:bookmarkEnd w:id="24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احوط در موارد فكّ مولىٰ به اخذ ارش جنايت، تراضى با مجنى عليه به اقل يا اكثر از ارش جنايت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مملوك جانى است</w:t>
      </w:r>
      <w:r>
        <w:rPr>
          <w:rFonts w:eastAsia="Amiri" w:cs="Amiri" w:ascii="Amiri" w:hAnsi="Amiri"/>
          <w:color w:val="111111"/>
          <w:sz w:val="28"/>
          <w:szCs w:val="28"/>
          <w:rtl w:val="true"/>
          <w:lang w:bidi="ar-SA"/>
        </w:rPr>
        <w:t>.</w:t>
      </w:r>
    </w:p>
    <w:p>
      <w:pPr>
        <w:pStyle w:val="Heading6"/>
        <w:numPr>
          <w:ilvl w:val="5"/>
          <w:numId w:val="1"/>
        </w:numPr>
        <w:rPr/>
      </w:pPr>
      <w:bookmarkStart w:id="2460" w:name="__RefHeading___Toc3973063_1067777946"/>
      <w:bookmarkStart w:id="2461" w:name="_Toc1039"/>
      <w:bookmarkEnd w:id="2460"/>
      <w:r>
        <w:rPr>
          <w:rtl w:val="true"/>
        </w:rPr>
        <w:t>صور مختلف قتل دو عبد توسط ديگرى و حكم هر كدام</w:t>
      </w:r>
      <w:bookmarkEnd w:id="24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جنايت، عبد كسى، دو عبد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 به قتل رسانيد در يك دفعه از</w:t>
      </w:r>
    </w:p>
    <w:p>
      <w:pPr>
        <w:pStyle w:val="BookText"/>
        <w:rPr/>
      </w:pPr>
      <w:r>
        <w:rPr>
          <w:rFonts w:ascii="IRNazanin" w:hAnsi="IRNazanin" w:eastAsia="IRNazanin"/>
          <w:color w:val="111111"/>
          <w:sz w:val="28"/>
          <w:sz w:val="28"/>
          <w:szCs w:val="28"/>
          <w:rtl w:val="true"/>
          <w:lang w:bidi="fa-IR"/>
        </w:rPr>
        <w:t xml:space="preserve">روى عمد، مولاهاى آن دو مشترك مى شوند در قصاص و استرقاق، و جايز نيست مبادرت يكى از آنها به قصاص بنا بر اظهر؛ و بر تقدير مبادرت، اظهر عدم ضمان نصف قيمت براى مالك يا شريك قصاص است در صورت عدم ارادۀ او قصاص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تقدير تنزّل به ديۀ راجع به نصف 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اختيار استرقاق كرد، هر كدام به استرقاق، مالك نصف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استرقاق كرد آن چه را كه حق استرقاق دارد از عبد جانى، در سقوط حق قصاص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اداى نصف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اظهر عدم سقوط، و احوط ثبوت ردّ نصف قيمت است براى شريكى كه اختيار قصاص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عبد، عبد دو نفر را به قتل رسانيد، پس يكى از دو مالك، راضى به ديه شد، ديگرى نمى تواند قصاص نمايد مگر با ردّ حصۀ آن مالك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جنايت يكى، بر دو عبد دو مالك، متعاقب بودند، پس شبهه نيست در صورت تعقب جنايت بر اول به قصاص يا استرقاق قبل از جنايت بر دوم؛ و اگر قبل از آن، جنايت بر دوم واقع شد، پس اظهر شركت دو مولى است در قصاص و استرقاق قبل از اختيار مولىٰ به سبب جنايت بر اول، پس اگر مولىٰ به سبب جنايت بر اول قبل از جنايت بر دوم اختيار استرقاق كرد يا عفو مجانى كرد يا عفو بر مالى با ضمان مولاى جانى نمود، جانى مخصوص به مولاى عبد دوم مى شود در قصاص و استرقاق؛ وگرنه مشترك مى شوند در قصاص و استرقاق به نحوى كه در جنايت بر دو عبد در يك دفعه گذشت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اشتراك، اگر مالك مقتول اول، اختيار كرد مال را به عوض عبد مقتول، و مولىٰ ضامن شد و در ذمّه ثابت شد به صلح و نحو آن، و رقبۀ عبد از آن خالص شد، حق مالك عبد دوم متعلق به رقبۀ عبد مى شود، و مى تواند قصاص يا استرقاق يا عفو مجانى يا مالى در ذمه مولىٰ با رضايت طرفين بنمايد، پس اگر اختيار قتل كرد مال براى اولى در ذمّۀ مولىٰ كه ضامن بوده ثابت 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مالك </w:t>
      </w:r>
    </w:p>
    <w:p>
      <w:pPr>
        <w:pStyle w:val="BookText"/>
        <w:rPr/>
      </w:pPr>
      <w:r>
        <w:rPr>
          <w:rFonts w:ascii="Amiri" w:hAnsi="Amiri" w:eastAsia="Amiri" w:cs="Amiri"/>
          <w:color w:val="111111"/>
          <w:sz w:val="28"/>
          <w:sz w:val="28"/>
          <w:szCs w:val="28"/>
          <w:rtl w:val="true"/>
          <w:lang w:bidi="ar-SA"/>
        </w:rPr>
        <w:t>دومى اختيار مال كرد، در ذمّه مولىٰ با ضمان او و رضايت او ثابت است، و عبد جانى خالص براى مالك مقتول اوّلى مى شود، و اختيار قصاص و استرقاق و عفو مجانى يا با مالى مضمون با رضايت در ذمّه مولاى اوّلى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مولى ضامن مال نشد، و اختيار كرد مالكِ مقتولِ اول، استرقاق را، حق مالك مقتول دومى ساقط نمى شود و مخيّر است در قصاص، و اگر اختيار كرد قصاص را، حق اول فوت و ساقط مى شود بدون بدلى در ذمۀ مولى يا تركۀ عبد، لكن احوط ضمان نصف قيمت است براى شريكى كه اختيار مال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صورتى كه دومى راضى به استرقاق بشود و اوّلى قصاص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كدام استرقاق نمود بعد از استرقاق ديگرى و ارادۀ قصاص نكردند شريك مى شوند، مگر آن كه جنايت دومى بعد از استرقاق اوّلى باشد كه تماماً به استرقاق، مخصوص دومى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مساوى است قيمت دو عبد مقتول با همديگر و با قيمت جانى، اشتراك دو مالك به تنصيف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قيمت يك مقتول، مساوى با قيمت ثلث قاتل و قيمت ديگر با قيمت دو ثلث او است، اشتراك به تثليث است، و زيادتى بر قيمت قاتل، ملغىٰ است، و مقدار زايد بر قيمت مقتولها مربوط به مالك قاتل است، و در بقيه رعايت مى شود مقتضاى شركت به نحو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تفاوت دو مقتول به تثليث باشد و اقلّ آنها مساوى با قيمت قاتل باشد آيا در قيمت او شركت مالكها به تنصيف است يا به تثليث‌؟ اظهر تنصيف است به جهت لغويت زايد بر قيمت قاتل و در آن دو مقتضىٖ مساوى مى باشند پس تنصيف، متعين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قيمت يك مقتول، نصف قيمت قاتل و قيمت ديگرى معادل تمام قيمت قاتل است پس اشتراك دو مالك به تنصيف نيست، و آيا به تثليث است يا نه‌؟ اقرب تربيع است كه سه ربع، مالِ مالكِ معادل تمام قيمت است و ربع آن مالِ مالكِ معادل نصف </w:t>
      </w:r>
      <w:bookmarkStart w:id="2462" w:name="pg10275_96869"/>
    </w:p>
    <w:p>
      <w:pPr>
        <w:pStyle w:val="BookText"/>
        <w:rPr/>
      </w:pPr>
      <w:bookmarkEnd w:id="2462"/>
      <w:r>
        <w:rPr>
          <w:rFonts w:ascii="IRNazanin" w:hAnsi="IRNazanin" w:eastAsia="IRNazanin"/>
          <w:color w:val="111111"/>
          <w:sz w:val="28"/>
          <w:sz w:val="28"/>
          <w:szCs w:val="28"/>
          <w:rtl w:val="true"/>
          <w:lang w:bidi="fa-IR"/>
        </w:rPr>
        <w:t>قيمت است، چون در نصف قيمت عادل، تنازع نيست و در نصف ديگر به دو اقتضاى متساوى تنازع دارند، پس مثل تنازع بالسويّه در تمام قيمت، تنصيف مى شود و براى هركدام از آن نصف، نصفى كه ربع است ثابت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 مملوك دو نفر را به قتل رسانيد، دو مالك شريكند در قصاص و 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يكى طلب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قيمت نصف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مولىٰ دفع ننمود، به قدر حصّۀ خودش از مملوك در رقّيت او مى شود، و حق ديگرى از قصاص ساقط نمى شود بلكه مى تواند قصاص نمايد با اداى حصۀ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قيمت آن را كه نصف قيمت عبد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مساوات قيمت دو عبد؛ و اگر زيادتى دارد قيمت جانى، آن چه را كه شريك، مستحقّ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نصف قيمت مقتول به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دهد و بقيۀ نصف قيمت را به مالك جانى مى دهد؛ و همچنين بقيۀ نصف قيمت را قصاص كننده به مالك جانى مى دهد در صورتى كه يك شريك ديگر عفو كرده نصيب خودش را با مال كمى، و اقتصار به همان مال مدفوع به شريك نمى نمايد</w:t>
      </w:r>
      <w:r>
        <w:rPr>
          <w:rFonts w:eastAsia="IRNazanin" w:cs="IRNazanin"/>
          <w:color w:val="111111"/>
          <w:sz w:val="28"/>
          <w:szCs w:val="28"/>
          <w:rtl w:val="true"/>
          <w:lang w:bidi="fa-IR"/>
        </w:rPr>
        <w:t>.</w:t>
      </w:r>
    </w:p>
    <w:p>
      <w:pPr>
        <w:pStyle w:val="Heading6"/>
        <w:numPr>
          <w:ilvl w:val="5"/>
          <w:numId w:val="1"/>
        </w:numPr>
        <w:rPr/>
      </w:pPr>
      <w:bookmarkStart w:id="2463" w:name="__RefHeading___Toc3973065_1067777946"/>
      <w:bookmarkStart w:id="2464" w:name="_Toc1040"/>
      <w:bookmarkEnd w:id="2463"/>
      <w:r>
        <w:rPr>
          <w:rtl w:val="true"/>
        </w:rPr>
        <w:t>قتل عبد ديگرى توسط ده بنده از ده مالك</w:t>
      </w:r>
      <w:bookmarkEnd w:id="24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ده بنده از ده مالك، بندۀ شخص ديگرى را به قتل رسانيدند از روى عمد، بر مالك هر يك عُشر قيمت مقتول است اگر از ديۀ حرّ تجاوز ننمايد، وگرنه ردّ به آن مى شود و از هر يك عُشر ديه حرّ مأخوذ مى شود؛ و مالك مقتول مخيّر است بين قتل همۀ قاتلها يا بعضى از آنها يا استرقاق، پس اگر اختيار قتل كرد، ردّ مى نمايد به مولاى مقتول به قصاص، آن چه را كه از جنايتش زايد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عُشر قيمت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تجاوز از ديۀ حرّ، وگرنه ردّ به آن مى شود و نُه عُشر ديۀ حرّ به هر يك داده مى شود؛ و اگر قيمت مقتول به قصاص از جنايت او زايد نباشد بلكه مساوى عُشر قيمت مقتول به جنايت باشد چيزى براى قصاص تأديه نمى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اختيار كرد ديه را، پس مى تواند مقابل جنايت از هر كدام را استرقاق نمايد، و مى تواند قبول فكّ از مولاى جانى ها با اخذ ارش جنايت نمايد؛ و در تخيير مولاى </w:t>
      </w:r>
    </w:p>
    <w:p>
      <w:pPr>
        <w:pStyle w:val="BookText"/>
        <w:rPr/>
      </w:pPr>
      <w:r>
        <w:rPr>
          <w:rFonts w:ascii="IRNazanin" w:hAnsi="IRNazanin" w:eastAsia="IRNazanin"/>
          <w:color w:val="111111"/>
          <w:sz w:val="28"/>
          <w:sz w:val="28"/>
          <w:szCs w:val="28"/>
          <w:rtl w:val="true"/>
          <w:lang w:bidi="fa-IR"/>
        </w:rPr>
        <w:t xml:space="preserve">جانيها يا مولاى مجنى عليه تأمل است، و احوط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انجام داده مى شود؛ و مأخوذ از هركدام، عُشر قيمت مقتول به جنايت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ديۀ حرّ متجاوز نباشد، وگرنه مردود به عُشر ديۀ حرّ مى شود؛ و همچنين مقدارى كه با عُشر قيمت مجنى عليه به نحو مذكور موافقت دارد از جانى در مقام 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غير صورت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تقديرى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 توافق بر اقلّ أمرين است از ارش جنايت و از قيمت عبد 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عُشر قيمت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رقّيت مقابل ارش جنايت با رعايت عدم تجاوز از ديۀ حرّ است در جانى و مجنى عليه در مقدار مأخوذ به عنوان ارش يا مقدارى كه استرقاق مى شود از جانى به ملاحظۀ قيمت مجنى عليه و 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صورت اختيار استرقاق، جنايت هر يك مستوعب قيمت او بود، همه عبد در رقّيت مولاى مجنى عليه مى شود و چيزى براى سيد جانى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مستوعب نبود، فقط به مقدار ارش جنايت در رقّيت مولاى مجنى عليه است و باقى براى مالك اصلى است؛ و اداى زايد بر مستحَقّ‌، منوط به رضاى غير مستحِقّ است؛ و مالك مجنى عليه، الزام به قيمت نمى تواند بنمايد بلكه استرقاق مقابل جنايت مى نمايد؛ و در الزام مولاى جانى، به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استرقاق رقبۀ عبد 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و احوط اين است كه بدون تراضى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تواند مولاى مجنى عليه، بعضى از ده قاتل را به قصاص به قتل رساند، و در اين صورت، ساير قاتلها مولاهاى آنها نُه عُشر را به ولىّ مقتول به قصاص مى رسانند اگر يكى باشد، و در صورت نقيصه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علوّ قيمت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مجنى عليه تكميل مى نمايد قيمت او را كه زايد بر ديۀ حرّ نيست؛ و اگر بيش از يكى را به قتل رسانيد، از غير مقتول، اخذ عُشر مى نمايد و به ولىّ مقتولهاى به قصاص مى رساند و كمى را از خودش تكميل مى نمايد در صورت ارادۀ قتل بيش از يكى</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مولاى مجنى عليه است نُه عُشر مقتول به قصاص اگر يكى است، اگر چه خودش مستحق است بر ساير جانيها استرقاق مقابل جنايت را در صورت عدم فداء؛ و نمى تواند مولاى مقتول به قصاص، استرقاق نمايد ساير جانى ها را به قدر فاضل از </w:t>
      </w:r>
      <w:bookmarkStart w:id="2465" w:name="pg10275_96874"/>
    </w:p>
    <w:p>
      <w:pPr>
        <w:pStyle w:val="BookText"/>
        <w:rPr/>
      </w:pPr>
      <w:bookmarkEnd w:id="2465"/>
      <w:r>
        <w:rPr>
          <w:rFonts w:ascii="IRNazanin" w:hAnsi="IRNazanin" w:eastAsia="IRNazanin"/>
          <w:color w:val="111111"/>
          <w:sz w:val="28"/>
          <w:sz w:val="28"/>
          <w:szCs w:val="28"/>
          <w:rtl w:val="true"/>
          <w:lang w:bidi="fa-IR"/>
        </w:rPr>
        <w:t>جنايت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استرقاق كرد ولىّ مجنى عليه به مقدار جنايت از ساير جانيها پس دفع كرد همان حصه را به ولىّ مقتول به قصاص، لزوم قبول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تواند ولىّ مجنى عليه، بعد از استرقاق ساير جانيها، ادا نمايد حق ولىّ مقتول به قصاص را از هر مالى كه از آن جمله حصص مملوكۀ خودش است از جانيهاى ديگر، و با اين ترتيب مى تواند جبر نمايد كمى بعضى را به زيادتى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ولىّ جانيها اگر مملوك يك مالك باشند، در مقام فداء جايز براى او، مى تواند جبر نمايد بدون لزوم جنايت جانى بر اكثر از نفس خودش يا قيمت خودش</w:t>
      </w:r>
      <w:r>
        <w:rPr>
          <w:rFonts w:eastAsia="IRNazanin" w:cs="IRNazanin"/>
          <w:color w:val="111111"/>
          <w:sz w:val="28"/>
          <w:szCs w:val="28"/>
          <w:rtl w:val="true"/>
          <w:lang w:bidi="fa-IR"/>
        </w:rPr>
        <w:t>.</w:t>
      </w:r>
    </w:p>
    <w:p>
      <w:pPr>
        <w:pStyle w:val="Heading6"/>
        <w:numPr>
          <w:ilvl w:val="5"/>
          <w:numId w:val="1"/>
        </w:numPr>
        <w:rPr/>
      </w:pPr>
      <w:bookmarkStart w:id="2466" w:name="__RefHeading___Toc3973067_1067777946"/>
      <w:bookmarkStart w:id="2467" w:name="_Toc1041"/>
      <w:bookmarkEnd w:id="2466"/>
      <w:r>
        <w:rPr>
          <w:rtl w:val="true"/>
        </w:rPr>
        <w:t>قتل حرّ توسط عبد و فرض عتق وى</w:t>
      </w:r>
      <w:bookmarkEnd w:id="246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عبدى، حرّى را از روى عمد به قتل رسانيد پس مولاى قاتل، عتق نمود او را، اظهر صحت عتق و عدم سقوط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مجنى عليه عبد بود، ضمان معتِق، 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تفويت حق مجنى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بطلان عتق، خالى از تأمل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قتل خطايى بود، ضمان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تفويت به سبب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بطلان عتق، خالى از تأمل نيست، و صحت عتق با استسعاى معتَق محتمل است؛ و در صحت، در صورت دفع مولى ديه را با ضمان آن به صلح يا رضاى ولىّ مجنى عليه، اشكالى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بيع نمود يا هبه كرد در صورت عمد، محتمل است صحت بيع با خيار مشترى جاهل بين ردّ و ارش، و محتمل است موقوفيت بيع به اجازۀ ولىّ‌؛ و احتمال اوّل راجح است</w:t>
      </w:r>
      <w:r>
        <w:rPr>
          <w:rFonts w:eastAsia="IRNazanin" w:cs="IRNazanin"/>
          <w:color w:val="111111"/>
          <w:sz w:val="28"/>
          <w:szCs w:val="28"/>
          <w:rtl w:val="true"/>
          <w:lang w:bidi="fa-IR"/>
        </w:rPr>
        <w:t>.</w:t>
      </w:r>
    </w:p>
    <w:p>
      <w:pPr>
        <w:pStyle w:val="Heading5"/>
        <w:numPr>
          <w:ilvl w:val="4"/>
          <w:numId w:val="1"/>
        </w:numPr>
        <w:rPr/>
      </w:pPr>
      <w:bookmarkStart w:id="2468" w:name="__RefHeading___Toc3973069_1067777946"/>
      <w:bookmarkStart w:id="2469" w:name="_Toc1042"/>
      <w:bookmarkEnd w:id="2468"/>
      <w:r>
        <w:rPr>
          <w:rtl w:val="true"/>
        </w:rPr>
        <w:t>مسائلى در سرايت و اشتراط تساوى در حرّيّت و رقيّت در قصاص</w:t>
      </w:r>
      <w:bookmarkEnd w:id="2469"/>
    </w:p>
    <w:p>
      <w:pPr>
        <w:pStyle w:val="Heading6"/>
        <w:numPr>
          <w:ilvl w:val="5"/>
          <w:numId w:val="1"/>
        </w:numPr>
        <w:rPr/>
      </w:pPr>
      <w:bookmarkStart w:id="2470" w:name="__RefHeading___Toc3973071_1067777946"/>
      <w:bookmarkStart w:id="2471" w:name="_Toc1043"/>
      <w:bookmarkEnd w:id="2470"/>
      <w:r>
        <w:rPr>
          <w:rtl w:val="true"/>
        </w:rPr>
        <w:t>جنايت حرّ بر مملوك</w:t>
      </w:r>
      <w:bookmarkEnd w:id="2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جنايت كرد حرّى بر مملوكى، قصاص نيست لكن براى مالك، قيمت جنايت</w:t>
      </w:r>
      <w:bookmarkStart w:id="2472" w:name="pg10275_96876"/>
    </w:p>
    <w:p>
      <w:pPr>
        <w:pStyle w:val="BookText"/>
        <w:rPr/>
      </w:pPr>
      <w:bookmarkEnd w:id="2472"/>
      <w:r>
        <w:rPr>
          <w:rFonts w:ascii="IRNazanin" w:hAnsi="IRNazanin" w:eastAsia="IRNazanin"/>
          <w:color w:val="111111"/>
          <w:sz w:val="28"/>
          <w:sz w:val="28"/>
          <w:szCs w:val="28"/>
          <w:rtl w:val="true"/>
          <w:lang w:bidi="fa-IR"/>
        </w:rPr>
        <w:t xml:space="preserve">است بر حرّ، پس اگر مثل قطع دست باشد نصف قيمت مملوك بر او است، و اگر سرايت به نفس مملوك كرد تمام قيمت او براى مولى بر جانى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ديۀ حرّ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منعتق شد و سرايت كرد، براى مولىٰ اقلّ از قيمت جنايت و ديۀ عضو است، و قصاص ثابت نيست، به جهت عدم مكافات در وقت جنايت، و آن چه باقى است از ديۀ نفس به واسطۀ سرايت، بعد از حرّيت، مال وارث مجنى عليه است نه 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فرض مذكور جانى متعدد باشد، مثل اين كه هر يكى در حال رقّيت دست او را قطع نمايد پس از آن تحرير بشود و ديگرى دست ديگر را و سومى پاى او را قطع نمايد، پس همه سرايت نمايند، داخل مى شود ديه طرف در ديه نفس، و ثلث آن براى مولى است يعنى اقلّ از قيمت جنايت و ديه عضو بعد از سرايت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اقل از ارش جنايت و ديۀ عضو 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زايد اگر باشد، با ثلثين ديه، مال ورثه مجنى عليه است</w:t>
      </w:r>
      <w:r>
        <w:rPr>
          <w:rFonts w:eastAsia="IRNazanin" w:cs="IRNazanin"/>
          <w:color w:val="111111"/>
          <w:sz w:val="28"/>
          <w:szCs w:val="28"/>
          <w:rtl w:val="true"/>
          <w:lang w:bidi="fa-IR"/>
        </w:rPr>
        <w:t>.</w:t>
      </w:r>
    </w:p>
    <w:p>
      <w:pPr>
        <w:pStyle w:val="Heading6"/>
        <w:numPr>
          <w:ilvl w:val="5"/>
          <w:numId w:val="1"/>
        </w:numPr>
        <w:rPr/>
      </w:pPr>
      <w:bookmarkStart w:id="2473" w:name="__RefHeading___Toc3973073_1067777946"/>
      <w:bookmarkStart w:id="2474" w:name="_Toc1044"/>
      <w:bookmarkEnd w:id="2473"/>
      <w:r>
        <w:rPr>
          <w:rtl w:val="true"/>
        </w:rPr>
        <w:t>اگر حرّ دست مملوك را قطع كرد</w:t>
      </w:r>
      <w:r>
        <w:rPr>
          <w:rtl w:val="true"/>
        </w:rPr>
        <w:t>...</w:t>
      </w:r>
      <w:bookmarkEnd w:id="24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حرّى دست مملوك را قطع كرد پس از آن تحرير شد پس از آن سرايت كرد به نفس، قصاص منتفى است به جهت عدم تساوى در حال جنايت، و بر جانى است ديۀ حرّ مسلمان، و براى مالك است از آن مجموع نصف قيمت در وقت جنايت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نصف ديۀ حرّ مسلم نباشد، و باقيمانده مال ورثۀ مجنى عليه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فرض، حرّ ديگرى هم بعد از عتق، پاى او را قطع كرد و مجموع دو جراحت سرايت كردند و هلاك شد، قصاص بر اولى نيست در طرف به جهت عدم تساوى در حال جنايت، و همچنين در نفس، و بر دومى قصاص ثابت است بعد از ردّ نصف ديۀ مجنى عليه يعنى نصف ديه حرّ مسلمان، و شركت، سبب سقوط قصاص نمى شود مثل شركت أب و اجنبى، و مسلم و ذمّى در قتل ذمّى</w:t>
      </w:r>
      <w:r>
        <w:rPr>
          <w:rFonts w:eastAsia="IRNazanin" w:cs="IRNazanin"/>
          <w:color w:val="111111"/>
          <w:sz w:val="28"/>
          <w:szCs w:val="28"/>
          <w:rtl w:val="true"/>
          <w:lang w:bidi="fa-IR"/>
        </w:rPr>
        <w:t xml:space="preserve">. </w:t>
      </w:r>
      <w:bookmarkStart w:id="2475" w:name="pg10275_96878"/>
    </w:p>
    <w:p>
      <w:pPr>
        <w:pStyle w:val="Heading6"/>
        <w:numPr>
          <w:ilvl w:val="5"/>
          <w:numId w:val="1"/>
        </w:numPr>
        <w:rPr/>
      </w:pPr>
      <w:bookmarkStart w:id="2476" w:name="__RefHeading___Toc3973075_1067777946"/>
      <w:bookmarkStart w:id="2477" w:name="_Toc1045"/>
      <w:bookmarkEnd w:id="2475"/>
      <w:bookmarkEnd w:id="2476"/>
      <w:r>
        <w:rPr>
          <w:rtl w:val="true"/>
        </w:rPr>
        <w:t>اگر حرّ دست و پاى او را قطع كرد</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حرّى دست بنده اى را قطع نمود و پس از انعتاق پاى او را هم قطع كرد و هر دو مندمل شدند، بر جانى نصف قيمت بنده است در وقت جنايت براى مولاى او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نصف ديۀ حرّ ننمايد وگرنه مردود به نصف ديه حرّ مى شود، و قصاص ثابت نيست به جهت عدم تساوى؛ اما براى جنايت دوم قصاص ثابت است، و اگر قصاص نكرد و مطالبۀ ديه كرد براى او است نصف ديه بر خصوص مجنى عليه كه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مجموع دو جنايت سرايت كردند و هلاك شد، پس اولى قصاص ندارد، و دومى كه در حال حرّيت واقع شده قصاص دارد براى قطع پا؛ و آيا قود هم ثابت است به واسطۀ سرايت از دو جنايتى كه يكى قود ندارد؟ اظهر ثبوت آن است چنان كه گذشت در نظيرش؛ و اگر اختيار قود كرد، ردّ آن چه كه مستحَق مولىٰ است به سبب جنايت اول ساقط نمى شود كه مقابل نصف ديه يا كمتر از آن است، و بايد آن را ولىّ به مولى رد نمايد؛ و اگر اقتصار كرد ولىّ بر قصاص جنايت در پا، زايد از ديۀ دست بر قيمت جنايت در حال حدوث آن، براى ولىّ جمع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مذكوره مربوط به اشتراط مساوات در حرّيت و رقّيت در قصاص بود</w:t>
      </w:r>
      <w:r>
        <w:rPr>
          <w:rFonts w:eastAsia="Amiri" w:cs="Amiri" w:ascii="Amiri" w:hAnsi="Amiri"/>
          <w:color w:val="111111"/>
          <w:sz w:val="28"/>
          <w:szCs w:val="28"/>
          <w:rtl w:val="true"/>
          <w:lang w:bidi="ar-SA"/>
        </w:rPr>
        <w:t>.</w:t>
      </w:r>
    </w:p>
    <w:p>
      <w:pPr>
        <w:pStyle w:val="Heading4"/>
        <w:numPr>
          <w:ilvl w:val="3"/>
          <w:numId w:val="1"/>
        </w:numPr>
        <w:rPr/>
      </w:pPr>
      <w:bookmarkStart w:id="2478" w:name="__RefHeading___Toc3973077_1067777946"/>
      <w:bookmarkStart w:id="2479" w:name="_Toc1046"/>
      <w:bookmarkEnd w:id="2478"/>
      <w:r>
        <w:rPr/>
        <w:t>2</w:t>
      </w:r>
      <w:r>
        <w:rPr>
          <w:rtl w:val="true"/>
        </w:rPr>
        <w:t xml:space="preserve">. </w:t>
      </w:r>
      <w:r>
        <w:rPr>
          <w:rtl w:val="true"/>
        </w:rPr>
        <w:t>شرط دوم قصاص</w:t>
      </w:r>
      <w:r>
        <w:rPr>
          <w:rtl w:val="true"/>
        </w:rPr>
        <w:t xml:space="preserve">: </w:t>
      </w:r>
      <w:r>
        <w:rPr>
          <w:rtl w:val="true"/>
        </w:rPr>
        <w:t>مساوات در دين است</w:t>
      </w:r>
      <w:bookmarkEnd w:id="2479"/>
    </w:p>
    <w:p>
      <w:pPr>
        <w:pStyle w:val="Heading5"/>
        <w:numPr>
          <w:ilvl w:val="4"/>
          <w:numId w:val="1"/>
        </w:numPr>
        <w:rPr/>
      </w:pPr>
      <w:bookmarkStart w:id="2480" w:name="__RefHeading___Toc3973079_1067777946"/>
      <w:bookmarkStart w:id="2481" w:name="_Toc1047"/>
      <w:bookmarkEnd w:id="2480"/>
      <w:r>
        <w:rPr>
          <w:rtl w:val="true"/>
        </w:rPr>
        <w:t>اشاره</w:t>
      </w:r>
      <w:bookmarkEnd w:id="2481"/>
    </w:p>
    <w:p>
      <w:pPr>
        <w:pStyle w:val="BookText"/>
        <w:rPr/>
      </w:pPr>
      <w:r>
        <w:rPr>
          <w:rFonts w:ascii="IRNazanin" w:hAnsi="IRNazanin" w:eastAsia="IRNazanin"/>
          <w:color w:val="111111"/>
          <w:sz w:val="28"/>
          <w:sz w:val="28"/>
          <w:szCs w:val="28"/>
          <w:rtl w:val="true"/>
          <w:lang w:bidi="fa-IR"/>
        </w:rPr>
        <w:t xml:space="preserve">پس مسلمان، به سبب قتل كافر، در قصاص كشته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قصاص در ساير جروح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كه حربى باشد يا غير، بلكه تعزير مى شود در موارد حرمت قتل بدون اذن امام در غير حربى؛ و تعزير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حربى مقتول، بدون اذن، مشكل است؛ و تغريم مى شود ديۀ ذمّى را كه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 ذمّى را به قتل رسانيد و معتاد قتل ايشان بود، مى توانند قصاص نمايند بعد از ردّ فاضل ديه مسلمان از ديۀ ذمّى بنا بر اظهر؛ و تحقّق اعتياد به دو مرتبه اظهر است؛ و جواز قصاص معتاد، موجب جواز در دفعۀ سوم است بنا بر احوط بلكه اظهر</w:t>
      </w:r>
      <w:r>
        <w:rPr>
          <w:rFonts w:eastAsia="IRNazanin" w:cs="IRNazanin"/>
          <w:color w:val="111111"/>
          <w:sz w:val="28"/>
          <w:szCs w:val="28"/>
          <w:rtl w:val="true"/>
          <w:lang w:bidi="fa-IR"/>
        </w:rPr>
        <w:t xml:space="preserve">. </w:t>
      </w:r>
      <w:bookmarkStart w:id="2482" w:name="pg10275_96880"/>
    </w:p>
    <w:p>
      <w:pPr>
        <w:pStyle w:val="BookText"/>
        <w:rPr/>
      </w:pPr>
      <w:bookmarkEnd w:id="2482"/>
      <w:r>
        <w:rPr>
          <w:rFonts w:ascii="IRNazanin" w:hAnsi="IRNazanin" w:eastAsia="IRNazanin"/>
          <w:color w:val="111111"/>
          <w:sz w:val="28"/>
          <w:sz w:val="28"/>
          <w:szCs w:val="28"/>
          <w:rtl w:val="true"/>
          <w:lang w:bidi="fa-IR"/>
        </w:rPr>
        <w:t>و ذمّى، به واسطۀ قتل عمدى ذمّى، به قصاص به قتل مى رسد اگر چه ملّتهاى آنها و اديان آنها مختلف باشد مثل يهود و نصارىٰ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ذمّى را به واسطۀ قتل عمدى ذمّيه به قتل مى رسانند با ردّ فاضل ديه مرد ذمّى كه قصاص مى شود؛ و ذمّيه را به قتل مى رسانند در قصاص براى قتل ذمّى بدون رجوع ديه، مثل نسبت مرد مسلمان با زن مسلمان به نحوى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مستأمن، در قصاص، در حكم ذمّى است نه حربى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جواز تكليفى قتل حربى به واسطۀ ذمّى است نه عكس، و جواز قتل حربى به حربى است با اتّحاد طريقه چنان چه به آن ملتزم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 ذمّى، مسلمان را به قتل رسانيد از روى عمد، دفع مى شود خودش و مال او به اولياى مقتول، خواستند عفو نمايند يا به قتل برسانند يا استرقاق نمايند؛ و احوط براى ولىّ‌، تابع نمودن مال به قاتل است، پس اگر اختيار قصاص نمود مال را قبول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احوط عدم تبعيّت اولاد صغار قاتل است در استرقاق، بلكه استصحاب عدم دخول، در ملك مال در غير متيقّن و ساير اولاد،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استرقاق مسلمان شد، پس مثل اين است كه قبل از قتل مسلم، مسلمان بشود، فقط قصاص ثابت است و حق استرقاق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كافر، كافرى را كشت كه قصاص در آن مورد ثابت است، پس از قتل، مسلمان شد، قصاص منتفى مى شود، و ديه با شرط آن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ولد رشيده، در قصاص به سبب قتل ولد زانيه به قتل مى رسد با وصف اسلام و حكم به اسلام ولد زانيه</w:t>
      </w:r>
      <w:r>
        <w:rPr>
          <w:rFonts w:eastAsia="Amiri" w:cs="Amiri" w:ascii="Amiri" w:hAnsi="Amiri"/>
          <w:color w:val="111111"/>
          <w:sz w:val="28"/>
          <w:szCs w:val="28"/>
          <w:rtl w:val="true"/>
          <w:lang w:bidi="ar-SA"/>
        </w:rPr>
        <w:t>.</w:t>
      </w:r>
    </w:p>
    <w:p>
      <w:pPr>
        <w:pStyle w:val="Heading5"/>
        <w:numPr>
          <w:ilvl w:val="4"/>
          <w:numId w:val="1"/>
        </w:numPr>
        <w:rPr/>
      </w:pPr>
      <w:bookmarkStart w:id="2483" w:name="__RefHeading___Toc3973081_1067777946"/>
      <w:bookmarkStart w:id="2484" w:name="_Toc1048"/>
      <w:bookmarkEnd w:id="2483"/>
      <w:r>
        <w:rPr>
          <w:rtl w:val="true"/>
        </w:rPr>
        <w:t>مسائلى از لواحق باب</w:t>
      </w:r>
      <w:bookmarkEnd w:id="2484"/>
    </w:p>
    <w:p>
      <w:pPr>
        <w:pStyle w:val="Heading6"/>
        <w:numPr>
          <w:ilvl w:val="5"/>
          <w:numId w:val="1"/>
        </w:numPr>
        <w:rPr/>
      </w:pPr>
      <w:bookmarkStart w:id="2485" w:name="__RefHeading___Toc3973083_1067777946"/>
      <w:bookmarkStart w:id="2486" w:name="_Toc1049"/>
      <w:bookmarkEnd w:id="2485"/>
      <w:r>
        <w:rPr>
          <w:rtl w:val="true"/>
        </w:rPr>
        <w:t>قطع يد ذمى و اختيار اسلام توسط وى و يا انعتاق وى</w:t>
      </w:r>
      <w:bookmarkEnd w:id="2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مسلمانى دست ذمّى را از روى عمد قطع كرد پس از آن اسلام اختيار كرد پس از</w:t>
      </w:r>
      <w:bookmarkStart w:id="2487" w:name="pg10275_96882"/>
    </w:p>
    <w:p>
      <w:pPr>
        <w:pStyle w:val="BookText"/>
        <w:rPr/>
      </w:pPr>
      <w:bookmarkEnd w:id="2487"/>
      <w:r>
        <w:rPr>
          <w:rFonts w:ascii="IRNazanin" w:hAnsi="IRNazanin" w:eastAsia="IRNazanin"/>
          <w:color w:val="111111"/>
          <w:sz w:val="28"/>
          <w:sz w:val="28"/>
          <w:szCs w:val="28"/>
          <w:rtl w:val="true"/>
          <w:lang w:bidi="fa-IR"/>
        </w:rPr>
        <w:t>آن سرايت به نفس نمود، قصاص در طرف و نفس منتفى است؛ و همچنين اگر مسلمان آزادى، دست بنده اى را قطع كرد پس از آن منعتق شد و سرايت به نفس كرد؛ به جهت انتفاى مكافات در اسلام و حرّيت در وقت جنايت در دو صورت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صبىّ دست بالغى را عمداً قطع نمايد پس از آن بالغ شد و سرايت نمود، قصاص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همۀ امثلۀ مذكوره، ديۀ نفس ثابت است، در دو صورت متقدّمه در ذمّۀ جانى، و در صورت اخيره بر عاقلۀ صبىّ‌</w:t>
      </w:r>
      <w:r>
        <w:rPr>
          <w:rFonts w:eastAsia="Amiri" w:cs="Amiri" w:ascii="Amiri" w:hAnsi="Amiri"/>
          <w:color w:val="111111"/>
          <w:sz w:val="28"/>
          <w:szCs w:val="28"/>
          <w:rtl w:val="true"/>
          <w:lang w:bidi="ar-SA"/>
        </w:rPr>
        <w:t>.</w:t>
      </w:r>
    </w:p>
    <w:p>
      <w:pPr>
        <w:pStyle w:val="Heading6"/>
        <w:numPr>
          <w:ilvl w:val="5"/>
          <w:numId w:val="1"/>
        </w:numPr>
        <w:rPr/>
      </w:pPr>
      <w:bookmarkStart w:id="2488" w:name="__RefHeading___Toc3973085_1067777946"/>
      <w:bookmarkStart w:id="2489" w:name="_Toc1050"/>
      <w:bookmarkEnd w:id="2488"/>
      <w:r>
        <w:rPr>
          <w:rtl w:val="true"/>
        </w:rPr>
        <w:t>رجوع به اسلام حربى يا مرتدّ مقطوع اليد</w:t>
      </w:r>
      <w:bookmarkEnd w:id="24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مسلمان دست حربى يا مرتدّ را قطع نمود پس از آن مسلمان شد و به اسلام بازگشت، پس سرايت نمود، قصاص و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وقت حدوث جنايت منتفى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نمى شوند؛ لكن احوط ثبوت ديه سرايت به نفس است در موارد استناد قتل به جارح در غير جرح 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قطع به سرقت و به قصاص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رمى اگر در حال رمى ذمّى بوده و در حال اصابت مسلمان شد و وفات كرد، قصاص منتفى و ديه ثابت است، به جهت صدق قتل نه تعمّد قتل مسلمان؛ و همچنين اگر در حال رمى مرتدّ يا حربى بود و در حال اصابت مسلمان شد، در عدم قصاص و ثبوت ديه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حفر بئرى نمود و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مسلمانى كه سابقاً در وقت حفر مرتدّ بوده، پس عبرت به حال تردّى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اول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 حفر</w:t>
      </w:r>
      <w:r>
        <w:rPr>
          <w:rFonts w:eastAsia="IRNazanin" w:cs="IRNazanin"/>
          <w:color w:val="111111"/>
          <w:sz w:val="28"/>
          <w:szCs w:val="28"/>
          <w:rtl w:val="true"/>
          <w:lang w:bidi="fa-IR"/>
        </w:rPr>
        <w:t>.</w:t>
      </w:r>
    </w:p>
    <w:p>
      <w:pPr>
        <w:pStyle w:val="Heading6"/>
        <w:numPr>
          <w:ilvl w:val="5"/>
          <w:numId w:val="1"/>
        </w:numPr>
        <w:rPr/>
      </w:pPr>
      <w:bookmarkStart w:id="2490" w:name="__RefHeading___Toc3973087_1067777946"/>
      <w:bookmarkStart w:id="2491" w:name="_Toc1051"/>
      <w:bookmarkEnd w:id="2490"/>
      <w:r>
        <w:rPr>
          <w:rtl w:val="true"/>
        </w:rPr>
        <w:t>قطع دست و سرايت به نفس در حال ارتداد</w:t>
      </w:r>
      <w:bookmarkEnd w:id="249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مسلمانى دست مسلمانى را قطع كرد پس سرايت به نفس او كرد در حال ارتداد، قصاص در نفس ساقط است و هم چنين ديۀ نفس، به جهت وقوع سرايت در حال ارتداد كه مقتضى مهدوريت نفس است از حيث قصاص و ديه؛ و در سقوط قصاص</w:t>
      </w:r>
      <w:bookmarkStart w:id="2492" w:name="pg10275_96884"/>
    </w:p>
    <w:p>
      <w:pPr>
        <w:pStyle w:val="BookText"/>
        <w:rPr/>
      </w:pPr>
      <w:bookmarkEnd w:id="2492"/>
      <w:r>
        <w:rPr>
          <w:rFonts w:ascii="Amiri" w:hAnsi="Amiri" w:eastAsia="Amiri" w:cs="Amiri"/>
          <w:color w:val="111111"/>
          <w:sz w:val="28"/>
          <w:sz w:val="28"/>
          <w:szCs w:val="28"/>
          <w:rtl w:val="true"/>
          <w:lang w:bidi="ar-SA"/>
        </w:rPr>
        <w:t>در دست براى ولىّ مسلمان او تأمّلى است جارى در ديۀ دست، و احوط صلح با ولىّ مسلم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عود به اسلام نمود و محكوم به اسلام شد، پس اگر اسلام، مقدّم بر سرايت بود ثبوت قصاص خالى از وجه نيست، و همچنين اگر در اثناى سرايت مسلمان شد در فرض مذكور بنا بر اظهر؛ و اگر موت در حال ارتداد شد بعد از قطع دست در حال اسلام، قود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قطع در حال ارتداد بود پس از آن مسلمان شد و وفات كرد، قود ثابت نيست، به جهت اين كه سرايت به جنايت غير قصاصى بوده است؛ و ثبوت ديه نفس محتمل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جنايت و سرايتى كه در عمد آنها قصاص است، در خطأ آنها ديه ثابت است</w:t>
      </w:r>
      <w:r>
        <w:rPr>
          <w:rFonts w:eastAsia="Amiri" w:cs="Amiri" w:ascii="Amiri" w:hAnsi="Amiri"/>
          <w:color w:val="111111"/>
          <w:sz w:val="28"/>
          <w:szCs w:val="28"/>
          <w:rtl w:val="true"/>
          <w:lang w:bidi="ar-SA"/>
        </w:rPr>
        <w:t>.</w:t>
      </w:r>
    </w:p>
    <w:p>
      <w:pPr>
        <w:pStyle w:val="Heading6"/>
        <w:numPr>
          <w:ilvl w:val="5"/>
          <w:numId w:val="1"/>
        </w:numPr>
        <w:rPr/>
      </w:pPr>
      <w:bookmarkStart w:id="2493" w:name="__RefHeading___Toc3973089_1067777946"/>
      <w:bookmarkStart w:id="2494" w:name="_Toc1052"/>
      <w:bookmarkEnd w:id="2493"/>
      <w:r>
        <w:rPr>
          <w:rtl w:val="true"/>
        </w:rPr>
        <w:t>قتل ذمّى توسط مرتد</w:t>
      </w:r>
      <w:bookmarkEnd w:id="249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مرتدّى، ذمّى را به قتل رسانيد از روى عمد، اظهر ثبوت قصاص است؛ و اگر عود به اسلام نمود و محكوم به آن شد، قصاص در زمان اسلام منتفى است و احوط ثبوت ديه است</w:t>
      </w:r>
      <w:r>
        <w:rPr>
          <w:rFonts w:eastAsia="IRNazanin" w:cs="IRNazanin"/>
          <w:color w:val="111111"/>
          <w:sz w:val="28"/>
          <w:szCs w:val="28"/>
          <w:rtl w:val="true"/>
          <w:lang w:bidi="fa-IR"/>
        </w:rPr>
        <w:t>.</w:t>
      </w:r>
    </w:p>
    <w:p>
      <w:pPr>
        <w:pStyle w:val="Heading6"/>
        <w:numPr>
          <w:ilvl w:val="5"/>
          <w:numId w:val="1"/>
        </w:numPr>
        <w:rPr/>
      </w:pPr>
      <w:bookmarkStart w:id="2495" w:name="__RefHeading___Toc3973091_1067777946"/>
      <w:bookmarkStart w:id="2496" w:name="_Toc1053"/>
      <w:bookmarkEnd w:id="2495"/>
      <w:r>
        <w:rPr>
          <w:rtl w:val="true"/>
        </w:rPr>
        <w:t>سرايت در جنايت بر نصرانى و چند فرع ديگر</w:t>
      </w:r>
      <w:bookmarkEnd w:id="249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مسلمانى، نصرانى را از روى عمد مجروح نمود پس از آن، جارح، مرتدّ شد و سرايت كرد جراحت به نفس، احوط انتفاى قصاص است به جهت عدم تكافؤ در مجموع دو حال جنايت و سرايت، و بر جارح است ديۀ نفس نصرانى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مسلم، ذمّى را به قتل رسانيد پس از آن مرتد شد، قصاص منتفى است، به جهت عدم تساوى بنا بر احوط</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مرتدّى را مجروح نمود پس از آن اسلام اختيار كرد، كه قصاص منتفى است به جهت انتفاى تساوى مذكور بنا بر احوط</w:t>
      </w:r>
      <w:r>
        <w:rPr>
          <w:rFonts w:eastAsia="IRNazanin" w:cs="IRNazanin"/>
          <w:color w:val="111111"/>
          <w:sz w:val="28"/>
          <w:szCs w:val="28"/>
          <w:rtl w:val="true"/>
          <w:lang w:bidi="fa-IR"/>
        </w:rPr>
        <w:t xml:space="preserve">. </w:t>
      </w:r>
      <w:bookmarkStart w:id="2497" w:name="pg10275_96886"/>
    </w:p>
    <w:p>
      <w:pPr>
        <w:pStyle w:val="BookText"/>
        <w:rPr/>
      </w:pPr>
      <w:bookmarkEnd w:id="2497"/>
      <w:r>
        <w:rPr>
          <w:rFonts w:ascii="IRNazanin" w:hAnsi="IRNazanin" w:eastAsia="IRNazanin"/>
          <w:color w:val="111111"/>
          <w:sz w:val="28"/>
          <w:sz w:val="28"/>
          <w:szCs w:val="28"/>
          <w:rtl w:val="true"/>
          <w:lang w:bidi="fa-IR"/>
        </w:rPr>
        <w:t xml:space="preserve">اگر كافر، كافرى را به قتل رسانيد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قاتل، اختيار اسلام نمود، قود منتفى است</w:t>
      </w:r>
      <w:r>
        <w:rPr>
          <w:rFonts w:eastAsia="IRNazanin" w:cs="IRNazanin"/>
          <w:color w:val="111111"/>
          <w:sz w:val="28"/>
          <w:szCs w:val="28"/>
          <w:rtl w:val="true"/>
          <w:lang w:bidi="fa-IR"/>
        </w:rPr>
        <w:t>.</w:t>
      </w:r>
    </w:p>
    <w:p>
      <w:pPr>
        <w:pStyle w:val="Heading6"/>
        <w:numPr>
          <w:ilvl w:val="5"/>
          <w:numId w:val="1"/>
        </w:numPr>
        <w:rPr/>
      </w:pPr>
      <w:bookmarkStart w:id="2498" w:name="__RefHeading___Toc3973093_1067777946"/>
      <w:bookmarkStart w:id="2499" w:name="_Toc1054"/>
      <w:bookmarkEnd w:id="2498"/>
      <w:r>
        <w:rPr>
          <w:rtl w:val="true"/>
        </w:rPr>
        <w:t>قتل مرتدّ توسط ذمّى</w:t>
      </w:r>
      <w:bookmarkEnd w:id="249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ذمّى، مرتدّى را از روى عمد به قتل رسانيد، پس در سقوط قصاص در واجب القتل مثل فطرى يا ملّى بعد از استتابۀ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ساقط است در حربى و مرتدّ با مسلم بودن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و بر تقدير سقوط قصاص، اظهر سقوط ديه است در قتل ذمّى و مسلم، مرتدّ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مرتدّ، مرتدّ را يا حربى را و قتل حربى، حربى را، اظهر سقوط غير اثم از قصاص و ديه است</w:t>
      </w:r>
      <w:r>
        <w:rPr>
          <w:rFonts w:eastAsia="IRNazanin" w:cs="IRNazanin"/>
          <w:color w:val="111111"/>
          <w:sz w:val="28"/>
          <w:szCs w:val="28"/>
          <w:rtl w:val="true"/>
          <w:lang w:bidi="fa-IR"/>
        </w:rPr>
        <w:t>.</w:t>
      </w:r>
    </w:p>
    <w:p>
      <w:pPr>
        <w:pStyle w:val="Heading6"/>
        <w:numPr>
          <w:ilvl w:val="5"/>
          <w:numId w:val="1"/>
        </w:numPr>
        <w:rPr/>
      </w:pPr>
      <w:bookmarkStart w:id="2500" w:name="__RefHeading___Toc3973095_1067777946"/>
      <w:bookmarkStart w:id="2501" w:name="_Toc1055"/>
      <w:bookmarkEnd w:id="2500"/>
      <w:r>
        <w:rPr>
          <w:rtl w:val="true"/>
        </w:rPr>
        <w:t>قتل واجب القصاص يا واجب القتل بدون اذن لازم</w:t>
      </w:r>
      <w:bookmarkEnd w:id="250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واجب شد بر مسلمى قصاصى، پس او را كشت غير ولىّ بدون اذن ولىّ‌، قصاص بر قاتل دومى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 القتل شد كسى براى زنا يا لواط، پس غير امام بدون اذن او، او را به قتل رسانيد؛ پس اگر اثبات زنا يا لواط يا موجب قتل كرد با بيّنه، قصاص و ديه بر او نيست، وگرنه قصاص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اختصاص به زوج نسبت به زوجه و زانى با او، يا تعميم به ساير اقارب بلكه اجانب، تأمّل است، و احتياط در صلح ولىّ با قاتل است</w:t>
      </w:r>
      <w:r>
        <w:rPr>
          <w:rFonts w:eastAsia="IRNazanin" w:cs="IRNazanin"/>
          <w:color w:val="111111"/>
          <w:sz w:val="28"/>
          <w:szCs w:val="28"/>
          <w:rtl w:val="true"/>
          <w:lang w:bidi="fa-IR"/>
        </w:rPr>
        <w:t>.</w:t>
      </w:r>
    </w:p>
    <w:p>
      <w:pPr>
        <w:pStyle w:val="Heading4"/>
        <w:numPr>
          <w:ilvl w:val="3"/>
          <w:numId w:val="1"/>
        </w:numPr>
        <w:rPr/>
      </w:pPr>
      <w:bookmarkStart w:id="2502" w:name="__RefHeading___Toc3973097_1067777946"/>
      <w:bookmarkStart w:id="2503" w:name="_Toc1056"/>
      <w:bookmarkEnd w:id="2502"/>
      <w:r>
        <w:rPr/>
        <w:t>3</w:t>
      </w:r>
      <w:r>
        <w:rPr>
          <w:rtl w:val="true"/>
        </w:rPr>
        <w:t xml:space="preserve">. </w:t>
      </w:r>
      <w:r>
        <w:rPr>
          <w:rtl w:val="true"/>
        </w:rPr>
        <w:t>شرط سوم قصاص در نفس و طرف</w:t>
      </w:r>
      <w:r>
        <w:rPr>
          <w:rtl w:val="true"/>
        </w:rPr>
        <w:t xml:space="preserve">: </w:t>
      </w:r>
      <w:r>
        <w:rPr>
          <w:rtl w:val="true"/>
        </w:rPr>
        <w:t>جانى، پدر مجنى عليه نباشد</w:t>
      </w:r>
      <w:bookmarkEnd w:id="2503"/>
    </w:p>
    <w:p>
      <w:pPr>
        <w:pStyle w:val="Heading5"/>
        <w:numPr>
          <w:ilvl w:val="4"/>
          <w:numId w:val="1"/>
        </w:numPr>
        <w:rPr/>
      </w:pPr>
      <w:bookmarkStart w:id="2504" w:name="__RefHeading___Toc3973099_1067777946"/>
      <w:bookmarkStart w:id="2505" w:name="_Toc1057"/>
      <w:bookmarkEnd w:id="2504"/>
      <w:r>
        <w:rPr>
          <w:rtl w:val="true"/>
        </w:rPr>
        <w:t>اشاره</w:t>
      </w:r>
      <w:bookmarkEnd w:id="2505"/>
    </w:p>
    <w:p>
      <w:pPr>
        <w:pStyle w:val="BookText"/>
        <w:rPr/>
      </w:pPr>
      <w:r>
        <w:rPr>
          <w:rFonts w:ascii="IRNazanin" w:hAnsi="IRNazanin" w:eastAsia="IRNazanin"/>
          <w:color w:val="111111"/>
          <w:sz w:val="28"/>
          <w:sz w:val="28"/>
          <w:szCs w:val="28"/>
          <w:rtl w:val="true"/>
          <w:lang w:bidi="fa-IR"/>
        </w:rPr>
        <w:t>وگرنه قصاص نمى شود جنايت عمديّه بر او، و بر والد است كفّارۀ جمع، و ديه براى ورّاث مقتول، و تعزير به آن چه حاكم صلاح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پدر و جدّ پدرى در اين حكم نيست، و همچنين فرقى بين متكافئين در اسلام و حرّيت و غير نيست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قصاص از پسر براى پدر مانعى ندارد</w:t>
      </w:r>
      <w:r>
        <w:rPr>
          <w:rFonts w:eastAsia="IRNazanin" w:cs="IRNazanin"/>
          <w:color w:val="111111"/>
          <w:sz w:val="28"/>
          <w:szCs w:val="28"/>
          <w:rtl w:val="true"/>
          <w:lang w:bidi="fa-IR"/>
        </w:rPr>
        <w:t xml:space="preserve">. </w:t>
      </w:r>
      <w:bookmarkStart w:id="2506" w:name="pg10275_96888"/>
    </w:p>
    <w:p>
      <w:pPr>
        <w:pStyle w:val="BookText"/>
        <w:rPr/>
      </w:pPr>
      <w:bookmarkEnd w:id="2506"/>
      <w:r>
        <w:rPr>
          <w:rFonts w:ascii="IRNazanin" w:hAnsi="IRNazanin" w:eastAsia="IRNazanin"/>
          <w:color w:val="111111"/>
          <w:sz w:val="28"/>
          <w:sz w:val="28"/>
          <w:szCs w:val="28"/>
          <w:rtl w:val="true"/>
          <w:lang w:bidi="fa-IR"/>
        </w:rPr>
        <w:t>و قتل جلّاد و غازى، با اذن امام، پدر را، مانعى ندارد و منع از ميراث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مادر به واسطۀ پسر مانعى ندارد، و همچنين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اقارب مادرى مثل اجداد و جدّات و اخوۀ پدرى و مادرى و اعمام و عمّات و اخوال و خالات از طرفين</w:t>
      </w:r>
      <w:r>
        <w:rPr>
          <w:rFonts w:eastAsia="IRNazanin" w:cs="IRNazanin"/>
          <w:color w:val="111111"/>
          <w:sz w:val="28"/>
          <w:szCs w:val="28"/>
          <w:rtl w:val="true"/>
          <w:lang w:bidi="fa-IR"/>
        </w:rPr>
        <w:t>.</w:t>
      </w:r>
    </w:p>
    <w:p>
      <w:pPr>
        <w:pStyle w:val="Heading5"/>
        <w:numPr>
          <w:ilvl w:val="4"/>
          <w:numId w:val="1"/>
        </w:numPr>
        <w:rPr/>
      </w:pPr>
      <w:bookmarkStart w:id="2507" w:name="__RefHeading___Toc3973101_1067777946"/>
      <w:bookmarkStart w:id="2508" w:name="_Toc1058"/>
      <w:bookmarkEnd w:id="2507"/>
      <w:r>
        <w:rPr>
          <w:rtl w:val="true"/>
        </w:rPr>
        <w:t>فروع مسألۀ مذكوره</w:t>
      </w:r>
      <w:bookmarkEnd w:id="2508"/>
    </w:p>
    <w:p>
      <w:pPr>
        <w:pStyle w:val="Heading6"/>
        <w:numPr>
          <w:ilvl w:val="5"/>
          <w:numId w:val="1"/>
        </w:numPr>
        <w:rPr/>
      </w:pPr>
      <w:bookmarkStart w:id="2509" w:name="__RefHeading___Toc3973103_1067777946"/>
      <w:bookmarkStart w:id="2510" w:name="_Toc1059"/>
      <w:bookmarkEnd w:id="2509"/>
      <w:r>
        <w:rPr>
          <w:rtl w:val="true"/>
        </w:rPr>
        <w:t>وقوع قتل بعد از ادّعاى دو نفر ولد مجهول را</w:t>
      </w:r>
      <w:bookmarkEnd w:id="2510"/>
    </w:p>
    <w:p>
      <w:pPr>
        <w:pStyle w:val="BookText"/>
        <w:rPr/>
      </w:pPr>
      <w:r>
        <w:rPr>
          <w:rFonts w:ascii="IRNazanin" w:hAnsi="IRNazanin" w:eastAsia="IRNazanin"/>
          <w:color w:val="111111"/>
          <w:sz w:val="28"/>
          <w:sz w:val="28"/>
          <w:szCs w:val="28"/>
          <w:rtl w:val="true"/>
          <w:lang w:bidi="fa-IR"/>
        </w:rPr>
        <w:t xml:space="preserve">اگر دو نفر ادّعا كردند ولد مجهولى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لقيط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مرجح شرعى براى هيچ يك نبود، پس اگر بعد از قرعه و رفع اشكال به سبب آن، قتلى واقع شد از يكى از آنها نسبت به مجهول، قصاص معلوم است نسبت به خارج از قرعه و غير او؛ و اگر قبل از قرعه و تعيين با آن، قتل واقع شد، پس براى تعيين و اثبات قصاص و عدم آن، اعمال قرعه خالى از وجه نيست چه آن كه يكى از آنها منفرد به قتل باشد يا دو نفر اشتراك نمايند، اگر چه بايد نصف ديه را به خارج از قرعه ردّ نمايند براى قصاص يكى از دو شريك كه بر ديگرى قصاص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مدّعى لقيط، يك نفر بود و او را استلحاق نمود بدون سبق نفى، قصاص نمى شود، به واسطۀ لحوق شرعى بدون معارض</w:t>
      </w:r>
      <w:r>
        <w:rPr>
          <w:rFonts w:eastAsia="IRNazanin" w:cs="IRNazanin"/>
          <w:color w:val="111111"/>
          <w:sz w:val="28"/>
          <w:szCs w:val="28"/>
          <w:rtl w:val="true"/>
          <w:lang w:bidi="fa-IR"/>
        </w:rPr>
        <w:t>.</w:t>
      </w:r>
    </w:p>
    <w:p>
      <w:pPr>
        <w:pStyle w:val="Heading6"/>
        <w:numPr>
          <w:ilvl w:val="5"/>
          <w:numId w:val="1"/>
        </w:numPr>
        <w:rPr/>
      </w:pPr>
      <w:bookmarkStart w:id="2511" w:name="__RefHeading___Toc3973105_1067777946"/>
      <w:bookmarkStart w:id="2512" w:name="_Toc1060"/>
      <w:bookmarkEnd w:id="2511"/>
      <w:r>
        <w:rPr>
          <w:rtl w:val="true"/>
        </w:rPr>
        <w:t>ادّعاى دو نفر ولديت را و رجوع يكى و اشتراك در قتل</w:t>
      </w:r>
      <w:bookmarkEnd w:id="2512"/>
    </w:p>
    <w:p>
      <w:pPr>
        <w:pStyle w:val="BookText"/>
        <w:rPr/>
      </w:pPr>
      <w:r>
        <w:rPr>
          <w:rFonts w:ascii="IRNazanin" w:hAnsi="IRNazanin" w:eastAsia="IRNazanin"/>
          <w:color w:val="111111"/>
          <w:sz w:val="28"/>
          <w:sz w:val="28"/>
          <w:szCs w:val="28"/>
          <w:rtl w:val="true"/>
          <w:lang w:bidi="fa-IR"/>
        </w:rPr>
        <w:t>و اگر دو نفر ادّعاى ولد كردند، پس از آن يكى رجوع كرد و بعد از رجوع، اشتراك در قتل كردند، قصاص بر رجوع كننده ثابت است بعد از ردّ نصف ديه به او، و بر اب است نصف ديه، و ثبوت كفّارۀ قتل بر هركدام، موافق احتياط است در مقابل اشتراك دو نفر در يك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خصوص رجوع كننده او را به قتل رسانيد، قصاص بر او فقط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رجوع كردند پس اشتراك در قتل كردند، قصاص بر هر دو با ردّ يك ديه به آنها ثابت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جارى است حكم مذكور، براى رجوع بعد از ادّعا اگر قتل، سابق بر رجوع باشد؛ </w:t>
      </w:r>
      <w:bookmarkStart w:id="2513" w:name="pg10275_96890"/>
    </w:p>
    <w:p>
      <w:pPr>
        <w:pStyle w:val="BookText"/>
        <w:rPr/>
      </w:pPr>
      <w:bookmarkEnd w:id="2513"/>
      <w:r>
        <w:rPr>
          <w:rFonts w:ascii="IRNazanin" w:hAnsi="IRNazanin" w:eastAsia="IRNazanin"/>
          <w:color w:val="111111"/>
          <w:sz w:val="28"/>
          <w:sz w:val="28"/>
          <w:szCs w:val="28"/>
          <w:rtl w:val="true"/>
          <w:lang w:bidi="fa-IR"/>
        </w:rPr>
        <w:t xml:space="preserve">و تأثير رجوع بعد از تعيين و اخراج با قرعه نسبت به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كه ديگرى هم رجوع نمايد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جارى است حكم مذكور، براى دو مدّعى در صورت ولادت ولد در فراش دو 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امۀ مشتركه يا موطوئۀ به شبهه در طهر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تعيين با قرعه اگر دو نفر يا يك از آن دو، ولد را به قتل رسانيدند، در كفايت قرعۀ لاحقۀ قتل در ترتيب اثر و در لوازم مذكوره براى قتل دو نفر با هم يا يك نفر از آن دو قبل از قرعه؛ لكن در تأثير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قصاص از رجوع كننده با آن كه مثبت ولادت، فراش بوده نه دعوىٰ‌، تأمّل است، و عدم تأثير،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مولود در فراش، منتفى شد به سبب لعان، پس او را به قتل رسانيد، مانع از قصاص منتفى است به حكم شرع، و رجوع بعد از لعان در نفى قصاص تأثير ندارد اگر چه مؤثر در آثار اقرار باشد</w:t>
      </w:r>
      <w:r>
        <w:rPr>
          <w:rFonts w:eastAsia="IRNazanin" w:cs="IRNazanin"/>
          <w:color w:val="111111"/>
          <w:sz w:val="28"/>
          <w:szCs w:val="28"/>
          <w:rtl w:val="true"/>
          <w:lang w:bidi="fa-IR"/>
        </w:rPr>
        <w:t>.</w:t>
      </w:r>
    </w:p>
    <w:p>
      <w:pPr>
        <w:pStyle w:val="Heading6"/>
        <w:numPr>
          <w:ilvl w:val="5"/>
          <w:numId w:val="1"/>
        </w:numPr>
        <w:rPr/>
      </w:pPr>
      <w:bookmarkStart w:id="2514" w:name="__RefHeading___Toc3973107_1067777946"/>
      <w:bookmarkStart w:id="2515" w:name="_Toc1061"/>
      <w:bookmarkEnd w:id="2514"/>
      <w:r>
        <w:rPr>
          <w:rtl w:val="true"/>
        </w:rPr>
        <w:t>قتل يا قذف زوجه توسط زوج</w:t>
      </w:r>
      <w:bookmarkEnd w:id="2515"/>
    </w:p>
    <w:p>
      <w:pPr>
        <w:pStyle w:val="BookText"/>
        <w:rPr/>
      </w:pPr>
      <w:r>
        <w:rPr>
          <w:rFonts w:ascii="IRNazanin" w:hAnsi="IRNazanin" w:eastAsia="IRNazanin"/>
          <w:color w:val="111111"/>
          <w:sz w:val="28"/>
          <w:sz w:val="28"/>
          <w:szCs w:val="28"/>
          <w:rtl w:val="true"/>
          <w:lang w:bidi="fa-IR"/>
        </w:rPr>
        <w:t xml:space="preserve">اگر زوج، زوجه را به قتل رسانيد از روى عمد، اظهر ثبوت حق اقتصاص براى اولاد زوجه از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قذف نمود زوجۀ خود را، پس زوجه وفات كرد قبل از لعان و حدّ، پس مى تواند ولد، استيفاى حدّ نمايد از والد به سبب قذف والده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اولاد زوجه از غير قاتل و قاذف، پس مى توانند قصاص نمايند بعد از اداى نصيب اولاد او از ديه، و مى توانند استيفاى كمال حدّ قذف نمايند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يكى از دو ولد، پدر را به قتل رسانيد، و ديگرى مادر را به قتل رسانيد، هر كدام، از ديگرى مى توانند قصاص نمايند، و با قرعه تعيين مى شود مقدّم در اقتصاص، و ورثۀ مقتول به قصاص از ديگرى قصاص مى نمايند؛ و همچنين در صورت مبادرت يكى بدون قرعه، ورثۀ مقتول مى توانند قصاص نمايند براى آن يكى ديگر از والدين</w:t>
      </w:r>
      <w:r>
        <w:rPr>
          <w:rFonts w:eastAsia="IRNazanin" w:cs="IRNazanin"/>
          <w:color w:val="111111"/>
          <w:sz w:val="28"/>
          <w:szCs w:val="28"/>
          <w:rtl w:val="true"/>
          <w:lang w:bidi="fa-IR"/>
        </w:rPr>
        <w:t xml:space="preserve">. </w:t>
      </w:r>
      <w:bookmarkStart w:id="2516" w:name="pg10275_96892"/>
    </w:p>
    <w:p>
      <w:pPr>
        <w:pStyle w:val="Heading4"/>
        <w:numPr>
          <w:ilvl w:val="3"/>
          <w:numId w:val="1"/>
        </w:numPr>
        <w:rPr/>
      </w:pPr>
      <w:bookmarkStart w:id="2517" w:name="__RefHeading___Toc3973109_1067777946"/>
      <w:bookmarkStart w:id="2518" w:name="_Toc1062"/>
      <w:bookmarkEnd w:id="2516"/>
      <w:bookmarkEnd w:id="2517"/>
      <w:r>
        <w:rPr/>
        <w:t>4</w:t>
      </w:r>
      <w:r>
        <w:rPr>
          <w:rtl w:val="true"/>
        </w:rPr>
        <w:t xml:space="preserve">. </w:t>
      </w:r>
      <w:r>
        <w:rPr>
          <w:rtl w:val="true"/>
        </w:rPr>
        <w:t>شرط چهارم قصاص</w:t>
      </w:r>
      <w:r>
        <w:rPr>
          <w:rtl w:val="true"/>
        </w:rPr>
        <w:t xml:space="preserve">: </w:t>
      </w:r>
      <w:r>
        <w:rPr>
          <w:rtl w:val="true"/>
        </w:rPr>
        <w:t>كمال عقل</w:t>
      </w:r>
      <w:bookmarkEnd w:id="2518"/>
    </w:p>
    <w:p>
      <w:pPr>
        <w:pStyle w:val="Heading5"/>
        <w:numPr>
          <w:ilvl w:val="4"/>
          <w:numId w:val="1"/>
        </w:numPr>
        <w:rPr/>
      </w:pPr>
      <w:bookmarkStart w:id="2519" w:name="__RefHeading___Toc3973111_1067777946"/>
      <w:bookmarkStart w:id="2520" w:name="_Toc1063"/>
      <w:bookmarkEnd w:id="2519"/>
      <w:r>
        <w:rPr>
          <w:rtl w:val="true"/>
        </w:rPr>
        <w:t>اشاره</w:t>
      </w:r>
      <w:bookmarkEnd w:id="2520"/>
    </w:p>
    <w:p>
      <w:pPr>
        <w:pStyle w:val="BookText"/>
        <w:rPr/>
      </w:pPr>
      <w:r>
        <w:rPr>
          <w:rFonts w:ascii="IRNazanin" w:hAnsi="IRNazanin" w:eastAsia="IRNazanin"/>
          <w:color w:val="111111"/>
          <w:sz w:val="28"/>
          <w:sz w:val="28"/>
          <w:szCs w:val="28"/>
          <w:rtl w:val="true"/>
          <w:lang w:bidi="fa-IR"/>
        </w:rPr>
        <w:t>پس از مجنون قصاص نمى شود براى عاقل و مجنون، هر قسم از اقسام جنون باشد، در صورتى كه قتل در حال جنون واقع بشود، و بر عاقلۀ قاتل ديه ثابت است، و اگر عاقله نداشته باشد بر امام يا از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غير بالغ قصاص نمى شود براى صبىّ و بالغ، بلكه عمد او خطايى است و مثبت ديه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زمان عقل به قتل رسانيد پس از آن مجنون شد، قصاص ساقط نمى شود</w:t>
      </w:r>
      <w:r>
        <w:rPr>
          <w:rFonts w:eastAsia="IRNazanin" w:cs="IRNazanin"/>
          <w:color w:val="111111"/>
          <w:sz w:val="28"/>
          <w:szCs w:val="28"/>
          <w:rtl w:val="true"/>
          <w:lang w:bidi="fa-IR"/>
        </w:rPr>
        <w:t>.</w:t>
      </w:r>
    </w:p>
    <w:p>
      <w:pPr>
        <w:pStyle w:val="Heading5"/>
        <w:numPr>
          <w:ilvl w:val="4"/>
          <w:numId w:val="1"/>
        </w:numPr>
        <w:rPr/>
      </w:pPr>
      <w:bookmarkStart w:id="2521" w:name="__RefHeading___Toc3973113_1067777946"/>
      <w:bookmarkStart w:id="2522" w:name="_Toc1064"/>
      <w:bookmarkEnd w:id="2521"/>
      <w:r>
        <w:rPr>
          <w:rtl w:val="true"/>
        </w:rPr>
        <w:t>اختلاف ولى و جانى در بعض فروع</w:t>
      </w:r>
      <w:bookmarkEnd w:id="2522"/>
    </w:p>
    <w:p>
      <w:pPr>
        <w:pStyle w:val="BookText"/>
        <w:rPr/>
      </w:pPr>
      <w:r>
        <w:rPr>
          <w:rFonts w:ascii="IRNazanin" w:hAnsi="IRNazanin" w:eastAsia="IRNazanin"/>
          <w:color w:val="111111"/>
          <w:sz w:val="28"/>
          <w:sz w:val="28"/>
          <w:szCs w:val="28"/>
          <w:rtl w:val="true"/>
          <w:lang w:bidi="fa-IR"/>
        </w:rPr>
        <w:t xml:space="preserve">اگر ولىّ و جانى، بعد از بلوغ يا افاقه، اختلاف در تقدّم قتل بر بلوغ يا افاقه يا تأخّر آن نمودند، قول جانى با يمين او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ديه ثابت است از مال جانى نه عاقلۀ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تاريخ زمان بلوغ يا افاقه معلوم باشد كه اقتضاى استصحاب، عدم جنايت را تا تاريخ كمال معلوم، كافى در ترتيب آثار تأخّر جنايت است، و قول مجنى عليه مستند به آن است و مقدّم با يمين او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اصل حدوث جنون بود بدون سابقه وجود، قول مدعى سلامت مقدم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اختلاف در حدوث بلوغ در زمان دعوى و ما قبل آن بود و ممكن بود صغر در زمان دعوى، قول مستصحِب صِغَر مقدّم است بدون يمين، و ديه بر عاقله است</w:t>
      </w:r>
      <w:r>
        <w:rPr>
          <w:rFonts w:eastAsia="IRNazanin" w:cs="IRNazanin"/>
          <w:color w:val="111111"/>
          <w:sz w:val="28"/>
          <w:szCs w:val="28"/>
          <w:rtl w:val="true"/>
          <w:lang w:bidi="fa-IR"/>
        </w:rPr>
        <w:t>.</w:t>
      </w:r>
    </w:p>
    <w:p>
      <w:pPr>
        <w:pStyle w:val="Heading5"/>
        <w:numPr>
          <w:ilvl w:val="4"/>
          <w:numId w:val="1"/>
        </w:numPr>
        <w:rPr/>
      </w:pPr>
      <w:bookmarkStart w:id="2523" w:name="__RefHeading___Toc3973115_1067777946"/>
      <w:bookmarkStart w:id="2524" w:name="_Toc1065"/>
      <w:bookmarkEnd w:id="2523"/>
      <w:r>
        <w:rPr>
          <w:rtl w:val="true"/>
        </w:rPr>
        <w:t>قتل صبى توسط بالغ</w:t>
      </w:r>
      <w:bookmarkEnd w:id="2524"/>
    </w:p>
    <w:p>
      <w:pPr>
        <w:pStyle w:val="BookText"/>
        <w:rPr/>
      </w:pPr>
      <w:r>
        <w:rPr>
          <w:rFonts w:ascii="IRNazanin" w:hAnsi="IRNazanin" w:eastAsia="IRNazanin"/>
          <w:color w:val="111111"/>
          <w:sz w:val="28"/>
          <w:sz w:val="28"/>
          <w:szCs w:val="28"/>
          <w:rtl w:val="true"/>
          <w:lang w:bidi="fa-IR"/>
        </w:rPr>
        <w:t>اگر بالغ، صبىّ را به قتل رسانيد از روى عمد، قصاص مى شود با تكافؤ از غير جهت بلوغ</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مجنون در حال مقتول بودن، از عاقل در آن زمان، قصاص نمى شود، بلكه ديه از مال قاتل است براى ورثه مجنون؛ و همچنين اگر هر دو مجنون ادوارى بودند و </w:t>
      </w:r>
      <w:bookmarkStart w:id="2525" w:name="pg10275_96894"/>
    </w:p>
    <w:p>
      <w:pPr>
        <w:pStyle w:val="BookText"/>
        <w:rPr/>
      </w:pPr>
      <w:bookmarkEnd w:id="2525"/>
      <w:r>
        <w:rPr>
          <w:rFonts w:ascii="IRNazanin" w:hAnsi="IRNazanin" w:eastAsia="IRNazanin"/>
          <w:color w:val="111111"/>
          <w:sz w:val="28"/>
          <w:sz w:val="28"/>
          <w:szCs w:val="28"/>
          <w:rtl w:val="true"/>
          <w:lang w:bidi="fa-IR"/>
        </w:rPr>
        <w:t>در حال عقل به قتل رسانيد شخص را در حال جنون او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مقام دفاع از نفس عاقل بود و متوقف بر قتل مجنون بود، ديه هم ثابت نيست</w:t>
      </w:r>
      <w:r>
        <w:rPr>
          <w:rFonts w:eastAsia="IRNazanin" w:cs="IRNazanin"/>
          <w:color w:val="111111"/>
          <w:sz w:val="28"/>
          <w:szCs w:val="28"/>
          <w:rtl w:val="true"/>
          <w:lang w:bidi="fa-IR"/>
        </w:rPr>
        <w:t>.</w:t>
      </w:r>
    </w:p>
    <w:p>
      <w:pPr>
        <w:pStyle w:val="Heading5"/>
        <w:numPr>
          <w:ilvl w:val="4"/>
          <w:numId w:val="1"/>
        </w:numPr>
        <w:rPr/>
      </w:pPr>
      <w:bookmarkStart w:id="2526" w:name="__RefHeading___Toc3973117_1067777946"/>
      <w:bookmarkStart w:id="2527" w:name="_Toc1066"/>
      <w:bookmarkEnd w:id="2526"/>
      <w:r>
        <w:rPr>
          <w:rtl w:val="true"/>
        </w:rPr>
        <w:t>مورد ثبوت ديه بر قاتل و عاقله</w:t>
      </w:r>
      <w:bookmarkEnd w:id="2527"/>
    </w:p>
    <w:p>
      <w:pPr>
        <w:pStyle w:val="BookText"/>
        <w:rPr/>
      </w:pPr>
      <w:r>
        <w:rPr>
          <w:rFonts w:ascii="Amiri" w:hAnsi="Amiri" w:eastAsia="Amiri" w:cs="Amiri"/>
          <w:color w:val="111111"/>
          <w:sz w:val="28"/>
          <w:sz w:val="28"/>
          <w:szCs w:val="28"/>
          <w:rtl w:val="true"/>
          <w:lang w:bidi="ar-SA"/>
        </w:rPr>
        <w:t>و هر جا كه قصاص نيست و ديه ثابت است، بر قاتل است در عمد و شبيه آن، و بر عاقله است در خطأ محض در غير مورد اختلاف كه مذكور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موارد مهدوريّت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صورت دفاع كه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ثابت نيست نه بر نفس قاتل نه بر عاقلۀ او بنا بر مشهور و اظهر</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3973119_1067777946"/>
      <w:bookmarkStart w:id="2529" w:name="_Toc1067"/>
      <w:bookmarkEnd w:id="2528"/>
      <w:r>
        <w:rPr>
          <w:rtl w:val="true"/>
        </w:rPr>
        <w:t>قتل مست</w:t>
      </w:r>
      <w:bookmarkEnd w:id="2529"/>
    </w:p>
    <w:p>
      <w:pPr>
        <w:pStyle w:val="BookText"/>
        <w:rPr/>
      </w:pPr>
      <w:r>
        <w:rPr>
          <w:rFonts w:ascii="Amiri" w:hAnsi="Amiri" w:eastAsia="Amiri" w:cs="Amiri"/>
          <w:color w:val="111111"/>
          <w:sz w:val="28"/>
          <w:sz w:val="28"/>
          <w:szCs w:val="28"/>
          <w:rtl w:val="true"/>
          <w:lang w:bidi="ar-SA"/>
        </w:rPr>
        <w:t>احوط براى ولىّ‌، مصالحه بر ديه است در قتل سكران كه در حال مستى مرتكب قتل بشود با اختيار سبب سكر و آثم بودن در آن؛ و اظهر عدم قصاص است با عذر شرعى در ايجاد سبب مستى</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3973121_1067777946"/>
      <w:bookmarkStart w:id="2531" w:name="_Toc1068"/>
      <w:bookmarkEnd w:id="2530"/>
      <w:r>
        <w:rPr>
          <w:rtl w:val="true"/>
        </w:rPr>
        <w:t>تناول بنج يا مرقد</w:t>
      </w:r>
      <w:bookmarkEnd w:id="2531"/>
    </w:p>
    <w:p>
      <w:pPr>
        <w:pStyle w:val="BookText"/>
        <w:rPr/>
      </w:pPr>
      <w:r>
        <w:rPr>
          <w:rFonts w:ascii="IRNazanin" w:hAnsi="IRNazanin" w:eastAsia="IRNazanin"/>
          <w:color w:val="111111"/>
          <w:sz w:val="28"/>
          <w:sz w:val="28"/>
          <w:szCs w:val="28"/>
          <w:rtl w:val="true"/>
          <w:lang w:bidi="fa-IR"/>
        </w:rPr>
        <w:t xml:space="preserve">و اگر 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مُرقِد كرده باشد، اظهر ثبوت قصاص است در آن، اگر چه معذور باشد در استعمال، مادام كه مثل سكران زوال عقل حاصل نباشد</w:t>
      </w:r>
      <w:r>
        <w:rPr>
          <w:rFonts w:eastAsia="IRNazanin" w:cs="IRNazanin"/>
          <w:color w:val="111111"/>
          <w:sz w:val="28"/>
          <w:szCs w:val="28"/>
          <w:rtl w:val="true"/>
          <w:lang w:bidi="fa-IR"/>
        </w:rPr>
        <w:t>.</w:t>
      </w:r>
    </w:p>
    <w:p>
      <w:pPr>
        <w:pStyle w:val="Heading5"/>
        <w:numPr>
          <w:ilvl w:val="4"/>
          <w:numId w:val="1"/>
        </w:numPr>
        <w:rPr/>
      </w:pPr>
      <w:bookmarkStart w:id="2532" w:name="__RefHeading___Toc3973123_1067777946"/>
      <w:bookmarkStart w:id="2533" w:name="_Toc1069"/>
      <w:bookmarkEnd w:id="2532"/>
      <w:r>
        <w:rPr>
          <w:rtl w:val="true"/>
        </w:rPr>
        <w:t>عدم قصاص بر نائم</w:t>
      </w:r>
      <w:bookmarkEnd w:id="2533"/>
    </w:p>
    <w:p>
      <w:pPr>
        <w:pStyle w:val="BookText"/>
        <w:rPr/>
      </w:pPr>
      <w:r>
        <w:rPr>
          <w:rFonts w:ascii="Amiri" w:hAnsi="Amiri" w:eastAsia="Amiri" w:cs="Amiri"/>
          <w:color w:val="111111"/>
          <w:sz w:val="28"/>
          <w:sz w:val="28"/>
          <w:szCs w:val="28"/>
          <w:rtl w:val="true"/>
          <w:lang w:bidi="ar-SA"/>
        </w:rPr>
        <w:t>و بر نائم قصاص نيست، بلكه ديه ثابت است، در قتل و جرح او، بر عاقلۀ او بنا بر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نائم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سه قول است، و سومى تفصيل بين طالب فخر و عزّت و استيجار براى حاجت است، و بيان مختار در ديات مى شود</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3973125_1067777946"/>
      <w:bookmarkStart w:id="2535" w:name="_Toc1070"/>
      <w:bookmarkEnd w:id="2534"/>
      <w:r>
        <w:rPr>
          <w:rtl w:val="true"/>
        </w:rPr>
        <w:t>نابينا</w:t>
      </w:r>
      <w:bookmarkEnd w:id="253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نابينا با تشخيص عمد، مثل بينا است در توجه قصاص بر او بنا بر اظهر و منسوب به اكثر متأخرين؛ و خطاى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عاقله است</w:t>
      </w:r>
      <w:r>
        <w:rPr>
          <w:rFonts w:eastAsia="Amiri" w:cs="Amiri" w:ascii="Amiri" w:hAnsi="Amiri"/>
          <w:color w:val="111111"/>
          <w:sz w:val="28"/>
          <w:szCs w:val="28"/>
          <w:rtl w:val="true"/>
          <w:lang w:bidi="ar-SA"/>
        </w:rPr>
        <w:t xml:space="preserve">. </w:t>
      </w:r>
      <w:bookmarkStart w:id="2536" w:name="pg10275_96896"/>
    </w:p>
    <w:p>
      <w:pPr>
        <w:pStyle w:val="Heading4"/>
        <w:numPr>
          <w:ilvl w:val="3"/>
          <w:numId w:val="1"/>
        </w:numPr>
        <w:rPr/>
      </w:pPr>
      <w:bookmarkStart w:id="2537" w:name="__RefHeading___Toc3973127_1067777946"/>
      <w:bookmarkStart w:id="2538" w:name="_Toc1071"/>
      <w:bookmarkEnd w:id="2536"/>
      <w:bookmarkEnd w:id="2537"/>
      <w:r>
        <w:rPr/>
        <w:t>5</w:t>
      </w:r>
      <w:r>
        <w:rPr>
          <w:rtl w:val="true"/>
        </w:rPr>
        <w:t xml:space="preserve">. </w:t>
      </w:r>
      <w:r>
        <w:rPr>
          <w:rtl w:val="true"/>
        </w:rPr>
        <w:t>شرط پنجم در قصاص</w:t>
      </w:r>
      <w:r>
        <w:rPr>
          <w:rtl w:val="true"/>
        </w:rPr>
        <w:t xml:space="preserve">: </w:t>
      </w:r>
      <w:r>
        <w:rPr>
          <w:rtl w:val="true"/>
        </w:rPr>
        <w:t>مقتول، محقون الدم باشد و مهدور الدم نباشد</w:t>
      </w:r>
      <w:bookmarkEnd w:id="253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مرتدّ واجب القتل و زانى و لائط و مقتول در دفاع و محارب مقتول و مقتول به سرايت اتفاقيۀ قصاص مشروع و سابّ نبىّ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مقتول بشوند با عدم خوف فتنۀ از قتل برىء و نحو آن، قصاص در آنها ثابت نيست اگر چه بعضى از آنها به واسطۀ عدم استيذان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با اذن او انجام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نباشد و قاتل، آثم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عموم حكم به نفى قصاص، براى غير مسلمان، تأمّل است</w:t>
      </w:r>
      <w:r>
        <w:rPr>
          <w:rFonts w:eastAsia="IRNazanin" w:cs="IRNazanin"/>
          <w:color w:val="111111"/>
          <w:sz w:val="28"/>
          <w:szCs w:val="28"/>
          <w:rtl w:val="true"/>
          <w:lang w:bidi="fa-IR"/>
        </w:rPr>
        <w:t xml:space="preserve">. </w:t>
      </w:r>
      <w:bookmarkStart w:id="2539" w:name="pg10275_96898"/>
    </w:p>
    <w:p>
      <w:pPr>
        <w:pStyle w:val="Heading3"/>
        <w:numPr>
          <w:ilvl w:val="2"/>
          <w:numId w:val="1"/>
        </w:numPr>
        <w:rPr/>
      </w:pPr>
      <w:bookmarkStart w:id="2540" w:name="__RefHeading___Toc3973129_1067777946"/>
      <w:bookmarkStart w:id="2541" w:name="_Toc1072"/>
      <w:bookmarkEnd w:id="2539"/>
      <w:bookmarkEnd w:id="2540"/>
      <w:r>
        <w:rPr>
          <w:rtl w:val="true"/>
        </w:rPr>
        <w:t>فصل چهارم دعواى قتل و مُثبِت آن</w:t>
      </w:r>
      <w:bookmarkEnd w:id="2541"/>
    </w:p>
    <w:p>
      <w:pPr>
        <w:pStyle w:val="Heading4"/>
        <w:numPr>
          <w:ilvl w:val="3"/>
          <w:numId w:val="1"/>
        </w:numPr>
        <w:rPr/>
      </w:pPr>
      <w:bookmarkStart w:id="2542" w:name="__RefHeading___Toc3973131_1067777946"/>
      <w:bookmarkStart w:id="2543" w:name="_Toc1073"/>
      <w:bookmarkEnd w:id="2542"/>
      <w:r>
        <w:rPr/>
        <w:t>1</w:t>
      </w:r>
      <w:r>
        <w:rPr>
          <w:rtl w:val="true"/>
        </w:rPr>
        <w:t xml:space="preserve">. </w:t>
      </w:r>
      <w:r>
        <w:rPr>
          <w:rtl w:val="true"/>
        </w:rPr>
        <w:t>دعواى قتل</w:t>
      </w:r>
      <w:bookmarkEnd w:id="2543"/>
    </w:p>
    <w:p>
      <w:pPr>
        <w:pStyle w:val="Heading5"/>
        <w:numPr>
          <w:ilvl w:val="4"/>
          <w:numId w:val="1"/>
        </w:numPr>
        <w:rPr/>
      </w:pPr>
      <w:bookmarkStart w:id="2544" w:name="__RefHeading___Toc3973133_1067777946"/>
      <w:bookmarkStart w:id="2545" w:name="_Toc1074"/>
      <w:bookmarkEnd w:id="2544"/>
      <w:r>
        <w:rPr>
          <w:rtl w:val="true"/>
        </w:rPr>
        <w:t>اشاره</w:t>
      </w:r>
      <w:bookmarkEnd w:id="2545"/>
    </w:p>
    <w:p>
      <w:pPr>
        <w:pStyle w:val="BookText"/>
        <w:rPr/>
      </w:pPr>
      <w:r>
        <w:rPr>
          <w:rFonts w:ascii="Amiri" w:hAnsi="Amiri" w:eastAsia="Amiri" w:cs="Amiri"/>
          <w:color w:val="111111"/>
          <w:sz w:val="28"/>
          <w:sz w:val="28"/>
          <w:szCs w:val="28"/>
          <w:rtl w:val="true"/>
          <w:lang w:bidi="ar-SA"/>
        </w:rPr>
        <w:t xml:space="preserve">در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دعوىٰ‌، خلاف است، و در كتاب قضا مذكور است</w:t>
      </w:r>
      <w:r>
        <w:rPr>
          <w:rFonts w:eastAsia="Amiri" w:cs="Amiri" w:ascii="Amiri" w:hAnsi="Amiri"/>
          <w:color w:val="111111"/>
          <w:sz w:val="28"/>
          <w:szCs w:val="28"/>
          <w:rtl w:val="true"/>
          <w:lang w:bidi="ar-SA"/>
        </w:rPr>
        <w:t>.</w:t>
      </w:r>
    </w:p>
    <w:p>
      <w:pPr>
        <w:pStyle w:val="Heading5"/>
        <w:numPr>
          <w:ilvl w:val="4"/>
          <w:numId w:val="1"/>
        </w:numPr>
        <w:rPr/>
      </w:pPr>
      <w:bookmarkStart w:id="2546" w:name="__RefHeading___Toc3973135_1067777946"/>
      <w:bookmarkStart w:id="2547" w:name="_Toc1075"/>
      <w:bookmarkEnd w:id="2546"/>
      <w:r>
        <w:rPr>
          <w:rtl w:val="true"/>
        </w:rPr>
        <w:t>آن چه در مسموعيّت دعواى قتل معتبر است</w:t>
      </w:r>
      <w:bookmarkEnd w:id="2547"/>
    </w:p>
    <w:p>
      <w:pPr>
        <w:pStyle w:val="BookText"/>
        <w:rPr/>
      </w:pPr>
      <w:r>
        <w:rPr>
          <w:rFonts w:ascii="IRNazanin" w:hAnsi="IRNazanin" w:eastAsia="IRNazanin"/>
          <w:color w:val="111111"/>
          <w:sz w:val="28"/>
          <w:sz w:val="28"/>
          <w:szCs w:val="28"/>
          <w:rtl w:val="true"/>
          <w:lang w:bidi="fa-IR"/>
        </w:rPr>
        <w:t xml:space="preserve">معتبر است در مسموعيّت دعوىٰ از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دعوى نه جنايت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آن چه مربوط به مال نيست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نيست در مدّعىٰ عليه بلوغ و عقل و رشد، و مرجع در دعوى در اينها ولىّ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براى همه، تتميم فصل خصومت با توكيل سفيه، ولىّ را است، و رعايت واقع و مأذون در دعوىٰ و اقرار و انكار و يمين و غير اينها براى 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و امكان مباشرت مدّعىٰ عليه مدّعىٰ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مسموع نمى شود دعوى بر غايب در وقت جنايت، و به نحو اجتماع بر اهل بلد، مگر با تفسير به ممكن به نحو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 نمود كه قاتل، يكى از اين دو است، پس سماع آن با امكان و احتمال انتهاى به فصل خصومت با موازين قضا خالى از وجه نيست</w:t>
      </w:r>
      <w:r>
        <w:rPr>
          <w:rFonts w:eastAsia="IRNazanin" w:cs="IRNazanin"/>
          <w:color w:val="111111"/>
          <w:sz w:val="28"/>
          <w:szCs w:val="28"/>
          <w:rtl w:val="true"/>
          <w:lang w:bidi="fa-IR"/>
        </w:rPr>
        <w:t>.</w:t>
      </w:r>
    </w:p>
    <w:p>
      <w:pPr>
        <w:pStyle w:val="Heading5"/>
        <w:numPr>
          <w:ilvl w:val="4"/>
          <w:numId w:val="1"/>
        </w:numPr>
        <w:rPr/>
      </w:pPr>
      <w:bookmarkStart w:id="2548" w:name="__RefHeading___Toc3973137_1067777946"/>
      <w:bookmarkStart w:id="2549" w:name="_Toc1076"/>
      <w:bookmarkEnd w:id="2548"/>
      <w:r>
        <w:rPr>
          <w:rtl w:val="true"/>
        </w:rPr>
        <w:t>چند مسأله</w:t>
      </w:r>
      <w:bookmarkEnd w:id="2549"/>
    </w:p>
    <w:p>
      <w:pPr>
        <w:pStyle w:val="Heading6"/>
        <w:numPr>
          <w:ilvl w:val="5"/>
          <w:numId w:val="1"/>
        </w:numPr>
        <w:rPr/>
      </w:pPr>
      <w:bookmarkStart w:id="2550" w:name="__RefHeading___Toc3973139_1067777946"/>
      <w:bookmarkStart w:id="2551" w:name="_Toc1077"/>
      <w:bookmarkEnd w:id="2550"/>
      <w:r>
        <w:rPr>
          <w:rtl w:val="true"/>
        </w:rPr>
        <w:t>چند فرض ادّعاى ممكن يا غير ممكن</w:t>
      </w:r>
      <w:bookmarkEnd w:id="2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دعوايى كه معلوم الكذب باشد، مسموع نيست، مثل دعواى قتل بر شخصى يا</w:t>
      </w:r>
      <w:bookmarkStart w:id="2552" w:name="pg10275_96900"/>
    </w:p>
    <w:p>
      <w:pPr>
        <w:pStyle w:val="BookText"/>
        <w:rPr/>
      </w:pPr>
      <w:bookmarkEnd w:id="2552"/>
      <w:r>
        <w:rPr>
          <w:rFonts w:ascii="Amiri" w:hAnsi="Amiri" w:eastAsia="Amiri" w:cs="Amiri"/>
          <w:color w:val="111111"/>
          <w:sz w:val="28"/>
          <w:sz w:val="28"/>
          <w:szCs w:val="28"/>
          <w:rtl w:val="true"/>
          <w:lang w:bidi="ar-SA"/>
        </w:rPr>
        <w:t xml:space="preserve">جماعتى كه ممكن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حسب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آنها در شخص واقعه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ممكن باشد لكن ادّعاى عدم حصر آن جماعت كرد، پس اگر قتل مدّعىٰ موجب ديه بود، مسموع است و ثابت مى شود ديه اى كه مصالحه بر مقدار آن نمايند؛ و اگر موجب قصاص باشد، اثبات قصاص نمى كند، به جهت عدم امكان معرفت مقدار مردود كه زايد بر جنايت يكى از شركا است به واسطۀ عدم معرفت شركا، پس جز صلح بر ديه و مقدار آن، چيزى اثبات نمى شود در موجب قصاص؛ لكن ثبوت قصاص با صلح بر قدر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قصاص لازم باشد يا اعم از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وجه نيست، و چون ممكن است معرفت عدم تجاوز شركا از حدّى 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اقرار مدّعى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دعوىٰ مبهم نيست، و صلح مشكل و بدون تراضى واقع نمى شود، اگر چه محتمل است در مراتب احتمال، به تنصيف در صلح قهرى قايل بشويم يعنى به اوسط احتمالات</w:t>
      </w:r>
      <w:r>
        <w:rPr>
          <w:rFonts w:eastAsia="IRNazanin" w:cs="IRNazanin"/>
          <w:color w:val="111111"/>
          <w:sz w:val="28"/>
          <w:szCs w:val="28"/>
          <w:rtl w:val="true"/>
          <w:lang w:bidi="fa-IR"/>
        </w:rPr>
        <w:t>.</w:t>
      </w:r>
    </w:p>
    <w:p>
      <w:pPr>
        <w:pStyle w:val="Heading6"/>
        <w:numPr>
          <w:ilvl w:val="5"/>
          <w:numId w:val="1"/>
        </w:numPr>
        <w:rPr/>
      </w:pPr>
      <w:bookmarkStart w:id="2553" w:name="__RefHeading___Toc3973141_1067777946"/>
      <w:bookmarkStart w:id="2554" w:name="_Toc1078"/>
      <w:bookmarkEnd w:id="2553"/>
      <w:r>
        <w:rPr>
          <w:rtl w:val="true"/>
        </w:rPr>
        <w:t>ادّعاى قتل بدون تعيين عمد و خطا</w:t>
      </w:r>
      <w:bookmarkEnd w:id="25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ادّعاى قتل كرد و بيان عمد و خطأ نكرد، حاكم استفصال مى نمايد و به آن عمل مى شود؛ و اگر بيان نكرد يا ندانست، صلح بر ديه مى نمايند بنا بر احتياط بين ديه صلحى و شرعى</w:t>
      </w:r>
      <w:r>
        <w:rPr>
          <w:rFonts w:eastAsia="IRNazanin" w:cs="IRNazanin"/>
          <w:color w:val="111111"/>
          <w:sz w:val="28"/>
          <w:szCs w:val="28"/>
          <w:rtl w:val="true"/>
          <w:lang w:bidi="fa-IR"/>
        </w:rPr>
        <w:t>.</w:t>
      </w:r>
    </w:p>
    <w:p>
      <w:pPr>
        <w:pStyle w:val="Heading6"/>
        <w:numPr>
          <w:ilvl w:val="5"/>
          <w:numId w:val="1"/>
        </w:numPr>
        <w:rPr/>
      </w:pPr>
      <w:bookmarkStart w:id="2555" w:name="__RefHeading___Toc3973143_1067777946"/>
      <w:bookmarkStart w:id="2556" w:name="_Toc1079"/>
      <w:bookmarkEnd w:id="2555"/>
      <w:r>
        <w:rPr>
          <w:rtl w:val="true"/>
        </w:rPr>
        <w:t>ادّعاى قتل كسى و تعقّب به ادّعاى بر ديگرى</w:t>
      </w:r>
      <w:bookmarkEnd w:id="25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ادّعاى قتل انفرادى بر شخصى كرد، پس از آن ادّعاى بر شخص ديگرى نمود به نحو تبرئه اوّلى يا تشريك؛ پس اگر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امضاى حكم در اوّلى باشد هيچ كدام از دو دعواى متناقض، مسموع نمى شود؛ و اگر بعد از حكم در دعواى اول باشد، دومى مسموع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مدّعىٰ عليه در هر يك از دعوى، اگر تصديق كرد مدّعى را بعد از دو دعوى، فقط مؤاخذ به اقرار خود در امورى كه منوط به ادّعاى صحيحى نيست مى شود، نه آن كه حكم بر طبق دعوىٰ مى شود اگر چه مورد تصديق دعواى دوم باشد</w:t>
      </w:r>
      <w:r>
        <w:rPr>
          <w:rFonts w:eastAsia="IRNazanin" w:cs="IRNazanin"/>
          <w:color w:val="111111"/>
          <w:sz w:val="28"/>
          <w:szCs w:val="28"/>
          <w:rtl w:val="true"/>
          <w:lang w:bidi="fa-IR"/>
        </w:rPr>
        <w:t>.</w:t>
      </w:r>
      <w:bookmarkStart w:id="2557" w:name="pg10275_96902"/>
    </w:p>
    <w:p>
      <w:pPr>
        <w:pStyle w:val="Heading6"/>
        <w:numPr>
          <w:ilvl w:val="5"/>
          <w:numId w:val="1"/>
        </w:numPr>
        <w:rPr/>
      </w:pPr>
      <w:bookmarkStart w:id="2558" w:name="__RefHeading___Toc3973145_1067777946"/>
      <w:bookmarkStart w:id="2559" w:name="_Toc1080"/>
      <w:bookmarkEnd w:id="2557"/>
      <w:bookmarkEnd w:id="2558"/>
      <w:r>
        <w:rPr>
          <w:rtl w:val="true"/>
        </w:rPr>
        <w:t>ادّعاى قتل عمدى يا خطايى و تفسير به عكس</w:t>
      </w:r>
      <w:bookmarkEnd w:id="25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ادّعاى قتل عمدى كرد پس از آن تفسير به خطأ نمود يا به عكس، اصل دعواى قتل باطل نمى شود، و متّبع تفسير است با عذر عقلايى در 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مى شود قبول دعواى ثانيه در مسألۀ سابقه با وجود عذر متّبع در نزد عقلاء در اشتباه در نسبت قتل به غير قاتل</w:t>
      </w:r>
      <w:r>
        <w:rPr>
          <w:rFonts w:eastAsia="IRNazanin" w:cs="IRNazanin"/>
          <w:color w:val="111111"/>
          <w:sz w:val="28"/>
          <w:szCs w:val="28"/>
          <w:rtl w:val="true"/>
          <w:lang w:bidi="fa-IR"/>
        </w:rPr>
        <w:t>.</w:t>
      </w:r>
    </w:p>
    <w:p>
      <w:pPr>
        <w:pStyle w:val="Heading6"/>
        <w:numPr>
          <w:ilvl w:val="5"/>
          <w:numId w:val="1"/>
        </w:numPr>
        <w:rPr/>
      </w:pPr>
      <w:bookmarkStart w:id="2560" w:name="__RefHeading___Toc3973147_1067777946"/>
      <w:bookmarkStart w:id="2561" w:name="_Toc1081"/>
      <w:bookmarkEnd w:id="2560"/>
      <w:r>
        <w:rPr>
          <w:rtl w:val="true"/>
        </w:rPr>
        <w:t>ادّعاى قتل و مصالحه به مال و ادّعاى ظلم در گرفتن</w:t>
      </w:r>
      <w:bookmarkEnd w:id="25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ادّعاى قتل كرد، پس بعد از حكم، مصالحه به مالى 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كردم در گرفتن مال و دعوىٰ كاذبه بود، استرداد مى شود مال به حسب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تفسير كرد به اين كه اخذ مال به ترتيب واقع حكم، موافق مذهب او نبوده، استرداد نمى شود با موافقت با مذهب حاكم، لكن خالى از اشكال نيست به جهت استلزام نقض فتوىٰ به حكم يا استناد هر دو به ظن، مگر آن كه انحصار رفع خصومت در صلح مسبوق به اين حكم، مسوّغ مال باشد حتى به فتواى مقلَّد خصم</w:t>
      </w:r>
      <w:r>
        <w:rPr>
          <w:rFonts w:eastAsia="IRNazanin" w:cs="IRNazanin"/>
          <w:color w:val="111111"/>
          <w:sz w:val="28"/>
          <w:szCs w:val="28"/>
          <w:rtl w:val="true"/>
          <w:lang w:bidi="fa-IR"/>
        </w:rPr>
        <w:t>.</w:t>
      </w:r>
    </w:p>
    <w:p>
      <w:pPr>
        <w:pStyle w:val="Heading5"/>
        <w:numPr>
          <w:ilvl w:val="4"/>
          <w:numId w:val="1"/>
        </w:numPr>
        <w:rPr/>
      </w:pPr>
      <w:bookmarkStart w:id="2562" w:name="__RefHeading___Toc3973149_1067777946"/>
      <w:bookmarkStart w:id="2563" w:name="_Toc1082"/>
      <w:bookmarkEnd w:id="2562"/>
      <w:r>
        <w:rPr/>
        <w:t>2</w:t>
      </w:r>
      <w:r>
        <w:rPr>
          <w:rtl w:val="true"/>
        </w:rPr>
        <w:t xml:space="preserve">. </w:t>
      </w:r>
      <w:r>
        <w:rPr>
          <w:rtl w:val="true"/>
        </w:rPr>
        <w:t>مُثبِتات سه گانۀ دعواى قتل</w:t>
      </w:r>
      <w:bookmarkEnd w:id="2563"/>
    </w:p>
    <w:p>
      <w:pPr>
        <w:pStyle w:val="Heading6"/>
        <w:numPr>
          <w:ilvl w:val="5"/>
          <w:numId w:val="1"/>
        </w:numPr>
        <w:rPr/>
      </w:pPr>
      <w:bookmarkStart w:id="2564" w:name="__RefHeading___Toc3973151_1067777946"/>
      <w:bookmarkStart w:id="2565" w:name="_Toc1083"/>
      <w:bookmarkEnd w:id="2564"/>
      <w:r>
        <w:rPr>
          <w:rtl w:val="true"/>
        </w:rPr>
        <w:t>اشاره</w:t>
      </w:r>
      <w:bookmarkEnd w:id="2565"/>
    </w:p>
    <w:p>
      <w:pPr>
        <w:pStyle w:val="BookText"/>
        <w:rPr/>
      </w:pPr>
      <w:r>
        <w:rPr>
          <w:rFonts w:ascii="IRNazanin" w:hAnsi="IRNazanin" w:eastAsia="IRNazanin"/>
          <w:color w:val="111111"/>
          <w:sz w:val="28"/>
          <w:sz w:val="28"/>
          <w:szCs w:val="28"/>
          <w:rtl w:val="true"/>
          <w:lang w:bidi="fa-IR"/>
        </w:rPr>
        <w:t>ثابت مى شود قتل اگر متعلق دعوىٰ باشد، به امورى</w:t>
      </w:r>
      <w:r>
        <w:rPr>
          <w:rFonts w:eastAsia="IRNazanin" w:cs="IRNazanin"/>
          <w:color w:val="111111"/>
          <w:sz w:val="28"/>
          <w:szCs w:val="28"/>
          <w:rtl w:val="true"/>
          <w:lang w:bidi="fa-IR"/>
        </w:rPr>
        <w:t>:</w:t>
      </w:r>
    </w:p>
    <w:p>
      <w:pPr>
        <w:pStyle w:val="Heading6"/>
        <w:numPr>
          <w:ilvl w:val="5"/>
          <w:numId w:val="1"/>
        </w:numPr>
        <w:rPr/>
      </w:pPr>
      <w:bookmarkStart w:id="2566" w:name="__RefHeading___Toc3973153_1067777946"/>
      <w:bookmarkStart w:id="2567" w:name="_Toc1084"/>
      <w:bookmarkEnd w:id="2566"/>
      <w:r>
        <w:rPr>
          <w:rtl w:val="true"/>
        </w:rPr>
        <w:t>مثبت اول</w:t>
      </w:r>
      <w:r>
        <w:rPr>
          <w:rtl w:val="true"/>
        </w:rPr>
        <w:t xml:space="preserve">: </w:t>
      </w:r>
      <w:r>
        <w:rPr>
          <w:rtl w:val="true"/>
        </w:rPr>
        <w:t>اقرار</w:t>
      </w:r>
      <w:bookmarkEnd w:id="2567"/>
    </w:p>
    <w:p>
      <w:pPr>
        <w:pStyle w:val="Heading6"/>
        <w:numPr>
          <w:ilvl w:val="5"/>
          <w:numId w:val="1"/>
        </w:numPr>
        <w:rPr/>
      </w:pPr>
      <w:bookmarkStart w:id="2568" w:name="__RefHeading___Toc3973155_1067777946"/>
      <w:bookmarkStart w:id="2569" w:name="_Toc1085"/>
      <w:bookmarkEnd w:id="2568"/>
      <w:r>
        <w:rPr>
          <w:rtl w:val="true"/>
        </w:rPr>
        <w:t>اشاره</w:t>
      </w:r>
      <w:bookmarkEnd w:id="2569"/>
    </w:p>
    <w:p>
      <w:pPr>
        <w:pStyle w:val="BookText"/>
        <w:rPr/>
      </w:pPr>
      <w:r>
        <w:rPr>
          <w:rFonts w:ascii="IRNazanin" w:hAnsi="IRNazanin" w:eastAsia="IRNazanin"/>
          <w:color w:val="111111"/>
          <w:sz w:val="28"/>
          <w:sz w:val="28"/>
          <w:szCs w:val="28"/>
          <w:rtl w:val="true"/>
          <w:lang w:bidi="fa-IR"/>
        </w:rPr>
        <w:t>از آن جمله اقرار است اگر چه يك دفعه باشد</w:t>
      </w:r>
      <w:r>
        <w:rPr>
          <w:rFonts w:eastAsia="IRNazanin" w:cs="IRNazanin"/>
          <w:color w:val="111111"/>
          <w:sz w:val="28"/>
          <w:szCs w:val="28"/>
          <w:rtl w:val="true"/>
          <w:lang w:bidi="fa-IR"/>
        </w:rPr>
        <w:t>.</w:t>
      </w:r>
    </w:p>
    <w:p>
      <w:pPr>
        <w:pStyle w:val="Heading6"/>
        <w:numPr>
          <w:ilvl w:val="5"/>
          <w:numId w:val="1"/>
        </w:numPr>
        <w:rPr/>
      </w:pPr>
      <w:bookmarkStart w:id="2570" w:name="__RefHeading___Toc3973157_1067777946"/>
      <w:bookmarkStart w:id="2571" w:name="_Toc1086"/>
      <w:bookmarkEnd w:id="2570"/>
      <w:r>
        <w:rPr>
          <w:rtl w:val="true"/>
        </w:rPr>
        <w:t>آن چه در مُقِرّ بر قتل معتبر است</w:t>
      </w:r>
      <w:bookmarkEnd w:id="257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است در 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اكراه و اقرار ساهى و غافل و نائم و سكران،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عبد معتبر نيست؛ و نفوذ اقرار او بعد از عتق او محتمل است، و همچنين اقرار به قتل موجب ديه اگر مقرون به تصديق مولى باشد يا آن كه خود مولى مُقِرّ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اقرار به عمد و ايجاب صلح بر ديه با تصديق مولى محتمل است</w:t>
      </w:r>
      <w:r>
        <w:rPr>
          <w:rFonts w:eastAsia="IRNazanin" w:cs="IRNazanin"/>
          <w:color w:val="111111"/>
          <w:sz w:val="28"/>
          <w:szCs w:val="28"/>
          <w:rtl w:val="true"/>
          <w:lang w:bidi="fa-IR"/>
        </w:rPr>
        <w:t xml:space="preserve">. </w:t>
      </w:r>
      <w:bookmarkStart w:id="2572" w:name="pg10275_96904"/>
    </w:p>
    <w:p>
      <w:pPr>
        <w:pStyle w:val="BookText"/>
        <w:rPr/>
      </w:pPr>
      <w:bookmarkEnd w:id="2572"/>
      <w:r>
        <w:rPr>
          <w:rFonts w:ascii="IRNazanin" w:hAnsi="IRNazanin" w:eastAsia="IRNazanin"/>
          <w:color w:val="111111"/>
          <w:sz w:val="28"/>
          <w:sz w:val="28"/>
          <w:szCs w:val="28"/>
          <w:rtl w:val="true"/>
          <w:lang w:bidi="fa-IR"/>
        </w:rPr>
        <w:t>و فرقى بين اقسام عبد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مكاتب اگر بعض او منعتق شده است، اقرار او در نصيب حرّيت، نافذ است و ديه به حساب حرّيت، مأخوذ مى شود؛ و اگر ادا نشد تا زمان انعتاق، محتمل است ثبوت قصاص به نحو مذكور در محلّش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عبد مرهون، نفوذ اقرار او بدون تصديق مولىٰ و مرتهن، ممنوع است، و با تصديق آنها محتمل است بلكه أظهر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اجير خاص كه عمل ثابت است در ذمۀ او، اجارۀ او مانع از نفوذ اقرار به موجب قصاص نيست، اگر چه قصاص موجب بطلان اجاره فيما بعد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نفوذ اقرار سفيه به قتل عمدى و ايجاب قصاص، خالى از شائبه اشكال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محجور عليه به سبب افلاس، نفوذ خالى از وجه نيست؛ و در قصاص، انتظار رفع حجر نمى شود؛ و در خطأ شبيه به عمد، ديه، ثابت در ذمّۀ مفلَّس مى شود و با غرما مشاركت نمى شود بدون تصديق غرما، سبق موجب حجر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در اقتران موجب، و فرق بين جنايت و اتلاف و بين ساير معاملات اختياريه كه ثابت با بيّنه يا اقرار و مسنَد به ما بعد از حجر و ما قبل آن، در كتاب مفلّس مذكور است</w:t>
      </w:r>
      <w:r>
        <w:rPr>
          <w:rFonts w:eastAsia="Amiri" w:cs="Amiri" w:ascii="Amiri" w:hAnsi="Amiri"/>
          <w:color w:val="111111"/>
          <w:sz w:val="28"/>
          <w:szCs w:val="28"/>
          <w:rtl w:val="true"/>
          <w:lang w:bidi="ar-SA"/>
        </w:rPr>
        <w:t>.</w:t>
      </w:r>
    </w:p>
    <w:p>
      <w:pPr>
        <w:pStyle w:val="Heading6"/>
        <w:numPr>
          <w:ilvl w:val="5"/>
          <w:numId w:val="1"/>
        </w:numPr>
        <w:rPr/>
      </w:pPr>
      <w:bookmarkStart w:id="2573" w:name="__RefHeading___Toc3973159_1067777946"/>
      <w:bookmarkStart w:id="2574" w:name="_Toc1087"/>
      <w:bookmarkEnd w:id="2573"/>
      <w:r>
        <w:rPr>
          <w:rtl w:val="true"/>
        </w:rPr>
        <w:t>اقرار يكى به عمد و ديگرى به خطا</w:t>
      </w:r>
      <w:bookmarkEnd w:id="2574"/>
    </w:p>
    <w:p>
      <w:pPr>
        <w:pStyle w:val="BookText"/>
        <w:rPr/>
      </w:pPr>
      <w:r>
        <w:rPr>
          <w:rFonts w:ascii="IRNazanin" w:hAnsi="IRNazanin" w:eastAsia="IRNazanin"/>
          <w:color w:val="111111"/>
          <w:sz w:val="28"/>
          <w:sz w:val="28"/>
          <w:szCs w:val="28"/>
          <w:rtl w:val="true"/>
          <w:lang w:bidi="fa-IR"/>
        </w:rPr>
        <w:t>اگر يكى اقرار كرد به قتل عمدى و ديگرى به قتل خطايى نسبت به مقتول واحد، ولىّ مخيّر است در قصاص اوّلى يا صلح بر ديه و در اخذ ديه از دومى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يكى اقرار كرد به اين كه عمداً زيد را به قتل رسانيده، و ديگرى اقرار كرد به اين كه قاتل عمدى دومى است، مخيّر است ولىّ در قصاص هر كدام يا صلح بر ديه؛ و اگر اوّلى رجوع كرد به نحوى كه مبطل اقرار او بود، متعين است قصاص دومى يا صلح بر ديه؛ و قضيۀ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على بن ابراهيم، محمول است بر فهم ناشى از الهام الهى در موضوع، كه اقرار دومى فقط براى نجات اوّلى بوده</w:t>
      </w:r>
      <w:r>
        <w:rPr>
          <w:rFonts w:eastAsia="IRNazanin" w:cs="IRNazanin"/>
          <w:color w:val="111111"/>
          <w:sz w:val="28"/>
          <w:szCs w:val="28"/>
          <w:rtl w:val="true"/>
          <w:lang w:bidi="fa-IR"/>
        </w:rPr>
        <w:t>.</w:t>
      </w:r>
    </w:p>
    <w:p>
      <w:pPr>
        <w:pStyle w:val="Heading6"/>
        <w:numPr>
          <w:ilvl w:val="5"/>
          <w:numId w:val="1"/>
        </w:numPr>
        <w:rPr/>
      </w:pPr>
      <w:bookmarkStart w:id="2575" w:name="__RefHeading___Toc3973161_1067777946"/>
      <w:bookmarkStart w:id="2576" w:name="_Toc1088"/>
      <w:bookmarkEnd w:id="2575"/>
      <w:r>
        <w:rPr>
          <w:rtl w:val="true"/>
        </w:rPr>
        <w:t>مثبت دوم</w:t>
      </w:r>
      <w:r>
        <w:rPr>
          <w:rtl w:val="true"/>
        </w:rPr>
        <w:t xml:space="preserve">: </w:t>
      </w:r>
      <w:r>
        <w:rPr>
          <w:rtl w:val="true"/>
        </w:rPr>
        <w:t>بيّنه</w:t>
      </w:r>
      <w:bookmarkEnd w:id="2576"/>
    </w:p>
    <w:p>
      <w:pPr>
        <w:pStyle w:val="Heading6"/>
        <w:numPr>
          <w:ilvl w:val="5"/>
          <w:numId w:val="1"/>
        </w:numPr>
        <w:rPr/>
      </w:pPr>
      <w:bookmarkStart w:id="2577" w:name="__RefHeading___Toc3973163_1067777946"/>
      <w:bookmarkStart w:id="2578" w:name="_Toc1089"/>
      <w:bookmarkEnd w:id="2577"/>
      <w:r>
        <w:rPr>
          <w:rtl w:val="true"/>
        </w:rPr>
        <w:t>اشاره</w:t>
      </w:r>
      <w:bookmarkEnd w:id="257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ثبوت موجب قصاص به غير شاهدين 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يك شاهد و دو زن، يا </w:t>
      </w:r>
      <w:bookmarkStart w:id="2579" w:name="pg10275_96906"/>
    </w:p>
    <w:p>
      <w:pPr>
        <w:pStyle w:val="BookText"/>
        <w:rPr/>
      </w:pPr>
      <w:bookmarkEnd w:id="2579"/>
      <w:r>
        <w:rPr>
          <w:rFonts w:ascii="Amiri" w:hAnsi="Amiri" w:eastAsia="Amiri" w:cs="Amiri"/>
          <w:color w:val="111111"/>
          <w:sz w:val="28"/>
          <w:sz w:val="28"/>
          <w:szCs w:val="28"/>
          <w:rtl w:val="true"/>
          <w:lang w:bidi="ar-SA"/>
        </w:rPr>
        <w:t>شهادت زنها بدون مرد، يا يك شاهد با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با اينها، يا آن كه اثبات ديه در مورد قصاص مى نمايد نه اثبات قصاص، خلافى است مذكور در كتاب شهادات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چه اثبات ديه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قتل خطأ شبيه به عمد و هاشمه و منقّله و جائفه و كسر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مذكورات ثابت مى شود، بلكه با شهادت دو زن با يمين مدّعى بر حسب مذكور در كتاب شهادات</w:t>
      </w:r>
      <w:r>
        <w:rPr>
          <w:rFonts w:eastAsia="IRNazanin" w:cs="IRNazanin"/>
          <w:color w:val="111111"/>
          <w:sz w:val="28"/>
          <w:szCs w:val="28"/>
          <w:rtl w:val="true"/>
          <w:lang w:bidi="fa-IR"/>
        </w:rPr>
        <w:t>.</w:t>
      </w:r>
    </w:p>
    <w:p>
      <w:pPr>
        <w:pStyle w:val="Heading6"/>
        <w:numPr>
          <w:ilvl w:val="5"/>
          <w:numId w:val="1"/>
        </w:numPr>
        <w:rPr/>
      </w:pPr>
      <w:bookmarkStart w:id="2580" w:name="__RefHeading___Toc3973165_1067777946"/>
      <w:bookmarkStart w:id="2581" w:name="_Toc1090"/>
      <w:bookmarkEnd w:id="2580"/>
      <w:r>
        <w:rPr>
          <w:rtl w:val="true"/>
        </w:rPr>
        <w:t>شهادت بر هاشمۀ مسبوقۀ به ايضاح</w:t>
      </w:r>
      <w:bookmarkEnd w:id="2581"/>
    </w:p>
    <w:p>
      <w:pPr>
        <w:pStyle w:val="BookText"/>
        <w:rPr/>
      </w:pPr>
      <w:r>
        <w:rPr>
          <w:rFonts w:ascii="IRNazanin" w:hAnsi="IRNazanin" w:eastAsia="IRNazanin"/>
          <w:color w:val="111111"/>
          <w:sz w:val="28"/>
          <w:sz w:val="28"/>
          <w:szCs w:val="28"/>
          <w:rtl w:val="true"/>
          <w:lang w:bidi="fa-IR"/>
        </w:rPr>
        <w:t xml:space="preserve">اگر يك مرد و دو زن شهادت دادند بر هاشمه مسبوقه به ايضاح، اظهر قبول است در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ايضاح موجب قصاص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مشهودٌ به، به يك ضربت در هر دو محقق شده باشد</w:t>
      </w:r>
      <w:r>
        <w:rPr>
          <w:rFonts w:eastAsia="IRNazanin" w:cs="IRNazanin"/>
          <w:color w:val="111111"/>
          <w:sz w:val="28"/>
          <w:szCs w:val="28"/>
          <w:rtl w:val="true"/>
          <w:lang w:bidi="fa-IR"/>
        </w:rPr>
        <w:t>.</w:t>
      </w:r>
    </w:p>
    <w:p>
      <w:pPr>
        <w:pStyle w:val="Heading6"/>
        <w:numPr>
          <w:ilvl w:val="5"/>
          <w:numId w:val="1"/>
        </w:numPr>
        <w:rPr/>
      </w:pPr>
      <w:bookmarkStart w:id="2582" w:name="__RefHeading___Toc3973167_1067777946"/>
      <w:bookmarkStart w:id="2583" w:name="_Toc1091"/>
      <w:bookmarkEnd w:id="2582"/>
      <w:r>
        <w:rPr>
          <w:rtl w:val="true"/>
        </w:rPr>
        <w:t>شهادت يك مرد و دو زن به عمد در رمى كسى و اصابت خطايى به شخص ديگر</w:t>
      </w:r>
      <w:bookmarkEnd w:id="2583"/>
    </w:p>
    <w:p>
      <w:pPr>
        <w:pStyle w:val="BookText"/>
        <w:rPr/>
      </w:pPr>
      <w:r>
        <w:rPr>
          <w:rFonts w:ascii="IRNazanin" w:hAnsi="IRNazanin" w:eastAsia="IRNazanin"/>
          <w:color w:val="111111"/>
          <w:sz w:val="28"/>
          <w:sz w:val="28"/>
          <w:szCs w:val="28"/>
          <w:rtl w:val="true"/>
          <w:lang w:bidi="fa-IR"/>
        </w:rPr>
        <w:t>اگر شهادت دادند يك مرد و دو زن، به رمى زيد از روى عمد و به واسطۀ برگشتن تير اصابت به عمرو كرد از روى خطأ، در جنايت عمديه قبول نمى شود و در جنايت خطائيه قبول مى شود؛ و حال آن، حال ضربۀ دومى در هاشمه است بعد از ضربۀ اولى موضحه</w:t>
      </w:r>
      <w:r>
        <w:rPr>
          <w:rFonts w:eastAsia="IRNazanin" w:cs="IRNazanin"/>
          <w:color w:val="111111"/>
          <w:sz w:val="28"/>
          <w:szCs w:val="28"/>
          <w:rtl w:val="true"/>
          <w:lang w:bidi="fa-IR"/>
        </w:rPr>
        <w:t>.</w:t>
      </w:r>
    </w:p>
    <w:p>
      <w:pPr>
        <w:pStyle w:val="Heading6"/>
        <w:numPr>
          <w:ilvl w:val="5"/>
          <w:numId w:val="1"/>
        </w:numPr>
        <w:rPr/>
      </w:pPr>
      <w:bookmarkStart w:id="2584" w:name="__RefHeading___Toc3973169_1067777946"/>
      <w:bookmarkStart w:id="2585" w:name="_Toc1092"/>
      <w:bookmarkEnd w:id="2584"/>
      <w:r>
        <w:rPr>
          <w:rtl w:val="true"/>
        </w:rPr>
        <w:t>اكتفاى به ظهور در شهادت بر قتل</w:t>
      </w:r>
      <w:bookmarkEnd w:id="2585"/>
    </w:p>
    <w:p>
      <w:pPr>
        <w:pStyle w:val="BookText"/>
        <w:rPr/>
      </w:pPr>
      <w:r>
        <w:rPr>
          <w:rFonts w:ascii="IRNazanin" w:hAnsi="IRNazanin" w:eastAsia="IRNazanin"/>
          <w:color w:val="111111"/>
          <w:sz w:val="28"/>
          <w:sz w:val="28"/>
          <w:szCs w:val="28"/>
          <w:rtl w:val="true"/>
          <w:lang w:bidi="fa-IR"/>
        </w:rPr>
        <w:t xml:space="preserve">اظهر اكتفاى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شهادت بر قتل است و عدم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احتمال خلاف ندهد در عبارت؛ پس كافى است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او را با شمشير پس از آن وفات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او را يا خون او را جارى كرد پس مُرد همان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 شد و بعد از مدتى وفات كرد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ظاهر مشهودٌ به، موت به جنايت باشد، پس ادّعاى مدعى عليه با تصديق جنايت، موت به غير جنايت را، تكذيب شهود است و التفات به آن نمى شود؛ به خلاف صورتى كه ظاهر شهادت، اعم از وقوع موت به آن سبب باشد، پس مدّعىِ عدم </w:t>
      </w:r>
      <w:bookmarkStart w:id="2586" w:name="pg10275_96908"/>
    </w:p>
    <w:p>
      <w:pPr>
        <w:pStyle w:val="BookText"/>
        <w:rPr/>
      </w:pPr>
      <w:bookmarkEnd w:id="2586"/>
      <w:r>
        <w:rPr>
          <w:rFonts w:ascii="IRNazanin" w:hAnsi="IRNazanin" w:eastAsia="IRNazanin"/>
          <w:color w:val="111111"/>
          <w:sz w:val="28"/>
          <w:sz w:val="28"/>
          <w:szCs w:val="28"/>
          <w:rtl w:val="true"/>
          <w:lang w:bidi="fa-IR"/>
        </w:rPr>
        <w:t>وقوع موت به سبب آن جنايت، قولش مقدم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حكم غير قتل از جرحها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ادّعاى آن كه ايضاح به سبب ضرب نشده است بلكه به سبب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مخالفت با ظهور شهادت و عدم مخالفت با آن</w:t>
      </w:r>
      <w:r>
        <w:rPr>
          <w:rFonts w:eastAsia="IRNazanin" w:cs="IRNazanin"/>
          <w:color w:val="111111"/>
          <w:sz w:val="28"/>
          <w:szCs w:val="28"/>
          <w:rtl w:val="true"/>
          <w:lang w:bidi="fa-IR"/>
        </w:rPr>
        <w:t>.</w:t>
      </w:r>
    </w:p>
    <w:p>
      <w:pPr>
        <w:pStyle w:val="Heading6"/>
        <w:numPr>
          <w:ilvl w:val="5"/>
          <w:numId w:val="1"/>
        </w:numPr>
        <w:rPr/>
      </w:pPr>
      <w:bookmarkStart w:id="2587" w:name="__RefHeading___Toc3973171_1067777946"/>
      <w:bookmarkStart w:id="2588" w:name="_Toc1093"/>
      <w:bookmarkEnd w:id="2587"/>
      <w:r>
        <w:rPr>
          <w:rtl w:val="true"/>
        </w:rPr>
        <w:t>شهادت به موضحه و رؤيت دو موضحه</w:t>
      </w:r>
      <w:bookmarkEnd w:id="2588"/>
    </w:p>
    <w:p>
      <w:pPr>
        <w:pStyle w:val="BookText"/>
        <w:rPr/>
      </w:pPr>
      <w:r>
        <w:rPr>
          <w:rFonts w:ascii="IRNazanin" w:hAnsi="IRNazanin" w:eastAsia="IRNazanin"/>
          <w:color w:val="111111"/>
          <w:sz w:val="28"/>
          <w:sz w:val="28"/>
          <w:szCs w:val="28"/>
          <w:rtl w:val="true"/>
          <w:lang w:bidi="fa-IR"/>
        </w:rPr>
        <w:t>اگر شهادت به موضحه داد پس دو موضحه ديده شد و شاهد نتوانست تعيين موضحۀ مشهودٌ عليه نمايد، قصاص به واسطۀ عدم علم به محل و خصوصيات، منتفى، و ديه ثابت است، مگر با اقتصار بر اقل و اضعف در مقام قصاص با علم به قوّت و ضعف و قلّت و كثرت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شاهد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ديده شود دو دست او قطع شده</w:t>
      </w:r>
      <w:r>
        <w:rPr>
          <w:rFonts w:eastAsia="IRNazanin" w:cs="IRNazanin"/>
          <w:color w:val="111111"/>
          <w:sz w:val="28"/>
          <w:szCs w:val="28"/>
          <w:rtl w:val="true"/>
          <w:lang w:bidi="fa-IR"/>
        </w:rPr>
        <w:t>.</w:t>
      </w:r>
    </w:p>
    <w:p>
      <w:pPr>
        <w:pStyle w:val="Heading6"/>
        <w:numPr>
          <w:ilvl w:val="5"/>
          <w:numId w:val="1"/>
        </w:numPr>
        <w:rPr/>
      </w:pPr>
      <w:bookmarkStart w:id="2589" w:name="__RefHeading___Toc3973173_1067777946"/>
      <w:bookmarkStart w:id="2590" w:name="_Toc1094"/>
      <w:bookmarkEnd w:id="2589"/>
      <w:r>
        <w:rPr>
          <w:rtl w:val="true"/>
        </w:rPr>
        <w:t>لزوم توافق دو شهادت در خصوصيّات</w:t>
      </w:r>
      <w:bookmarkEnd w:id="2590"/>
    </w:p>
    <w:p>
      <w:pPr>
        <w:pStyle w:val="BookText"/>
        <w:rPr/>
      </w:pPr>
      <w:r>
        <w:rPr>
          <w:rFonts w:ascii="IRNazanin" w:hAnsi="IRNazanin" w:eastAsia="IRNazanin"/>
          <w:color w:val="111111"/>
          <w:sz w:val="28"/>
          <w:sz w:val="28"/>
          <w:szCs w:val="28"/>
          <w:rtl w:val="true"/>
          <w:lang w:bidi="fa-IR"/>
        </w:rPr>
        <w:t xml:space="preserve">بايد دو شهادت، در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مكان قتل و آلت آن و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داشته باشد، پس با تخالف، قبول نمى شود مثل ساير مواضع شهادت؛ و حصول لوث با چنين شهادتى كه مشتمل بر تكاذب در خصوصيات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شهادت بر خصوصيات در شهادت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شهادت به اقرار به قتل داد و ديگرى شهادت به مشاهدۀ آن، اثبات نمى شود با بيّنه، به جهت اختلاف مشهودٌ به؛ لكن لوث حاصل است به جهت تعاضد فى الجمله و عدم تكاذب</w:t>
      </w:r>
      <w:r>
        <w:rPr>
          <w:rFonts w:eastAsia="IRNazanin" w:cs="IRNazanin"/>
          <w:color w:val="111111"/>
          <w:sz w:val="28"/>
          <w:szCs w:val="28"/>
          <w:rtl w:val="true"/>
          <w:lang w:bidi="fa-IR"/>
        </w:rPr>
        <w:t>.</w:t>
      </w:r>
    </w:p>
    <w:p>
      <w:pPr>
        <w:pStyle w:val="Heading6"/>
        <w:numPr>
          <w:ilvl w:val="5"/>
          <w:numId w:val="1"/>
        </w:numPr>
        <w:rPr/>
      </w:pPr>
      <w:bookmarkStart w:id="2591" w:name="__RefHeading___Toc3973175_1067777946"/>
      <w:bookmarkStart w:id="2592" w:name="_Toc1095"/>
      <w:bookmarkEnd w:id="2591"/>
      <w:r>
        <w:rPr>
          <w:rtl w:val="true"/>
        </w:rPr>
        <w:t>مسائلى مربوط به شهادت بر قتل</w:t>
      </w:r>
      <w:bookmarkEnd w:id="2592"/>
    </w:p>
    <w:p>
      <w:pPr>
        <w:pStyle w:val="Heading6"/>
        <w:numPr>
          <w:ilvl w:val="5"/>
          <w:numId w:val="1"/>
        </w:numPr>
        <w:rPr/>
      </w:pPr>
      <w:bookmarkStart w:id="2593" w:name="__RefHeading___Toc3973177_1067777946"/>
      <w:bookmarkStart w:id="2594" w:name="_Toc1096"/>
      <w:bookmarkEnd w:id="2593"/>
      <w:r>
        <w:rPr>
          <w:rtl w:val="true"/>
        </w:rPr>
        <w:t>اختلاف شهادت بر اقرار به قتل</w:t>
      </w:r>
      <w:bookmarkEnd w:id="2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يكى شهادت داد بر اقرار به قتل و ديگرى شهادت داد بر اقرار به قتل عمدى، اصل قتل ثابت است و وصف آن ثابت نمى شود؛ و رجوع مى شود به مدعى عليه در توصيف آن، پس انكار اصل قتل مردود است، و اقرار به عمد، مقبول و موجب</w:t>
      </w:r>
      <w:bookmarkStart w:id="2595" w:name="pg10275_96910"/>
    </w:p>
    <w:p>
      <w:pPr>
        <w:pStyle w:val="BookText"/>
        <w:rPr/>
      </w:pPr>
      <w:bookmarkEnd w:id="2595"/>
      <w:r>
        <w:rPr>
          <w:rFonts w:ascii="IRNazanin" w:hAnsi="IRNazanin" w:eastAsia="IRNazanin"/>
          <w:color w:val="111111"/>
          <w:sz w:val="28"/>
          <w:sz w:val="28"/>
          <w:szCs w:val="28"/>
          <w:rtl w:val="true"/>
          <w:lang w:bidi="fa-IR"/>
        </w:rPr>
        <w:t>قصاص است، و اگر ادّعاى خطا كرد و ولىّ تصديق كرد اشكالى ندارد، و اگر تصديق نكرد قول جانى مقدم است با يمين او در آن چه از وصف عمل او ثابت بر او نيست؛ پس فرق در اقرار و دعواى جانى است در وصف، نه در ادّعاى ولىّ عمد يا خطا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جانى نكول از حلف نمود، با حلف مدّعىِ عمد، ثابت مى شود مدعاى او؛ و اگر جانى حلف ايقاع كرد ديه بر او در مال او است، و با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عاقله چيزى ثابت نمى شود</w:t>
      </w:r>
      <w:r>
        <w:rPr>
          <w:rFonts w:eastAsia="IRNazanin" w:cs="IRNazanin"/>
          <w:color w:val="111111"/>
          <w:sz w:val="28"/>
          <w:szCs w:val="28"/>
          <w:rtl w:val="true"/>
          <w:lang w:bidi="fa-IR"/>
        </w:rPr>
        <w:t>.</w:t>
      </w:r>
    </w:p>
    <w:p>
      <w:pPr>
        <w:pStyle w:val="Heading6"/>
        <w:numPr>
          <w:ilvl w:val="5"/>
          <w:numId w:val="1"/>
        </w:numPr>
        <w:rPr/>
      </w:pPr>
      <w:bookmarkStart w:id="2596" w:name="__RefHeading___Toc3973179_1067777946"/>
      <w:bookmarkStart w:id="2597" w:name="_Toc1097"/>
      <w:bookmarkEnd w:id="2596"/>
      <w:r>
        <w:rPr>
          <w:rtl w:val="true"/>
        </w:rPr>
        <w:t>شهادت يكى بر قتل عمدى و ديگرى بر اصل قتل</w:t>
      </w:r>
      <w:bookmarkEnd w:id="2597"/>
    </w:p>
    <w:p>
      <w:pPr>
        <w:pStyle w:val="BookText"/>
        <w:rPr/>
      </w:pPr>
      <w:r>
        <w:rPr>
          <w:rFonts w:ascii="IRNazanin" w:hAnsi="IRNazanin" w:eastAsia="IRNazanin"/>
          <w:color w:val="111111"/>
          <w:sz w:val="28"/>
          <w:sz w:val="28"/>
          <w:szCs w:val="28"/>
          <w:rtl w:val="true"/>
          <w:lang w:bidi="fa-IR"/>
        </w:rPr>
        <w:t>اگر يكى شهادت بر قتل عمدى داد و ديگرى شهادت بر اصل قتل، ثابت مى شود اصل قتل، و ديه ثابت مى شود، و وصف ثابت نمى شود اگر لوث محقق نمى شد به واسطۀ شهادت يكى بر وصف عمد بدون معارضۀ ديگرى، پس از قبيل شهادت واحد بر قتل عمدى است</w:t>
      </w:r>
      <w:r>
        <w:rPr>
          <w:rFonts w:eastAsia="IRNazanin" w:cs="IRNazanin"/>
          <w:color w:val="111111"/>
          <w:sz w:val="28"/>
          <w:szCs w:val="28"/>
          <w:rtl w:val="true"/>
          <w:lang w:bidi="fa-IR"/>
        </w:rPr>
        <w:t>.</w:t>
      </w:r>
    </w:p>
    <w:p>
      <w:pPr>
        <w:pStyle w:val="Heading6"/>
        <w:numPr>
          <w:ilvl w:val="5"/>
          <w:numId w:val="1"/>
        </w:numPr>
        <w:rPr/>
      </w:pPr>
      <w:bookmarkStart w:id="2598" w:name="__RefHeading___Toc3973181_1067777946"/>
      <w:bookmarkStart w:id="2599" w:name="_Toc1098"/>
      <w:bookmarkEnd w:id="2598"/>
      <w:r>
        <w:rPr>
          <w:rtl w:val="true"/>
        </w:rPr>
        <w:t>شهادت يكى بر عمد و ديگرى بر خطا</w:t>
      </w:r>
      <w:bookmarkEnd w:id="2599"/>
    </w:p>
    <w:p>
      <w:pPr>
        <w:pStyle w:val="BookText"/>
        <w:rPr/>
      </w:pPr>
      <w:r>
        <w:rPr>
          <w:rFonts w:ascii="IRNazanin" w:hAnsi="IRNazanin" w:eastAsia="IRNazanin"/>
          <w:color w:val="111111"/>
          <w:sz w:val="28"/>
          <w:sz w:val="28"/>
          <w:szCs w:val="28"/>
          <w:rtl w:val="true"/>
          <w:lang w:bidi="fa-IR"/>
        </w:rPr>
        <w:t xml:space="preserve">اگر يكى شهادت بر قتل عمدى و ديگرى شهادت بر قتل خطايى داد؛ پس اگر اختلاف در كيفيت 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آلات و خصوصيات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قتل ثابت نمى شود؛ و اگر در قصد مثلاً اختلاف داشتند، اظهر ثبوت اصل قتل، نه وصف آن است؛ و مرجع در وصف، اقرار و انكار جانى است</w:t>
      </w:r>
      <w:r>
        <w:rPr>
          <w:rFonts w:eastAsia="IRNazanin" w:cs="IRNazanin"/>
          <w:color w:val="111111"/>
          <w:sz w:val="28"/>
          <w:szCs w:val="28"/>
          <w:rtl w:val="true"/>
          <w:lang w:bidi="fa-IR"/>
        </w:rPr>
        <w:t>.</w:t>
      </w:r>
    </w:p>
    <w:p>
      <w:pPr>
        <w:pStyle w:val="Heading6"/>
        <w:numPr>
          <w:ilvl w:val="5"/>
          <w:numId w:val="1"/>
        </w:numPr>
        <w:rPr/>
      </w:pPr>
      <w:bookmarkStart w:id="2600" w:name="__RefHeading___Toc3973183_1067777946"/>
      <w:bookmarkStart w:id="2601" w:name="_Toc1099"/>
      <w:bookmarkEnd w:id="2600"/>
      <w:r>
        <w:rPr>
          <w:rtl w:val="true"/>
        </w:rPr>
        <w:t>شهادت دو عادل بر قتل دو نفر و</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عادل، شهادت بر قتل بر دو نفر دادند، پس آن دو نفر شهادت دادند به اين كه قاتل، دو شاهد اول بودند؛ پس آن كه را ولىّ تصديق نمود و بر خلاف تصديق، چيزى از او صادر نشده است، اظهر قبول شهادت آنها و طرح شهادت غير است اگر چه هر شهادتى واجد شروط شهادت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نفرى كه شهادت به قاتل بودن آنها داده شده بوده شهادت دادند بر قتل غير دو شاهد اول، پس با تهمت دفاع از نفس قبول نمى شود</w:t>
      </w:r>
      <w:r>
        <w:rPr>
          <w:rFonts w:eastAsia="IRNazanin" w:cs="IRNazanin"/>
          <w:color w:val="111111"/>
          <w:sz w:val="28"/>
          <w:szCs w:val="28"/>
          <w:rtl w:val="true"/>
          <w:lang w:bidi="fa-IR"/>
        </w:rPr>
        <w:t xml:space="preserve">. </w:t>
      </w:r>
      <w:bookmarkStart w:id="2602" w:name="pg10275_96912"/>
    </w:p>
    <w:p>
      <w:pPr>
        <w:pStyle w:val="Heading6"/>
        <w:numPr>
          <w:ilvl w:val="5"/>
          <w:numId w:val="1"/>
        </w:numPr>
        <w:rPr/>
      </w:pPr>
      <w:bookmarkStart w:id="2603" w:name="__RefHeading___Toc3973185_1067777946"/>
      <w:bookmarkStart w:id="2604" w:name="_Toc1100"/>
      <w:bookmarkEnd w:id="2602"/>
      <w:bookmarkEnd w:id="2603"/>
      <w:r>
        <w:rPr>
          <w:rtl w:val="true"/>
        </w:rPr>
        <w:t>فرضى براى ردّ شهادت به تهمت</w:t>
      </w:r>
      <w:bookmarkEnd w:id="26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شهادت دادند براى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شاهد، وارثِ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عمرو او را مجروح نموده است، بعد از اندمال جراحت،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اندمال شهادت دادند، قبول نيست بنا بر ردّ به مطلق تهمت يا امثال اين تهمت؛ و اگر مندمل شد و بعد اعاده كرد شهادت را قبول مى شود، و شهادت به مال براى مورّث، مردود نيست، چون شهادت به ملكِ سابق بر موت است و مثل شهادت به موجب ديه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شهادت به جرح دادند با محجوبيّت از ارث مجروح پس حاجب، وفات كرد در زمان حيات مجروح، يا به عكس، پس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تهمت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شهادت است، نه زمان موت مجروح يا حكم حاكم</w:t>
      </w:r>
      <w:r>
        <w:rPr>
          <w:rFonts w:eastAsia="IRNazanin" w:cs="IRNazanin"/>
          <w:color w:val="111111"/>
          <w:sz w:val="28"/>
          <w:szCs w:val="28"/>
          <w:rtl w:val="true"/>
          <w:lang w:bidi="fa-IR"/>
        </w:rPr>
        <w:t>.</w:t>
      </w:r>
    </w:p>
    <w:p>
      <w:pPr>
        <w:pStyle w:val="Heading6"/>
        <w:numPr>
          <w:ilvl w:val="5"/>
          <w:numId w:val="1"/>
        </w:numPr>
        <w:rPr/>
      </w:pPr>
      <w:bookmarkStart w:id="2605" w:name="__RefHeading___Toc3973187_1067777946"/>
      <w:bookmarkStart w:id="2606" w:name="_Toc1101"/>
      <w:bookmarkEnd w:id="2605"/>
      <w:r>
        <w:rPr>
          <w:rtl w:val="true"/>
        </w:rPr>
        <w:t>شهادت عاقله بر فسق شاهد قتل</w:t>
      </w:r>
      <w:bookmarkEnd w:id="26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از عاقله شهادت دادند به فسق شاهد قتل، پس در عمد و شبيه به آن و در صورت اقربيت غير به عقل، قبول مى شود، و شهادت بر قتل، مطروح مى شود؛ و در غير اينها، به واسطۀ تهمت، ردّ مى شود بنا بر ردّ به اين گونه تهمت دفع ضمان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عاقله، در وقت اداى شهادت، فقير بودند يا بعيد بودند و نوبت عقل به آنها در آن وقت نمى رسيد، شهادت عاقله مقبول مى شود</w:t>
      </w:r>
      <w:r>
        <w:rPr>
          <w:rFonts w:eastAsia="IRNazanin" w:cs="IRNazanin"/>
          <w:color w:val="111111"/>
          <w:sz w:val="28"/>
          <w:szCs w:val="28"/>
          <w:rtl w:val="true"/>
          <w:lang w:bidi="fa-IR"/>
        </w:rPr>
        <w:t>.</w:t>
      </w:r>
    </w:p>
    <w:p>
      <w:pPr>
        <w:pStyle w:val="Heading6"/>
        <w:numPr>
          <w:ilvl w:val="5"/>
          <w:numId w:val="1"/>
        </w:numPr>
        <w:rPr/>
      </w:pPr>
      <w:bookmarkStart w:id="2607" w:name="__RefHeading___Toc3973189_1067777946"/>
      <w:bookmarkStart w:id="2608" w:name="_Toc1102"/>
      <w:bookmarkEnd w:id="2607"/>
      <w:r>
        <w:rPr>
          <w:rtl w:val="true"/>
        </w:rPr>
        <w:t>شهادت دو بيّنه بر تعيين قاتل به نحو اختلاف</w:t>
      </w:r>
      <w:bookmarkEnd w:id="260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بيّنه شهادت دادند بر تعيين قاتل به نحو اختلاف، با صحت فرض به طورى كه هر كدام در حال عدم معارض، مسموع بود و مرجّحى براى يكى از دو بيّنه نبود كه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ثبوت ديه بر دو نفر مدّعىٰ عليه يا عاقله ايشان است به نحو تنصيف؛ و تخيير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اختيار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بيّنه و اقرار، در صورت اختلاف خالى از وجه مبنىّ بر اولويّت تكافؤ يقينى از غير نيست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ذكر شد در صورت تساوى دو بيّنه در نسبت آنها با دعواى مدعى است، </w:t>
      </w:r>
      <w:bookmarkStart w:id="2609" w:name="pg10275_96915"/>
    </w:p>
    <w:p>
      <w:pPr>
        <w:pStyle w:val="BookText"/>
        <w:rPr/>
      </w:pPr>
      <w:bookmarkEnd w:id="2609"/>
      <w:r>
        <w:rPr>
          <w:rFonts w:ascii="IRNazanin" w:hAnsi="IRNazanin" w:eastAsia="IRNazanin"/>
          <w:color w:val="111111"/>
          <w:sz w:val="28"/>
          <w:sz w:val="28"/>
          <w:szCs w:val="28"/>
          <w:rtl w:val="true"/>
          <w:lang w:bidi="fa-IR"/>
        </w:rPr>
        <w:t>مثل اين كه دعوى بر عدم علم تعيين قاتل باشد، يا از دو وكيل بر دو نفر باشد؛ وگرنه اظهر، اخذ به شهادت موافق با ادّعا و طرح بيّنۀ مخالف است</w:t>
      </w:r>
      <w:r>
        <w:rPr>
          <w:rFonts w:eastAsia="IRNazanin" w:cs="IRNazanin"/>
          <w:color w:val="111111"/>
          <w:sz w:val="28"/>
          <w:szCs w:val="28"/>
          <w:rtl w:val="true"/>
          <w:lang w:bidi="fa-IR"/>
        </w:rPr>
        <w:t>.</w:t>
      </w:r>
    </w:p>
    <w:p>
      <w:pPr>
        <w:pStyle w:val="Heading6"/>
        <w:numPr>
          <w:ilvl w:val="5"/>
          <w:numId w:val="1"/>
        </w:numPr>
        <w:rPr/>
      </w:pPr>
      <w:bookmarkStart w:id="2610" w:name="__RefHeading___Toc3973191_1067777946"/>
      <w:bookmarkStart w:id="2611" w:name="_Toc1103"/>
      <w:bookmarkEnd w:id="2610"/>
      <w:r>
        <w:rPr>
          <w:rtl w:val="true"/>
        </w:rPr>
        <w:t>اختلاف شهادت با اقرار</w:t>
      </w:r>
      <w:bookmarkEnd w:id="261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شهادت دادند به قتل عمدى زيد، عمرو را، و ديگرى اقرار كرد كه قاتل عمدى عمرو او بوده، مروىّ و مشهور اين است كه مى تواند خصوص مشهودٌ عليه را به قتل برساند به سبب قصاص و ردّ نمايد مُقرّ بر او نصف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تواند خصوص مُقِرّ را به قتل برساند بدون ردّ، و مى تواند هر دو را به قتل برساند و ردّ نمايد به مشهودٌ عليه نصف ديه را، و اگر اخذ ديه نمود تنصيف مى شود بر مُقِرّ و مشهود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در غير صورت موافقت يكى از اقرار و بيّنه با مدّعاى ولىّ‌، خالى از قوّت نيست اگر چه احتياط در اقتصار به اخذ ديه است به تنصيف</w:t>
      </w:r>
      <w:r>
        <w:rPr>
          <w:rFonts w:eastAsia="IRNazanin" w:cs="IRNazanin"/>
          <w:color w:val="111111"/>
          <w:sz w:val="28"/>
          <w:szCs w:val="28"/>
          <w:rtl w:val="true"/>
          <w:lang w:bidi="fa-IR"/>
        </w:rPr>
        <w:t>.</w:t>
      </w:r>
    </w:p>
    <w:p>
      <w:pPr>
        <w:pStyle w:val="Heading6"/>
        <w:numPr>
          <w:ilvl w:val="5"/>
          <w:numId w:val="1"/>
        </w:numPr>
        <w:rPr/>
      </w:pPr>
      <w:bookmarkStart w:id="2612" w:name="__RefHeading___Toc3973193_1067777946"/>
      <w:bookmarkStart w:id="2613" w:name="_Toc1104"/>
      <w:bookmarkEnd w:id="2612"/>
      <w:r>
        <w:rPr>
          <w:rtl w:val="true"/>
        </w:rPr>
        <w:t>صحت عفو احتمالى</w:t>
      </w:r>
      <w:bookmarkEnd w:id="261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ادّعاى قتل عمدى كرد و يك شاهد و دو زن آورد و اختيار شد عدم ثبوت قصاص با آن، پس از آن عفو نمود، صحيح است، چون عفو متوقف بر اثبات نزد حاكم نيست، بلكه عفو احتمالى انشايى به مجرد احتمال حق بدون علم به آن، صحت آن خالى از وجه نيست؛ پس اگر بعداً معلوم يا ثابت شد حق واقعى، ساقط است مقتضاى آن، و حق دعوىٰ بر آن و لوازم آن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ابراى از ديه در محل ثبوت آن اگر چه احتمالى باشد، به منزلۀ عفو از قصاص است در محل ثبوت آن؛ و همچنين ساير حقوق غير از قصاص و ديه بنا بر اظهر</w:t>
      </w:r>
      <w:r>
        <w:rPr>
          <w:rFonts w:eastAsia="IRNazanin" w:cs="IRNazanin"/>
          <w:color w:val="111111"/>
          <w:sz w:val="28"/>
          <w:szCs w:val="28"/>
          <w:rtl w:val="true"/>
          <w:lang w:bidi="fa-IR"/>
        </w:rPr>
        <w:t>.</w:t>
      </w:r>
    </w:p>
    <w:p>
      <w:pPr>
        <w:pStyle w:val="Heading4"/>
        <w:numPr>
          <w:ilvl w:val="3"/>
          <w:numId w:val="1"/>
        </w:numPr>
        <w:rPr/>
      </w:pPr>
      <w:bookmarkStart w:id="2614" w:name="__RefHeading___Toc3973195_1067777946"/>
      <w:bookmarkStart w:id="2615" w:name="_Toc1105"/>
      <w:bookmarkEnd w:id="2614"/>
      <w:r>
        <w:rPr/>
        <w:t>3</w:t>
      </w:r>
      <w:r>
        <w:rPr>
          <w:rtl w:val="true"/>
        </w:rPr>
        <w:t xml:space="preserve">. </w:t>
      </w:r>
      <w:r>
        <w:rPr>
          <w:rtl w:val="true"/>
        </w:rPr>
        <w:t>قَسامه</w:t>
      </w:r>
      <w:bookmarkEnd w:id="2615"/>
    </w:p>
    <w:p>
      <w:pPr>
        <w:pStyle w:val="Heading5"/>
        <w:numPr>
          <w:ilvl w:val="4"/>
          <w:numId w:val="1"/>
        </w:numPr>
        <w:rPr/>
      </w:pPr>
      <w:bookmarkStart w:id="2616" w:name="__RefHeading___Toc3973197_1067777946"/>
      <w:bookmarkStart w:id="2617" w:name="_Toc1106"/>
      <w:bookmarkEnd w:id="2616"/>
      <w:r>
        <w:rPr>
          <w:rtl w:val="true"/>
        </w:rPr>
        <w:t>اشاره</w:t>
      </w:r>
      <w:bookmarkEnd w:id="261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قَسَمهاى مقسومه بر ولىّ دم است در صورتى كه قتيلى پيدا شده و معلوم نشده قاتل او و بيّنه بر او قائم نشده و اقرارى هم نباشد و ولىّ مدّعى است نسبت به واحد يا جماعتى، كه با حلف او اثبات مدّعاى او به ترتيب ذيل مى شود</w:t>
      </w:r>
      <w:r>
        <w:rPr>
          <w:rFonts w:eastAsia="IRNazanin" w:cs="IRNazanin"/>
          <w:color w:val="111111"/>
          <w:sz w:val="28"/>
          <w:szCs w:val="28"/>
          <w:rtl w:val="true"/>
          <w:lang w:bidi="fa-IR"/>
        </w:rPr>
        <w:t xml:space="preserve">: </w:t>
      </w:r>
      <w:bookmarkStart w:id="2618" w:name="pg10275_96916"/>
    </w:p>
    <w:p>
      <w:pPr>
        <w:pStyle w:val="Heading5"/>
        <w:numPr>
          <w:ilvl w:val="4"/>
          <w:numId w:val="1"/>
        </w:numPr>
        <w:rPr/>
      </w:pPr>
      <w:bookmarkStart w:id="2619" w:name="__RefHeading___Toc3973199_1067777946"/>
      <w:bookmarkStart w:id="2620" w:name="_Toc1107"/>
      <w:bookmarkEnd w:id="2618"/>
      <w:bookmarkEnd w:id="2619"/>
      <w:r>
        <w:rPr>
          <w:rtl w:val="true"/>
        </w:rPr>
        <w:t>مقصد اوّل</w:t>
      </w:r>
      <w:r>
        <w:rPr>
          <w:rtl w:val="true"/>
        </w:rPr>
        <w:t xml:space="preserve">: </w:t>
      </w:r>
      <w:r>
        <w:rPr>
          <w:rtl w:val="true"/>
        </w:rPr>
        <w:t>در لوث</w:t>
      </w:r>
      <w:bookmarkEnd w:id="2620"/>
    </w:p>
    <w:p>
      <w:pPr>
        <w:pStyle w:val="Heading6"/>
        <w:numPr>
          <w:ilvl w:val="5"/>
          <w:numId w:val="1"/>
        </w:numPr>
        <w:rPr/>
      </w:pPr>
      <w:bookmarkStart w:id="2621" w:name="__RefHeading___Toc3973201_1067777946"/>
      <w:bookmarkStart w:id="2622" w:name="_Toc1108"/>
      <w:bookmarkEnd w:id="2621"/>
      <w:r>
        <w:rPr>
          <w:rtl w:val="true"/>
        </w:rPr>
        <w:t>اشاره</w:t>
      </w:r>
      <w:bookmarkEnd w:id="2622"/>
    </w:p>
    <w:p>
      <w:pPr>
        <w:pStyle w:val="BookText"/>
        <w:rPr/>
      </w:pPr>
      <w:r>
        <w:rPr>
          <w:rFonts w:ascii="Amiri" w:hAnsi="Amiri" w:eastAsia="Amiri" w:cs="Amiri"/>
          <w:color w:val="111111"/>
          <w:sz w:val="28"/>
          <w:sz w:val="28"/>
          <w:szCs w:val="28"/>
          <w:rtl w:val="true"/>
          <w:lang w:bidi="ar-SA"/>
        </w:rPr>
        <w:t xml:space="preserve">و احوط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معنى تهمت حاصله به امارات موجبۀ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صدق مدعى براى حاكم</w:t>
      </w:r>
      <w:r>
        <w:rPr>
          <w:rFonts w:eastAsia="Amiri" w:cs="Amiri" w:ascii="Amiri" w:hAnsi="Amiri"/>
          <w:color w:val="111111"/>
          <w:sz w:val="28"/>
          <w:szCs w:val="28"/>
          <w:rtl w:val="true"/>
          <w:lang w:bidi="ar-SA"/>
        </w:rPr>
        <w:t>.</w:t>
      </w:r>
    </w:p>
    <w:p>
      <w:pPr>
        <w:pStyle w:val="Heading6"/>
        <w:numPr>
          <w:ilvl w:val="5"/>
          <w:numId w:val="1"/>
        </w:numPr>
        <w:rPr/>
      </w:pPr>
      <w:bookmarkStart w:id="2623" w:name="__RefHeading___Toc3973203_1067777946"/>
      <w:bookmarkStart w:id="2624" w:name="_Toc1109"/>
      <w:bookmarkEnd w:id="2623"/>
      <w:r>
        <w:rPr>
          <w:rtl w:val="true"/>
        </w:rPr>
        <w:t>بعض اصناف لوث</w:t>
      </w:r>
      <w:bookmarkEnd w:id="2624"/>
    </w:p>
    <w:p>
      <w:pPr>
        <w:pStyle w:val="BookText"/>
        <w:rPr/>
      </w:pPr>
      <w:r>
        <w:rPr>
          <w:rFonts w:ascii="IRNazanin" w:hAnsi="IRNazanin" w:eastAsia="IRNazanin"/>
          <w:color w:val="111111"/>
          <w:sz w:val="28"/>
          <w:sz w:val="28"/>
          <w:szCs w:val="28"/>
          <w:rtl w:val="true"/>
          <w:lang w:bidi="fa-IR"/>
        </w:rPr>
        <w:t>و اصناف لوث قابل احصا نيست، و تمثيل فقها، يا تبعيت نص و يا بيان اوضح مصاديق است، و از آن جمله تقطيع مقتول است در قريه ها كه لوث و ديه نسبت به محل صدر و وسط است چنان چه منصوص است، و محمول است بر صورت عدم اماره اى بر نقل به آن موضع يا از آن موضع و تعيين ظنّى محل و اهل آن، و همچنين اقرب به محل وجدان قتيل از دو قريه به حسب مساحت، و با عدم تفاوت به منزلۀ يك قريه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ديۀ قتيل ازدحام جمعه يا جامع عظيم يا شارع و نحو اينها يا موجود در بيابان با عدم لوث نسبت به معينى، از بيت المال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فرقى بين اسباب حصول ظنّ در تحقق لوث با ادّعاى جزمى ولىّ نيست، و اعتبار شرعى براى ظنّ يا امارات مفيدۀ آن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اظهر عدم فرق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تحقق لوث و عدم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شهادت بر اين كه معيّنى را يكى از دو نفر كشته، يا اين كه معيّنى يكى از دو نفر را كشته، با ادّعاى جزمى ولىّ مقتول معين، تعيين قاتل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متيقّن، ثبوت لوث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تعيين ولىّ مقتول معيّن، قاتل معيّن را، با ظنّ به صدق او؛ و در ثبوت لوث در غير آن و در صورت عدم تعيين ولىّ‌، قاتل را،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 نيست در لوث و حكم آن، وجود اثر قتل از جرح و خروج دم؛ و معتبر نيست حضور مدّعى عليه بنا بر اظهر</w:t>
      </w:r>
      <w:r>
        <w:rPr>
          <w:rFonts w:eastAsia="Amiri" w:cs="Amiri" w:ascii="Amiri" w:hAnsi="Amiri"/>
          <w:color w:val="111111"/>
          <w:sz w:val="28"/>
          <w:szCs w:val="28"/>
          <w:rtl w:val="true"/>
          <w:lang w:bidi="ar-SA"/>
        </w:rPr>
        <w:t>.</w:t>
      </w:r>
    </w:p>
    <w:p>
      <w:pPr>
        <w:pStyle w:val="Heading6"/>
        <w:numPr>
          <w:ilvl w:val="5"/>
          <w:numId w:val="1"/>
        </w:numPr>
        <w:rPr/>
      </w:pPr>
      <w:bookmarkStart w:id="2625" w:name="__RefHeading___Toc3973205_1067777946"/>
      <w:bookmarkStart w:id="2626" w:name="_Toc1110"/>
      <w:bookmarkEnd w:id="2625"/>
      <w:r>
        <w:rPr>
          <w:rtl w:val="true"/>
        </w:rPr>
        <w:t>مسائلى مربوطه به لوث</w:t>
      </w:r>
      <w:bookmarkEnd w:id="2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اى كه در آن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نحوى كه مظنۀ قاتل</w:t>
      </w:r>
      <w:bookmarkStart w:id="2627" w:name="pg10275_96919"/>
    </w:p>
    <w:p>
      <w:pPr>
        <w:pStyle w:val="BookText"/>
        <w:rPr/>
      </w:pPr>
      <w:bookmarkEnd w:id="2627"/>
      <w:r>
        <w:rPr>
          <w:rFonts w:ascii="Amiri" w:hAnsi="Amiri" w:eastAsia="Amiri" w:cs="Amiri"/>
          <w:color w:val="111111"/>
          <w:sz w:val="28"/>
          <w:sz w:val="28"/>
          <w:szCs w:val="28"/>
          <w:rtl w:val="true"/>
          <w:lang w:bidi="ar-SA"/>
        </w:rPr>
        <w:t xml:space="preserve">بودن او باشد، لوث محقق مى شود و ورثه حق قصاص دارند؛ و محتمل است حق استرقاق به سبب جنايت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مقدم بر حق رهانت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باشد و رهن، فكّ شود، بلكه خالى از وجه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ولىّ ادّعا نمود كه يكى از اهل خانه اى كه در آن قاتل و مقتول بوده در وقت قتل به نحوى كه مظنۀ قاتل بودن اهل خانه حاصل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را به قتل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لوث محقق مى شود با اثبات كَون قاتل در خانه در حين قتل با بيّنه يا اقرار؛ پس با انكار و عدم اثبات، لوث منتفى است</w:t>
      </w:r>
      <w:r>
        <w:rPr>
          <w:rFonts w:eastAsia="IRNazanin" w:cs="IRNazanin"/>
          <w:color w:val="111111"/>
          <w:sz w:val="28"/>
          <w:szCs w:val="28"/>
          <w:rtl w:val="true"/>
          <w:lang w:bidi="fa-IR"/>
        </w:rPr>
        <w:t>.</w:t>
      </w:r>
    </w:p>
    <w:p>
      <w:pPr>
        <w:pStyle w:val="Heading5"/>
        <w:numPr>
          <w:ilvl w:val="4"/>
          <w:numId w:val="1"/>
        </w:numPr>
        <w:rPr/>
      </w:pPr>
      <w:bookmarkStart w:id="2628" w:name="__RefHeading___Toc3973207_1067777946"/>
      <w:bookmarkStart w:id="2629" w:name="_Toc1111"/>
      <w:bookmarkEnd w:id="2628"/>
      <w:r>
        <w:rPr>
          <w:rtl w:val="true"/>
        </w:rPr>
        <w:t>مقصد دوّم</w:t>
      </w:r>
      <w:r>
        <w:rPr>
          <w:rtl w:val="true"/>
        </w:rPr>
        <w:t xml:space="preserve">: </w:t>
      </w:r>
      <w:r>
        <w:rPr>
          <w:rtl w:val="true"/>
        </w:rPr>
        <w:t>در كمّيت و كيفيّت قسامه</w:t>
      </w:r>
      <w:bookmarkEnd w:id="2629"/>
    </w:p>
    <w:p>
      <w:pPr>
        <w:pStyle w:val="Heading6"/>
        <w:numPr>
          <w:ilvl w:val="5"/>
          <w:numId w:val="1"/>
        </w:numPr>
        <w:rPr/>
      </w:pPr>
      <w:bookmarkStart w:id="2630" w:name="__RefHeading___Toc3973209_1067777946"/>
      <w:bookmarkStart w:id="2631" w:name="_Toc1112"/>
      <w:bookmarkEnd w:id="2630"/>
      <w:r>
        <w:rPr>
          <w:rtl w:val="true"/>
        </w:rPr>
        <w:t>قسامه در قتل نفس</w:t>
      </w:r>
      <w:bookmarkEnd w:id="2631"/>
    </w:p>
    <w:p>
      <w:pPr>
        <w:pStyle w:val="Heading6"/>
        <w:numPr>
          <w:ilvl w:val="5"/>
          <w:numId w:val="1"/>
        </w:numPr>
        <w:rPr/>
      </w:pPr>
      <w:bookmarkStart w:id="2632" w:name="__RefHeading___Toc3973211_1067777946"/>
      <w:bookmarkStart w:id="2633" w:name="_Toc1113"/>
      <w:bookmarkEnd w:id="2632"/>
      <w:r>
        <w:rPr>
          <w:rtl w:val="true"/>
        </w:rPr>
        <w:t>عدد قسم و كمى و زيادى افراد</w:t>
      </w:r>
      <w:bookmarkEnd w:id="2633"/>
    </w:p>
    <w:p>
      <w:pPr>
        <w:pStyle w:val="BookText"/>
        <w:rPr/>
      </w:pPr>
      <w:r>
        <w:rPr>
          <w:rFonts w:ascii="IRNazanin" w:hAnsi="IRNazanin" w:eastAsia="IRNazanin"/>
          <w:color w:val="111111"/>
          <w:sz w:val="28"/>
          <w:sz w:val="28"/>
          <w:szCs w:val="28"/>
          <w:rtl w:val="true"/>
          <w:lang w:bidi="fa-IR"/>
        </w:rPr>
        <w:t xml:space="preserve">عدد قسمهاى مقسومه بر اولياى در قتل عمد، پنجاه است، پس اگر قوم 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جازم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نفر مى رسند، توزيع مى شود بر آنها؛ و اگر كمتر باشند، بعضى تكرار مى نمايند تا تكميل شود عدد پنجاه، حتى اگر يك نفر باشد پنجاه مرتبه قسم ياد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غير مدّعى، ايقاع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يا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نفر باشند، هر كدام شانزده مرتبه قسم ياد مى نمايد، و مخيّرند در ايقاع دو عدد از دو نفر از همه؛ و ولىّ دم اولىٰ است به يكى از عدد باقيمانده، و لزوم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نحو در پنجاه يمين مدّعى، مذكور شد، همان نحو اختيار مى شود در پنجاه يمين منكر اگر نوبت حلف براى اسقاط دعوىٰ به آنها رسيد</w:t>
      </w:r>
      <w:r>
        <w:rPr>
          <w:rFonts w:eastAsia="IRNazanin" w:cs="IRNazanin"/>
          <w:color w:val="111111"/>
          <w:sz w:val="28"/>
          <w:szCs w:val="28"/>
          <w:rtl w:val="true"/>
          <w:lang w:bidi="fa-IR"/>
        </w:rPr>
        <w:t>.</w:t>
      </w:r>
    </w:p>
    <w:p>
      <w:pPr>
        <w:pStyle w:val="Heading6"/>
        <w:numPr>
          <w:ilvl w:val="5"/>
          <w:numId w:val="1"/>
        </w:numPr>
        <w:rPr/>
      </w:pPr>
      <w:bookmarkStart w:id="2634" w:name="__RefHeading___Toc3973213_1067777946"/>
      <w:bookmarkStart w:id="2635" w:name="_Toc1114"/>
      <w:bookmarkEnd w:id="2634"/>
      <w:r>
        <w:rPr>
          <w:rtl w:val="true"/>
        </w:rPr>
        <w:t>كيفيّت حلف قسامه</w:t>
      </w:r>
      <w:bookmarkEnd w:id="263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كيفيّت حلف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كافى است در حكم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مدّعى و أقارب او قسم ياد مى كنند بر قتل عمدى معيّنى، پس با بلوغ عدد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پنجاه </w:t>
      </w:r>
      <w:bookmarkStart w:id="2636" w:name="pg10275_96920"/>
    </w:p>
    <w:p>
      <w:pPr>
        <w:pStyle w:val="BookText"/>
        <w:rPr/>
      </w:pPr>
      <w:bookmarkEnd w:id="263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يك قسم ياد مى نمايد؛ وگرنه تكرار مى نمايند تا به پنجاه قسم برسد، بالسويّه يا به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از عدد، متجاوز باشند، مخيّرند در ايقاع پنجاه نفر از آنها حلف را؛ و با امتناع بعضى، ديگران قسم ياد مى نمايند؛ و اگر امتناع كردند، بقيه تكرار مى نمايند تا بلوغ پنجاه قسم</w:t>
      </w:r>
      <w:r>
        <w:rPr>
          <w:rFonts w:eastAsia="IRNazanin" w:cs="IRNazanin"/>
          <w:color w:val="111111"/>
          <w:sz w:val="28"/>
          <w:szCs w:val="28"/>
          <w:rtl w:val="true"/>
          <w:lang w:bidi="fa-IR"/>
        </w:rPr>
        <w:t>.</w:t>
      </w:r>
    </w:p>
    <w:p>
      <w:pPr>
        <w:pStyle w:val="Heading6"/>
        <w:numPr>
          <w:ilvl w:val="5"/>
          <w:numId w:val="1"/>
        </w:numPr>
        <w:rPr/>
      </w:pPr>
      <w:bookmarkStart w:id="2637" w:name="__RefHeading___Toc3973215_1067777946"/>
      <w:bookmarkStart w:id="2638" w:name="_Toc1115"/>
      <w:bookmarkEnd w:id="2637"/>
      <w:r>
        <w:rPr>
          <w:rtl w:val="true"/>
        </w:rPr>
        <w:t>كيفيّت يمين مدّعىٰ عليه</w:t>
      </w:r>
      <w:bookmarkEnd w:id="2638"/>
    </w:p>
    <w:p>
      <w:pPr>
        <w:pStyle w:val="BookText"/>
        <w:rPr/>
      </w:pPr>
      <w:r>
        <w:rPr>
          <w:rFonts w:ascii="Amiri" w:hAnsi="Amiri" w:eastAsia="Amiri" w:cs="Amiri"/>
          <w:color w:val="111111"/>
          <w:sz w:val="28"/>
          <w:sz w:val="28"/>
          <w:szCs w:val="28"/>
          <w:rtl w:val="true"/>
          <w:lang w:bidi="ar-SA"/>
        </w:rPr>
        <w:t>و كيفيت يمين مدّعىٰ عليه در قتل عمد در صورت عدم يمين مدّعى، مثل كيفيت و كميت يمين مدّعى است به ترتيبى كه مذكور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رعايت عدد مذكور است در قتل عمدى نفس، در قتل شبيه به عمد و در خطاى محض در طرف مدّعى و مدّعىٰ عليه، و عدم اكتفا به نصف عدد مذكور در قتل عمدى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توزيع عدد بر قوم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اقليت ايشان از عدد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تساوى بين وارث و غير و مرد و زن و وارث اكثر و وارث اقل، يا تفاوت به اين جهات، تأمل است، اظهر اختيار ايشان است و كفايت وقوع عدد از ايشان به هر قِسم؛ و اگر در غير متّهم و غير مدّعى از ايشان بيّنۀ عادله اى بود، كافى از قسامه است در اثبات قتل عمدى يا غير عمدى</w:t>
      </w:r>
      <w:r>
        <w:rPr>
          <w:rFonts w:eastAsia="IRNazanin" w:cs="IRNazanin"/>
          <w:color w:val="111111"/>
          <w:sz w:val="28"/>
          <w:szCs w:val="28"/>
          <w:rtl w:val="true"/>
          <w:lang w:bidi="fa-IR"/>
        </w:rPr>
        <w:t>.</w:t>
      </w:r>
    </w:p>
    <w:p>
      <w:pPr>
        <w:pStyle w:val="Heading6"/>
        <w:numPr>
          <w:ilvl w:val="5"/>
          <w:numId w:val="1"/>
        </w:numPr>
        <w:rPr/>
      </w:pPr>
      <w:bookmarkStart w:id="2639" w:name="__RefHeading___Toc3973217_1067777946"/>
      <w:bookmarkStart w:id="2640" w:name="_Toc1116"/>
      <w:bookmarkEnd w:id="2639"/>
      <w:r>
        <w:rPr>
          <w:rtl w:val="true"/>
        </w:rPr>
        <w:t>اتحاد كيفيّت حلف بين طايفه مدّعىٖ و مدّعىٰ عليه</w:t>
      </w:r>
      <w:bookmarkEnd w:id="2640"/>
    </w:p>
    <w:p>
      <w:pPr>
        <w:pStyle w:val="BookText"/>
        <w:rPr/>
      </w:pPr>
      <w:r>
        <w:rPr>
          <w:rFonts w:ascii="IRNazanin" w:hAnsi="IRNazanin" w:eastAsia="IRNazanin"/>
          <w:color w:val="111111"/>
          <w:sz w:val="28"/>
          <w:sz w:val="28"/>
          <w:szCs w:val="28"/>
          <w:rtl w:val="true"/>
          <w:lang w:bidi="fa-IR"/>
        </w:rPr>
        <w:t>و اظهر اتحاد كيفيت حلف است بين طايفۀ مدّعى و طايفۀ مدّعىٰ عليه، پس هر كدام در صورت تعدد، پنجاه قسم ياد نمى نمايند بلكه پنجاه يمين از مجموع، كافى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يكى باشد مدّعى و امتناع از حلف نمايد و قوم او هم امتناع نمايند، پس نوبت به أيمان مدعى عليه و قوم او مى رسد، و همه قسم ياد مى نمايند به عدد پنجاه، و اگر فقط يكى است تكرار مى نمايد آن را به اين عدد، و برىء مى شود از قصاص و ديه</w:t>
      </w:r>
      <w:r>
        <w:rPr>
          <w:rFonts w:eastAsia="IRNazanin" w:cs="IRNazanin"/>
          <w:color w:val="111111"/>
          <w:sz w:val="28"/>
          <w:szCs w:val="28"/>
          <w:rtl w:val="true"/>
          <w:lang w:bidi="fa-IR"/>
        </w:rPr>
        <w:t xml:space="preserve">. </w:t>
      </w:r>
      <w:bookmarkStart w:id="2641" w:name="pg10275_96922"/>
    </w:p>
    <w:p>
      <w:pPr>
        <w:pStyle w:val="BookText"/>
        <w:rPr/>
      </w:pPr>
      <w:bookmarkEnd w:id="2641"/>
      <w:r>
        <w:rPr>
          <w:rFonts w:ascii="Amiri" w:hAnsi="Amiri" w:eastAsia="Amiri" w:cs="Amiri"/>
          <w:color w:val="111111"/>
          <w:sz w:val="28"/>
          <w:sz w:val="28"/>
          <w:szCs w:val="28"/>
          <w:rtl w:val="true"/>
          <w:lang w:bidi="ar-SA"/>
        </w:rPr>
        <w:t>و بعد از برائت به سبب قسامه، ديۀ قتيل غير معلوم القاتل، از بيت المال تأديه مى شود بنا بر احوط، مثل قتيل ازدحام كه از اوّل از بيت المال تأديه مى شود و محل قسامه نيست</w:t>
      </w:r>
      <w:r>
        <w:rPr>
          <w:rFonts w:eastAsia="Amiri" w:cs="Amiri" w:ascii="Amiri" w:hAnsi="Amiri"/>
          <w:color w:val="111111"/>
          <w:sz w:val="28"/>
          <w:szCs w:val="28"/>
          <w:rtl w:val="true"/>
          <w:lang w:bidi="ar-SA"/>
        </w:rPr>
        <w:t>.</w:t>
      </w:r>
    </w:p>
    <w:p>
      <w:pPr>
        <w:pStyle w:val="Heading6"/>
        <w:numPr>
          <w:ilvl w:val="5"/>
          <w:numId w:val="1"/>
        </w:numPr>
        <w:rPr/>
      </w:pPr>
      <w:bookmarkStart w:id="2642" w:name="__RefHeading___Toc3973219_1067777946"/>
      <w:bookmarkStart w:id="2643" w:name="_Toc1117"/>
      <w:bookmarkEnd w:id="2642"/>
      <w:r>
        <w:rPr>
          <w:rtl w:val="true"/>
        </w:rPr>
        <w:t>نكول مدّعى عليه از قسم</w:t>
      </w:r>
      <w:bookmarkEnd w:id="2643"/>
    </w:p>
    <w:p>
      <w:pPr>
        <w:pStyle w:val="BookText"/>
        <w:rPr/>
      </w:pPr>
      <w:r>
        <w:rPr>
          <w:rFonts w:ascii="IRNazanin" w:hAnsi="IRNazanin" w:eastAsia="IRNazanin"/>
          <w:color w:val="111111"/>
          <w:sz w:val="28"/>
          <w:sz w:val="28"/>
          <w:szCs w:val="28"/>
          <w:rtl w:val="true"/>
          <w:lang w:bidi="fa-IR"/>
        </w:rPr>
        <w:t xml:space="preserve">و در تقدير نكول مدّعىٰ عليه از يمين اگر چه يكى باشد، ملزم به ديه مى شود بنا بر قضاى به نكول مدّعىٰ عليه از حلف مطلقاً يا در خصوص مقام؛ و در تقدير احتياج در قضا، به ردّ يمين به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خصوص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احوط ردّ يمين قسامۀ مدّعىٰ عليه به قسامۀ مدّعى است و عدم اكتفا به يك يمين مدّعى است</w:t>
      </w:r>
      <w:r>
        <w:rPr>
          <w:rFonts w:eastAsia="IRNazanin" w:cs="IRNazanin"/>
          <w:color w:val="111111"/>
          <w:sz w:val="28"/>
          <w:szCs w:val="28"/>
          <w:rtl w:val="true"/>
          <w:lang w:bidi="fa-IR"/>
        </w:rPr>
        <w:t>.</w:t>
      </w:r>
    </w:p>
    <w:p>
      <w:pPr>
        <w:pStyle w:val="Heading6"/>
        <w:numPr>
          <w:ilvl w:val="5"/>
          <w:numId w:val="1"/>
        </w:numPr>
        <w:rPr/>
      </w:pPr>
      <w:bookmarkStart w:id="2644" w:name="__RefHeading___Toc3973221_1067777946"/>
      <w:bookmarkStart w:id="2645" w:name="_Toc1118"/>
      <w:bookmarkEnd w:id="2644"/>
      <w:r>
        <w:rPr>
          <w:rtl w:val="true"/>
        </w:rPr>
        <w:t>قسامه در اعضا</w:t>
      </w:r>
      <w:bookmarkEnd w:id="2645"/>
    </w:p>
    <w:p>
      <w:pPr>
        <w:pStyle w:val="Heading6"/>
        <w:numPr>
          <w:ilvl w:val="5"/>
          <w:numId w:val="1"/>
        </w:numPr>
        <w:rPr/>
      </w:pPr>
      <w:bookmarkStart w:id="2646" w:name="__RefHeading___Toc3973223_1067777946"/>
      <w:bookmarkStart w:id="2647" w:name="_Toc1119"/>
      <w:bookmarkEnd w:id="2646"/>
      <w:r>
        <w:rPr>
          <w:rtl w:val="true"/>
        </w:rPr>
        <w:t>اشاره</w:t>
      </w:r>
      <w:bookmarkEnd w:id="2647"/>
    </w:p>
    <w:p>
      <w:pPr>
        <w:pStyle w:val="BookText"/>
        <w:rPr/>
      </w:pPr>
      <w:r>
        <w:rPr>
          <w:rFonts w:ascii="IRNazanin" w:hAnsi="IRNazanin" w:eastAsia="IRNazanin"/>
          <w:color w:val="111111"/>
          <w:sz w:val="28"/>
          <w:sz w:val="28"/>
          <w:szCs w:val="28"/>
          <w:rtl w:val="true"/>
          <w:lang w:bidi="fa-IR"/>
        </w:rPr>
        <w:t>و قسامه در اعضاى ثابت است با تهمت معتبره و لوث معتبر در نفس</w:t>
      </w:r>
      <w:r>
        <w:rPr>
          <w:rFonts w:eastAsia="IRNazanin" w:cs="IRNazanin"/>
          <w:color w:val="111111"/>
          <w:sz w:val="28"/>
          <w:szCs w:val="28"/>
          <w:rtl w:val="true"/>
          <w:lang w:bidi="fa-IR"/>
        </w:rPr>
        <w:t>.</w:t>
      </w:r>
    </w:p>
    <w:p>
      <w:pPr>
        <w:pStyle w:val="Heading6"/>
        <w:numPr>
          <w:ilvl w:val="5"/>
          <w:numId w:val="1"/>
        </w:numPr>
        <w:rPr/>
      </w:pPr>
      <w:bookmarkStart w:id="2648" w:name="__RefHeading___Toc3973225_1067777946"/>
      <w:bookmarkStart w:id="2649" w:name="_Toc1120"/>
      <w:bookmarkEnd w:id="2648"/>
      <w:r>
        <w:rPr>
          <w:rtl w:val="true"/>
        </w:rPr>
        <w:t>عدد قسامه در اعضا</w:t>
      </w:r>
      <w:bookmarkEnd w:id="2649"/>
    </w:p>
    <w:p>
      <w:pPr>
        <w:pStyle w:val="BookText"/>
        <w:rPr/>
      </w:pPr>
      <w:r>
        <w:rPr>
          <w:rFonts w:ascii="IRNazanin" w:hAnsi="IRNazanin" w:eastAsia="IRNazanin"/>
          <w:color w:val="111111"/>
          <w:sz w:val="28"/>
          <w:sz w:val="28"/>
          <w:szCs w:val="28"/>
          <w:rtl w:val="true"/>
          <w:lang w:bidi="fa-IR"/>
        </w:rPr>
        <w:t xml:space="preserve">و در قدر آن اختلاف است كه آيا به قدر قسامه نفس است كه پنجاه قسم باشد اگر جنايت، بالغ است به قدر ديه كامله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به نسبت جنايت از پنجاه يمين اگر در عمد باشد؛ و اما خطأ پس گذشت احتياط در آن با احتمال ثبوت بيست و پنج يمين، و اين قول منسوب به اكثر متأخرين است؛ يا آن كه در آن چه بالغ به ديۀ كامله است، يمين شش نفر است، و در كمتر از آن به همين نسبت از يمين شش نفر، و اين قول منسوب به مشهور متقدّمين، و اقرب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ملاحظۀ نسبت اقل به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شش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كسرى حاصل شد تكميل به يك يمين مى شود، مثل يك انگشت كه عُشر ديه در آن است و عُشر شش صحيح نيست و يمين قابل تبعيض نيست، پس يك يمين در آن است؛ و همچنين در ازيد از يك و اقل از دو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اكمل و عدم تبعيض يمين، جارى است در هر دو قول يعنى پنجاه يمين و شش يمين</w:t>
      </w:r>
      <w:r>
        <w:rPr>
          <w:rFonts w:eastAsia="IRNazanin" w:cs="IRNazanin"/>
          <w:color w:val="111111"/>
          <w:sz w:val="28"/>
          <w:szCs w:val="28"/>
          <w:rtl w:val="true"/>
          <w:lang w:bidi="fa-IR"/>
        </w:rPr>
        <w:t xml:space="preserve">. </w:t>
      </w:r>
      <w:bookmarkStart w:id="2650" w:name="pg10275_96924"/>
    </w:p>
    <w:p>
      <w:pPr>
        <w:pStyle w:val="Heading6"/>
        <w:numPr>
          <w:ilvl w:val="5"/>
          <w:numId w:val="1"/>
        </w:numPr>
        <w:rPr/>
      </w:pPr>
      <w:bookmarkStart w:id="2651" w:name="__RefHeading___Toc3973227_1067777946"/>
      <w:bookmarkStart w:id="2652" w:name="_Toc1121"/>
      <w:bookmarkEnd w:id="2650"/>
      <w:bookmarkEnd w:id="2651"/>
      <w:r>
        <w:rPr>
          <w:rtl w:val="true"/>
        </w:rPr>
        <w:t xml:space="preserve">اشتراط </w:t>
      </w:r>
      <w:r>
        <w:rPr>
          <w:rtl w:val="true"/>
        </w:rPr>
        <w:t>«</w:t>
      </w:r>
      <w:r>
        <w:rPr>
          <w:rtl w:val="true"/>
        </w:rPr>
        <w:t>علم</w:t>
      </w:r>
      <w:r>
        <w:rPr>
          <w:rtl w:val="true"/>
        </w:rPr>
        <w:t xml:space="preserve">» </w:t>
      </w:r>
      <w:r>
        <w:rPr>
          <w:rtl w:val="true"/>
        </w:rPr>
        <w:t>در قسامه</w:t>
      </w:r>
      <w:bookmarkEnd w:id="2652"/>
    </w:p>
    <w:p>
      <w:pPr>
        <w:pStyle w:val="BookText"/>
        <w:rPr/>
      </w:pPr>
      <w:r>
        <w:rPr>
          <w:rFonts w:ascii="IRNazanin" w:hAnsi="IRNazanin" w:eastAsia="IRNazanin"/>
          <w:color w:val="111111"/>
          <w:sz w:val="28"/>
          <w:sz w:val="28"/>
          <w:szCs w:val="28"/>
          <w:rtl w:val="true"/>
          <w:lang w:bidi="fa-IR"/>
        </w:rPr>
        <w:t>لازم است در اقسام قسامه علم به واقعيت آن چه قسم بر آن ياد مى نمايند، و مطلق ظنّ كافى نيست، و دور نيست كفايت اطمينان</w:t>
      </w:r>
      <w:r>
        <w:rPr>
          <w:rFonts w:eastAsia="IRNazanin" w:cs="IRNazanin"/>
          <w:color w:val="111111"/>
          <w:sz w:val="28"/>
          <w:szCs w:val="28"/>
          <w:rtl w:val="true"/>
          <w:lang w:bidi="fa-IR"/>
        </w:rPr>
        <w:t>.</w:t>
      </w:r>
    </w:p>
    <w:p>
      <w:pPr>
        <w:pStyle w:val="Heading6"/>
        <w:numPr>
          <w:ilvl w:val="5"/>
          <w:numId w:val="1"/>
        </w:numPr>
        <w:rPr/>
      </w:pPr>
      <w:bookmarkStart w:id="2653" w:name="__RefHeading___Toc3973229_1067777946"/>
      <w:bookmarkStart w:id="2654" w:name="_Toc1122"/>
      <w:bookmarkEnd w:id="2653"/>
      <w:r>
        <w:rPr>
          <w:rtl w:val="true"/>
        </w:rPr>
        <w:t>قسامۀ كافر بر مسلم</w:t>
      </w:r>
      <w:bookmarkEnd w:id="2654"/>
    </w:p>
    <w:p>
      <w:pPr>
        <w:pStyle w:val="BookText"/>
        <w:rPr/>
      </w:pPr>
      <w:r>
        <w:rPr>
          <w:rFonts w:ascii="IRNazanin" w:hAnsi="IRNazanin" w:eastAsia="IRNazanin"/>
          <w:color w:val="111111"/>
          <w:sz w:val="28"/>
          <w:sz w:val="28"/>
          <w:szCs w:val="28"/>
          <w:rtl w:val="true"/>
          <w:lang w:bidi="fa-IR"/>
        </w:rPr>
        <w:t>در قبول قسامه كافر بر مسلم در دعواى نفس و غير آن در خطأ و عمد، خلاف است، اظهر قبول قسامه اهل ذمّه است بر مسلم اگر چه نتيجه قصاص نيست، و احتمال ثبوت در غير اهل ذمّه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قسامۀ مرتد بر مسلم، تأمل است</w:t>
      </w:r>
      <w:r>
        <w:rPr>
          <w:rFonts w:eastAsia="IRNazanin" w:cs="IRNazanin"/>
          <w:color w:val="111111"/>
          <w:sz w:val="28"/>
          <w:szCs w:val="28"/>
          <w:rtl w:val="true"/>
          <w:lang w:bidi="fa-IR"/>
        </w:rPr>
        <w:t>.</w:t>
      </w:r>
    </w:p>
    <w:p>
      <w:pPr>
        <w:pStyle w:val="Heading6"/>
        <w:numPr>
          <w:ilvl w:val="5"/>
          <w:numId w:val="1"/>
        </w:numPr>
        <w:rPr/>
      </w:pPr>
      <w:bookmarkStart w:id="2655" w:name="__RefHeading___Toc3973231_1067777946"/>
      <w:bookmarkStart w:id="2656" w:name="_Toc1123"/>
      <w:bookmarkEnd w:id="2655"/>
      <w:r>
        <w:rPr>
          <w:rtl w:val="true"/>
        </w:rPr>
        <w:t>قسامه در عبد و اَمه</w:t>
      </w:r>
      <w:bookmarkEnd w:id="2656"/>
    </w:p>
    <w:p>
      <w:pPr>
        <w:pStyle w:val="BookText"/>
        <w:rPr/>
      </w:pPr>
      <w:r>
        <w:rPr>
          <w:rFonts w:ascii="IRNazanin" w:hAnsi="IRNazanin" w:eastAsia="IRNazanin"/>
          <w:color w:val="111111"/>
          <w:sz w:val="28"/>
          <w:sz w:val="28"/>
          <w:szCs w:val="28"/>
          <w:rtl w:val="true"/>
          <w:lang w:bidi="fa-IR"/>
        </w:rPr>
        <w:t xml:space="preserve">مولاى عبد و امه، ولىّ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اثبات قتل عمد و خطأ آنها را با قسامه با ثبوت لوث نمايد، چه آن كه قاتل و مدّعىٰ عليه حرّ باشد يا مملوك، براى اثبات مجرد ديه يا قود؛ و ساير احكام عمد و خطأ و حكم دعواى قتل، مرتب است نه دعواى مال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مكاتب مطلق و مشروط، اقسام در قتل مملوك او با لوث، ثابت است، مثل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نكول كرد بعد فسخ شد مكاتبه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موت يا عجز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حق قسامه ندارد؛ و اگر عجز يا موت، قبل از نكول، واقع شد، مى تواند مولى به سبب قسامه اثبات حق نمايد نسبت به مملوك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هركجا حق قسامه براى مالك است نه مملوك، فرقى بين نفس مملوك و اعضاى او نيست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عبد مجروح ديده شد، پس از آن عتق شد، پس از آن به سرايت وفات كرد؛ پس بنا بر عدم ثبوت قصاص به جهت اختلاف حال جنايت و سرايت و اثبات ديه با قسامه و لوث، ديه عضو و جراحت در صورت عدم تجاوز از قيمت مجروح براى سيد است با حلف سيّد و با حلف او براى قيمت مجروح، و حلف وارث براى زيادتى در صورت زيادتى ديه از قيمت در ضمن قيمت مجموع كه تلف شده است</w:t>
      </w:r>
      <w:r>
        <w:rPr>
          <w:rFonts w:eastAsia="IRNazanin" w:cs="IRNazanin"/>
          <w:color w:val="111111"/>
          <w:sz w:val="28"/>
          <w:szCs w:val="28"/>
          <w:rtl w:val="true"/>
          <w:lang w:bidi="fa-IR"/>
        </w:rPr>
        <w:t xml:space="preserve">. </w:t>
      </w:r>
      <w:bookmarkStart w:id="2657" w:name="pg10275_96926"/>
    </w:p>
    <w:p>
      <w:pPr>
        <w:pStyle w:val="BookText"/>
        <w:rPr/>
      </w:pPr>
      <w:bookmarkEnd w:id="2657"/>
      <w:r>
        <w:rPr>
          <w:rFonts w:ascii="IRNazanin" w:hAnsi="IRNazanin" w:eastAsia="IRNazanin"/>
          <w:color w:val="111111"/>
          <w:sz w:val="28"/>
          <w:sz w:val="28"/>
          <w:szCs w:val="28"/>
          <w:rtl w:val="true"/>
          <w:lang w:bidi="fa-IR"/>
        </w:rPr>
        <w:t>اگر وصيت كرد قيمت عبدى را كه مقتول شد، پس حلف وارث براى قسامه با لوث، و حلف موصى له در صورت امتناع وارث از حلف، خالى از وجه نيست</w:t>
      </w:r>
      <w:r>
        <w:rPr>
          <w:rFonts w:eastAsia="IRNazanin" w:cs="IRNazanin"/>
          <w:color w:val="111111"/>
          <w:sz w:val="28"/>
          <w:szCs w:val="28"/>
          <w:rtl w:val="true"/>
          <w:lang w:bidi="fa-IR"/>
        </w:rPr>
        <w:t>.</w:t>
      </w:r>
    </w:p>
    <w:p>
      <w:pPr>
        <w:pStyle w:val="Heading6"/>
        <w:numPr>
          <w:ilvl w:val="5"/>
          <w:numId w:val="1"/>
        </w:numPr>
        <w:rPr/>
      </w:pPr>
      <w:bookmarkStart w:id="2658" w:name="__RefHeading___Toc3973233_1067777946"/>
      <w:bookmarkStart w:id="2659" w:name="_Toc1124"/>
      <w:bookmarkEnd w:id="2658"/>
      <w:r>
        <w:rPr>
          <w:rtl w:val="true"/>
        </w:rPr>
        <w:t>قسامۀ مرتدّ</w:t>
      </w:r>
      <w:bookmarkEnd w:id="2659"/>
    </w:p>
    <w:p>
      <w:pPr>
        <w:pStyle w:val="BookText"/>
        <w:rPr/>
      </w:pPr>
      <w:r>
        <w:rPr>
          <w:rFonts w:ascii="IRNazanin" w:hAnsi="IRNazanin" w:eastAsia="IRNazanin"/>
          <w:color w:val="111111"/>
          <w:sz w:val="28"/>
          <w:sz w:val="28"/>
          <w:szCs w:val="28"/>
          <w:rtl w:val="true"/>
          <w:lang w:bidi="fa-IR"/>
        </w:rPr>
        <w:t xml:space="preserve">در ثبوت قسامه براى ولىّ در صورت ارتداد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فرق بين فطرى و ملّى، و سابق بر قتل و لاحق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آن چه راجع به اكتساب غير ممنوع است، تأمل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كافر به ارتداد، بر مسلمان</w:t>
      </w:r>
      <w:r>
        <w:rPr>
          <w:rFonts w:eastAsia="IRNazanin" w:cs="IRNazanin"/>
          <w:color w:val="111111"/>
          <w:sz w:val="28"/>
          <w:szCs w:val="28"/>
          <w:rtl w:val="true"/>
          <w:lang w:bidi="fa-IR"/>
        </w:rPr>
        <w:t>.</w:t>
      </w:r>
    </w:p>
    <w:p>
      <w:pPr>
        <w:pStyle w:val="Heading6"/>
        <w:numPr>
          <w:ilvl w:val="5"/>
          <w:numId w:val="1"/>
        </w:numPr>
        <w:rPr/>
      </w:pPr>
      <w:bookmarkStart w:id="2660" w:name="__RefHeading___Toc3973235_1067777946"/>
      <w:bookmarkStart w:id="2661" w:name="_Toc1125"/>
      <w:bookmarkEnd w:id="2660"/>
      <w:r>
        <w:rPr>
          <w:rtl w:val="true"/>
        </w:rPr>
        <w:t>امور معتبره در قسامه</w:t>
      </w:r>
      <w:bookmarkEnd w:id="2661"/>
    </w:p>
    <w:p>
      <w:pPr>
        <w:pStyle w:val="BookText"/>
        <w:rPr/>
      </w:pPr>
      <w:r>
        <w:rPr>
          <w:rFonts w:ascii="IRNazanin" w:hAnsi="IRNazanin" w:eastAsia="IRNazanin"/>
          <w:color w:val="111111"/>
          <w:sz w:val="28"/>
          <w:sz w:val="28"/>
          <w:szCs w:val="28"/>
          <w:rtl w:val="true"/>
          <w:lang w:bidi="fa-IR"/>
        </w:rPr>
        <w:t>معتبر است در يمين مدّعى و 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از هر گونه ابهام در تعيين محلوف عليه؛ و موافقت با اعراب از اهل آن با قدرت؛ و از غير اهل، اكتفاى به متفاهم در عرف آنها از كيفيات لفظ كه مفهم معنى است،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يمين حالف، محمول بر موافق مقصود مدّعى و حاكم است مگر با تصريح به خلاف، و احتياج به دلالت بر وفاق ندارد</w:t>
      </w:r>
      <w:r>
        <w:rPr>
          <w:rFonts w:eastAsia="IRNazanin" w:cs="IRNazanin"/>
          <w:color w:val="111111"/>
          <w:sz w:val="28"/>
          <w:szCs w:val="28"/>
          <w:rtl w:val="true"/>
          <w:lang w:bidi="fa-IR"/>
        </w:rPr>
        <w:t>.</w:t>
      </w:r>
    </w:p>
    <w:p>
      <w:pPr>
        <w:pStyle w:val="Heading5"/>
        <w:numPr>
          <w:ilvl w:val="4"/>
          <w:numId w:val="1"/>
        </w:numPr>
        <w:rPr/>
      </w:pPr>
      <w:bookmarkStart w:id="2662" w:name="__RefHeading___Toc3973237_1067777946"/>
      <w:bookmarkStart w:id="2663" w:name="_Toc1126"/>
      <w:bookmarkEnd w:id="2662"/>
      <w:r>
        <w:rPr>
          <w:rtl w:val="true"/>
        </w:rPr>
        <w:t>مقصد سوم</w:t>
      </w:r>
      <w:r>
        <w:rPr>
          <w:rtl w:val="true"/>
        </w:rPr>
        <w:t xml:space="preserve">: </w:t>
      </w:r>
      <w:r>
        <w:rPr>
          <w:rtl w:val="true"/>
        </w:rPr>
        <w:t>در احكام قسامه است</w:t>
      </w:r>
      <w:bookmarkEnd w:id="2663"/>
    </w:p>
    <w:p>
      <w:pPr>
        <w:pStyle w:val="Heading6"/>
        <w:numPr>
          <w:ilvl w:val="5"/>
          <w:numId w:val="1"/>
        </w:numPr>
        <w:rPr/>
      </w:pPr>
      <w:bookmarkStart w:id="2664" w:name="__RefHeading___Toc3973239_1067777946"/>
      <w:bookmarkStart w:id="2665" w:name="_Toc1127"/>
      <w:bookmarkEnd w:id="2664"/>
      <w:r>
        <w:rPr>
          <w:rtl w:val="true"/>
        </w:rPr>
        <w:t>آن چه به سبب قسامه ثابت مى شود</w:t>
      </w:r>
      <w:bookmarkEnd w:id="2665"/>
    </w:p>
    <w:p>
      <w:pPr>
        <w:pStyle w:val="BookText"/>
        <w:rPr/>
      </w:pPr>
      <w:r>
        <w:rPr>
          <w:rFonts w:ascii="Amiri" w:hAnsi="Amiri" w:eastAsia="Amiri" w:cs="Amiri"/>
          <w:color w:val="111111"/>
          <w:sz w:val="28"/>
          <w:sz w:val="28"/>
          <w:szCs w:val="28"/>
          <w:rtl w:val="true"/>
          <w:lang w:bidi="ar-SA"/>
        </w:rPr>
        <w:t xml:space="preserve">ثابت مى شود به سبب قسامه در قتل عمدى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شبيه به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ديه از مال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خطأ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ديه بر عاقلۀ قاتل</w:t>
      </w:r>
      <w:r>
        <w:rPr>
          <w:rFonts w:eastAsia="Amiri" w:cs="Amiri" w:ascii="Amiri" w:hAnsi="Amiri"/>
          <w:color w:val="111111"/>
          <w:sz w:val="28"/>
          <w:szCs w:val="28"/>
          <w:rtl w:val="true"/>
          <w:lang w:bidi="ar-SA"/>
        </w:rPr>
        <w:t>».</w:t>
      </w:r>
    </w:p>
    <w:p>
      <w:pPr>
        <w:pStyle w:val="Heading6"/>
        <w:numPr>
          <w:ilvl w:val="5"/>
          <w:numId w:val="1"/>
        </w:numPr>
        <w:rPr/>
      </w:pPr>
      <w:bookmarkStart w:id="2666" w:name="__RefHeading___Toc3973241_1067777946"/>
      <w:bookmarkStart w:id="2667" w:name="_Toc1128"/>
      <w:bookmarkEnd w:id="2666"/>
      <w:r>
        <w:rPr>
          <w:rtl w:val="true"/>
        </w:rPr>
        <w:t>ادّعاى قتل دو نفر و بودن لوث در يكى</w:t>
      </w:r>
      <w:bookmarkEnd w:id="266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ادّعاى قتل به دو نفر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لوث بود، حكم قسامه در همان يك ثابت است، و در ديگرى منتفى است بلكه به قاعدۀ مدّعى و منكر عمل مى شود در بارۀ او؛ پس اگر قصاص كرد از صاحب لوث، نصف ديه را بر او ردّ مى نمايد؛ و همچنين ديگرى اگر ثابت شد بر او قتل به موازين قضا</w:t>
      </w:r>
      <w:r>
        <w:rPr>
          <w:rFonts w:eastAsia="IRNazanin" w:cs="IRNazanin"/>
          <w:color w:val="111111"/>
          <w:sz w:val="28"/>
          <w:szCs w:val="28"/>
          <w:rtl w:val="true"/>
          <w:lang w:bidi="fa-IR"/>
        </w:rPr>
        <w:t xml:space="preserve">. </w:t>
      </w:r>
      <w:bookmarkStart w:id="2668" w:name="pg10275_96928"/>
    </w:p>
    <w:p>
      <w:pPr>
        <w:pStyle w:val="Heading6"/>
        <w:numPr>
          <w:ilvl w:val="5"/>
          <w:numId w:val="1"/>
        </w:numPr>
        <w:rPr/>
      </w:pPr>
      <w:bookmarkStart w:id="2669" w:name="__RefHeading___Toc3973243_1067777946"/>
      <w:bookmarkStart w:id="2670" w:name="_Toc1129"/>
      <w:bookmarkEnd w:id="2668"/>
      <w:bookmarkEnd w:id="2669"/>
      <w:r>
        <w:rPr>
          <w:rtl w:val="true"/>
        </w:rPr>
        <w:t>ثابت بودن لوث و غيبت يكى از دو ولىّ‌</w:t>
      </w:r>
      <w:bookmarkEnd w:id="2670"/>
    </w:p>
    <w:p>
      <w:pPr>
        <w:pStyle w:val="BookText"/>
        <w:rPr/>
      </w:pPr>
      <w:r>
        <w:rPr>
          <w:rFonts w:ascii="IRNazanin" w:hAnsi="IRNazanin" w:eastAsia="IRNazanin"/>
          <w:color w:val="111111"/>
          <w:sz w:val="28"/>
          <w:sz w:val="28"/>
          <w:szCs w:val="28"/>
          <w:rtl w:val="true"/>
          <w:lang w:bidi="fa-IR"/>
        </w:rPr>
        <w:t xml:space="preserve">اگر يكى از دو ولىّ‌، غايب بود و لوث ثابت بود، حاضر با حلف خود پنجاه يمين را، اثبات حق مى نمايد و استيفاى حق مى نمايد، و انتظار ديگرى واجب نيست اگر چه بخواهد قصاص نمايد، و مى تواند صبر نمايد تا حاضر شود و با اجتماع، پنجاه يمين را ايقاع نمايند هر كدام نصف آن را به قدر نصيبش؛ و اگر غايب حاضر شد و عفو نكرد،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اثبات حق و استيفا مى نمايد</w:t>
      </w:r>
      <w:r>
        <w:rPr>
          <w:rFonts w:eastAsia="IRNazanin" w:cs="IRNazanin"/>
          <w:color w:val="111111"/>
          <w:sz w:val="28"/>
          <w:szCs w:val="28"/>
          <w:rtl w:val="true"/>
          <w:lang w:bidi="fa-IR"/>
        </w:rPr>
        <w:t>.</w:t>
      </w:r>
    </w:p>
    <w:p>
      <w:pPr>
        <w:pStyle w:val="Heading6"/>
        <w:numPr>
          <w:ilvl w:val="5"/>
          <w:numId w:val="1"/>
        </w:numPr>
        <w:rPr/>
      </w:pPr>
      <w:bookmarkStart w:id="2671" w:name="__RefHeading___Toc3973245_1067777946"/>
      <w:bookmarkStart w:id="2672" w:name="_Toc1130"/>
      <w:bookmarkEnd w:id="2671"/>
      <w:r>
        <w:rPr>
          <w:rtl w:val="true"/>
        </w:rPr>
        <w:t>غيبت بعضى از ورثه و حضور برخى از آنها</w:t>
      </w:r>
      <w:bookmarkEnd w:id="2672"/>
    </w:p>
    <w:p>
      <w:pPr>
        <w:pStyle w:val="BookText"/>
        <w:rPr/>
      </w:pPr>
      <w:r>
        <w:rPr>
          <w:rFonts w:ascii="IRNazanin" w:hAnsi="IRNazanin" w:eastAsia="IRNazanin"/>
          <w:color w:val="111111"/>
          <w:sz w:val="28"/>
          <w:sz w:val="28"/>
          <w:szCs w:val="28"/>
          <w:rtl w:val="true"/>
          <w:lang w:bidi="fa-IR"/>
        </w:rPr>
        <w:t xml:space="preserve">و اگر وارث، سه نفر باشد و يكى از آنها غايب بود، پنجاه يمين را دو نفر حاضر با قوم ايشان ايقاع مى نمايند و نصيب هر يك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غايب اگر حاضر شد، ثلث پنجاه را با تكميل كسر، ايقاع مى نمايد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باشد و اثبات حق و استيفا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حاضر بود پنجاه قسم را ايقاع مى نمايد، و غايب ها اگر حاضر شدند هر كدام هفده قسم را ايقاع مى نمايد؛ و اگر يكى از آنها حاضر شد بيست و پنج قسم ايقاع مى نمايد، پس از آنها اگر سومى حاضر شد اكتفاى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نمايد براى اثبات حق خودش و استيفاى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حكمى به حقى براى يك ولىّ‌، بايد مسبوق به تكميل قسامه باشد، و بايد رعايت احتمال عدم حضور بقيه بشود، لذا بر دومى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لازم شد و بر سومى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صورتى كه اوليا، چهار نفر باشند، در توزيع به نسبت شبيهۀ به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ترتيب مذكور در غيبت بعضى، جارى است در صغر و جنون بعضى، و مختار مشهور از متأخرين است و موافق احتياط است نسبت به اكتفاى به يك قسامه براى همه؛ و اما بنا بر رعايت احتمال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فصل حكم براى بعض مدّعيها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احوط قسامه كامله از هر كدام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حكم صغير و مجنون، حكم غايب است، مگر در احتمال قيام دعواى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كمال و ادّعاى آنها</w:t>
      </w:r>
      <w:r>
        <w:rPr>
          <w:rFonts w:eastAsia="IRNazanin" w:cs="IRNazanin"/>
          <w:color w:val="111111"/>
          <w:sz w:val="28"/>
          <w:szCs w:val="28"/>
          <w:rtl w:val="true"/>
          <w:lang w:bidi="fa-IR"/>
        </w:rPr>
        <w:t xml:space="preserve">. </w:t>
      </w:r>
      <w:bookmarkStart w:id="2673" w:name="pg10275_96930"/>
    </w:p>
    <w:p>
      <w:pPr>
        <w:pStyle w:val="Heading6"/>
        <w:numPr>
          <w:ilvl w:val="5"/>
          <w:numId w:val="1"/>
        </w:numPr>
        <w:rPr/>
      </w:pPr>
      <w:bookmarkStart w:id="2674" w:name="__RefHeading___Toc3973247_1067777946"/>
      <w:bookmarkStart w:id="2675" w:name="_Toc1131"/>
      <w:bookmarkEnd w:id="2673"/>
      <w:bookmarkEnd w:id="2674"/>
      <w:r>
        <w:rPr>
          <w:rtl w:val="true"/>
        </w:rPr>
        <w:t>حضور غايب و تصديق و عدم تصديق او</w:t>
      </w:r>
      <w:bookmarkEnd w:id="2675"/>
    </w:p>
    <w:p>
      <w:pPr>
        <w:pStyle w:val="BookText"/>
        <w:rPr/>
      </w:pPr>
      <w:r>
        <w:rPr>
          <w:rFonts w:ascii="IRNazanin" w:hAnsi="IRNazanin" w:eastAsia="IRNazanin"/>
          <w:color w:val="111111"/>
          <w:sz w:val="28"/>
          <w:sz w:val="28"/>
          <w:szCs w:val="28"/>
          <w:rtl w:val="true"/>
          <w:lang w:bidi="fa-IR"/>
        </w:rPr>
        <w:t>و پس از حضور غايب، اگر تصديق نكرد قصاص كننده را در موجب قصاص، چيزى بر او از يمين نيست با عدم ادّعا، و بر قصاص كننده است اداى زيادتى از نصيب خودش را براى ورثۀ مقتول به قصاص؛ و اگر تصديق كرد و راضى به فعل او بود، يمين بر او نيست با انتفاى موضوع دعوىٰ‌، مگر براى دفع اخذ بعض ديه، براى ورثۀ مقتول به قصاص، از قصاص كننده؛ و اگر تصديق كرد و راضى به قصاص نبود، مى تواند با قسامه، مطالبۀ بعض ديه از قصاص كننده يا ورثۀ مقتول به قصاص نمايد</w:t>
      </w:r>
      <w:r>
        <w:rPr>
          <w:rFonts w:eastAsia="IRNazanin" w:cs="IRNazanin"/>
          <w:color w:val="111111"/>
          <w:sz w:val="28"/>
          <w:szCs w:val="28"/>
          <w:rtl w:val="true"/>
          <w:lang w:bidi="fa-IR"/>
        </w:rPr>
        <w:t>.</w:t>
      </w:r>
    </w:p>
    <w:p>
      <w:pPr>
        <w:pStyle w:val="Heading6"/>
        <w:numPr>
          <w:ilvl w:val="5"/>
          <w:numId w:val="1"/>
        </w:numPr>
        <w:rPr/>
      </w:pPr>
      <w:bookmarkStart w:id="2676" w:name="__RefHeading___Toc3973249_1067777946"/>
      <w:bookmarkStart w:id="2677" w:name="_Toc1132"/>
      <w:bookmarkEnd w:id="2676"/>
      <w:r>
        <w:rPr>
          <w:rtl w:val="true"/>
        </w:rPr>
        <w:t>تكذيب اوليا يكديگر را</w:t>
      </w:r>
      <w:bookmarkEnd w:id="2677"/>
    </w:p>
    <w:p>
      <w:pPr>
        <w:pStyle w:val="BookText"/>
        <w:rPr/>
      </w:pPr>
      <w:r>
        <w:rPr>
          <w:rFonts w:ascii="IRNazanin" w:hAnsi="IRNazanin" w:eastAsia="IRNazanin"/>
          <w:color w:val="111111"/>
          <w:sz w:val="28"/>
          <w:sz w:val="28"/>
          <w:szCs w:val="28"/>
          <w:rtl w:val="true"/>
          <w:lang w:bidi="fa-IR"/>
        </w:rPr>
        <w:t>اگر يكى از دو ولىّ‌، تكذيب كرد ديگرى را، حق ديگرى ساقط نمى شود با ثبوت لوث، و مى تواند با قسامه اثبات حق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قاتل پدر ما است،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عمرو قاتل پدر ما است، هر كدام بر طبق مدعاى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ايقاع مى نمايد و اثبات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نصف ديه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و خواهد آمد كه اين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اوليا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زيد است،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شناسم زيد را،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است، چهارمى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شناسم عمرو را، هر كدام كه معين مى كنند، با قسامه ربع ديه را وصول مى نمايند با لوث، و انتفاى قصاص به واسطۀ تكذيب معيّن عمرو است معيّن زيد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عالم، ادّعاى انكشاف و علم لاحق و تعيين معيّن ديگرى نمود، با قسامه ربع ديه را مأخوذ مى دارد با لوث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موارد تكذيب، احتياط، موافق تعين ديه است، و محتمل است بطلان قسامه به جهت 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و عدم سلامت قسامه در آن به جهت تكاذب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از دو ولىّ‌، تعيين كرد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تعيين كرد زيد و عمرو را با همديگر؛ پس بنا بر عدم ابطال، نصف ديه را از زيد مى گيرد مدعى تعيين او بالخصوص با لوث و قسامه؛ و مدعى اشتراك، از هر كدام ربع ديه را مأخوذ مى دارد با </w:t>
      </w:r>
      <w:bookmarkStart w:id="2678" w:name="pg10275_96932"/>
    </w:p>
    <w:p>
      <w:pPr>
        <w:pStyle w:val="BookText"/>
        <w:rPr/>
      </w:pPr>
      <w:bookmarkEnd w:id="2678"/>
      <w:r>
        <w:rPr>
          <w:rFonts w:ascii="Amiri" w:hAnsi="Amiri" w:eastAsia="Amiri" w:cs="Amiri"/>
          <w:color w:val="111111"/>
          <w:sz w:val="28"/>
          <w:sz w:val="28"/>
          <w:szCs w:val="28"/>
          <w:rtl w:val="true"/>
          <w:lang w:bidi="ar-SA"/>
        </w:rPr>
        <w:t>لوث و قسامه؛ و بنا بر بطلان به سبب تكاذب، محتمل است سلامت ربع ديه از زيد براى مدّعى تعيين او با قسامه، و سلامت ربع ديه از عمرو براى مدّعى اشتراك او با قسامه</w:t>
      </w:r>
      <w:r>
        <w:rPr>
          <w:rFonts w:eastAsia="Amiri" w:cs="Amiri" w:ascii="Amiri" w:hAnsi="Amiri"/>
          <w:color w:val="111111"/>
          <w:sz w:val="28"/>
          <w:szCs w:val="28"/>
          <w:rtl w:val="true"/>
          <w:lang w:bidi="ar-SA"/>
        </w:rPr>
        <w:t>.</w:t>
      </w:r>
    </w:p>
    <w:p>
      <w:pPr>
        <w:pStyle w:val="Heading6"/>
        <w:numPr>
          <w:ilvl w:val="5"/>
          <w:numId w:val="1"/>
        </w:numPr>
        <w:rPr/>
      </w:pPr>
      <w:bookmarkStart w:id="2679" w:name="__RefHeading___Toc3973251_1067777946"/>
      <w:bookmarkStart w:id="2680" w:name="_Toc1133"/>
      <w:bookmarkEnd w:id="2679"/>
      <w:r>
        <w:rPr>
          <w:rtl w:val="true"/>
        </w:rPr>
        <w:t>فوت ولى قبل از حلف و يا در اثناى آن</w:t>
      </w:r>
      <w:bookmarkEnd w:id="2680"/>
    </w:p>
    <w:p>
      <w:pPr>
        <w:pStyle w:val="BookText"/>
        <w:rPr/>
      </w:pPr>
      <w:r>
        <w:rPr>
          <w:rFonts w:ascii="IRNazanin" w:hAnsi="IRNazanin" w:eastAsia="IRNazanin"/>
          <w:color w:val="111111"/>
          <w:sz w:val="28"/>
          <w:sz w:val="28"/>
          <w:szCs w:val="28"/>
          <w:rtl w:val="true"/>
          <w:lang w:bidi="fa-IR"/>
        </w:rPr>
        <w:t>اگر ولىّ‌، قبل از حلف، وفات كرد، وارث او در قسامه جانشين او مى شود؛ و اگر در اثناى يمين ها وفات كرد، احوط براى وارث، استيناف ايمان است؛ و اگر بعد از اتمام عدد وفات كرد، وارث در اثبات حق محتاج به يمين نيست</w:t>
      </w:r>
      <w:r>
        <w:rPr>
          <w:rFonts w:eastAsia="IRNazanin" w:cs="IRNazanin"/>
          <w:color w:val="111111"/>
          <w:sz w:val="28"/>
          <w:szCs w:val="28"/>
          <w:rtl w:val="true"/>
          <w:lang w:bidi="fa-IR"/>
        </w:rPr>
        <w:t>.</w:t>
      </w:r>
    </w:p>
    <w:p>
      <w:pPr>
        <w:pStyle w:val="Heading6"/>
        <w:numPr>
          <w:ilvl w:val="5"/>
          <w:numId w:val="1"/>
        </w:numPr>
        <w:rPr/>
      </w:pPr>
      <w:bookmarkStart w:id="2681" w:name="__RefHeading___Toc3973253_1067777946"/>
      <w:bookmarkStart w:id="2682" w:name="_Toc1134"/>
      <w:bookmarkEnd w:id="2681"/>
      <w:r>
        <w:rPr>
          <w:rtl w:val="true"/>
        </w:rPr>
        <w:t>چند مسأله</w:t>
      </w:r>
      <w:bookmarkEnd w:id="2682"/>
    </w:p>
    <w:p>
      <w:pPr>
        <w:pStyle w:val="Heading6"/>
        <w:numPr>
          <w:ilvl w:val="5"/>
          <w:numId w:val="1"/>
        </w:numPr>
        <w:rPr/>
      </w:pPr>
      <w:bookmarkStart w:id="2683" w:name="__RefHeading___Toc3973255_1067777946"/>
      <w:bookmarkStart w:id="2684" w:name="_Toc1135"/>
      <w:bookmarkEnd w:id="2683"/>
      <w:r>
        <w:rPr>
          <w:rtl w:val="true"/>
        </w:rPr>
        <w:t>قيام بيّنه بر غايب بودن در زمان مدّعىٰ‌</w:t>
      </w:r>
      <w:bookmarkEnd w:id="2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بيّنه قائم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حكم به سبب قسامه و قصاص يا اخذ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غائب بودن قاتل مثلاً در زمان مدّعىٰ‌، پس در نقض حكم به اخذ ديه يا استرجاع آن با عدم علم به خلاف تأمل است</w:t>
      </w:r>
      <w:r>
        <w:rPr>
          <w:rFonts w:eastAsia="IRNazanin" w:cs="IRNazanin"/>
          <w:color w:val="111111"/>
          <w:sz w:val="28"/>
          <w:szCs w:val="28"/>
          <w:rtl w:val="true"/>
          <w:lang w:bidi="fa-IR"/>
        </w:rPr>
        <w:t>.</w:t>
      </w:r>
    </w:p>
    <w:p>
      <w:pPr>
        <w:pStyle w:val="Heading6"/>
        <w:numPr>
          <w:ilvl w:val="5"/>
          <w:numId w:val="1"/>
        </w:numPr>
        <w:rPr/>
      </w:pPr>
      <w:bookmarkStart w:id="2685" w:name="__RefHeading___Toc3973257_1067777946"/>
      <w:bookmarkStart w:id="2686" w:name="_Toc1136"/>
      <w:bookmarkEnd w:id="2685"/>
      <w:r>
        <w:rPr>
          <w:rtl w:val="true"/>
        </w:rPr>
        <w:t xml:space="preserve">اگر ولى نسبت به ديه بگويد </w:t>
      </w:r>
      <w:r>
        <w:rPr>
          <w:rtl w:val="true"/>
        </w:rPr>
        <w:t>«</w:t>
      </w:r>
      <w:r>
        <w:rPr>
          <w:rtl w:val="true"/>
        </w:rPr>
        <w:t>اين مال حرام است</w:t>
      </w:r>
      <w:r>
        <w:rPr>
          <w:rtl w:val="true"/>
        </w:rPr>
        <w:t>»</w:t>
      </w:r>
      <w:bookmarkEnd w:id="26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قسامه و استيفاى ديه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حرام است، سؤال مى شود تفسير آن؛ پس اگر تفسير كرد به اين كه در يمين، كاذب بوده از روى عمد يا سهو، استرجاع مى شود؛ و اگر تفسير كرده به حنفىّ بودن در قسامه، مدّعىٰ عليه اعتراضى نمى نمايد، به سبب ابتناى حكم بر مذهب حاكم در حكم محقَّق؛ و اگر تفسير كرد به عدم مالكيّت باذل؛ پس اگر تعيين مالك نمود، الزام مى شود به دفع به او، و بر قاتل هم به مجرد اقرار خودش حقّى ندارد؛ و با عدم تعيين، رعايت مى شود مذهب ذُو اليد و آن كه از او مى خواهد بگيرد</w:t>
      </w:r>
      <w:r>
        <w:rPr>
          <w:rFonts w:eastAsia="IRNazanin" w:cs="IRNazanin"/>
          <w:color w:val="111111"/>
          <w:sz w:val="28"/>
          <w:szCs w:val="28"/>
          <w:rtl w:val="true"/>
          <w:lang w:bidi="fa-IR"/>
        </w:rPr>
        <w:t>.</w:t>
      </w:r>
      <w:bookmarkStart w:id="2687" w:name="pg10275_96934"/>
    </w:p>
    <w:p>
      <w:pPr>
        <w:pStyle w:val="Heading6"/>
        <w:numPr>
          <w:ilvl w:val="5"/>
          <w:numId w:val="1"/>
        </w:numPr>
        <w:rPr/>
      </w:pPr>
      <w:bookmarkStart w:id="2688" w:name="__RefHeading___Toc3973259_1067777946"/>
      <w:bookmarkStart w:id="2689" w:name="_Toc1137"/>
      <w:bookmarkEnd w:id="2687"/>
      <w:bookmarkEnd w:id="2688"/>
      <w:r>
        <w:rPr>
          <w:rtl w:val="true"/>
        </w:rPr>
        <w:t>اقرار به قتل توسط شخصى بعد از قسامه</w:t>
      </w:r>
      <w:bookmarkEnd w:id="26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اثبات مدّعىٰ با قسامه، اگر كسى اقرار كرد به اين كه قاتل، خودش بوده به نحو انفراد، وجهى براى عمل به اقرار معلوم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يقين به مقتضاى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فرض حلف ولىّ از روى يقين مطابق ادّعاى خودش</w:t>
      </w:r>
      <w:r>
        <w:rPr>
          <w:rFonts w:eastAsia="IRNazanin" w:cs="IRNazanin"/>
          <w:color w:val="111111"/>
          <w:sz w:val="28"/>
          <w:szCs w:val="28"/>
          <w:rtl w:val="true"/>
          <w:lang w:bidi="fa-IR"/>
        </w:rPr>
        <w:t>.</w:t>
      </w:r>
    </w:p>
    <w:p>
      <w:pPr>
        <w:pStyle w:val="Heading6"/>
        <w:numPr>
          <w:ilvl w:val="5"/>
          <w:numId w:val="1"/>
        </w:numPr>
        <w:rPr/>
      </w:pPr>
      <w:bookmarkStart w:id="2690" w:name="__RefHeading___Toc3973261_1067777946"/>
      <w:bookmarkStart w:id="2691" w:name="_Toc1138"/>
      <w:bookmarkEnd w:id="2690"/>
      <w:r>
        <w:rPr>
          <w:rtl w:val="true"/>
        </w:rPr>
        <w:t>حبس متهم به قتل</w:t>
      </w:r>
      <w:bookmarkEnd w:id="26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با التماس ولىّ‌، در صورت متّهم بودن شخصى به قتل، نمى تواند حبس نمايد براى احضار بيّنه بنا بر اظهر؛ اگر چه احتياط در حبس، و در عدم امتناع متّهم است در صورت عدم منافات با عرض و جاه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حبس در غير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است</w:t>
      </w:r>
      <w:r>
        <w:rPr>
          <w:rFonts w:eastAsia="IRNazanin" w:cs="IRNazanin"/>
          <w:color w:val="111111"/>
          <w:sz w:val="28"/>
          <w:szCs w:val="28"/>
          <w:rtl w:val="true"/>
          <w:lang w:bidi="fa-IR"/>
        </w:rPr>
        <w:t>.</w:t>
      </w:r>
      <w:bookmarkStart w:id="2692" w:name="pg10275_96936"/>
    </w:p>
    <w:p>
      <w:pPr>
        <w:pStyle w:val="Heading3"/>
        <w:numPr>
          <w:ilvl w:val="2"/>
          <w:numId w:val="1"/>
        </w:numPr>
        <w:rPr/>
      </w:pPr>
      <w:bookmarkStart w:id="2693" w:name="__RefHeading___Toc3973263_1067777946"/>
      <w:bookmarkStart w:id="2694" w:name="_Toc1139"/>
      <w:bookmarkEnd w:id="2692"/>
      <w:bookmarkEnd w:id="2693"/>
      <w:r>
        <w:rPr>
          <w:rtl w:val="true"/>
        </w:rPr>
        <w:t>فصل پنجم كيفيّت استيفا</w:t>
      </w:r>
      <w:bookmarkEnd w:id="2694"/>
    </w:p>
    <w:p>
      <w:pPr>
        <w:pStyle w:val="Heading4"/>
        <w:numPr>
          <w:ilvl w:val="3"/>
          <w:numId w:val="1"/>
        </w:numPr>
        <w:rPr/>
      </w:pPr>
      <w:bookmarkStart w:id="2695" w:name="__RefHeading___Toc3973265_1067777946"/>
      <w:bookmarkStart w:id="2696" w:name="_Toc1140"/>
      <w:bookmarkEnd w:id="2695"/>
      <w:r>
        <w:rPr>
          <w:rtl w:val="true"/>
        </w:rPr>
        <w:t>عدول از قصاص به ديه</w:t>
      </w:r>
      <w:bookmarkEnd w:id="2696"/>
    </w:p>
    <w:p>
      <w:pPr>
        <w:pStyle w:val="BookText"/>
        <w:rPr/>
      </w:pPr>
      <w:r>
        <w:rPr>
          <w:rFonts w:ascii="Amiri" w:hAnsi="Amiri" w:eastAsia="Amiri" w:cs="Amiri"/>
          <w:color w:val="111111"/>
          <w:sz w:val="28"/>
          <w:sz w:val="28"/>
          <w:szCs w:val="28"/>
          <w:rtl w:val="true"/>
          <w:lang w:bidi="ar-SA"/>
        </w:rPr>
        <w:t>موجَب عمد در قتل و جرح، قصاص است؛ و ثبوت ديه عوض قصاص، منوط به رضاى جانى و 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جايز و صحيح است صلح با ولىّ بر مالى با رضاى جانى و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عفو كرد بدون الزام مال، قصاص ساقط است و ديه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بذل كرد جانى، نفس را براى قصاص، ولىّ حق مطالبۀ ديه را ندارد</w:t>
      </w:r>
      <w:r>
        <w:rPr>
          <w:rFonts w:eastAsia="IRNazanin" w:cs="IRNazanin"/>
          <w:color w:val="111111"/>
          <w:sz w:val="28"/>
          <w:szCs w:val="28"/>
          <w:rtl w:val="true"/>
          <w:lang w:bidi="fa-IR"/>
        </w:rPr>
        <w:t>.</w:t>
      </w:r>
    </w:p>
    <w:p>
      <w:pPr>
        <w:pStyle w:val="Heading4"/>
        <w:numPr>
          <w:ilvl w:val="3"/>
          <w:numId w:val="1"/>
        </w:numPr>
        <w:rPr/>
      </w:pPr>
      <w:bookmarkStart w:id="2697" w:name="__RefHeading___Toc3973267_1067777946"/>
      <w:bookmarkStart w:id="2698" w:name="_Toc1141"/>
      <w:bookmarkEnd w:id="2697"/>
      <w:r>
        <w:rPr>
          <w:rtl w:val="true"/>
        </w:rPr>
        <w:t>مطالبۀ بذل ديه يا امتناع از بذل ديه</w:t>
      </w:r>
      <w:bookmarkEnd w:id="2698"/>
    </w:p>
    <w:p>
      <w:pPr>
        <w:pStyle w:val="BookText"/>
        <w:rPr/>
      </w:pPr>
      <w:r>
        <w:rPr>
          <w:rFonts w:ascii="IRNazanin" w:hAnsi="IRNazanin" w:eastAsia="IRNazanin"/>
          <w:color w:val="111111"/>
          <w:sz w:val="28"/>
          <w:sz w:val="28"/>
          <w:szCs w:val="28"/>
          <w:rtl w:val="true"/>
          <w:lang w:bidi="fa-IR"/>
        </w:rPr>
        <w:t xml:space="preserve">و اگر ولىّ‌، مطالبۀ ديه كرد و جانى بذل كرد كافى است؛ و اگر امتناع كرد اجبار نمى شود؛ و اظهر وجوب شرعى حفظ نفس است بر جانى به آن چه ممكن است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ارضاى ولىّ به مال، و غير آن از 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رجوع در تمكّن غير ظاهر، به خود او مى شود؛ و در وجوب اجبار حاكم با تمكّن ظاهر تأمل است</w:t>
      </w:r>
      <w:r>
        <w:rPr>
          <w:rFonts w:eastAsia="IRNazanin" w:cs="IRNazanin"/>
          <w:color w:val="111111"/>
          <w:sz w:val="28"/>
          <w:szCs w:val="28"/>
          <w:rtl w:val="true"/>
          <w:lang w:bidi="fa-IR"/>
        </w:rPr>
        <w:t>.</w:t>
      </w:r>
    </w:p>
    <w:p>
      <w:pPr>
        <w:pStyle w:val="Heading4"/>
        <w:numPr>
          <w:ilvl w:val="3"/>
          <w:numId w:val="1"/>
        </w:numPr>
        <w:rPr/>
      </w:pPr>
      <w:bookmarkStart w:id="2699" w:name="__RefHeading___Toc3973269_1067777946"/>
      <w:bookmarkStart w:id="2700" w:name="_Toc1142"/>
      <w:bookmarkEnd w:id="2699"/>
      <w:r>
        <w:rPr>
          <w:rtl w:val="true"/>
        </w:rPr>
        <w:t>رضايت ولى به بيش از ديه</w:t>
      </w:r>
      <w:bookmarkEnd w:id="270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ولىّ‌، به زيادتى از ديه راضى شد، جايز است فداء به زيادتى براى جانى، و گاهى واجب مى شود چنان چه ظاهر شد</w:t>
      </w:r>
      <w:r>
        <w:rPr>
          <w:rFonts w:eastAsia="IRNazanin" w:cs="IRNazanin"/>
          <w:color w:val="111111"/>
          <w:sz w:val="28"/>
          <w:szCs w:val="28"/>
          <w:rtl w:val="true"/>
          <w:lang w:bidi="fa-IR"/>
        </w:rPr>
        <w:t xml:space="preserve">. </w:t>
      </w:r>
      <w:bookmarkStart w:id="2701" w:name="pg10275_96938"/>
    </w:p>
    <w:p>
      <w:pPr>
        <w:pStyle w:val="Heading4"/>
        <w:numPr>
          <w:ilvl w:val="3"/>
          <w:numId w:val="1"/>
        </w:numPr>
        <w:rPr/>
      </w:pPr>
      <w:bookmarkStart w:id="2702" w:name="__RefHeading___Toc3973271_1067777946"/>
      <w:bookmarkStart w:id="2703" w:name="_Toc1143"/>
      <w:bookmarkEnd w:id="2701"/>
      <w:bookmarkEnd w:id="2702"/>
      <w:r>
        <w:rPr>
          <w:rtl w:val="true"/>
        </w:rPr>
        <w:t>شرط قصاص در مورد سرايت</w:t>
      </w:r>
      <w:bookmarkEnd w:id="2703"/>
    </w:p>
    <w:p>
      <w:pPr>
        <w:pStyle w:val="BookText"/>
        <w:rPr/>
      </w:pPr>
      <w:r>
        <w:rPr>
          <w:rFonts w:ascii="Amiri" w:hAnsi="Amiri" w:eastAsia="Amiri" w:cs="Amiri"/>
          <w:color w:val="111111"/>
          <w:sz w:val="28"/>
          <w:sz w:val="28"/>
          <w:szCs w:val="28"/>
          <w:rtl w:val="true"/>
          <w:lang w:bidi="ar-SA"/>
        </w:rPr>
        <w:t>و به سبب سرايت جنايت به نفس، قصاص نفس، موقوف به اثبات استناد تلف به جنايت است با اقرار يا بيّنه؛ و با عدم ثبوت، اقتصار بر قصاص يا ارش در جنايت مى شود نه در نفس</w:t>
      </w:r>
      <w:r>
        <w:rPr>
          <w:rFonts w:eastAsia="Amiri" w:cs="Amiri" w:ascii="Amiri" w:hAnsi="Amiri"/>
          <w:color w:val="111111"/>
          <w:sz w:val="28"/>
          <w:szCs w:val="28"/>
          <w:rtl w:val="true"/>
          <w:lang w:bidi="ar-SA"/>
        </w:rPr>
        <w:t>.</w:t>
      </w:r>
    </w:p>
    <w:p>
      <w:pPr>
        <w:pStyle w:val="Heading4"/>
        <w:numPr>
          <w:ilvl w:val="3"/>
          <w:numId w:val="1"/>
        </w:numPr>
        <w:rPr/>
      </w:pPr>
      <w:bookmarkStart w:id="2704" w:name="__RefHeading___Toc3973273_1067777946"/>
      <w:bookmarkStart w:id="2705" w:name="_Toc1144"/>
      <w:bookmarkEnd w:id="2704"/>
      <w:r>
        <w:rPr>
          <w:rtl w:val="true"/>
        </w:rPr>
        <w:t>وارث قصاص و ديه</w:t>
      </w:r>
      <w:bookmarkEnd w:id="2705"/>
    </w:p>
    <w:p>
      <w:pPr>
        <w:pStyle w:val="BookText"/>
        <w:rPr/>
      </w:pPr>
      <w:r>
        <w:rPr>
          <w:rFonts w:ascii="IRNazanin" w:hAnsi="IRNazanin" w:eastAsia="IRNazanin"/>
          <w:color w:val="111111"/>
          <w:sz w:val="28"/>
          <w:sz w:val="28"/>
          <w:szCs w:val="28"/>
          <w:rtl w:val="true"/>
          <w:lang w:bidi="fa-IR"/>
        </w:rPr>
        <w:t xml:space="preserve">وارث قصاص، وارث است، غير از زوجين كه فقط نصيب ايشان از ديه به ايشان داده مى شود، چه آن كه ديه مأخوذ به صلح باشد يا بالاصل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شبه عمد يا خطأ محض يا مثل عمد والد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دخول متقرّبهاى به اُمّ در ارث قصاص، تأمل است و احتياط مناسب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وارث مال، وارث ديه است بدون استثناى زوج و زوجه؛ و در ارث متقرّبهاى به اُمّ از ديه، تأمل است و احتياط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خروج آن چه بر او صلح مى شود از قصاص، از محل تأمل، و دخول آن در مطلق مواريث است</w:t>
      </w:r>
      <w:r>
        <w:rPr>
          <w:rFonts w:eastAsia="IRNazanin" w:cs="IRNazanin"/>
          <w:color w:val="111111"/>
          <w:sz w:val="28"/>
          <w:szCs w:val="28"/>
          <w:rtl w:val="true"/>
          <w:lang w:bidi="fa-IR"/>
        </w:rPr>
        <w:t>.</w:t>
      </w:r>
    </w:p>
    <w:p>
      <w:pPr>
        <w:pStyle w:val="Heading4"/>
        <w:numPr>
          <w:ilvl w:val="3"/>
          <w:numId w:val="1"/>
        </w:numPr>
        <w:rPr/>
      </w:pPr>
      <w:bookmarkStart w:id="2706" w:name="__RefHeading___Toc3973275_1067777946"/>
      <w:bookmarkStart w:id="2707" w:name="_Toc1145"/>
      <w:bookmarkEnd w:id="2706"/>
      <w:r>
        <w:rPr>
          <w:rtl w:val="true"/>
        </w:rPr>
        <w:t>اعتبار اذن امام يا شركا، در اجراى قصاص</w:t>
      </w:r>
      <w:bookmarkEnd w:id="2707"/>
    </w:p>
    <w:p>
      <w:pPr>
        <w:pStyle w:val="BookText"/>
        <w:rPr/>
      </w:pPr>
      <w:r>
        <w:rPr>
          <w:rFonts w:ascii="IRNazanin" w:hAnsi="IRNazanin" w:eastAsia="IRNazanin"/>
          <w:color w:val="111111"/>
          <w:sz w:val="28"/>
          <w:sz w:val="28"/>
          <w:szCs w:val="28"/>
          <w:rtl w:val="true"/>
          <w:lang w:bidi="fa-IR"/>
        </w:rPr>
        <w:t>و بعد از اثبات موجب قصاص، احوط براى ولىّ‌، ترك مبادرت به قصاص است بدون اذن امام يا نايب او، چه در نفس باشد يا در طرف؛ و بر تقدير مبادرت، قصاص و ديه ندارد و ثبوت تعزير هم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اذن شركا در استحقاق قصاص، پس در اعتبار آن در جواز استيفا و عدم جواز مبادرت قبل از استيذان، خلاف است؛ و اظهر عدم اعتبار اذن است؛ پس جايز است مبادرت با ضمان حصص غير راضى به قصاص از شركا، اگر چه احوط استيذان است</w:t>
      </w:r>
      <w:r>
        <w:rPr>
          <w:rFonts w:eastAsia="IRNazanin" w:cs="IRNazanin"/>
          <w:color w:val="111111"/>
          <w:sz w:val="28"/>
          <w:szCs w:val="28"/>
          <w:rtl w:val="true"/>
          <w:lang w:bidi="fa-IR"/>
        </w:rPr>
        <w:t>.</w:t>
      </w:r>
    </w:p>
    <w:p>
      <w:pPr>
        <w:pStyle w:val="Heading4"/>
        <w:numPr>
          <w:ilvl w:val="3"/>
          <w:numId w:val="1"/>
        </w:numPr>
        <w:rPr/>
      </w:pPr>
      <w:bookmarkStart w:id="2708" w:name="__RefHeading___Toc3973277_1067777946"/>
      <w:bookmarkStart w:id="2709" w:name="_Toc1146"/>
      <w:bookmarkEnd w:id="2708"/>
      <w:r>
        <w:rPr>
          <w:rtl w:val="true"/>
        </w:rPr>
        <w:t>قصاص نفس يا طَرَف، با آلت مسمومه</w:t>
      </w:r>
      <w:bookmarkEnd w:id="270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اظهر ممنوعيت قتل با آلت مسمومه است در قصاص در غير صورت وقوع اصل </w:t>
      </w:r>
      <w:bookmarkStart w:id="2710" w:name="pg10275_96940"/>
    </w:p>
    <w:p>
      <w:pPr>
        <w:pStyle w:val="BookText"/>
        <w:rPr/>
      </w:pPr>
      <w:bookmarkEnd w:id="2710"/>
      <w:r>
        <w:rPr>
          <w:rFonts w:ascii="Amiri" w:hAnsi="Amiri" w:eastAsia="Amiri" w:cs="Amiri"/>
          <w:color w:val="111111"/>
          <w:sz w:val="28"/>
          <w:sz w:val="28"/>
          <w:szCs w:val="28"/>
          <w:rtl w:val="true"/>
          <w:lang w:bidi="ar-SA"/>
        </w:rPr>
        <w:t>جنايت با اين سبب؛ و ثبوت تعزير در مورد منع، محتمل است؛ و منع در قصاص طرف، بى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اقتصاص طرف با آلت مسمومه، با علم و عمد ولىّ مباشر به اين كه قاتل است به سرايت، پس سرايت كرد و وفات كرد، اظهر ثبوت قصاص بدون ردّ نصف ديه است، به جهت انفراد مؤثر در موت؛ و دخالت قصاص، مثل دخالت ساير امور عاديه مباحه است در صورتى كه اگر مسموم نبود سرايت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ديۀ كاملۀ نفس، ثابت است در صورت عدم علم و عمد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مباشرت ولىّ عالم با جهل مباشر، ضمان بر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 عالم،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سرايت به عضوى ديگر كرد و منتهى به موت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آلت از مال مباشر باشد و نداند مسموميت آن را، پس ضمان مباشر، ديۀ نفس را خالى از وجه نيست در صورت عالم نبودن ولىّ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ولىّ‌، تعيين آلت كرد و هيچ كدام عالم نبودند به مسموميت آن، ضمان ولىّ خالى از وجه نيست</w:t>
      </w:r>
      <w:r>
        <w:rPr>
          <w:rFonts w:eastAsia="IRNazanin" w:cs="IRNazanin"/>
          <w:color w:val="111111"/>
          <w:sz w:val="28"/>
          <w:szCs w:val="28"/>
          <w:rtl w:val="true"/>
          <w:lang w:bidi="fa-IR"/>
        </w:rPr>
        <w:t>.</w:t>
      </w:r>
    </w:p>
    <w:p>
      <w:pPr>
        <w:pStyle w:val="Heading4"/>
        <w:numPr>
          <w:ilvl w:val="3"/>
          <w:numId w:val="1"/>
        </w:numPr>
        <w:rPr/>
      </w:pPr>
      <w:bookmarkStart w:id="2711" w:name="__RefHeading___Toc3973279_1067777946"/>
      <w:bookmarkStart w:id="2712" w:name="_Toc1147"/>
      <w:bookmarkEnd w:id="2711"/>
      <w:r>
        <w:rPr>
          <w:rtl w:val="true"/>
        </w:rPr>
        <w:t>كيفيت اجراى قصاص</w:t>
      </w:r>
      <w:bookmarkEnd w:id="2712"/>
    </w:p>
    <w:p>
      <w:pPr>
        <w:pStyle w:val="Heading5"/>
        <w:numPr>
          <w:ilvl w:val="4"/>
          <w:numId w:val="1"/>
        </w:numPr>
        <w:rPr/>
      </w:pPr>
      <w:bookmarkStart w:id="2713" w:name="__RefHeading___Toc3973281_1067777946"/>
      <w:bookmarkStart w:id="2714" w:name="_Toc1148"/>
      <w:bookmarkEnd w:id="2713"/>
      <w:r>
        <w:rPr>
          <w:rtl w:val="true"/>
        </w:rPr>
        <w:t>آلت قصاص و مسأله ديه قصاص در اطاله و تعذيب</w:t>
      </w:r>
      <w:bookmarkEnd w:id="2714"/>
    </w:p>
    <w:p>
      <w:pPr>
        <w:pStyle w:val="BookText"/>
        <w:rPr/>
      </w:pPr>
      <w:r>
        <w:rPr>
          <w:rFonts w:ascii="Amiri" w:hAnsi="Amiri" w:eastAsia="Amiri" w:cs="Amiri"/>
          <w:color w:val="111111"/>
          <w:sz w:val="28"/>
          <w:sz w:val="28"/>
          <w:szCs w:val="28"/>
          <w:rtl w:val="true"/>
          <w:lang w:bidi="ar-SA"/>
        </w:rPr>
        <w:t>جايز نيست قتل با آلتى كه تيز نيست و با اطاله و تعذيب، به مقصود مى رساند، لكن در مخالفت، قصاص و ديه نيست و ثبوت تعزير محتمل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جايز نيست قتل مگر با شمشير و آن چه جارى مجراى آن باشد از آهن تيز، و به اسباب ديگر جايز نيست بنا بر احوط اگر چه قتل اصلى با آن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قصاص، زيادتى تعذيب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كردن و اهانت هاى ديگر، بعد از قتل يا قبل از آن، به مؤمن، جايز نيست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بايد با فرو بردن شمشير در گردن باشد يا زدن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ذبح و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ابانۀ سر و مثل آن است براى دورى از تعذيب زايد حتى اگر در قتل </w:t>
      </w:r>
      <w:bookmarkStart w:id="2715" w:name="pg10275_96942"/>
    </w:p>
    <w:p>
      <w:pPr>
        <w:pStyle w:val="BookText"/>
        <w:rPr/>
      </w:pPr>
      <w:bookmarkEnd w:id="2715"/>
      <w:r>
        <w:rPr>
          <w:rFonts w:ascii="Amiri" w:hAnsi="Amiri" w:eastAsia="Amiri" w:cs="Amiri"/>
          <w:color w:val="111111"/>
          <w:sz w:val="28"/>
          <w:sz w:val="28"/>
          <w:szCs w:val="28"/>
          <w:rtl w:val="true"/>
          <w:lang w:bidi="ar-SA"/>
        </w:rPr>
        <w:t>اصلى ابانه نشده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با ساير 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زنا و لواط و سقى انحاى مسكرات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است و به مراتب تفاوت حرمت سبب محرّم مى شود، و دور نيست محكوميت به احكام آنها با ساير مؤمنين از غير حيثيت استلزام آن قتل را</w:t>
      </w:r>
      <w:r>
        <w:rPr>
          <w:rFonts w:eastAsia="Amiri" w:cs="Amiri" w:ascii="Amiri" w:hAnsi="Amiri"/>
          <w:color w:val="111111"/>
          <w:sz w:val="28"/>
          <w:szCs w:val="28"/>
          <w:rtl w:val="true"/>
          <w:lang w:bidi="ar-SA"/>
        </w:rPr>
        <w:t>.</w:t>
      </w:r>
    </w:p>
    <w:p>
      <w:pPr>
        <w:pStyle w:val="Heading5"/>
        <w:numPr>
          <w:ilvl w:val="4"/>
          <w:numId w:val="1"/>
        </w:numPr>
        <w:rPr/>
      </w:pPr>
      <w:bookmarkStart w:id="2716" w:name="__RefHeading___Toc3973283_1067777946"/>
      <w:bookmarkStart w:id="2717" w:name="_Toc1149"/>
      <w:bookmarkEnd w:id="2716"/>
      <w:r>
        <w:rPr>
          <w:rtl w:val="true"/>
        </w:rPr>
        <w:t>قصاص پناهندۀ به حرمين، مشاهد، مساجد يا ملك ديگران</w:t>
      </w:r>
      <w:bookmarkEnd w:id="2717"/>
    </w:p>
    <w:p>
      <w:pPr>
        <w:pStyle w:val="BookText"/>
        <w:rPr/>
      </w:pPr>
      <w:r>
        <w:rPr>
          <w:rFonts w:ascii="IRNazanin" w:hAnsi="IRNazanin" w:eastAsia="IRNazanin"/>
          <w:color w:val="111111"/>
          <w:sz w:val="28"/>
          <w:sz w:val="28"/>
          <w:szCs w:val="28"/>
          <w:rtl w:val="true"/>
          <w:lang w:bidi="fa-IR"/>
        </w:rPr>
        <w:t xml:space="preserve">و اقتصاص از پناهنده به حرمين و مشاهد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بلكه به وسيلۀ تضييق در مطعم و مشرب، اخراج مى شود براى قصاص، و لكن اگر فعل حرام كرد، در آن قصاص يا ديه نيست؛ و اگر جنايت در حرم بود، اقتصاص در آن، ممنوع بودن آن مشكل است، بلكه اظهر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ساير مساجد، اخراج مى شود براى قصاص؛ و اگر خواست تعجيل نمايد، منع از تلويث مسجد مى نمايد</w:t>
      </w:r>
      <w:r>
        <w:rPr>
          <w:rFonts w:eastAsia="IRNazanin" w:cs="IRNazanin"/>
          <w:color w:val="111111"/>
          <w:sz w:val="28"/>
          <w:szCs w:val="28"/>
          <w:rtl w:val="true"/>
          <w:lang w:bidi="fa-IR"/>
        </w:rPr>
        <w:t>.</w:t>
      </w:r>
    </w:p>
    <w:p>
      <w:pPr>
        <w:pStyle w:val="Heading4"/>
        <w:numPr>
          <w:ilvl w:val="3"/>
          <w:numId w:val="1"/>
        </w:numPr>
        <w:rPr/>
      </w:pPr>
      <w:bookmarkStart w:id="2718" w:name="__RefHeading___Toc3973285_1067777946"/>
      <w:bookmarkStart w:id="2719" w:name="_Toc1150"/>
      <w:bookmarkEnd w:id="2718"/>
      <w:r>
        <w:rPr>
          <w:rtl w:val="true"/>
        </w:rPr>
        <w:t>پناه گرفتن مستوجب قصاص به ملك ديگران</w:t>
      </w:r>
      <w:bookmarkEnd w:id="2719"/>
    </w:p>
    <w:p>
      <w:pPr>
        <w:pStyle w:val="BookText"/>
        <w:rPr/>
      </w:pPr>
      <w:r>
        <w:rPr>
          <w:rFonts w:ascii="IRNazanin" w:hAnsi="IRNazanin" w:eastAsia="IRNazanin"/>
          <w:color w:val="111111"/>
          <w:sz w:val="28"/>
          <w:sz w:val="28"/>
          <w:szCs w:val="28"/>
          <w:rtl w:val="true"/>
          <w:lang w:bidi="fa-IR"/>
        </w:rPr>
        <w:t xml:space="preserve">اگر فرار كرد به ملك محترمى، اخراج مى نمايد او را حاكم يا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حاكم يا بدون آن در تقدير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جايز نيست قصاص در مملوك غير بدون اذن مالك</w:t>
      </w:r>
      <w:r>
        <w:rPr>
          <w:rFonts w:eastAsia="IRNazanin" w:cs="IRNazanin"/>
          <w:color w:val="111111"/>
          <w:sz w:val="28"/>
          <w:szCs w:val="28"/>
          <w:rtl w:val="true"/>
          <w:lang w:bidi="fa-IR"/>
        </w:rPr>
        <w:t>.</w:t>
      </w:r>
    </w:p>
    <w:p>
      <w:pPr>
        <w:pStyle w:val="Heading4"/>
        <w:numPr>
          <w:ilvl w:val="3"/>
          <w:numId w:val="1"/>
        </w:numPr>
        <w:rPr/>
      </w:pPr>
      <w:bookmarkStart w:id="2720" w:name="__RefHeading___Toc3973287_1067777946"/>
      <w:bookmarkStart w:id="2721" w:name="_Toc1151"/>
      <w:bookmarkEnd w:id="2720"/>
      <w:r>
        <w:rPr>
          <w:rtl w:val="true"/>
        </w:rPr>
        <w:t>اجرت استيفاى قصاص</w:t>
      </w:r>
      <w:bookmarkEnd w:id="2721"/>
    </w:p>
    <w:p>
      <w:pPr>
        <w:pStyle w:val="BookText"/>
        <w:rPr/>
      </w:pPr>
      <w:r>
        <w:rPr>
          <w:rFonts w:ascii="IRNazanin" w:hAnsi="IRNazanin" w:eastAsia="IRNazanin"/>
          <w:color w:val="111111"/>
          <w:sz w:val="28"/>
          <w:sz w:val="28"/>
          <w:szCs w:val="28"/>
          <w:rtl w:val="true"/>
          <w:lang w:bidi="fa-IR"/>
        </w:rPr>
        <w:t>اجرت استيفاى قصاص اگر به مباشرت ولىّ يا به قصد تبرّع نباشد، بر مستوفىٖ است نه بر 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جانى، خودش اختيار قصاص از خودش كرد بدون اجرت، اظهر تعيّن قبول است بر ولىّ‌</w:t>
      </w:r>
      <w:r>
        <w:rPr>
          <w:rFonts w:eastAsia="IRNazanin" w:cs="IRNazanin"/>
          <w:color w:val="111111"/>
          <w:sz w:val="28"/>
          <w:szCs w:val="28"/>
          <w:rtl w:val="true"/>
          <w:lang w:bidi="fa-IR"/>
        </w:rPr>
        <w:t>.</w:t>
      </w:r>
    </w:p>
    <w:p>
      <w:pPr>
        <w:pStyle w:val="Heading4"/>
        <w:numPr>
          <w:ilvl w:val="3"/>
          <w:numId w:val="1"/>
        </w:numPr>
        <w:rPr/>
      </w:pPr>
      <w:bookmarkStart w:id="2722" w:name="__RefHeading___Toc3973289_1067777946"/>
      <w:bookmarkStart w:id="2723" w:name="_Toc1152"/>
      <w:bookmarkEnd w:id="2722"/>
      <w:r>
        <w:rPr>
          <w:rtl w:val="true"/>
        </w:rPr>
        <w:t>اگر قصاص در طرف، سرايت به نفس نمود</w:t>
      </w:r>
      <w:bookmarkEnd w:id="272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سرايت قصاص در طرف، به نفس، موجب ضمان مباشر نمى شود مگر با 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مدّعى عمد در تعدّى بود قصاص مى شود با امكان؛ و اگر مدّعى خطأ بود ديۀ تعدّى از او مأخوذ مى شود، مگر آن كه مورد زيادتى حاصلۀ به تعدى، نفس مستحقه </w:t>
      </w:r>
      <w:bookmarkStart w:id="2724" w:name="pg10275_96944"/>
    </w:p>
    <w:p>
      <w:pPr>
        <w:pStyle w:val="BookText"/>
        <w:rPr/>
      </w:pPr>
      <w:bookmarkEnd w:id="2724"/>
      <w:r>
        <w:rPr>
          <w:rFonts w:ascii="IRNazanin" w:hAnsi="IRNazanin" w:eastAsia="IRNazanin"/>
          <w:color w:val="111111"/>
          <w:sz w:val="28"/>
          <w:sz w:val="28"/>
          <w:szCs w:val="28"/>
          <w:rtl w:val="true"/>
          <w:lang w:bidi="fa-IR"/>
        </w:rPr>
        <w:t>نباشد، مثل آن كه در قصاص طرف سارى به نفس به واسطۀ تعدى، سرايت حاصل شد مثل اصل، كه به واسطۀ استحقاق واقعى، قصاص و ديه منتفى است، مگر آن كه قصاص طرف بعد از ابراى سرايت و مقتضاى آن در عمد و خطأ بوده باشد كه نفى ضمان، قابل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دعواى خطأ شد، قول مباشر در اخبارش از نيّتش مقدّم است با يمين او</w:t>
      </w:r>
      <w:r>
        <w:rPr>
          <w:rFonts w:eastAsia="IRNazanin" w:cs="IRNazanin"/>
          <w:color w:val="111111"/>
          <w:sz w:val="28"/>
          <w:szCs w:val="28"/>
          <w:rtl w:val="true"/>
          <w:lang w:bidi="fa-IR"/>
        </w:rPr>
        <w:t>.</w:t>
      </w:r>
    </w:p>
    <w:p>
      <w:pPr>
        <w:pStyle w:val="Heading4"/>
        <w:numPr>
          <w:ilvl w:val="3"/>
          <w:numId w:val="1"/>
        </w:numPr>
        <w:rPr/>
      </w:pPr>
      <w:bookmarkStart w:id="2725" w:name="__RefHeading___Toc3973291_1067777946"/>
      <w:bookmarkStart w:id="2726" w:name="_Toc1153"/>
      <w:bookmarkEnd w:id="2725"/>
      <w:r>
        <w:rPr>
          <w:rtl w:val="true"/>
        </w:rPr>
        <w:t>اشتراك نفس و طرف، در شروط و موانع قصاص</w:t>
      </w:r>
      <w:bookmarkEnd w:id="2726"/>
    </w:p>
    <w:p>
      <w:pPr>
        <w:pStyle w:val="BookText"/>
        <w:rPr/>
      </w:pPr>
      <w:r>
        <w:rPr>
          <w:rFonts w:ascii="IRNazanin" w:hAnsi="IRNazanin" w:eastAsia="IRNazanin"/>
          <w:color w:val="111111"/>
          <w:sz w:val="28"/>
          <w:sz w:val="28"/>
          <w:szCs w:val="28"/>
          <w:rtl w:val="true"/>
          <w:lang w:bidi="fa-IR"/>
        </w:rPr>
        <w:t>و نفس و طرف، در قصاص و شروط و موانع آن اشتراك دارند در وجود و در عدم؛ پس در هر موردى كه قصاص نفس منتفى است به سببى، قصاص طرف منتفى است</w:t>
      </w:r>
      <w:r>
        <w:rPr>
          <w:rFonts w:eastAsia="IRNazanin" w:cs="IRNazanin"/>
          <w:color w:val="111111"/>
          <w:sz w:val="28"/>
          <w:szCs w:val="28"/>
          <w:rtl w:val="true"/>
          <w:lang w:bidi="fa-IR"/>
        </w:rPr>
        <w:t>.</w:t>
      </w:r>
    </w:p>
    <w:p>
      <w:pPr>
        <w:pStyle w:val="Heading4"/>
        <w:numPr>
          <w:ilvl w:val="3"/>
          <w:numId w:val="1"/>
        </w:numPr>
        <w:rPr/>
      </w:pPr>
      <w:bookmarkStart w:id="2727" w:name="__RefHeading___Toc3973293_1067777946"/>
      <w:bookmarkStart w:id="2728" w:name="_Toc1154"/>
      <w:bookmarkEnd w:id="2727"/>
      <w:r>
        <w:rPr>
          <w:rtl w:val="true"/>
        </w:rPr>
        <w:t>چند مسأله</w:t>
      </w:r>
      <w:bookmarkEnd w:id="2728"/>
    </w:p>
    <w:p>
      <w:pPr>
        <w:pStyle w:val="Heading5"/>
        <w:numPr>
          <w:ilvl w:val="4"/>
          <w:numId w:val="1"/>
        </w:numPr>
        <w:rPr/>
      </w:pPr>
      <w:bookmarkStart w:id="2729" w:name="__RefHeading___Toc3973295_1067777946"/>
      <w:bookmarkStart w:id="2730" w:name="_Toc1155"/>
      <w:bookmarkEnd w:id="2729"/>
      <w:r>
        <w:rPr>
          <w:rtl w:val="true"/>
        </w:rPr>
        <w:t>عدم اعتبار اذن شركا در قصاص و جواز مبادرت</w:t>
      </w:r>
      <w:bookmarkEnd w:id="2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اظهر بودن عدم اعتبار اذن شركا در قصاص؛ پس مبادرت، جايز است براى حاضر، با غايب بودن بقيه به نحوى كه اميد حضور باشد، و لكن ضامن حصص بقيه از ديه هست در صورتى كه راضى به قصاص نشوند؛ و همچنين در صورت عدم كمال بقيه به واسطۀ صغر يا جنون با اميد افاقه؛ و لازم نيست تأخير استيفا و حبس قاتل تا زمان اجتماع و توافق همه، اگر چه تأخير اگر محذورى در آن نباشد احوط است</w:t>
      </w:r>
      <w:r>
        <w:rPr>
          <w:rFonts w:eastAsia="IRNazanin" w:cs="IRNazanin"/>
          <w:color w:val="111111"/>
          <w:sz w:val="28"/>
          <w:szCs w:val="28"/>
          <w:rtl w:val="true"/>
          <w:lang w:bidi="fa-IR"/>
        </w:rPr>
        <w:t>.</w:t>
      </w:r>
    </w:p>
    <w:p>
      <w:pPr>
        <w:pStyle w:val="Heading5"/>
        <w:numPr>
          <w:ilvl w:val="4"/>
          <w:numId w:val="1"/>
        </w:numPr>
        <w:rPr/>
      </w:pPr>
      <w:bookmarkStart w:id="2731" w:name="__RefHeading___Toc3973297_1067777946"/>
      <w:bookmarkStart w:id="2732" w:name="_Toc1156"/>
      <w:bookmarkEnd w:id="2731"/>
      <w:r>
        <w:rPr>
          <w:rtl w:val="true"/>
        </w:rPr>
        <w:t>اگر ولىّ قصاص مجنون يا صغير باشد</w:t>
      </w:r>
      <w:bookmarkEnd w:id="27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ولىّ قصاص، صغير يا مجنون باشد؛ پس در قيام ولىّ شرعى او مقام او در استيفاى قصاص قبل از بلوغ و افاقه اشكال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تأخير تا زمان بلوغ و افاقۀ محتمله است، و اظهر جواز قصاص است براى ولىّ با رعايت مصلحت يا مجرّد عدم مفسده، لكن در صورت قرب زمان كمال محتمل و عدم مفسده در تأخير و</w:t>
      </w:r>
      <w:bookmarkStart w:id="2733" w:name="pg10275_96946"/>
    </w:p>
    <w:p>
      <w:pPr>
        <w:pStyle w:val="BookText"/>
        <w:rPr/>
      </w:pPr>
      <w:bookmarkEnd w:id="2733"/>
      <w:r>
        <w:rPr>
          <w:rFonts w:ascii="IRNazanin" w:hAnsi="IRNazanin" w:eastAsia="IRNazanin"/>
          <w:color w:val="111111"/>
          <w:sz w:val="28"/>
          <w:sz w:val="28"/>
          <w:szCs w:val="28"/>
          <w:rtl w:val="true"/>
          <w:lang w:bidi="fa-IR"/>
        </w:rPr>
        <w:t>احتمال حصول عفو اگر چه بر مالى باشد، احتياط در تأخير بدون محذور ترك نشود</w:t>
      </w:r>
      <w:r>
        <w:rPr>
          <w:rFonts w:eastAsia="IRNazanin" w:cs="IRNazanin"/>
          <w:color w:val="111111"/>
          <w:sz w:val="28"/>
          <w:szCs w:val="28"/>
          <w:rtl w:val="true"/>
          <w:lang w:bidi="fa-IR"/>
        </w:rPr>
        <w:t>.</w:t>
      </w:r>
    </w:p>
    <w:p>
      <w:pPr>
        <w:pStyle w:val="Heading5"/>
        <w:numPr>
          <w:ilvl w:val="4"/>
          <w:numId w:val="1"/>
        </w:numPr>
        <w:rPr/>
      </w:pPr>
      <w:bookmarkStart w:id="2734" w:name="__RefHeading___Toc3973299_1067777946"/>
      <w:bookmarkStart w:id="2735" w:name="_Toc1157"/>
      <w:bookmarkEnd w:id="2734"/>
      <w:r>
        <w:rPr>
          <w:rtl w:val="true"/>
        </w:rPr>
        <w:t>اگر بعضى از اوليا از قصاص عفو نمايند</w:t>
      </w:r>
      <w:bookmarkEnd w:id="27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 اوليا عفو نمود از قصاص مجّاناً يا با اداى ديه، اظهر عدم سقوط حق قصاص است از غير عافى از اوليا، با اداى نصيب عافى يا فادى از ديه به جانى يا فادى، اگر چه اختيار غير قصاص در صورت مذكوره، احوط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جانى امتناع كرد از ردّ نصيب عفوكننده بر ديه، جايز است قصاص براى شريك، و لازم است بر او اداى نصيب شريك فداءكننده از ديه؛ و اگر عفو مجانى بود، نصيب او را به جانى ردّ مى نمايد؛ و قصاص مى نمايد، پس استيفاى به قصاص، سبب ضمان نصيب است، و استحقاق استيفا، مشروط به اداى نصيب نيست، و همچنين عفو بر ديه سبب ضمان جانى است نصيب عفوكننده را</w:t>
      </w:r>
      <w:r>
        <w:rPr>
          <w:rFonts w:eastAsia="IRNazanin" w:cs="IRNazanin"/>
          <w:color w:val="111111"/>
          <w:sz w:val="28"/>
          <w:szCs w:val="28"/>
          <w:rtl w:val="true"/>
          <w:lang w:bidi="fa-IR"/>
        </w:rPr>
        <w:t>.</w:t>
      </w:r>
    </w:p>
    <w:p>
      <w:pPr>
        <w:pStyle w:val="Heading5"/>
        <w:numPr>
          <w:ilvl w:val="4"/>
          <w:numId w:val="1"/>
        </w:numPr>
        <w:rPr/>
      </w:pPr>
      <w:bookmarkStart w:id="2736" w:name="__RefHeading___Toc3973301_1067777946"/>
      <w:bookmarkStart w:id="2737" w:name="_Toc1158"/>
      <w:bookmarkEnd w:id="2736"/>
      <w:r>
        <w:rPr>
          <w:rtl w:val="true"/>
        </w:rPr>
        <w:t>اقرار يكى از دو شريك بر عفو ديگرى</w:t>
      </w:r>
      <w:bookmarkEnd w:id="27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دو ولىّ‌، اقرار كرد به اين كه شريك، عفو از قصاص بر مالى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او بر شريك، نافذ نيست، و حق قصاص براى هر دو ثابت است در ظاهر شرع؛ و اگر يكى قصاص كرد، ردّ نصيب ديگرى از ديه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اراده قصاص و ارادۀ ديه و تصديق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در صورت عفو مطلق، ردّ بر جانى مى نمايد، و در غير اينها شركت او در قصاص، باقى است</w:t>
      </w:r>
      <w:r>
        <w:rPr>
          <w:rFonts w:eastAsia="IRNazanin" w:cs="IRNazanin"/>
          <w:color w:val="111111"/>
          <w:sz w:val="28"/>
          <w:szCs w:val="28"/>
          <w:rtl w:val="true"/>
          <w:lang w:bidi="fa-IR"/>
        </w:rPr>
        <w:t>.</w:t>
      </w:r>
    </w:p>
    <w:p>
      <w:pPr>
        <w:pStyle w:val="Heading5"/>
        <w:numPr>
          <w:ilvl w:val="4"/>
          <w:numId w:val="1"/>
        </w:numPr>
        <w:rPr/>
      </w:pPr>
      <w:bookmarkStart w:id="2738" w:name="__RefHeading___Toc3973303_1067777946"/>
      <w:bookmarkStart w:id="2739" w:name="_Toc1159"/>
      <w:bookmarkEnd w:id="2738"/>
      <w:r>
        <w:rPr>
          <w:rtl w:val="true"/>
        </w:rPr>
        <w:t>بعضى از انحاى مشاركت در قتل</w:t>
      </w:r>
      <w:bookmarkEnd w:id="273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شريك شد والد با اجنبى در قتل ولد، يا شريك شد مسلم و ذمّى در قتل ذمّى، قصاص ثابت است بر اجنبى و بر ذمّى، و شريك، ضامن است نصف ديه را براى آن كه از او قصاص مى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عامد و خاطى شريك شدند در قتل، بر عامد، قصاص است با ردّ نصف ديه به عامد، از جانى به خطأ در شبيه عمد، و از عاقله در خطأ محض</w:t>
      </w:r>
      <w:r>
        <w:rPr>
          <w:rFonts w:eastAsia="IRNazanin" w:cs="IRNazanin"/>
          <w:color w:val="111111"/>
          <w:sz w:val="28"/>
          <w:szCs w:val="28"/>
          <w:rtl w:val="true"/>
          <w:lang w:bidi="fa-IR"/>
        </w:rPr>
        <w:t xml:space="preserve">. </w:t>
      </w:r>
      <w:bookmarkStart w:id="2740" w:name="pg10275_96948"/>
    </w:p>
    <w:p>
      <w:pPr>
        <w:pStyle w:val="BookText"/>
        <w:rPr/>
      </w:pPr>
      <w:bookmarkEnd w:id="2740"/>
      <w:r>
        <w:rPr>
          <w:rFonts w:ascii="IRNazanin" w:hAnsi="IRNazanin" w:eastAsia="IRNazanin"/>
          <w:color w:val="111111"/>
          <w:sz w:val="28"/>
          <w:sz w:val="28"/>
          <w:szCs w:val="28"/>
          <w:rtl w:val="true"/>
          <w:lang w:bidi="fa-IR"/>
        </w:rPr>
        <w:t>و اگر غير ضامن، شريك بود مثل درّنده، قصاص ثابت است، و ردّ نصف ديه از ولىّ قصاص كننده است به آن كه به قصاص به قتل مى رسد</w:t>
      </w:r>
      <w:r>
        <w:rPr>
          <w:rFonts w:eastAsia="IRNazanin" w:cs="IRNazanin"/>
          <w:color w:val="111111"/>
          <w:sz w:val="28"/>
          <w:szCs w:val="28"/>
          <w:rtl w:val="true"/>
          <w:lang w:bidi="fa-IR"/>
        </w:rPr>
        <w:t>.</w:t>
      </w:r>
    </w:p>
    <w:p>
      <w:pPr>
        <w:pStyle w:val="Heading5"/>
        <w:numPr>
          <w:ilvl w:val="4"/>
          <w:numId w:val="1"/>
        </w:numPr>
        <w:rPr/>
      </w:pPr>
      <w:bookmarkStart w:id="2741" w:name="__RefHeading___Toc3973305_1067777946"/>
      <w:bookmarkStart w:id="2742" w:name="_Toc1160"/>
      <w:bookmarkEnd w:id="2741"/>
      <w:r>
        <w:rPr>
          <w:rtl w:val="true"/>
        </w:rPr>
        <w:t>جواز قصاص براى مفلَّس و سفيه</w:t>
      </w:r>
      <w:bookmarkEnd w:id="274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قصاص، مالى نيست پس محجور از تصرفات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مفلَّس و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از آن نيست با شروط ديگر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مفلَّس عفو بر مالى كرد و قاتل، راضى شد، تقسيم مى نمايد آن مال را بر غرما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توانند عفو از قصاص نمايند مجّاناً يا بر مالى كمتر از ديه بنا بر عدم وجوب تكسّب بر مفلَّس</w:t>
      </w:r>
      <w:r>
        <w:rPr>
          <w:rFonts w:eastAsia="Amiri" w:cs="Amiri" w:ascii="Amiri" w:hAnsi="Amiri"/>
          <w:color w:val="111111"/>
          <w:sz w:val="28"/>
          <w:szCs w:val="28"/>
          <w:rtl w:val="true"/>
          <w:lang w:bidi="ar-SA"/>
        </w:rPr>
        <w:t>.</w:t>
      </w:r>
    </w:p>
    <w:p>
      <w:pPr>
        <w:pStyle w:val="Heading5"/>
        <w:numPr>
          <w:ilvl w:val="4"/>
          <w:numId w:val="1"/>
        </w:numPr>
        <w:rPr/>
      </w:pPr>
      <w:bookmarkStart w:id="2743" w:name="__RefHeading___Toc3973307_1067777946"/>
      <w:bookmarkStart w:id="2744" w:name="_Toc1161"/>
      <w:bookmarkEnd w:id="2743"/>
      <w:r>
        <w:rPr>
          <w:rtl w:val="true"/>
        </w:rPr>
        <w:t>اگر مقتول مديون بود</w:t>
      </w:r>
      <w:bookmarkEnd w:id="274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مقتول، مديون بود؛ پس اگر ورثه ديه را مأخوذ داشتند، صرف مى شود در دين مقتول و وصاياى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بقيۀ 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ترتّب جميع احكام ديه بر مأخوذ به صلح در قتل عمدى، چنان چه ظاهر اطلاق نص و فتوىٰ است، بلكه به ملاحظۀ نص خاص در وصيت، موافق با منسوب به مشهور اقرب است</w:t>
      </w:r>
      <w:r>
        <w:rPr>
          <w:rFonts w:eastAsia="IRNazanin" w:cs="IRNazanin"/>
          <w:color w:val="111111"/>
          <w:sz w:val="28"/>
          <w:szCs w:val="28"/>
          <w:rtl w:val="true"/>
          <w:lang w:bidi="fa-IR"/>
        </w:rPr>
        <w:t>.</w:t>
      </w:r>
    </w:p>
    <w:p>
      <w:pPr>
        <w:pStyle w:val="Heading5"/>
        <w:numPr>
          <w:ilvl w:val="4"/>
          <w:numId w:val="1"/>
        </w:numPr>
        <w:rPr/>
      </w:pPr>
      <w:bookmarkStart w:id="2745" w:name="__RefHeading___Toc3973309_1067777946"/>
      <w:bookmarkStart w:id="2746" w:name="_Toc1162"/>
      <w:bookmarkEnd w:id="2745"/>
      <w:r>
        <w:rPr>
          <w:rtl w:val="true"/>
        </w:rPr>
        <w:t>اگر مديون مقتول به عمد شد</w:t>
      </w:r>
      <w:bookmarkEnd w:id="2746"/>
    </w:p>
    <w:p>
      <w:pPr>
        <w:pStyle w:val="BookText"/>
        <w:rPr/>
      </w:pPr>
      <w:r>
        <w:rPr>
          <w:rFonts w:ascii="IRNazanin" w:hAnsi="IRNazanin" w:eastAsia="IRNazanin"/>
          <w:color w:val="111111"/>
          <w:sz w:val="28"/>
          <w:sz w:val="28"/>
          <w:szCs w:val="28"/>
          <w:rtl w:val="true"/>
          <w:lang w:bidi="fa-IR"/>
        </w:rPr>
        <w:t>اگر مديون، مقتول شد به عمد، احوط براى اوليا، ترك تفويت حق غرما است به عفو مجّانى يا قصاص، مگر با ضمان ديون يا عفو از زايد از مقدار دين يا صلح بر مقدار قابل اداى دين</w:t>
      </w:r>
      <w:r>
        <w:rPr>
          <w:rFonts w:eastAsia="IRNazanin" w:cs="IRNazanin"/>
          <w:color w:val="111111"/>
          <w:sz w:val="28"/>
          <w:szCs w:val="28"/>
          <w:rtl w:val="true"/>
          <w:lang w:bidi="fa-IR"/>
        </w:rPr>
        <w:t>.</w:t>
      </w:r>
    </w:p>
    <w:p>
      <w:pPr>
        <w:pStyle w:val="Heading5"/>
        <w:numPr>
          <w:ilvl w:val="4"/>
          <w:numId w:val="1"/>
        </w:numPr>
        <w:rPr/>
      </w:pPr>
      <w:bookmarkStart w:id="2747" w:name="__RefHeading___Toc3973311_1067777946"/>
      <w:bookmarkStart w:id="2748" w:name="_Toc1163"/>
      <w:bookmarkEnd w:id="2747"/>
      <w:r>
        <w:rPr>
          <w:rtl w:val="true"/>
        </w:rPr>
        <w:t>كشته شدن جماعتى توسط يك نفر به تعاقب</w:t>
      </w:r>
      <w:bookmarkEnd w:id="2748"/>
    </w:p>
    <w:p>
      <w:pPr>
        <w:pStyle w:val="Heading6"/>
        <w:numPr>
          <w:ilvl w:val="5"/>
          <w:numId w:val="1"/>
        </w:numPr>
        <w:rPr/>
      </w:pPr>
      <w:bookmarkStart w:id="2749" w:name="__RefHeading___Toc3973313_1067777946"/>
      <w:bookmarkStart w:id="2750" w:name="_Toc1164"/>
      <w:bookmarkEnd w:id="2749"/>
      <w:r>
        <w:rPr>
          <w:rtl w:val="true"/>
        </w:rPr>
        <w:t>اشاره</w:t>
      </w:r>
      <w:bookmarkEnd w:id="275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نفر، جماعتى را به نحو تعاقب كُشت، ولىّ هر كدام از مقتولين، حق قصاص بدون اداى ديه به جانى را دارد بدون ارتباط بعضى به بعض؛ پس اگر اجتماع نمودند و توكيل كردند مستوفى قصاص را، حق همه ساقط مى شود؛ و اگر اجتماع</w:t>
      </w:r>
      <w:bookmarkStart w:id="2751" w:name="pg10275_96950"/>
    </w:p>
    <w:p>
      <w:pPr>
        <w:pStyle w:val="BookText"/>
        <w:rPr/>
      </w:pPr>
      <w:bookmarkEnd w:id="2751"/>
      <w:r>
        <w:rPr>
          <w:rFonts w:ascii="IRNazanin" w:hAnsi="IRNazanin" w:eastAsia="IRNazanin"/>
          <w:color w:val="111111"/>
          <w:sz w:val="28"/>
          <w:sz w:val="28"/>
          <w:szCs w:val="28"/>
          <w:rtl w:val="true"/>
          <w:lang w:bidi="fa-IR"/>
        </w:rPr>
        <w:t xml:space="preserve">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مبادرت براى سابق است، يا براى كسى كه قرعه او را تعيين مى نمايد، يا آن كه همه مساوى هستند و هر يك مى توانند مبادرت نمايند؟ اقرب سوم است؛ و در صورت تنازع، توكيل يا تعيين به قرعه مى نمايند مستوفى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استيفا نمودند و مبادرت در آن نمودند، حق ديگران ساقط مى شود از قصاص؛ و اما ديه، پس اگر قبل از مبادرت، يكى از اولياى مصالحه بر ديه كرد مستحق آن است علىٰ اىّ تقدير و حق ديگران از قصاص ساقط نمى شود؛ وگرنه استحقاق غير مستوفى، ديه را، از تركۀ جانى، معلوم نيست بلكه اظهر عدم است</w:t>
      </w:r>
      <w:r>
        <w:rPr>
          <w:rFonts w:eastAsia="IRNazanin" w:cs="IRNazanin"/>
          <w:color w:val="111111"/>
          <w:sz w:val="28"/>
          <w:szCs w:val="28"/>
          <w:rtl w:val="true"/>
          <w:lang w:bidi="fa-IR"/>
        </w:rPr>
        <w:t>.</w:t>
      </w:r>
    </w:p>
    <w:p>
      <w:pPr>
        <w:pStyle w:val="Heading6"/>
        <w:numPr>
          <w:ilvl w:val="5"/>
          <w:numId w:val="1"/>
        </w:numPr>
        <w:rPr/>
      </w:pPr>
      <w:bookmarkStart w:id="2752" w:name="__RefHeading___Toc3973315_1067777946"/>
      <w:bookmarkStart w:id="2753" w:name="_Toc1165"/>
      <w:bookmarkEnd w:id="2752"/>
      <w:r>
        <w:rPr>
          <w:rtl w:val="true"/>
        </w:rPr>
        <w:t>قتل دفعى چند نفر</w:t>
      </w:r>
      <w:bookmarkEnd w:id="2753"/>
    </w:p>
    <w:p>
      <w:pPr>
        <w:pStyle w:val="BookText"/>
        <w:rPr/>
      </w:pPr>
      <w:r>
        <w:rPr>
          <w:rFonts w:ascii="IRNazanin" w:hAnsi="IRNazanin" w:eastAsia="IRNazanin"/>
          <w:color w:val="111111"/>
          <w:sz w:val="28"/>
          <w:sz w:val="28"/>
          <w:szCs w:val="28"/>
          <w:rtl w:val="true"/>
          <w:lang w:bidi="fa-IR"/>
        </w:rPr>
        <w:t>و همچنين اگر يك دفعه همه را به قتل رسانيد، مگر در احتمال تقدّم سابق در استيفاى قصاص، و گذشت عدم رجحان</w:t>
      </w:r>
      <w:r>
        <w:rPr>
          <w:rFonts w:eastAsia="IRNazanin" w:cs="IRNazanin"/>
          <w:color w:val="111111"/>
          <w:sz w:val="28"/>
          <w:szCs w:val="28"/>
          <w:rtl w:val="true"/>
          <w:lang w:bidi="fa-IR"/>
        </w:rPr>
        <w:t>.</w:t>
      </w:r>
    </w:p>
    <w:p>
      <w:pPr>
        <w:pStyle w:val="Heading6"/>
        <w:numPr>
          <w:ilvl w:val="5"/>
          <w:numId w:val="1"/>
        </w:numPr>
        <w:rPr/>
      </w:pPr>
      <w:bookmarkStart w:id="2754" w:name="__RefHeading___Toc3973317_1067777946"/>
      <w:bookmarkStart w:id="2755" w:name="_Toc1166"/>
      <w:bookmarkEnd w:id="2754"/>
      <w:r>
        <w:rPr>
          <w:rtl w:val="true"/>
        </w:rPr>
        <w:t>قتل خطايى جانى توسط اجنبى</w:t>
      </w:r>
      <w:bookmarkEnd w:id="2755"/>
    </w:p>
    <w:p>
      <w:pPr>
        <w:pStyle w:val="BookText"/>
        <w:rPr/>
      </w:pPr>
      <w:r>
        <w:rPr>
          <w:rFonts w:ascii="IRNazanin" w:hAnsi="IRNazanin" w:eastAsia="IRNazanin"/>
          <w:color w:val="111111"/>
          <w:sz w:val="28"/>
          <w:sz w:val="28"/>
          <w:szCs w:val="28"/>
          <w:rtl w:val="true"/>
          <w:lang w:bidi="fa-IR"/>
        </w:rPr>
        <w:t>و اگر اجنبى، جانى را از روى خطأ كشت، استحقاق اوليا، ديه را، از تركه جانى، معلوم نيست، بلكه اظهر انتفاى آن است، چنان چه در نظيرش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اداى ديه است در دو فرع متقدم و در صورتى كه اجنبى عمداً به قتل رسانيد جانى را و صلحاً اداى ديه به ورثۀ او كرد، در صورتى كه در اين موارد از بيت المال تأديۀ ديه نشود</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3973319_1067777946"/>
      <w:bookmarkStart w:id="2757" w:name="_Toc1167"/>
      <w:bookmarkEnd w:id="2756"/>
      <w:r>
        <w:rPr>
          <w:rtl w:val="true"/>
        </w:rPr>
        <w:t>توكيل براى قصاص و تفريعات عزل وكيل</w:t>
      </w:r>
      <w:bookmarkEnd w:id="275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توكيل نمود در استيفاى قصاص مانعى ندارد؛ پس اگر عزل كرد وكيل را قبل از استيفا، پس از آن استيفا كرد با علم به عزل، از او قصاص مى شود مثل اجنبى، و در قبول ادّعاى نسيان عزل و ثبوت ديه در مال مدّعى تأمل است؛ و اگر عالم به عزل نبود و استيفا نمود، قصاص بر مستوفى به زعم بقاى وكالت نيست در جميع صور، و بر او است ديه بنا بر انعزال وكيل به مجرد عزل بدون بلوغ و بدون اشهاد، و رجوع به موكّل</w:t>
      </w:r>
      <w:bookmarkStart w:id="2758" w:name="pg10275_96952"/>
    </w:p>
    <w:p>
      <w:pPr>
        <w:pStyle w:val="BookText"/>
        <w:rPr/>
      </w:pPr>
      <w:bookmarkEnd w:id="2758"/>
      <w:r>
        <w:rPr>
          <w:rFonts w:ascii="Amiri" w:hAnsi="Amiri" w:eastAsia="Amiri" w:cs="Amiri"/>
          <w:color w:val="111111"/>
          <w:sz w:val="28"/>
          <w:sz w:val="28"/>
          <w:szCs w:val="28"/>
          <w:rtl w:val="true"/>
          <w:lang w:bidi="ar-SA"/>
        </w:rPr>
        <w:t>كه غارّ است مى نمايد يا آن كه ديه بر موكّل كه سبب است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عفو كرد ولىّ‌، پس از آن وكيل، استيفاى قصاص نمود بدون علم به عفو، قصاص منتفى است، لكن بر او است ديه، و رجوع به موكّل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ترك اعلام عفو با تمكن از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و محتمل است رجوع ابتدايى از ولىّ جانى به موكّل عافى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عفو، متأخر از استيفا بوده اثرى ندارد؛ و همچنين صورت اشتباه تقدم و تأخر عفو از استيفا؛ و جريان اصل در مجهول التاريخ اگر يكى معلوم التاريخ باشد، بى وجه نيست</w:t>
      </w:r>
      <w:r>
        <w:rPr>
          <w:rFonts w:eastAsia="IRNazanin" w:cs="IRNazanin"/>
          <w:color w:val="111111"/>
          <w:sz w:val="28"/>
          <w:szCs w:val="28"/>
          <w:rtl w:val="true"/>
          <w:lang w:bidi="fa-IR"/>
        </w:rPr>
        <w:t>.</w:t>
      </w:r>
    </w:p>
    <w:p>
      <w:pPr>
        <w:pStyle w:val="Heading5"/>
        <w:numPr>
          <w:ilvl w:val="4"/>
          <w:numId w:val="1"/>
        </w:numPr>
        <w:rPr/>
      </w:pPr>
      <w:bookmarkStart w:id="2759" w:name="__RefHeading___Toc3973321_1067777946"/>
      <w:bookmarkStart w:id="2760" w:name="_Toc1168"/>
      <w:bookmarkEnd w:id="2759"/>
      <w:r>
        <w:rPr>
          <w:rtl w:val="true"/>
        </w:rPr>
        <w:t>عدم قصاص از حامل</w:t>
      </w:r>
      <w:bookmarkEnd w:id="276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حامل قصاص نمى شود مگر بعد از وضع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حمل بعد از جنايت باشد و از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حمل ثابت باشد اگر چه با شهادت چهار قابلۀ موافق دعواى او حمل را باشد؛ و اگر دعواى حمل مجرّد از بيّنه باشد احوط انتظار است تا معلوم شود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وضع حمل كرد احوط ترك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آشاميدن شير اول كه غالباً زنده بودن و سلامتى طفل موقوف به آن است؛ بلكه اگر طفل، متوقف بود سلامت او به ارتضاع از مادر، احوط ترك قصاص است تا زمان استقلال طفل به اغتذا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ولىّ‌، مطالبۀ مال از حامل يا صاحب طفل شيرخوار نمود، احوط اجابت است مگر ثابت باشد عدم احتياج طفل به ارضاع خصوص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قصاص طرف، به واسطۀ احتمال سرايت، مثل قصاص نفس است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را در قصاص به قتل رسانيد، پس از آن معلوم شد كه حامل بوده، ديۀ حمل بر عالم است چه حاكم باشد يا ولىّ مباشر يا مأذون حاكم؛ و جاهل، اگر به اذن و امر حاكم انجام داده، ضمان بر او نيست؛ و حاكم جاهل اگر متفحص بوده و به امارات عمل كرده بوده و اتّفاقاً مخالفت، ظاهر شد، از مال خودش ضامن نيست بلكه از بيت المال تأديۀ ديۀ حمل مى شود؛ و مباشر جاهل و غير مأذون از حاكم، ضمان او خالى از </w:t>
      </w:r>
      <w:bookmarkStart w:id="2761" w:name="pg10275_96954"/>
    </w:p>
    <w:p>
      <w:pPr>
        <w:pStyle w:val="BookText"/>
        <w:rPr/>
      </w:pPr>
      <w:bookmarkEnd w:id="2761"/>
      <w:r>
        <w:rPr>
          <w:rFonts w:ascii="IRNazanin" w:hAnsi="IRNazanin" w:eastAsia="IRNazanin"/>
          <w:color w:val="111111"/>
          <w:sz w:val="28"/>
          <w:sz w:val="28"/>
          <w:szCs w:val="28"/>
          <w:rtl w:val="true"/>
          <w:lang w:bidi="fa-IR"/>
        </w:rPr>
        <w:t>وجه نيست؛ و ضمان عامد و مشابه عامد از مال خودش است، و مخطى به خطاى محض از مال عاقلۀ او است مگر آن كه حاكم باشد كه از بيت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در عفو ولىّ با عدم علم مباشر به عزل ذكر شد، ظاهر مى شود حكم صورت علم حاكم به حمل و رجوع از اذن و قصاص مباشر بدون علم به رجوع</w:t>
      </w:r>
      <w:r>
        <w:rPr>
          <w:rFonts w:eastAsia="IRNazanin" w:cs="IRNazanin"/>
          <w:color w:val="111111"/>
          <w:sz w:val="28"/>
          <w:szCs w:val="28"/>
          <w:rtl w:val="true"/>
          <w:lang w:bidi="fa-IR"/>
        </w:rPr>
        <w:t>.</w:t>
      </w:r>
    </w:p>
    <w:p>
      <w:pPr>
        <w:pStyle w:val="Heading5"/>
        <w:numPr>
          <w:ilvl w:val="4"/>
          <w:numId w:val="1"/>
        </w:numPr>
        <w:rPr/>
      </w:pPr>
      <w:bookmarkStart w:id="2762" w:name="__RefHeading___Toc3973323_1067777946"/>
      <w:bookmarkStart w:id="2763" w:name="_Toc1169"/>
      <w:bookmarkEnd w:id="2762"/>
      <w:r>
        <w:rPr>
          <w:rtl w:val="true"/>
        </w:rPr>
        <w:t>تعقّب قتل بر قطع دست ديگرى</w:t>
      </w:r>
      <w:bookmarkEnd w:id="2763"/>
    </w:p>
    <w:p>
      <w:pPr>
        <w:pStyle w:val="Heading6"/>
        <w:numPr>
          <w:ilvl w:val="5"/>
          <w:numId w:val="1"/>
        </w:numPr>
        <w:rPr/>
      </w:pPr>
      <w:bookmarkStart w:id="2764" w:name="__RefHeading___Toc3973325_1067777946"/>
      <w:bookmarkStart w:id="2765" w:name="_Toc1170"/>
      <w:bookmarkEnd w:id="2764"/>
      <w:r>
        <w:rPr>
          <w:rtl w:val="true"/>
        </w:rPr>
        <w:t>اشاره</w:t>
      </w:r>
      <w:bookmarkEnd w:id="276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قطع كرد دست كسى را، پس از آن ديگرى را به قتل رسانيد؛ اول قطع دست او به قصاص مى شود پس از آن به قتل مى رسانند او را در قصاص نفس؛ و همچنين در صورت تقدّم قتل كسى بر قطع دست ديگرى؛ پس اگر ولىّ مقتول، سبقت به قصاص نفس كرد، خلاف شرع كرده و استيفاى حق كرده و ضامن چيزى نيست، و محتمل است ضمان ديۀ دست از وارث قاطع از تركۀ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قطع در مفروض مسأله، سرايت كرد به نفس قبل از قصاص به ترتيب متقدم براى جمع بين حقين، پس مثل قتل دو نفر است كه هر دو حق قصاص نفس را دارند؛ و اگر سرايت بعد از قصاص به ترتيب مذكور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يد اولاً براى يكى و قتل براى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ثبوت نصف ديه يا تمام ديه يا عدم ثبوت چيزى در تركۀ جانى، خلاف است، اظهر عدم ثبوت ديه است مطلقاً، اگر چه ديه نفس احوط است براى وارث جانى</w:t>
      </w:r>
      <w:r>
        <w:rPr>
          <w:rFonts w:eastAsia="IRNazanin" w:cs="IRNazanin"/>
          <w:color w:val="111111"/>
          <w:sz w:val="28"/>
          <w:szCs w:val="28"/>
          <w:rtl w:val="true"/>
          <w:lang w:bidi="fa-IR"/>
        </w:rPr>
        <w:t>.</w:t>
      </w:r>
    </w:p>
    <w:p>
      <w:pPr>
        <w:pStyle w:val="Heading6"/>
        <w:numPr>
          <w:ilvl w:val="5"/>
          <w:numId w:val="1"/>
        </w:numPr>
        <w:rPr/>
      </w:pPr>
      <w:bookmarkStart w:id="2766" w:name="__RefHeading___Toc3973327_1067777946"/>
      <w:bookmarkStart w:id="2767" w:name="_Toc1171"/>
      <w:bookmarkEnd w:id="2766"/>
      <w:r>
        <w:rPr>
          <w:rtl w:val="true"/>
        </w:rPr>
        <w:t>قطع دو دست و سرايت به نفس</w:t>
      </w:r>
      <w:bookmarkEnd w:id="276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دست كسى را قطع كرد از روى عمد پس قصاص شد، پس از آن سرايت كرد جنايت بر طرف به نفس مجنى عليه، جايز است براى ولىّ مقتول به سرايت، قصاص نفس از قاطع قاتل به سرايت بدون عوضى بر او؛ و اگر سرايت قبل از استيفاى قصاص طرف بود، داخل مى شود قصاص طرف در قصاص نفس</w:t>
      </w:r>
      <w:r>
        <w:rPr>
          <w:rFonts w:eastAsia="IRNazanin" w:cs="IRNazanin"/>
          <w:color w:val="111111"/>
          <w:sz w:val="28"/>
          <w:szCs w:val="28"/>
          <w:rtl w:val="true"/>
          <w:lang w:bidi="fa-IR"/>
        </w:rPr>
        <w:t xml:space="preserve">. </w:t>
      </w:r>
      <w:bookmarkStart w:id="2768" w:name="pg10275_96956"/>
    </w:p>
    <w:p>
      <w:pPr>
        <w:pStyle w:val="Heading6"/>
        <w:numPr>
          <w:ilvl w:val="5"/>
          <w:numId w:val="1"/>
        </w:numPr>
        <w:rPr/>
      </w:pPr>
      <w:bookmarkStart w:id="2769" w:name="__RefHeading___Toc3973329_1067777946"/>
      <w:bookmarkStart w:id="2770" w:name="_Toc1172"/>
      <w:bookmarkEnd w:id="2768"/>
      <w:bookmarkEnd w:id="2769"/>
      <w:r>
        <w:rPr>
          <w:rtl w:val="true"/>
        </w:rPr>
        <w:t>فرض ديگر سرايت توسط ذمى</w:t>
      </w:r>
      <w:bookmarkEnd w:id="2770"/>
    </w:p>
    <w:p>
      <w:pPr>
        <w:pStyle w:val="BookText"/>
        <w:rPr/>
      </w:pPr>
      <w:r>
        <w:rPr>
          <w:rFonts w:ascii="IRNazanin" w:hAnsi="IRNazanin" w:eastAsia="IRNazanin"/>
          <w:color w:val="111111"/>
          <w:sz w:val="28"/>
          <w:sz w:val="28"/>
          <w:szCs w:val="28"/>
          <w:rtl w:val="true"/>
          <w:lang w:bidi="fa-IR"/>
        </w:rPr>
        <w:t>اگر ذمّى دست مسلم را قطع كرد پس قصاص كرد، پس از قصاص سرايت كرد جراحت مسلم، ولىّ مسلم مى تواند ذمى را به قتل برساند؛ و اگر مطالبۀ ديه نمود، ديۀ مسلمان را مأخوذ مى دارد با صلح به آن از حيث مقدار و اصل؛ و اگر صلح به عنوان ديه بود، استثناى ديۀ يك دست يا دو دست ذمّى كه به قصاص قطع شده محل تأمل است</w:t>
      </w:r>
      <w:r>
        <w:rPr>
          <w:rFonts w:eastAsia="IRNazanin" w:cs="IRNazanin"/>
          <w:color w:val="111111"/>
          <w:sz w:val="28"/>
          <w:szCs w:val="28"/>
          <w:rtl w:val="true"/>
          <w:lang w:bidi="fa-IR"/>
        </w:rPr>
        <w:t>.</w:t>
      </w:r>
    </w:p>
    <w:p>
      <w:pPr>
        <w:pStyle w:val="Heading6"/>
        <w:numPr>
          <w:ilvl w:val="5"/>
          <w:numId w:val="1"/>
        </w:numPr>
        <w:rPr/>
      </w:pPr>
      <w:bookmarkStart w:id="2771" w:name="__RefHeading___Toc3973331_1067777946"/>
      <w:bookmarkStart w:id="2772" w:name="_Toc1173"/>
      <w:bookmarkEnd w:id="2771"/>
      <w:r>
        <w:rPr>
          <w:rtl w:val="true"/>
        </w:rPr>
        <w:t>سرايت قطع دست به نفس بعد از قصاص قاطعه</w:t>
      </w:r>
      <w:bookmarkEnd w:id="2772"/>
    </w:p>
    <w:p>
      <w:pPr>
        <w:pStyle w:val="BookText"/>
        <w:rPr/>
      </w:pPr>
      <w:r>
        <w:rPr>
          <w:rFonts w:ascii="IRNazanin" w:hAnsi="IRNazanin" w:eastAsia="IRNazanin"/>
          <w:color w:val="111111"/>
          <w:sz w:val="28"/>
          <w:sz w:val="28"/>
          <w:szCs w:val="28"/>
          <w:rtl w:val="true"/>
          <w:lang w:bidi="fa-IR"/>
        </w:rPr>
        <w:t>و همچنين اگر زنى دست مردى را قطع كرد پس دست زن را به قصاص قطع كردند پس سرايت نمود جراحت مرد، در حق قصاص و ديه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قطع كرد دو دست مرد و دو پاى او را پس قصاص كرد پس سرايت كرد، 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انتفاى ديه است در اين فرض به جهت استيفاى آن چه قائم مقام تمام ديه مى شود</w:t>
      </w:r>
      <w:r>
        <w:rPr>
          <w:rFonts w:eastAsia="IRNazanin" w:cs="IRNazanin"/>
          <w:color w:val="111111"/>
          <w:sz w:val="28"/>
          <w:szCs w:val="28"/>
          <w:rtl w:val="true"/>
          <w:lang w:bidi="fa-IR"/>
        </w:rPr>
        <w:t>.</w:t>
      </w:r>
    </w:p>
    <w:p>
      <w:pPr>
        <w:pStyle w:val="Heading6"/>
        <w:numPr>
          <w:ilvl w:val="5"/>
          <w:numId w:val="1"/>
        </w:numPr>
        <w:rPr/>
      </w:pPr>
      <w:bookmarkStart w:id="2773" w:name="__RefHeading___Toc3973333_1067777946"/>
      <w:bookmarkStart w:id="2774" w:name="_Toc1174"/>
      <w:bookmarkEnd w:id="2773"/>
      <w:r>
        <w:rPr>
          <w:rtl w:val="true"/>
        </w:rPr>
        <w:t>سرايت دو دست به نفس بعد از قصاص قاطع</w:t>
      </w:r>
      <w:bookmarkEnd w:id="2774"/>
    </w:p>
    <w:p>
      <w:pPr>
        <w:pStyle w:val="BookText"/>
        <w:rPr/>
      </w:pPr>
      <w:r>
        <w:rPr>
          <w:rFonts w:ascii="IRNazanin" w:hAnsi="IRNazanin" w:eastAsia="IRNazanin"/>
          <w:color w:val="111111"/>
          <w:sz w:val="28"/>
          <w:sz w:val="28"/>
          <w:szCs w:val="28"/>
          <w:rtl w:val="true"/>
          <w:lang w:bidi="fa-IR"/>
        </w:rPr>
        <w:t xml:space="preserve">و همچنين اگر مردى دو دست مردى را قطع كرد پس قصاص شد پس از آن سرايت به نفس كرد، كه قصاص ثابت است و ديه به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است به جهت استيفاى آن چه در آن ديۀ كامله است به قصاص</w:t>
      </w:r>
      <w:r>
        <w:rPr>
          <w:rFonts w:eastAsia="IRNazanin" w:cs="IRNazanin"/>
          <w:color w:val="111111"/>
          <w:sz w:val="28"/>
          <w:szCs w:val="28"/>
          <w:rtl w:val="true"/>
          <w:lang w:bidi="fa-IR"/>
        </w:rPr>
        <w:t>.</w:t>
      </w:r>
    </w:p>
    <w:p>
      <w:pPr>
        <w:pStyle w:val="Heading6"/>
        <w:numPr>
          <w:ilvl w:val="5"/>
          <w:numId w:val="1"/>
        </w:numPr>
        <w:rPr/>
      </w:pPr>
      <w:bookmarkStart w:id="2775" w:name="__RefHeading___Toc3973335_1067777946"/>
      <w:bookmarkStart w:id="2776" w:name="_Toc1175"/>
      <w:bookmarkEnd w:id="2775"/>
      <w:r>
        <w:rPr>
          <w:rtl w:val="true"/>
        </w:rPr>
        <w:t>ثبوت ديه بر حسب صلح و عدم توقف قصاص نفس بر ردّ ديۀ قطع</w:t>
      </w:r>
      <w:bookmarkEnd w:id="277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در همۀ مذكورات، ثبوت ديه است بر حسب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صورت اراده قصاص، اظهر عدم ضمان قطع قصاصى سابق است در صورتى كه از روى موازين ظاهريّۀ شرعيّه بوده مگر بر بيت المال؛ پس قصاص نفس، متوقف بر ردّ ديۀ قطع از قصاص كننده از مال خودش نيست؛ لكن احتياط غير متروك، در مصالحه به ردّ ديه در صورت اراده قصاص نفس، و به استثناى مقدار ديه قطع است در صورت اراده ديه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2777" w:name="pg10275_96958"/>
    </w:p>
    <w:p>
      <w:pPr>
        <w:pStyle w:val="Heading5"/>
        <w:numPr>
          <w:ilvl w:val="4"/>
          <w:numId w:val="1"/>
        </w:numPr>
        <w:rPr/>
      </w:pPr>
      <w:bookmarkStart w:id="2778" w:name="__RefHeading___Toc3973337_1067777946"/>
      <w:bookmarkStart w:id="2779" w:name="_Toc1176"/>
      <w:bookmarkEnd w:id="2777"/>
      <w:bookmarkEnd w:id="2778"/>
      <w:r>
        <w:rPr>
          <w:rtl w:val="true"/>
        </w:rPr>
        <w:t>اگر قاتل به عمد در فرار و مثل آن بميرد</w:t>
      </w:r>
      <w:bookmarkEnd w:id="277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هلاك شد قاتل عمدى، به فرار و نحو آن از قصاص، تا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قصاص ساقط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براى ورثۀ او اداى ديۀ مقتول است از مال قاتل؛ و اگر صاحب مال نباشد، بر اقارب او است اداى ديه احتياط؛ و اگر نباشند يا فقرا باشند، از بيت المال تأديه مى شود به مقتضاى احتياط</w:t>
      </w:r>
      <w:r>
        <w:rPr>
          <w:rFonts w:eastAsia="IRNazanin" w:cs="IRNazanin"/>
          <w:color w:val="111111"/>
          <w:sz w:val="28"/>
          <w:szCs w:val="28"/>
          <w:rtl w:val="true"/>
          <w:lang w:bidi="fa-IR"/>
        </w:rPr>
        <w:t>.</w:t>
      </w:r>
    </w:p>
    <w:p>
      <w:pPr>
        <w:pStyle w:val="Heading5"/>
        <w:numPr>
          <w:ilvl w:val="4"/>
          <w:numId w:val="1"/>
        </w:numPr>
        <w:rPr/>
      </w:pPr>
      <w:bookmarkStart w:id="2780" w:name="__RefHeading___Toc3973339_1067777946"/>
      <w:bookmarkStart w:id="2781" w:name="_Toc1177"/>
      <w:bookmarkEnd w:id="2780"/>
      <w:r>
        <w:rPr>
          <w:rtl w:val="true"/>
        </w:rPr>
        <w:t>فوت مجنىٌّ عليه به وسيله سرايت بعد از قصاص قاطع</w:t>
      </w:r>
      <w:bookmarkEnd w:id="278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قاطع يد قصاص شد پس از آن مجنى عليه، به سرايت وفات كرد، پس از آن جانى به سرايت وفات كرد، قصاص به سرايت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جانى قطع يد كرد پس از آن او را به قتل رساند پس ولىّ قطع يد جانى نمود پس از آن جانى به سرايت وفات كرد، قصاص نفس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سرايت جانى، مقدم بر سرايت مجنى عليه بود، قصاص نفس محقق نمى شود، و به واسطۀ فوت محل قصاص نفس، يا چيزى براى ولىّ مجنى عليه نيست چون در عمد، غير از قصاص نيست و محلى براى قصاص نيست؛ يا ديۀ كامله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چه فرموده اند در قطع بى دست، دست كسى را، كه ديه ثابت است مثل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با استثناى مقدار ديه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جانى، بعد از قصاص طرف، به غير سرايت وفات كرد، در جريان احتمالات مذكوره؛ و ديۀ كاملۀ نفس، منسوب به مشهور است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w:t>
      </w:r>
    </w:p>
    <w:p>
      <w:pPr>
        <w:pStyle w:val="Heading5"/>
        <w:numPr>
          <w:ilvl w:val="4"/>
          <w:numId w:val="1"/>
        </w:numPr>
        <w:rPr/>
      </w:pPr>
      <w:bookmarkStart w:id="2782" w:name="__RefHeading___Toc3973341_1067777946"/>
      <w:bookmarkStart w:id="2783" w:name="_Toc1178"/>
      <w:bookmarkEnd w:id="2782"/>
      <w:r>
        <w:rPr>
          <w:rtl w:val="true"/>
        </w:rPr>
        <w:t>عفو قاطع يد و قتل مقطوع اليد توسط قاطع</w:t>
      </w:r>
      <w:bookmarkEnd w:id="278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كسى را قطع نمود پس عفو نمود، پس از آن قاطع، او را به قتل رسانيد، مى تواند ولىّ مقتول، قاطع قاتل را به قصاص به قتل رساند بعد از ردّ ديۀ دست؛ و مى تواند اخذ ديۀ ناقص از قاتل نمايد به صلح بر ديه؛ لكن در تعيّن ردّ در قصاص، و</w:t>
      </w:r>
      <w:bookmarkStart w:id="2784" w:name="pg10275_96960"/>
    </w:p>
    <w:p>
      <w:pPr>
        <w:pStyle w:val="BookText"/>
        <w:rPr/>
      </w:pPr>
      <w:bookmarkEnd w:id="2784"/>
      <w:r>
        <w:rPr>
          <w:rFonts w:ascii="IRNazanin" w:hAnsi="IRNazanin" w:eastAsia="IRNazanin"/>
          <w:color w:val="111111"/>
          <w:sz w:val="28"/>
          <w:sz w:val="28"/>
          <w:szCs w:val="28"/>
          <w:rtl w:val="true"/>
          <w:lang w:bidi="fa-IR"/>
        </w:rPr>
        <w:t xml:space="preserve">استثناى در ديه، و عدم هر دو و تفصيل بين قصاص بدون ردّ و ديه با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است، لكن قول اول اقرب است به ملاحظۀ اعتبار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مدرك آن است، و مقتضاى آن، تفصيل بين قطع يد مقتول در جنايتى به قصاص يا آن كه قاتل يا غير او به جنايت قطع كرده بوده و ديۀ آن را مأخوذ داشته، و بين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ديۀ مقطوع در اول و استثناى ديۀ آن، و عدم ردّ و استثناى در دوم؛ و عفو ملحق به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جارى است آن چه ذكر شد در يد و نفس، در مسألۀ كفّ و اصابع، يعنى قطع ذراع يا كفّ بدون اصابع، در قصاص، مشتمل بر ردّ ديۀ اصابع است، و در ديه مستثنىٰ مى شود از آن، ديۀ اصابع در صورت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 در جنايت يا با اخذ ديه اصابع يا عفو از آن باشد</w:t>
      </w:r>
      <w:r>
        <w:rPr>
          <w:rFonts w:eastAsia="IRNazanin" w:cs="IRNazanin"/>
          <w:color w:val="111111"/>
          <w:sz w:val="28"/>
          <w:szCs w:val="28"/>
          <w:rtl w:val="true"/>
          <w:lang w:bidi="fa-IR"/>
        </w:rPr>
        <w:t>).</w:t>
      </w:r>
    </w:p>
    <w:p>
      <w:pPr>
        <w:pStyle w:val="Heading5"/>
        <w:numPr>
          <w:ilvl w:val="4"/>
          <w:numId w:val="1"/>
        </w:numPr>
        <w:rPr/>
      </w:pPr>
      <w:bookmarkStart w:id="2785" w:name="__RefHeading___Toc3973343_1067777946"/>
      <w:bookmarkStart w:id="2786" w:name="_Toc1179"/>
      <w:bookmarkEnd w:id="2785"/>
      <w:r>
        <w:rPr>
          <w:rtl w:val="true"/>
        </w:rPr>
        <w:t>ضرب شديد جانى توسط ولىّ مقتول</w:t>
      </w:r>
      <w:bookmarkEnd w:id="278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ولىّ مقتول، جانى را زد تا آن كه گمان كرد وفات كرده، پس معالجه شد، مروىّ است كه قصاص جانى نمى شود مگر بعد از قصاص ولىّ‌، و روايت قويّه است و شيخ و جماعتى عمل نموده اند، مع ذلك احوط براى ولىّ مقتول، عفو است اگر چه بر مال مصالح عليه باشد</w:t>
      </w:r>
      <w:r>
        <w:rPr>
          <w:rFonts w:eastAsia="IRNazanin" w:cs="IRNazanin"/>
          <w:color w:val="111111"/>
          <w:sz w:val="28"/>
          <w:szCs w:val="28"/>
          <w:rtl w:val="true"/>
          <w:lang w:bidi="fa-IR"/>
        </w:rPr>
        <w:t>.</w:t>
      </w:r>
      <w:bookmarkStart w:id="2787" w:name="pg10275_96962"/>
    </w:p>
    <w:p>
      <w:pPr>
        <w:pStyle w:val="Heading3"/>
        <w:numPr>
          <w:ilvl w:val="2"/>
          <w:numId w:val="1"/>
        </w:numPr>
        <w:rPr/>
      </w:pPr>
      <w:bookmarkStart w:id="2788" w:name="__RefHeading___Toc3973345_1067777946"/>
      <w:bookmarkStart w:id="2789" w:name="_Toc1180"/>
      <w:bookmarkEnd w:id="2787"/>
      <w:bookmarkEnd w:id="2788"/>
      <w:r>
        <w:rPr>
          <w:rtl w:val="true"/>
        </w:rPr>
        <w:t>فصل ششم قصاص در طرف</w:t>
      </w:r>
      <w:bookmarkEnd w:id="2789"/>
    </w:p>
    <w:p>
      <w:pPr>
        <w:pStyle w:val="Heading4"/>
        <w:numPr>
          <w:ilvl w:val="3"/>
          <w:numId w:val="1"/>
        </w:numPr>
        <w:rPr/>
      </w:pPr>
      <w:bookmarkStart w:id="2790" w:name="__RefHeading___Toc3973347_1067777946"/>
      <w:bookmarkStart w:id="2791" w:name="_Toc1181"/>
      <w:bookmarkEnd w:id="2790"/>
      <w:r>
        <w:rPr>
          <w:rtl w:val="true"/>
        </w:rPr>
        <w:t>اشاره</w:t>
      </w:r>
      <w:bookmarkEnd w:id="2791"/>
    </w:p>
    <w:p>
      <w:pPr>
        <w:pStyle w:val="BookText"/>
        <w:rPr/>
      </w:pPr>
      <w:r>
        <w:rPr>
          <w:rFonts w:ascii="IRNazanin" w:hAnsi="IRNazanin" w:eastAsia="IRNazanin"/>
          <w:color w:val="111111"/>
          <w:sz w:val="28"/>
          <w:sz w:val="28"/>
          <w:szCs w:val="28"/>
          <w:rtl w:val="true"/>
          <w:lang w:bidi="fa-IR"/>
        </w:rPr>
        <w:t>و مقصود از آن، غير نفس است، پس شامل بطن و ظهر مى شود</w:t>
      </w:r>
      <w:r>
        <w:rPr>
          <w:rFonts w:eastAsia="IRNazanin" w:cs="IRNazanin"/>
          <w:color w:val="111111"/>
          <w:sz w:val="28"/>
          <w:szCs w:val="28"/>
          <w:rtl w:val="true"/>
          <w:lang w:bidi="fa-IR"/>
        </w:rPr>
        <w:t>.</w:t>
      </w:r>
    </w:p>
    <w:p>
      <w:pPr>
        <w:pStyle w:val="Heading4"/>
        <w:numPr>
          <w:ilvl w:val="3"/>
          <w:numId w:val="1"/>
        </w:numPr>
        <w:rPr/>
      </w:pPr>
      <w:bookmarkStart w:id="2792" w:name="__RefHeading___Toc3973349_1067777946"/>
      <w:bookmarkStart w:id="2793" w:name="_Toc1182"/>
      <w:bookmarkEnd w:id="2792"/>
      <w:r>
        <w:rPr/>
        <w:t>1</w:t>
      </w:r>
      <w:r>
        <w:rPr>
          <w:rtl w:val="true"/>
        </w:rPr>
        <w:t xml:space="preserve">. </w:t>
      </w:r>
      <w:r>
        <w:rPr>
          <w:rtl w:val="true"/>
        </w:rPr>
        <w:t>موجِب قصاص</w:t>
      </w:r>
      <w:bookmarkEnd w:id="2793"/>
    </w:p>
    <w:p>
      <w:pPr>
        <w:pStyle w:val="Heading5"/>
        <w:numPr>
          <w:ilvl w:val="4"/>
          <w:numId w:val="1"/>
        </w:numPr>
        <w:rPr/>
      </w:pPr>
      <w:bookmarkStart w:id="2794" w:name="__RefHeading___Toc3973351_1067777946"/>
      <w:bookmarkStart w:id="2795" w:name="_Toc1183"/>
      <w:bookmarkEnd w:id="2794"/>
      <w:r>
        <w:rPr>
          <w:rtl w:val="true"/>
        </w:rPr>
        <w:t>اشاره</w:t>
      </w:r>
      <w:bookmarkEnd w:id="2795"/>
    </w:p>
    <w:p>
      <w:pPr>
        <w:pStyle w:val="BookText"/>
        <w:rPr/>
      </w:pPr>
      <w:r>
        <w:rPr>
          <w:rFonts w:ascii="IRNazanin" w:hAnsi="IRNazanin" w:eastAsia="IRNazanin"/>
          <w:color w:val="111111"/>
          <w:sz w:val="28"/>
          <w:sz w:val="28"/>
          <w:szCs w:val="28"/>
          <w:rtl w:val="true"/>
          <w:lang w:bidi="fa-IR"/>
        </w:rPr>
        <w:t>و موجب قصاص طرف، جنايت به چيزى است كه مُتلِف عضو باشد غالباً، يا آن كه مقصود، اتلاف باشد و واقع شود مقصود، چنان چه در نفس گذشت</w:t>
      </w:r>
      <w:r>
        <w:rPr>
          <w:rFonts w:eastAsia="IRNazanin" w:cs="IRNazanin"/>
          <w:color w:val="111111"/>
          <w:sz w:val="28"/>
          <w:szCs w:val="28"/>
          <w:rtl w:val="true"/>
          <w:lang w:bidi="fa-IR"/>
        </w:rPr>
        <w:t>.</w:t>
      </w:r>
    </w:p>
    <w:p>
      <w:pPr>
        <w:pStyle w:val="Heading5"/>
        <w:numPr>
          <w:ilvl w:val="4"/>
          <w:numId w:val="1"/>
        </w:numPr>
        <w:rPr/>
      </w:pPr>
      <w:bookmarkStart w:id="2796" w:name="__RefHeading___Toc3973353_1067777946"/>
      <w:bookmarkStart w:id="2797" w:name="_Toc1184"/>
      <w:bookmarkEnd w:id="2796"/>
      <w:r>
        <w:rPr>
          <w:rtl w:val="true"/>
        </w:rPr>
        <w:t>مباشرت و تسبيب</w:t>
      </w:r>
      <w:bookmarkEnd w:id="2797"/>
    </w:p>
    <w:p>
      <w:pPr>
        <w:pStyle w:val="BookText"/>
        <w:rPr/>
      </w:pPr>
      <w:r>
        <w:rPr>
          <w:rFonts w:ascii="IRNazanin" w:hAnsi="IRNazanin" w:eastAsia="IRNazanin"/>
          <w:color w:val="111111"/>
          <w:sz w:val="28"/>
          <w:sz w:val="28"/>
          <w:szCs w:val="28"/>
          <w:rtl w:val="true"/>
          <w:lang w:bidi="fa-IR"/>
        </w:rPr>
        <w:t>جارى است خصوصيات مباشرت و تسبيب كه در نفس گذشت، در طرف؛ پس هر جا در نفس، قصاص است با رعايت خصوصياتش، در طرف هم قصاص است</w:t>
      </w:r>
      <w:r>
        <w:rPr>
          <w:rFonts w:eastAsia="IRNazanin" w:cs="IRNazanin"/>
          <w:color w:val="111111"/>
          <w:sz w:val="28"/>
          <w:szCs w:val="28"/>
          <w:rtl w:val="true"/>
          <w:lang w:bidi="fa-IR"/>
        </w:rPr>
        <w:t>.</w:t>
      </w:r>
    </w:p>
    <w:p>
      <w:pPr>
        <w:pStyle w:val="Heading4"/>
        <w:numPr>
          <w:ilvl w:val="3"/>
          <w:numId w:val="1"/>
        </w:numPr>
        <w:rPr/>
      </w:pPr>
      <w:bookmarkStart w:id="2798" w:name="__RefHeading___Toc3973355_1067777946"/>
      <w:bookmarkStart w:id="2799" w:name="_Toc1185"/>
      <w:bookmarkEnd w:id="2798"/>
      <w:r>
        <w:rPr/>
        <w:t>2</w:t>
      </w:r>
      <w:r>
        <w:rPr>
          <w:rtl w:val="true"/>
        </w:rPr>
        <w:t xml:space="preserve">. </w:t>
      </w:r>
      <w:r>
        <w:rPr>
          <w:rtl w:val="true"/>
        </w:rPr>
        <w:t>شروط معتبره در قصاص طَرَف</w:t>
      </w:r>
      <w:bookmarkEnd w:id="2799"/>
    </w:p>
    <w:p>
      <w:pPr>
        <w:pStyle w:val="Heading5"/>
        <w:numPr>
          <w:ilvl w:val="4"/>
          <w:numId w:val="1"/>
        </w:numPr>
        <w:rPr/>
      </w:pPr>
      <w:bookmarkStart w:id="2800" w:name="__RefHeading___Toc3973357_1067777946"/>
      <w:bookmarkStart w:id="2801" w:name="_Toc1186"/>
      <w:bookmarkEnd w:id="2800"/>
      <w:r>
        <w:rPr>
          <w:rtl w:val="true"/>
        </w:rPr>
        <w:t>اشتراط تساوى در كمال يا اكمليّت مجنىٌّ عليه</w:t>
      </w:r>
      <w:bookmarkEnd w:id="2801"/>
    </w:p>
    <w:p>
      <w:pPr>
        <w:pStyle w:val="BookText"/>
        <w:rPr/>
      </w:pPr>
      <w:r>
        <w:rPr>
          <w:rFonts w:ascii="Amiri" w:hAnsi="Amiri" w:eastAsia="Amiri" w:cs="Amiri"/>
          <w:color w:val="111111"/>
          <w:sz w:val="28"/>
          <w:sz w:val="28"/>
          <w:szCs w:val="28"/>
          <w:rtl w:val="true"/>
          <w:lang w:bidi="ar-SA"/>
        </w:rPr>
        <w:t xml:space="preserve">و شرط است در قصاص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تساوى در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اسلام و حرّيت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كه مجنى عليه اكمل باشد؛ و هر موردى كه در نفس قصاص نيست به واسطۀ فقدان اين شرط، در طرف هم قصاص نيست</w:t>
      </w:r>
      <w:r>
        <w:rPr>
          <w:rFonts w:eastAsia="Amiri" w:cs="Amiri" w:ascii="Amiri" w:hAnsi="Amiri"/>
          <w:color w:val="111111"/>
          <w:sz w:val="28"/>
          <w:szCs w:val="28"/>
          <w:rtl w:val="true"/>
          <w:lang w:bidi="ar-SA"/>
        </w:rPr>
        <w:t>.</w:t>
      </w:r>
    </w:p>
    <w:p>
      <w:pPr>
        <w:pStyle w:val="Heading5"/>
        <w:numPr>
          <w:ilvl w:val="4"/>
          <w:numId w:val="1"/>
        </w:numPr>
        <w:rPr/>
      </w:pPr>
      <w:bookmarkStart w:id="2802" w:name="__RefHeading___Toc3973359_1067777946"/>
      <w:bookmarkStart w:id="2803" w:name="_Toc1187"/>
      <w:bookmarkEnd w:id="2802"/>
      <w:r>
        <w:rPr>
          <w:rtl w:val="true"/>
        </w:rPr>
        <w:t>اشتراط انتفاى ابوت در جانى</w:t>
      </w:r>
      <w:bookmarkEnd w:id="280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شرط است انتفاى اُبوّت در جانى</w:t>
      </w:r>
      <w:r>
        <w:rPr>
          <w:rFonts w:eastAsia="IRNazanin" w:cs="IRNazanin"/>
          <w:color w:val="111111"/>
          <w:sz w:val="28"/>
          <w:szCs w:val="28"/>
          <w:rtl w:val="true"/>
          <w:lang w:bidi="fa-IR"/>
        </w:rPr>
        <w:t xml:space="preserve">. </w:t>
      </w:r>
      <w:bookmarkStart w:id="2804" w:name="pg10275_96964"/>
    </w:p>
    <w:p>
      <w:pPr>
        <w:pStyle w:val="Heading5"/>
        <w:numPr>
          <w:ilvl w:val="4"/>
          <w:numId w:val="1"/>
        </w:numPr>
        <w:rPr/>
      </w:pPr>
      <w:bookmarkStart w:id="2805" w:name="__RefHeading___Toc3973361_1067777946"/>
      <w:bookmarkStart w:id="2806" w:name="_Toc1188"/>
      <w:bookmarkEnd w:id="2804"/>
      <w:bookmarkEnd w:id="2805"/>
      <w:r>
        <w:rPr>
          <w:rtl w:val="true"/>
        </w:rPr>
        <w:t>عدم اعتبار مساوات در ذكورت و انوثت</w:t>
      </w:r>
      <w:bookmarkEnd w:id="2806"/>
    </w:p>
    <w:p>
      <w:pPr>
        <w:pStyle w:val="BookText"/>
        <w:rPr/>
      </w:pPr>
      <w:r>
        <w:rPr>
          <w:rFonts w:ascii="IRNazanin" w:hAnsi="IRNazanin" w:eastAsia="IRNazanin"/>
          <w:color w:val="111111"/>
          <w:sz w:val="28"/>
          <w:sz w:val="28"/>
          <w:szCs w:val="28"/>
          <w:rtl w:val="true"/>
          <w:lang w:bidi="fa-IR"/>
        </w:rPr>
        <w:t>و شرط نيست مساوات در ذكورت و انوثت؛ و قصاص مى شود براى مرد، از مرد و زن و زيادتى از زن نمى گيرند؛ و براى زن از زن قصاص مى شود و از مرد هم قصاص مى شود با ردّ زيادتى به مرد، مثل آن چه در نفس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تساوى ديۀ مرد و زن تا بلوغ به ثلث ديۀ حرّ، پس از تجاوز تنصيف مى شود؛ پس ردّ نيست قبل از بلوغ ثلث، و ردّ ثابت است بعد از تجاوز، به تفصيلى كه در قصاص نفس گذشت</w:t>
      </w:r>
      <w:r>
        <w:rPr>
          <w:rFonts w:eastAsia="IRNazanin" w:cs="IRNazanin"/>
          <w:color w:val="111111"/>
          <w:sz w:val="28"/>
          <w:szCs w:val="28"/>
          <w:rtl w:val="true"/>
          <w:lang w:bidi="fa-IR"/>
        </w:rPr>
        <w:t>.</w:t>
      </w:r>
    </w:p>
    <w:p>
      <w:pPr>
        <w:pStyle w:val="Heading5"/>
        <w:numPr>
          <w:ilvl w:val="4"/>
          <w:numId w:val="1"/>
        </w:numPr>
        <w:rPr/>
      </w:pPr>
      <w:bookmarkStart w:id="2807" w:name="__RefHeading___Toc3973363_1067777946"/>
      <w:bookmarkStart w:id="2808" w:name="_Toc1189"/>
      <w:bookmarkEnd w:id="2807"/>
      <w:r>
        <w:rPr>
          <w:rtl w:val="true"/>
        </w:rPr>
        <w:t>احكام ذمى و عبد در مقام</w:t>
      </w:r>
      <w:bookmarkEnd w:id="2808"/>
    </w:p>
    <w:p>
      <w:pPr>
        <w:pStyle w:val="BookText"/>
        <w:rPr/>
      </w:pPr>
      <w:r>
        <w:rPr>
          <w:rFonts w:ascii="IRNazanin" w:hAnsi="IRNazanin" w:eastAsia="IRNazanin"/>
          <w:color w:val="111111"/>
          <w:sz w:val="28"/>
          <w:sz w:val="28"/>
          <w:szCs w:val="28"/>
          <w:rtl w:val="true"/>
          <w:lang w:bidi="fa-IR"/>
        </w:rPr>
        <w:t>قصاص مى شود براى ذمّى، از ذمّى و حربى، نه از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قصاص مى شود براى آزاد، از مملوك با تخييرى كه گذشت ذكر آن در 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نمى شود از حرّ براى مملوك در طرف اگر چه قيمتش مساوى ديۀ حرّ يا زايد باشد، چنان چه در نفس قصاص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قصاص مى شود براى عبد، از عبد و امه كه مساوى باشند با او در رقّيت تمام؛ و براى امه، از عبد با ردّ زيادتى در صورت بلوغ ثلث يا زايد بر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احتياط غير متروك، در ردّ زيادتى قيمت جانى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ارادۀ قصاص، چه مرد باشد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قيمت مجنى عليه چه مرد باشد يا زن، در نفس و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قصاص نشد بلكه صلح بر مالى شد پس محدود به مقدارى نيست، و مى شود استرقاق صلحى تمام جانى براى طرف مجنى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نمى شود براى مملوك تام، از مكاتبى كه بعض او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مى شود براى قنّ‌، از مدبّر و اُمّ ولد؛ و اگر نوبت به استرقاق رسيد استرقاق مدبّر جايز است در تمام و بعض مناسب با جنايت خاصه، و در صورت تساوى در مقدار عتق يا زيادتى مُعتَق از مجنى عليه، مى تواند قصاص از جانى معتق نمايد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گذشت اعتبارش و لزوم رعايتش از خصوصيات در قصاص نفس، جارى است در قصاص طرف</w:t>
      </w:r>
      <w:r>
        <w:rPr>
          <w:rFonts w:eastAsia="IRNazanin" w:cs="IRNazanin"/>
          <w:color w:val="111111"/>
          <w:sz w:val="28"/>
          <w:szCs w:val="28"/>
          <w:rtl w:val="true"/>
          <w:lang w:bidi="fa-IR"/>
        </w:rPr>
        <w:t xml:space="preserve">. </w:t>
      </w:r>
      <w:bookmarkStart w:id="2809" w:name="pg10275_96966"/>
    </w:p>
    <w:p>
      <w:pPr>
        <w:pStyle w:val="Heading5"/>
        <w:numPr>
          <w:ilvl w:val="4"/>
          <w:numId w:val="1"/>
        </w:numPr>
        <w:rPr/>
      </w:pPr>
      <w:bookmarkStart w:id="2810" w:name="__RefHeading___Toc3973365_1067777946"/>
      <w:bookmarkStart w:id="2811" w:name="_Toc1190"/>
      <w:bookmarkEnd w:id="2809"/>
      <w:bookmarkEnd w:id="2810"/>
      <w:r>
        <w:rPr>
          <w:rtl w:val="true"/>
        </w:rPr>
        <w:t>اعتبار تساوى در سلامت در قصاص</w:t>
      </w:r>
      <w:bookmarkEnd w:id="2811"/>
    </w:p>
    <w:p>
      <w:pPr>
        <w:pStyle w:val="BookText"/>
        <w:rPr/>
      </w:pPr>
      <w:r>
        <w:rPr>
          <w:rFonts w:ascii="IRNazanin" w:hAnsi="IRNazanin" w:eastAsia="IRNazanin"/>
          <w:color w:val="111111"/>
          <w:sz w:val="28"/>
          <w:sz w:val="28"/>
          <w:szCs w:val="28"/>
          <w:rtl w:val="true"/>
          <w:lang w:bidi="fa-IR"/>
        </w:rPr>
        <w:t xml:space="preserve">معتبر است در قصاص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بر شروط 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در سلامت از شلل و در محلّ و در اصالت و زيادت؛ پس قطع نمى شود به قصاص، يد صحيحه به سبب يد شلاء، و متعيّن است ديۀ آن يد؛ و قطع مى شود شلاء به سبب صحيحه، مثل آن كه قطع مى شود به سبب شلاء در صورت عدم خوف يا علم سرايت به نفس با رجوع به اهل خبره، كه رعايت آن اهم است از رعايت عضو مقطوع، و در صورت خوف سرايت، متعين است انتقال به ديۀ آن عضو</w:t>
      </w:r>
      <w:r>
        <w:rPr>
          <w:rFonts w:eastAsia="IRNazanin" w:cs="IRNazanin"/>
          <w:color w:val="111111"/>
          <w:sz w:val="28"/>
          <w:szCs w:val="28"/>
          <w:rtl w:val="true"/>
          <w:lang w:bidi="fa-IR"/>
        </w:rPr>
        <w:t>.</w:t>
      </w:r>
    </w:p>
    <w:p>
      <w:pPr>
        <w:pStyle w:val="Heading5"/>
        <w:numPr>
          <w:ilvl w:val="4"/>
          <w:numId w:val="1"/>
        </w:numPr>
        <w:rPr/>
      </w:pPr>
      <w:bookmarkStart w:id="2812" w:name="__RefHeading___Toc3973367_1067777946"/>
      <w:bookmarkStart w:id="2813" w:name="_Toc1191"/>
      <w:bookmarkEnd w:id="2812"/>
      <w:r>
        <w:rPr>
          <w:rtl w:val="true"/>
        </w:rPr>
        <w:t>لزوم مراجعه به خبره براى عدم سرايت در قصاص</w:t>
      </w:r>
      <w:bookmarkEnd w:id="2813"/>
    </w:p>
    <w:p>
      <w:pPr>
        <w:pStyle w:val="BookText"/>
        <w:rPr/>
      </w:pPr>
      <w:r>
        <w:rPr>
          <w:rFonts w:ascii="Amiri" w:hAnsi="Amiri" w:eastAsia="Amiri" w:cs="Amiri"/>
          <w:color w:val="111111"/>
          <w:sz w:val="28"/>
          <w:sz w:val="28"/>
          <w:szCs w:val="28"/>
          <w:rtl w:val="true"/>
          <w:lang w:bidi="ar-SA"/>
        </w:rPr>
        <w:t>و اظهر در حدودى كه قطع يد به تنهايى وظيفه باشد مثل يد سارق و محارب فى الجمله، رعايت عدم خوف سرايت است بعد از رجوع به اهل خبره</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3973369_1067777946"/>
      <w:bookmarkStart w:id="2815" w:name="_Toc1192"/>
      <w:bookmarkEnd w:id="2814"/>
      <w:r>
        <w:rPr>
          <w:rtl w:val="true"/>
        </w:rPr>
        <w:t>مراد از شلل</w:t>
      </w:r>
      <w:bookmarkEnd w:id="2815"/>
    </w:p>
    <w:p>
      <w:pPr>
        <w:pStyle w:val="BookText"/>
        <w:rPr/>
      </w:pPr>
      <w:r>
        <w:rPr>
          <w:rFonts w:ascii="IRNazanin" w:hAnsi="IRNazanin" w:eastAsia="IRNazanin"/>
          <w:color w:val="111111"/>
          <w:sz w:val="28"/>
          <w:sz w:val="28"/>
          <w:szCs w:val="28"/>
          <w:rtl w:val="true"/>
          <w:lang w:bidi="fa-IR"/>
        </w:rPr>
        <w:t>مراد از شلل مانع از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عضو است و تعطّل آن از عمل اگر چه در آن، حرارت و احساس و حركت ضعيفه باقى باشد</w:t>
      </w:r>
      <w:r>
        <w:rPr>
          <w:rFonts w:eastAsia="IRNazanin" w:cs="IRNazanin"/>
          <w:color w:val="111111"/>
          <w:sz w:val="28"/>
          <w:szCs w:val="28"/>
          <w:rtl w:val="true"/>
          <w:lang w:bidi="fa-IR"/>
        </w:rPr>
        <w:t>.</w:t>
      </w:r>
    </w:p>
    <w:p>
      <w:pPr>
        <w:pStyle w:val="Heading5"/>
        <w:numPr>
          <w:ilvl w:val="4"/>
          <w:numId w:val="1"/>
        </w:numPr>
        <w:rPr/>
      </w:pPr>
      <w:bookmarkStart w:id="2816" w:name="__RefHeading___Toc3973371_1067777946"/>
      <w:bookmarkStart w:id="2817" w:name="_Toc1193"/>
      <w:bookmarkEnd w:id="2816"/>
      <w:r>
        <w:rPr>
          <w:rtl w:val="true"/>
        </w:rPr>
        <w:t>عدم لزوم تساوى در سلامت مطلقه</w:t>
      </w:r>
      <w:bookmarkEnd w:id="2817"/>
    </w:p>
    <w:p>
      <w:pPr>
        <w:pStyle w:val="BookText"/>
        <w:rPr/>
      </w:pPr>
      <w:r>
        <w:rPr>
          <w:rFonts w:ascii="IRNazanin" w:hAnsi="IRNazanin" w:eastAsia="IRNazanin"/>
          <w:color w:val="111111"/>
          <w:sz w:val="28"/>
          <w:sz w:val="28"/>
          <w:szCs w:val="28"/>
          <w:rtl w:val="true"/>
          <w:lang w:bidi="fa-IR"/>
        </w:rPr>
        <w:t>و تساوى در سلامت مطلقه لازم نيست؛ پس برص و عرج، مانع در قصاص نيست، و ضرر مقتص منه به سبب تفاوت، تدارك به اداى تفاوت از قصاص كننده مى شود</w:t>
      </w:r>
      <w:r>
        <w:rPr>
          <w:rFonts w:eastAsia="IRNazanin" w:cs="IRNazanin"/>
          <w:color w:val="111111"/>
          <w:sz w:val="28"/>
          <w:szCs w:val="28"/>
          <w:rtl w:val="true"/>
          <w:lang w:bidi="fa-IR"/>
        </w:rPr>
        <w:t>.</w:t>
      </w:r>
    </w:p>
    <w:p>
      <w:pPr>
        <w:pStyle w:val="Heading5"/>
        <w:numPr>
          <w:ilvl w:val="4"/>
          <w:numId w:val="1"/>
        </w:numPr>
        <w:rPr/>
      </w:pPr>
      <w:bookmarkStart w:id="2818" w:name="__RefHeading___Toc3973373_1067777946"/>
      <w:bookmarkStart w:id="2819" w:name="_Toc1194"/>
      <w:bookmarkEnd w:id="2818"/>
      <w:r>
        <w:rPr>
          <w:rtl w:val="true"/>
        </w:rPr>
        <w:t>شلل داشتن بعضى از انگشتان</w:t>
      </w:r>
      <w:bookmarkEnd w:id="2819"/>
    </w:p>
    <w:p>
      <w:pPr>
        <w:pStyle w:val="BookText"/>
        <w:rPr/>
      </w:pPr>
      <w:r>
        <w:rPr>
          <w:rFonts w:ascii="IRNazanin" w:hAnsi="IRNazanin" w:eastAsia="IRNazanin"/>
          <w:color w:val="111111"/>
          <w:sz w:val="28"/>
          <w:sz w:val="28"/>
          <w:szCs w:val="28"/>
          <w:rtl w:val="true"/>
          <w:lang w:bidi="fa-IR"/>
        </w:rPr>
        <w:t>اگر بعض اصابع مقطوع به جنايت، شلل داشت، قصاص نمى شود صحيح الاصابع از كفّ‌، بلكه در خصوص چهار اصبع صحيحه؛ و ثلث ديۀ صحيحه براى اصبع شلاء مأخوذ مى شود و ارش بقيه كفّ مأخوذ مى 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عكس، اصابع مجنى عليه صحيحه بوده و اصبعى از جانى در يد موافقۀ با </w:t>
      </w:r>
      <w:bookmarkStart w:id="2820" w:name="pg10275_96968"/>
    </w:p>
    <w:p>
      <w:pPr>
        <w:pStyle w:val="BookText"/>
        <w:rPr/>
      </w:pPr>
      <w:bookmarkEnd w:id="2820"/>
      <w:r>
        <w:rPr>
          <w:rFonts w:ascii="IRNazanin" w:hAnsi="IRNazanin" w:eastAsia="IRNazanin"/>
          <w:color w:val="111111"/>
          <w:sz w:val="28"/>
          <w:sz w:val="28"/>
          <w:szCs w:val="28"/>
          <w:rtl w:val="true"/>
          <w:lang w:bidi="fa-IR"/>
        </w:rPr>
        <w:t xml:space="preserve">مقطوعه شلل داشته، كفّ جانى در قصاص قطع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قصاص مى شود از ناقص براى كامل، مگر آن كه خوف سرايت به واسطۀ شلل اصبع باشد كه قصاص در اصابع صحيحه مى شود و ديۀ يك اصبع صحيحه و ارش تمام كفّ‌، مأخوذ مى شود</w:t>
      </w:r>
      <w:r>
        <w:rPr>
          <w:rFonts w:eastAsia="IRNazanin" w:cs="IRNazanin"/>
          <w:color w:val="111111"/>
          <w:sz w:val="28"/>
          <w:szCs w:val="28"/>
          <w:rtl w:val="true"/>
          <w:lang w:bidi="fa-IR"/>
        </w:rPr>
        <w:t>.</w:t>
      </w:r>
    </w:p>
    <w:p>
      <w:pPr>
        <w:pStyle w:val="Heading5"/>
        <w:numPr>
          <w:ilvl w:val="4"/>
          <w:numId w:val="1"/>
        </w:numPr>
        <w:rPr/>
      </w:pPr>
      <w:bookmarkStart w:id="2821" w:name="__RefHeading___Toc3973375_1067777946"/>
      <w:bookmarkStart w:id="2822" w:name="_Toc1195"/>
      <w:bookmarkEnd w:id="2821"/>
      <w:r>
        <w:rPr>
          <w:rtl w:val="true"/>
        </w:rPr>
        <w:t>اعتبار تساوى در محل با امكان، در قصاص</w:t>
      </w:r>
      <w:bookmarkEnd w:id="2822"/>
    </w:p>
    <w:p>
      <w:pPr>
        <w:pStyle w:val="BookText"/>
        <w:rPr/>
      </w:pPr>
      <w:r>
        <w:rPr>
          <w:rFonts w:ascii="IRNazanin" w:hAnsi="IRNazanin" w:eastAsia="IRNazanin"/>
          <w:color w:val="111111"/>
          <w:sz w:val="28"/>
          <w:sz w:val="28"/>
          <w:szCs w:val="28"/>
          <w:rtl w:val="true"/>
          <w:lang w:bidi="fa-IR"/>
        </w:rPr>
        <w:t>و معتبر است 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در محل با امكان؛ پس دست راست براى راست قطع مى شود و چپ براى چپ و ابهام براى ابهام، و همچنين در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قاطع يمين غير، يمين نداشت، يسار او قطع مى شود؛ و اگر يمين و يسار از دستها نداشت پاى او قطع مى شود، و رعايت ترتيب در رِجلين موافق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ثبوت قصاص به قطع يمين به واسطۀ قطع يسار با نبودن يسار براى قاطع، و قطع يد به واسطۀ قطع رجل با نبودن رجلين براى قاطع، خالى از وجه نيست؛ بلكه رعايت ترتيب مذكور در يدين و رجلين، در اصابع آنها و در نظاير مثل عينين، بى وجه نيست</w:t>
      </w:r>
      <w:r>
        <w:rPr>
          <w:rFonts w:eastAsia="Amiri" w:cs="Amiri" w:ascii="Amiri" w:hAnsi="Amiri"/>
          <w:color w:val="111111"/>
          <w:sz w:val="28"/>
          <w:szCs w:val="28"/>
          <w:rtl w:val="true"/>
          <w:lang w:bidi="ar-SA"/>
        </w:rPr>
        <w:t>.</w:t>
      </w:r>
    </w:p>
    <w:p>
      <w:pPr>
        <w:pStyle w:val="Heading5"/>
        <w:numPr>
          <w:ilvl w:val="4"/>
          <w:numId w:val="1"/>
        </w:numPr>
        <w:rPr/>
      </w:pPr>
      <w:bookmarkStart w:id="2823" w:name="__RefHeading___Toc3973377_1067777946"/>
      <w:bookmarkStart w:id="2824" w:name="_Toc1196"/>
      <w:bookmarkEnd w:id="2823"/>
      <w:r>
        <w:rPr>
          <w:rtl w:val="true"/>
        </w:rPr>
        <w:t>مقطوع نمودن دست و پاهاى جماعتى به تعاقب</w:t>
      </w:r>
      <w:bookmarkEnd w:id="2824"/>
    </w:p>
    <w:p>
      <w:pPr>
        <w:pStyle w:val="BookText"/>
        <w:rPr/>
      </w:pPr>
      <w:r>
        <w:rPr>
          <w:rFonts w:ascii="IRNazanin" w:hAnsi="IRNazanin" w:eastAsia="IRNazanin"/>
          <w:color w:val="111111"/>
          <w:sz w:val="28"/>
          <w:sz w:val="28"/>
          <w:szCs w:val="28"/>
          <w:rtl w:val="true"/>
          <w:lang w:bidi="fa-IR"/>
        </w:rPr>
        <w:t>و اگر دستها و پاهاى جماعتى را قطع كرد به نحو تعاقب، مقدم براى سابق قطع مى شود، و دومى براى دومى، و سومى براى سومى، به همين ترتيب و تا آخر؛ اگر جارحۀ قابل قصاص، باقى نبود، ديۀ مقطوع ادا مى شود</w:t>
      </w:r>
      <w:r>
        <w:rPr>
          <w:rFonts w:eastAsia="IRNazanin" w:cs="IRNazanin"/>
          <w:color w:val="111111"/>
          <w:sz w:val="28"/>
          <w:szCs w:val="28"/>
          <w:rtl w:val="true"/>
          <w:lang w:bidi="fa-IR"/>
        </w:rPr>
        <w:t>.</w:t>
      </w:r>
    </w:p>
    <w:p>
      <w:pPr>
        <w:pStyle w:val="Heading5"/>
        <w:numPr>
          <w:ilvl w:val="4"/>
          <w:numId w:val="1"/>
        </w:numPr>
        <w:rPr/>
      </w:pPr>
      <w:bookmarkStart w:id="2825" w:name="__RefHeading___Toc3973379_1067777946"/>
      <w:bookmarkStart w:id="2826" w:name="_Toc1197"/>
      <w:bookmarkEnd w:id="2825"/>
      <w:r>
        <w:rPr>
          <w:rtl w:val="true"/>
        </w:rPr>
        <w:t>آن چه در شجاج و عمق معتبر است</w:t>
      </w:r>
      <w:bookmarkEnd w:id="282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است در شجاج، مساوات در مساحت در طول و عرض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عمق، پس رعايت مى شود صدق اسم نه مساوات در نزول به حسب مقدار؛ و مقتضاى اين بيان، اين است كه بايد اكتفاى به اول مرتبۀ صدق نمايد و زيادتر نزول ننمايد؛ و اگر احتمال عقلايى بدهد كه اول مرتبۀ صدق در جانى، بيش از واقع شجّه در مجنى عليه است به حسب تناسب دو بدن از حيث هزال و سمن و غير اينها، منتقل به ديه مى شود، نه آن كه </w:t>
      </w:r>
      <w:bookmarkStart w:id="2827" w:name="pg10275_96970"/>
    </w:p>
    <w:p>
      <w:pPr>
        <w:pStyle w:val="BookText"/>
        <w:rPr/>
      </w:pPr>
      <w:bookmarkEnd w:id="2827"/>
      <w:r>
        <w:rPr>
          <w:rFonts w:ascii="IRNazanin" w:hAnsi="IRNazanin" w:eastAsia="IRNazanin"/>
          <w:color w:val="111111"/>
          <w:sz w:val="28"/>
          <w:sz w:val="28"/>
          <w:szCs w:val="28"/>
          <w:rtl w:val="true"/>
          <w:lang w:bidi="fa-IR"/>
        </w:rPr>
        <w:t>جايز است قصاص تا منتقل به اسم ديگر از اسماى شجاج بشود به جهت عسر محافظت به غير مراتب اسامى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مساحت به حسب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محلّى بين جانى و مجنى عليه شد، پس رعايت موافقت در طول مثلاً مستلزم استيعاب رأس جانى و زيادتى باشد، اقتصار به ممكن در قصاص و اخذ ارش براى زيادتى خالى از وجه نيست</w:t>
      </w:r>
      <w:r>
        <w:rPr>
          <w:rFonts w:eastAsia="IRNazanin" w:cs="IRNazanin"/>
          <w:color w:val="111111"/>
          <w:sz w:val="28"/>
          <w:szCs w:val="28"/>
          <w:rtl w:val="true"/>
          <w:lang w:bidi="fa-IR"/>
        </w:rPr>
        <w:t>.</w:t>
      </w:r>
    </w:p>
    <w:p>
      <w:pPr>
        <w:pStyle w:val="Heading5"/>
        <w:numPr>
          <w:ilvl w:val="4"/>
          <w:numId w:val="1"/>
        </w:numPr>
        <w:rPr/>
      </w:pPr>
      <w:bookmarkStart w:id="2828" w:name="__RefHeading___Toc3973381_1067777946"/>
      <w:bookmarkStart w:id="2829" w:name="_Toc1198"/>
      <w:bookmarkEnd w:id="2828"/>
      <w:r>
        <w:rPr>
          <w:rtl w:val="true"/>
        </w:rPr>
        <w:t>عدم قصاص در موارد خوف</w:t>
      </w:r>
      <w:bookmarkEnd w:id="2829"/>
    </w:p>
    <w:p>
      <w:pPr>
        <w:pStyle w:val="BookText"/>
        <w:rPr/>
      </w:pPr>
      <w:r>
        <w:rPr>
          <w:rFonts w:ascii="IRNazanin" w:hAnsi="IRNazanin" w:eastAsia="IRNazanin"/>
          <w:color w:val="111111"/>
          <w:sz w:val="28"/>
          <w:sz w:val="28"/>
          <w:szCs w:val="28"/>
          <w:rtl w:val="true"/>
          <w:lang w:bidi="fa-IR"/>
        </w:rPr>
        <w:t>و جايز نيست قصاص در موارد تغرير به نفس كه معرضيت مخاطره نفس در آن است مثل جائفه و مأمومه و هاشمه و منقّله و شكستن استخوان ها، بلكه اقتصار بر ديۀ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موارد عسر مماثلت و احتمال زيادتى در قصاص، منتقل به ديه يا قصاص در ممكن و ارش در زيادتى مى شود</w:t>
      </w:r>
      <w:r>
        <w:rPr>
          <w:rFonts w:eastAsia="IRNazanin" w:cs="IRNazanin"/>
          <w:color w:val="111111"/>
          <w:sz w:val="28"/>
          <w:szCs w:val="28"/>
          <w:rtl w:val="true"/>
          <w:lang w:bidi="fa-IR"/>
        </w:rPr>
        <w:t>.</w:t>
      </w:r>
    </w:p>
    <w:p>
      <w:pPr>
        <w:pStyle w:val="Heading5"/>
        <w:numPr>
          <w:ilvl w:val="4"/>
          <w:numId w:val="1"/>
        </w:numPr>
        <w:rPr/>
      </w:pPr>
      <w:bookmarkStart w:id="2830" w:name="__RefHeading___Toc3973383_1067777946"/>
      <w:bookmarkStart w:id="2831" w:name="_Toc1199"/>
      <w:bookmarkEnd w:id="2830"/>
      <w:r>
        <w:rPr>
          <w:rtl w:val="true"/>
        </w:rPr>
        <w:t>قصاص قبل از اندمال</w:t>
      </w:r>
      <w:bookmarkEnd w:id="2831"/>
    </w:p>
    <w:p>
      <w:pPr>
        <w:pStyle w:val="BookText"/>
        <w:rPr/>
      </w:pPr>
      <w:r>
        <w:rPr>
          <w:rFonts w:ascii="Amiri" w:hAnsi="Amiri" w:eastAsia="Amiri" w:cs="Amiri"/>
          <w:color w:val="111111"/>
          <w:sz w:val="28"/>
          <w:sz w:val="28"/>
          <w:szCs w:val="28"/>
          <w:rtl w:val="true"/>
          <w:lang w:bidi="ar-SA"/>
        </w:rPr>
        <w:t>اظهر جواز قصاص طرف قبل از برء است، و احوط و افضل صبر تا اندمال است و اقتصار بر قصاص طرف يا نفس بعد از سرايت يا ديۀ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جواز قصاص است در عضوهاى متعدده قبل از برء و در صورتى كه علم به سرايت بعد از قصاص داشته باشد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اخذ ديۀ يك عضو يا متعدد در خطأ، و به صلح در عمد، قبل از برء يا سرايت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بشود ديۀ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لكن احتياط غير متروك، در اقتصار به مقدار ديۀ نفس است، و زايد بر آن را بعد از اندمال اخذ نمايد در صورت صلح بر ديه و عدم اختيار قصاص در طرف يا آن كه خطايى باشد و ديه ثابت بالاصل باشد، و با سرايت، بيش از آن چه گرفته مأخوذ ندارد و اگر مأخوذ داشته از مجموع جراحات مندمله و غير مندمله بيش از ديۀ نفس، ارجاع بدهد بعد از حصول سرايت، به واسطۀ دخول ديۀ طرف در ديۀ نفس در صورتى كه مقتضاى هر دو جنايت، ديه باشد</w:t>
      </w:r>
      <w:r>
        <w:rPr>
          <w:rFonts w:eastAsia="IRNazanin" w:cs="IRNazanin"/>
          <w:color w:val="111111"/>
          <w:sz w:val="28"/>
          <w:szCs w:val="28"/>
          <w:rtl w:val="true"/>
          <w:lang w:bidi="fa-IR"/>
        </w:rPr>
        <w:t xml:space="preserve">. </w:t>
      </w:r>
      <w:bookmarkStart w:id="2832" w:name="pg10275_96972"/>
    </w:p>
    <w:p>
      <w:pPr>
        <w:pStyle w:val="Heading4"/>
        <w:numPr>
          <w:ilvl w:val="3"/>
          <w:numId w:val="1"/>
        </w:numPr>
        <w:rPr/>
      </w:pPr>
      <w:bookmarkStart w:id="2833" w:name="__RefHeading___Toc3973385_1067777946"/>
      <w:bookmarkStart w:id="2834" w:name="_Toc1200"/>
      <w:bookmarkEnd w:id="2832"/>
      <w:bookmarkEnd w:id="2833"/>
      <w:r>
        <w:rPr/>
        <w:t>3</w:t>
      </w:r>
      <w:r>
        <w:rPr>
          <w:rtl w:val="true"/>
        </w:rPr>
        <w:t xml:space="preserve">. </w:t>
      </w:r>
      <w:r>
        <w:rPr>
          <w:rtl w:val="true"/>
        </w:rPr>
        <w:t>كيفيت قصاص در جراحتها</w:t>
      </w:r>
      <w:bookmarkEnd w:id="2834"/>
    </w:p>
    <w:p>
      <w:pPr>
        <w:pStyle w:val="Heading5"/>
        <w:numPr>
          <w:ilvl w:val="4"/>
          <w:numId w:val="1"/>
        </w:numPr>
        <w:rPr/>
      </w:pPr>
      <w:bookmarkStart w:id="2835" w:name="__RefHeading___Toc3973387_1067777946"/>
      <w:bookmarkStart w:id="2836" w:name="_Toc1201"/>
      <w:bookmarkEnd w:id="2835"/>
      <w:r>
        <w:rPr>
          <w:rtl w:val="true"/>
        </w:rPr>
        <w:t>اشاره</w:t>
      </w:r>
      <w:bookmarkEnd w:id="2836"/>
    </w:p>
    <w:p>
      <w:pPr>
        <w:pStyle w:val="BookText"/>
        <w:rPr/>
      </w:pPr>
      <w:r>
        <w:rPr>
          <w:rFonts w:ascii="IRNazanin" w:hAnsi="IRNazanin" w:eastAsia="IRNazanin"/>
          <w:color w:val="111111"/>
          <w:sz w:val="28"/>
          <w:sz w:val="28"/>
          <w:szCs w:val="28"/>
          <w:rtl w:val="true"/>
          <w:lang w:bidi="fa-IR"/>
        </w:rPr>
        <w:t>كيفيت قصاص در جراحتها، دفع موجبات تغرير و موانع استيفاى مثل است، به مثل حلق شعر در محل قصاص، و ربط جانى و ضبط او و منع از حركت مانعه به مثل چوبى تا به واسطه اضطراب، زيادتى يا كمى محقق نشود، و اندازه گيرى محل شجّه با ريسمانى و نحو آن و علامت گذارى دو طرف آن در مثل آن، پس از آن ببُرد از يك طرف تا طرف ديگر، يعنى نه زيادتر</w:t>
      </w:r>
      <w:r>
        <w:rPr>
          <w:rFonts w:eastAsia="IRNazanin" w:cs="IRNazanin"/>
          <w:color w:val="111111"/>
          <w:sz w:val="28"/>
          <w:szCs w:val="28"/>
          <w:rtl w:val="true"/>
          <w:lang w:bidi="fa-IR"/>
        </w:rPr>
        <w:t>.</w:t>
      </w:r>
    </w:p>
    <w:p>
      <w:pPr>
        <w:pStyle w:val="Heading5"/>
        <w:numPr>
          <w:ilvl w:val="4"/>
          <w:numId w:val="1"/>
        </w:numPr>
        <w:rPr/>
      </w:pPr>
      <w:bookmarkStart w:id="2837" w:name="__RefHeading___Toc3973389_1067777946"/>
      <w:bookmarkStart w:id="2838" w:name="_Toc1202"/>
      <w:bookmarkEnd w:id="2837"/>
      <w:r>
        <w:rPr>
          <w:rtl w:val="true"/>
        </w:rPr>
        <w:t>جراحت زيادتى بر استحقاق و ضمان آن</w:t>
      </w:r>
      <w:bookmarkEnd w:id="2838"/>
    </w:p>
    <w:p>
      <w:pPr>
        <w:pStyle w:val="BookText"/>
        <w:rPr/>
      </w:pPr>
      <w:r>
        <w:rPr>
          <w:rFonts w:ascii="Amiri" w:hAnsi="Amiri" w:eastAsia="Amiri" w:cs="Amiri"/>
          <w:color w:val="111111"/>
          <w:sz w:val="28"/>
          <w:sz w:val="28"/>
          <w:szCs w:val="28"/>
          <w:rtl w:val="true"/>
          <w:lang w:bidi="ar-SA"/>
        </w:rPr>
        <w:t>و زيادتى به واسطۀ اضطراب جانى، مضمون نيست؛ و به واسطۀ مستوفى، عمد آن موجب قصاص، و غير آن موجب ديه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مباشر در ادّعاى خطأ، با يمين او مقبول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جانى در انكار اضطراب، مقدم است با يمين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ديۀ زيادتى حاصله به غير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موضحه است مثلاً يا تقسيط ديه موضحه به مجموع زايد و مزيد عليه‌؟ اقرب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زيادتى موضحۀ مستوعبۀ رأس مجنى عليه با صِغَر سر جانى، اقرب تقسيط است بر حسب اصل و اخذ مقابل زيادتى از 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منتقل نمى شود قصاص به عضو ديگر براى مماثلت در استيعاب؛ و اگر عضو، ديه مقدّره نداشته، توزيع حكومت و ارش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مواضع جراحت، اقرب ملاحظه خصوص زيادتى است و حكومت نسبت به آن، بدون ملاحظه مواضع استيفا شده در صورت عدم ارتباط در خصوصيت ارش</w:t>
      </w:r>
      <w:r>
        <w:rPr>
          <w:rFonts w:eastAsia="IRNazanin" w:cs="IRNazanin"/>
          <w:color w:val="111111"/>
          <w:sz w:val="28"/>
          <w:szCs w:val="28"/>
          <w:rtl w:val="true"/>
          <w:lang w:bidi="fa-IR"/>
        </w:rPr>
        <w:t>.</w:t>
      </w:r>
    </w:p>
    <w:p>
      <w:pPr>
        <w:pStyle w:val="Heading5"/>
        <w:numPr>
          <w:ilvl w:val="4"/>
          <w:numId w:val="1"/>
        </w:numPr>
        <w:rPr/>
      </w:pPr>
      <w:bookmarkStart w:id="2839" w:name="__RefHeading___Toc3973391_1067777946"/>
      <w:bookmarkStart w:id="2840" w:name="_Toc1203"/>
      <w:bookmarkEnd w:id="2839"/>
      <w:r>
        <w:rPr>
          <w:rtl w:val="true"/>
        </w:rPr>
        <w:t>لزوم اقتصار بر مقدار مساحت جراحت حتى با استيعاب در مجنىّ عليه</w:t>
      </w:r>
      <w:bookmarkEnd w:id="284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مجنى عليه، به واسطۀ صِغَر، استيعاب جراحت بوده، رعايت استيعاب در جانى كبير نمى شود بلكه اقتصار بر مقدار مساحت جراحت مى شود از محل شروع جانى در مماثل؛ و در عكس فرض، استيعاب مى شود در قصاص اگر چه در جنايت، نصف رأس بوده مثلاً به واسطۀ كِبَر رأس مجنى عليه، براى محافظت بر مساحت </w:t>
      </w:r>
      <w:bookmarkStart w:id="2841" w:name="pg10275_96973"/>
    </w:p>
    <w:p>
      <w:pPr>
        <w:pStyle w:val="BookText"/>
        <w:rPr/>
      </w:pPr>
      <w:bookmarkEnd w:id="2841"/>
      <w:r>
        <w:rPr>
          <w:rFonts w:ascii="Amiri" w:hAnsi="Amiri" w:eastAsia="Amiri" w:cs="Amiri"/>
          <w:color w:val="111111"/>
          <w:sz w:val="28"/>
          <w:sz w:val="28"/>
          <w:szCs w:val="28"/>
          <w:rtl w:val="true"/>
          <w:lang w:bidi="ar-SA"/>
        </w:rPr>
        <w:t>جراحت، با مماثلت از ساير جهات مثل خط مستقيم يا منحنى</w:t>
      </w:r>
      <w:r>
        <w:rPr>
          <w:rFonts w:eastAsia="Amiri" w:cs="Amiri" w:ascii="Amiri" w:hAnsi="Amiri"/>
          <w:color w:val="111111"/>
          <w:sz w:val="28"/>
          <w:szCs w:val="28"/>
          <w:rtl w:val="true"/>
          <w:lang w:bidi="ar-SA"/>
        </w:rPr>
        <w:t>.</w:t>
      </w:r>
    </w:p>
    <w:p>
      <w:pPr>
        <w:pStyle w:val="Heading5"/>
        <w:numPr>
          <w:ilvl w:val="4"/>
          <w:numId w:val="1"/>
        </w:numPr>
        <w:rPr/>
      </w:pPr>
      <w:bookmarkStart w:id="2842" w:name="__RefHeading___Toc3973393_1067777946"/>
      <w:bookmarkStart w:id="2843" w:name="_Toc1204"/>
      <w:bookmarkEnd w:id="2842"/>
      <w:r>
        <w:rPr>
          <w:rtl w:val="true"/>
        </w:rPr>
        <w:t>اگر سر جانى بزرگتر مجنىّ عليه باشد</w:t>
      </w:r>
      <w:bookmarkEnd w:id="2843"/>
    </w:p>
    <w:p>
      <w:pPr>
        <w:pStyle w:val="BookText"/>
        <w:rPr/>
      </w:pPr>
      <w:r>
        <w:rPr>
          <w:rFonts w:ascii="IRNazanin" w:hAnsi="IRNazanin" w:eastAsia="IRNazanin"/>
          <w:color w:val="111111"/>
          <w:sz w:val="28"/>
          <w:sz w:val="28"/>
          <w:szCs w:val="28"/>
          <w:rtl w:val="true"/>
          <w:lang w:bidi="fa-IR"/>
        </w:rPr>
        <w:t>اگر پوست تمام سر را جدا كرد و سر جانى اكبر بود، مخيّر است در نقص بقيۀ مقدار از سر جانى از ابتدا يا انتها</w:t>
      </w:r>
      <w:r>
        <w:rPr>
          <w:rFonts w:eastAsia="IRNazanin" w:cs="IRNazanin"/>
          <w:color w:val="111111"/>
          <w:sz w:val="28"/>
          <w:szCs w:val="28"/>
          <w:rtl w:val="true"/>
          <w:lang w:bidi="fa-IR"/>
        </w:rPr>
        <w:t>.</w:t>
      </w:r>
    </w:p>
    <w:p>
      <w:pPr>
        <w:pStyle w:val="Heading5"/>
        <w:numPr>
          <w:ilvl w:val="4"/>
          <w:numId w:val="1"/>
        </w:numPr>
        <w:rPr/>
      </w:pPr>
      <w:bookmarkStart w:id="2844" w:name="__RefHeading___Toc3973395_1067777946"/>
      <w:bookmarkStart w:id="2845" w:name="_Toc1205"/>
      <w:bookmarkEnd w:id="2844"/>
      <w:r>
        <w:rPr>
          <w:rtl w:val="true"/>
        </w:rPr>
        <w:t>اگر جراحت در يك طرف مخصوص باشد</w:t>
      </w:r>
      <w:bookmarkEnd w:id="2845"/>
    </w:p>
    <w:p>
      <w:pPr>
        <w:pStyle w:val="BookText"/>
        <w:rPr/>
      </w:pPr>
      <w:r>
        <w:rPr>
          <w:rFonts w:ascii="IRNazanin" w:hAnsi="IRNazanin" w:eastAsia="IRNazanin"/>
          <w:color w:val="111111"/>
          <w:sz w:val="28"/>
          <w:sz w:val="28"/>
          <w:szCs w:val="28"/>
          <w:rtl w:val="true"/>
          <w:lang w:bidi="fa-IR"/>
        </w:rPr>
        <w:t>اگر جراحت در يك طرف مخصوص بود، قصاص، مختص به همان طرف است</w:t>
      </w:r>
      <w:r>
        <w:rPr>
          <w:rFonts w:eastAsia="IRNazanin" w:cs="IRNazanin"/>
          <w:color w:val="111111"/>
          <w:sz w:val="28"/>
          <w:szCs w:val="28"/>
          <w:rtl w:val="true"/>
          <w:lang w:bidi="fa-IR"/>
        </w:rPr>
        <w:t>.</w:t>
      </w:r>
    </w:p>
    <w:p>
      <w:pPr>
        <w:pStyle w:val="Heading5"/>
        <w:numPr>
          <w:ilvl w:val="4"/>
          <w:numId w:val="1"/>
        </w:numPr>
        <w:rPr/>
      </w:pPr>
      <w:bookmarkStart w:id="2846" w:name="__RefHeading___Toc3973397_1067777946"/>
      <w:bookmarkStart w:id="2847" w:name="_Toc1206"/>
      <w:bookmarkEnd w:id="2846"/>
      <w:r>
        <w:rPr>
          <w:rtl w:val="true"/>
        </w:rPr>
        <w:t>اگر سر جانى صغير باشد</w:t>
      </w:r>
      <w:bookmarkEnd w:id="2847"/>
    </w:p>
    <w:p>
      <w:pPr>
        <w:pStyle w:val="BookText"/>
        <w:rPr/>
      </w:pPr>
      <w:r>
        <w:rPr>
          <w:rFonts w:ascii="IRNazanin" w:hAnsi="IRNazanin" w:eastAsia="IRNazanin"/>
          <w:color w:val="111111"/>
          <w:sz w:val="28"/>
          <w:sz w:val="28"/>
          <w:szCs w:val="28"/>
          <w:rtl w:val="true"/>
          <w:lang w:bidi="fa-IR"/>
        </w:rPr>
        <w:t>اگر جنايت در مقدّم سر بود و سر جانى صغير بود، از مؤخّر آن تكميل مى شود نه آن كه ارش يا ديه در زايد از مقدّم سر مأخوذ مى شود</w:t>
      </w:r>
      <w:r>
        <w:rPr>
          <w:rFonts w:eastAsia="IRNazanin" w:cs="IRNazanin"/>
          <w:color w:val="111111"/>
          <w:sz w:val="28"/>
          <w:szCs w:val="28"/>
          <w:rtl w:val="true"/>
          <w:lang w:bidi="fa-IR"/>
        </w:rPr>
        <w:t>.</w:t>
      </w:r>
    </w:p>
    <w:p>
      <w:pPr>
        <w:pStyle w:val="Heading5"/>
        <w:numPr>
          <w:ilvl w:val="4"/>
          <w:numId w:val="1"/>
        </w:numPr>
        <w:rPr/>
      </w:pPr>
      <w:bookmarkStart w:id="2848" w:name="__RefHeading___Toc3973399_1067777946"/>
      <w:bookmarkStart w:id="2849" w:name="_Toc1207"/>
      <w:bookmarkEnd w:id="2848"/>
      <w:r>
        <w:rPr>
          <w:rtl w:val="true"/>
        </w:rPr>
        <w:t>تعدد جنايت سر و وجه</w:t>
      </w:r>
      <w:bookmarkEnd w:id="2849"/>
    </w:p>
    <w:p>
      <w:pPr>
        <w:pStyle w:val="BookText"/>
        <w:rPr/>
      </w:pPr>
      <w:r>
        <w:rPr>
          <w:rFonts w:ascii="IRNazanin" w:hAnsi="IRNazanin" w:eastAsia="IRNazanin"/>
          <w:color w:val="111111"/>
          <w:sz w:val="28"/>
          <w:sz w:val="28"/>
          <w:szCs w:val="28"/>
          <w:rtl w:val="true"/>
          <w:lang w:bidi="fa-IR"/>
        </w:rPr>
        <w:t>جنايت سر و وجه، متعدد است يكى با ديگرى، در صورت اختلاف بين جانى و مجنى عليه در كبر و صغر، تكميل نمى شود، بلكه نوبت به ديه براى ديگر مى رسد بنا بر اظهر؛ و در صورت تساوى دو نفر، هر كدام از دو جنايت، حكم مستقل دارد از قصاص و ديه اگر چه با يك ضربت انجام شده است</w:t>
      </w:r>
      <w:r>
        <w:rPr>
          <w:rFonts w:eastAsia="IRNazanin" w:cs="IRNazanin"/>
          <w:color w:val="111111"/>
          <w:sz w:val="28"/>
          <w:szCs w:val="28"/>
          <w:rtl w:val="true"/>
          <w:lang w:bidi="fa-IR"/>
        </w:rPr>
        <w:t>.</w:t>
      </w:r>
    </w:p>
    <w:p>
      <w:pPr>
        <w:pStyle w:val="Heading5"/>
        <w:numPr>
          <w:ilvl w:val="4"/>
          <w:numId w:val="1"/>
        </w:numPr>
        <w:rPr/>
      </w:pPr>
      <w:bookmarkStart w:id="2850" w:name="__RefHeading___Toc3973401_1067777946"/>
      <w:bookmarkStart w:id="2851" w:name="_Toc1208"/>
      <w:bookmarkEnd w:id="2850"/>
      <w:r>
        <w:rPr>
          <w:rtl w:val="true"/>
        </w:rPr>
        <w:t>تأخير براى شدت سرما يا گرما</w:t>
      </w:r>
      <w:bookmarkEnd w:id="2851"/>
    </w:p>
    <w:p>
      <w:pPr>
        <w:pStyle w:val="BookText"/>
        <w:rPr/>
      </w:pPr>
      <w:r>
        <w:rPr>
          <w:rFonts w:ascii="IRNazanin" w:hAnsi="IRNazanin" w:eastAsia="IRNazanin"/>
          <w:color w:val="111111"/>
          <w:sz w:val="28"/>
          <w:sz w:val="28"/>
          <w:szCs w:val="28"/>
          <w:rtl w:val="true"/>
          <w:lang w:bidi="fa-IR"/>
        </w:rPr>
        <w:t xml:space="preserve">و استيفاى قصاص اطراف، تأخير مى شود بر سبيل ايجاب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شدت گرما و سرما تا زمان اعتدال، و چون به ملاك تغرير است پس اختصاص به يك روز ندارد</w:t>
      </w:r>
      <w:r>
        <w:rPr>
          <w:rFonts w:eastAsia="IRNazanin" w:cs="IRNazanin"/>
          <w:color w:val="111111"/>
          <w:sz w:val="28"/>
          <w:szCs w:val="28"/>
          <w:rtl w:val="true"/>
          <w:lang w:bidi="fa-IR"/>
        </w:rPr>
        <w:t>.</w:t>
      </w:r>
    </w:p>
    <w:p>
      <w:pPr>
        <w:pStyle w:val="Heading5"/>
        <w:numPr>
          <w:ilvl w:val="4"/>
          <w:numId w:val="1"/>
        </w:numPr>
        <w:rPr/>
      </w:pPr>
      <w:bookmarkStart w:id="2852" w:name="__RefHeading___Toc3973403_1067777946"/>
      <w:bookmarkStart w:id="2853" w:name="_Toc1209"/>
      <w:bookmarkEnd w:id="2852"/>
      <w:r>
        <w:rPr>
          <w:rtl w:val="true"/>
        </w:rPr>
        <w:t>آلتى كه با آن قصاص صورت مى گيرد</w:t>
      </w:r>
      <w:bookmarkEnd w:id="285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اقتصاص نمى شود مگر با آهن تيز غير مسموم با مناسبت با استيفاى مثل، كه گاهى </w:t>
      </w:r>
      <w:bookmarkStart w:id="2854" w:name="pg10275_96975"/>
    </w:p>
    <w:p>
      <w:pPr>
        <w:pStyle w:val="BookText"/>
        <w:rPr/>
      </w:pPr>
      <w:bookmarkEnd w:id="2854"/>
      <w:r>
        <w:rPr>
          <w:rFonts w:ascii="IRNazanin" w:hAnsi="IRNazanin" w:eastAsia="IRNazanin"/>
          <w:color w:val="111111"/>
          <w:sz w:val="28"/>
          <w:sz w:val="28"/>
          <w:szCs w:val="28"/>
          <w:rtl w:val="true"/>
          <w:lang w:bidi="fa-IR"/>
        </w:rPr>
        <w:t>كارد و گاهى شمشير، مناسب است؛ و اگر گاهى با دست خودش چشم طرف را قلع نمود، احوط در قصاص، رعايت ترك تغرير، و تعذيب به اعمال آلت مناسبه است؛ و اگر قصاص مشتمل بر تعذيب ازيد از فعل جانى بود، ممنوع و موجب تعزير است</w:t>
      </w:r>
      <w:r>
        <w:rPr>
          <w:rFonts w:eastAsia="IRNazanin" w:cs="IRNazanin"/>
          <w:color w:val="111111"/>
          <w:sz w:val="28"/>
          <w:szCs w:val="28"/>
          <w:rtl w:val="true"/>
          <w:lang w:bidi="fa-IR"/>
        </w:rPr>
        <w:t>.</w:t>
      </w:r>
    </w:p>
    <w:p>
      <w:pPr>
        <w:pStyle w:val="Heading5"/>
        <w:numPr>
          <w:ilvl w:val="4"/>
          <w:numId w:val="1"/>
        </w:numPr>
        <w:rPr/>
      </w:pPr>
      <w:bookmarkStart w:id="2855" w:name="__RefHeading___Toc3973405_1067777946"/>
      <w:bookmarkStart w:id="2856" w:name="_Toc1210"/>
      <w:bookmarkEnd w:id="2855"/>
      <w:r>
        <w:rPr>
          <w:rtl w:val="true"/>
        </w:rPr>
        <w:t>اجتماع موضحه با غير يا دو موضحه يا متلاحمه</w:t>
      </w:r>
      <w:bookmarkEnd w:id="2856"/>
    </w:p>
    <w:p>
      <w:pPr>
        <w:pStyle w:val="BookText"/>
        <w:rPr/>
      </w:pPr>
      <w:r>
        <w:rPr>
          <w:rFonts w:ascii="IRNazanin" w:hAnsi="IRNazanin" w:eastAsia="IRNazanin"/>
          <w:color w:val="111111"/>
          <w:sz w:val="28"/>
          <w:sz w:val="28"/>
          <w:szCs w:val="28"/>
          <w:rtl w:val="true"/>
          <w:lang w:bidi="fa-IR"/>
        </w:rPr>
        <w:t>اگر شجّه، با يك ضربت انجام گرفت لكن بعض آن موضحه و بعضى پايين تر از آن بود، دو جنايت است و براى هر كدام قصاص و ديۀ مخصوص است؛ و در ديه، طول و عرض صنف شجّه ملاحظه نمى شود؛ و در قصاص، مماثلت با هر كدام رعايت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موضحه ايقاع كرد و بين آنها متلاحمه اگر چه با يك ضربت و با اتصال بوده، در قصاص رعايت مماثلت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ديه، دو موضحه و يك متلاحمه ديۀ آنها مأخوذ مى شود</w:t>
      </w:r>
      <w:r>
        <w:rPr>
          <w:rFonts w:eastAsia="IRNazanin" w:cs="IRNazanin"/>
          <w:color w:val="111111"/>
          <w:sz w:val="28"/>
          <w:szCs w:val="28"/>
          <w:rtl w:val="true"/>
          <w:lang w:bidi="fa-IR"/>
        </w:rPr>
        <w:t>.</w:t>
      </w:r>
    </w:p>
    <w:p>
      <w:pPr>
        <w:pStyle w:val="Heading5"/>
        <w:numPr>
          <w:ilvl w:val="4"/>
          <w:numId w:val="1"/>
        </w:numPr>
        <w:rPr/>
      </w:pPr>
      <w:bookmarkStart w:id="2857" w:name="__RefHeading___Toc3973407_1067777946"/>
      <w:bookmarkStart w:id="2858" w:name="_Toc1211"/>
      <w:bookmarkEnd w:id="2857"/>
      <w:r>
        <w:rPr>
          <w:rtl w:val="true"/>
        </w:rPr>
        <w:t>وصل نمودن عضو بعد از قصاص</w:t>
      </w:r>
      <w:bookmarkEnd w:id="285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عضوى را جانى قطع كرد پس مجنى عليه آن را الصاق كرد با حرارت محل و ملتئم شد، فرموده اند قصاص ساقط نمى شود، و ازاله جايز يا لازم است به خواست جانى يا مجنى عليه يا حاكم، و اگر بعد از قصاص الصاق شد ازاله مى شود به نحو جواز يا وجوب؛ و اصل ازاله در اين فرض مروىّ است لكن محل تأمل است؛ و احتياط براى مجنى عليه، ترك قصاص و اقتصار بر ارش است مثل جراحات مندمله، و ترك قطع است با مضر بودن آن و مغتفر بودن آن در نماز و غير، بلكه نجاست آن با حلول روح مشكل است؛ و احتياط براى جانى، ترك مطالبۀ ازاله است در صورت تعقب قصاص به ازاله،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قطع بعض عضو و تمام آن، و تعلّق به پوست يا ابانه با حصول اعاده، در حكم متقدّم نيست، اگر چه نجاست با عدم حصول ابانه محتمل نيست</w:t>
      </w:r>
      <w:r>
        <w:rPr>
          <w:rFonts w:eastAsia="IRNazanin" w:cs="IRNazanin"/>
          <w:color w:val="111111"/>
          <w:sz w:val="28"/>
          <w:szCs w:val="28"/>
          <w:rtl w:val="true"/>
          <w:lang w:bidi="fa-IR"/>
        </w:rPr>
        <w:t xml:space="preserve">. </w:t>
      </w:r>
      <w:bookmarkStart w:id="2859" w:name="pg10275_96978"/>
    </w:p>
    <w:p>
      <w:pPr>
        <w:pStyle w:val="BookText"/>
        <w:rPr/>
      </w:pPr>
      <w:bookmarkEnd w:id="2859"/>
      <w:r>
        <w:rPr>
          <w:rFonts w:ascii="IRNazanin" w:hAnsi="IRNazanin" w:eastAsia="IRNazanin"/>
          <w:color w:val="111111"/>
          <w:sz w:val="28"/>
          <w:sz w:val="28"/>
          <w:szCs w:val="28"/>
          <w:rtl w:val="true"/>
          <w:lang w:bidi="fa-IR"/>
        </w:rPr>
        <w:t>اگر ديگرى بعد از التيام، قطع نمود، قصاص مى شود بنا بر عدم وجوب ازاله؛ و با معلّق بودن مقطوع، قصاص مشكل است، براى عدم تحقق مماثلت، مگر در موردى فرض بشود</w:t>
      </w:r>
      <w:r>
        <w:rPr>
          <w:rFonts w:eastAsia="IRNazanin" w:cs="IRNazanin"/>
          <w:color w:val="111111"/>
          <w:sz w:val="28"/>
          <w:szCs w:val="28"/>
          <w:rtl w:val="true"/>
          <w:lang w:bidi="fa-IR"/>
        </w:rPr>
        <w:t>.</w:t>
      </w:r>
    </w:p>
    <w:p>
      <w:pPr>
        <w:pStyle w:val="Heading5"/>
        <w:numPr>
          <w:ilvl w:val="4"/>
          <w:numId w:val="1"/>
        </w:numPr>
        <w:rPr/>
      </w:pPr>
      <w:bookmarkStart w:id="2860" w:name="__RefHeading___Toc3973409_1067777946"/>
      <w:bookmarkStart w:id="2861" w:name="_Toc1212"/>
      <w:bookmarkEnd w:id="2860"/>
      <w:r>
        <w:rPr>
          <w:rtl w:val="true"/>
        </w:rPr>
        <w:t>قصاص در چشم</w:t>
      </w:r>
      <w:bookmarkEnd w:id="2861"/>
    </w:p>
    <w:p>
      <w:pPr>
        <w:pStyle w:val="Heading6"/>
        <w:numPr>
          <w:ilvl w:val="5"/>
          <w:numId w:val="1"/>
        </w:numPr>
        <w:rPr/>
      </w:pPr>
      <w:bookmarkStart w:id="2862" w:name="__RefHeading___Toc3973411_1067777946"/>
      <w:bookmarkStart w:id="2863" w:name="_Toc1213"/>
      <w:bookmarkEnd w:id="2862"/>
      <w:r>
        <w:rPr>
          <w:rtl w:val="true"/>
        </w:rPr>
        <w:t>اشاره</w:t>
      </w:r>
      <w:bookmarkEnd w:id="2863"/>
    </w:p>
    <w:p>
      <w:pPr>
        <w:pStyle w:val="BookText"/>
        <w:rPr/>
      </w:pPr>
      <w:r>
        <w:rPr>
          <w:rFonts w:ascii="IRNazanin" w:hAnsi="IRNazanin" w:eastAsia="IRNazanin"/>
          <w:color w:val="111111"/>
          <w:sz w:val="28"/>
          <w:sz w:val="28"/>
          <w:szCs w:val="28"/>
          <w:rtl w:val="true"/>
          <w:lang w:bidi="fa-IR"/>
        </w:rPr>
        <w:t xml:space="preserve">ثابت است قصاص در چشم اگر چه جانى يك چشمى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خلقت يا آفت يا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موجب نابينايى او باشد، و ردّى براى جانى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صورتى كه هر دو اعور باشند و چشم صحيح را درآورند، قصاص مى شود بدون ردّ براى جانى</w:t>
      </w:r>
      <w:r>
        <w:rPr>
          <w:rFonts w:eastAsia="IRNazanin" w:cs="IRNazanin"/>
          <w:color w:val="111111"/>
          <w:sz w:val="28"/>
          <w:szCs w:val="28"/>
          <w:rtl w:val="true"/>
          <w:lang w:bidi="fa-IR"/>
        </w:rPr>
        <w:t>.</w:t>
      </w:r>
    </w:p>
    <w:p>
      <w:pPr>
        <w:pStyle w:val="Heading6"/>
        <w:numPr>
          <w:ilvl w:val="5"/>
          <w:numId w:val="1"/>
        </w:numPr>
        <w:rPr/>
      </w:pPr>
      <w:bookmarkStart w:id="2864" w:name="__RefHeading___Toc3973413_1067777946"/>
      <w:bookmarkStart w:id="2865" w:name="_Toc1214"/>
      <w:bookmarkEnd w:id="2864"/>
      <w:r>
        <w:rPr>
          <w:rtl w:val="true"/>
        </w:rPr>
        <w:t>در آوردن چشم شخص يك چشمى توسط سالم</w:t>
      </w:r>
      <w:bookmarkEnd w:id="2865"/>
    </w:p>
    <w:p>
      <w:pPr>
        <w:pStyle w:val="BookText"/>
        <w:rPr/>
      </w:pPr>
      <w:r>
        <w:rPr>
          <w:rFonts w:ascii="IRNazanin" w:hAnsi="IRNazanin" w:eastAsia="IRNazanin"/>
          <w:color w:val="111111"/>
          <w:sz w:val="28"/>
          <w:sz w:val="28"/>
          <w:szCs w:val="28"/>
          <w:rtl w:val="true"/>
          <w:lang w:bidi="fa-IR"/>
        </w:rPr>
        <w:t>و اگر چشم صحيح اعور را، سالمى از دو چشم، قلع نمود، مى تواند قصاص نمايد در يك چشم از دو چشم صحيح و اخذ نمايد نصف ديه را؛ و مى تواند ديۀ كامله اخذ نمايد و قصاص ننمايد در صورتى كه اعور خلقتى باشد يا به سبب آفتى باشد، و اگر به سبب جنايتى باشد ديۀ آن نصف است و در قصاص هم نصف ديه مأخوذ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تخيير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مجنى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قصاص و اخذ نصف ديه و بين اخذ ديۀ كامله بدون اناطه به تراضى، مثل ديه عمد كه منوط به صلح است در غير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اعور، دو چشم سالم را قلع نمايد در قصاص با اداى نصف ديه، اگر چه منقول است از أبي على كه مخيّر است بين قلع يك چشم و اخذ نصف ديه و قلع دو چشم و اداى نصف ديه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نمى تواند قصاص نمايد براى قلع چشم نابينا كه در جاى خودش بوده، از چشم سالم جانى، بلكه اخذ ديۀ آن مى نمايد كه ثلث يا ربع ديه آن است</w:t>
      </w:r>
      <w:r>
        <w:rPr>
          <w:rFonts w:eastAsia="IRNazanin" w:cs="IRNazanin"/>
          <w:color w:val="111111"/>
          <w:sz w:val="28"/>
          <w:szCs w:val="28"/>
          <w:rtl w:val="true"/>
          <w:lang w:bidi="fa-IR"/>
        </w:rPr>
        <w:t xml:space="preserve">. </w:t>
      </w:r>
      <w:bookmarkStart w:id="2866" w:name="pg10275_96980"/>
    </w:p>
    <w:p>
      <w:pPr>
        <w:pStyle w:val="Heading6"/>
        <w:numPr>
          <w:ilvl w:val="5"/>
          <w:numId w:val="1"/>
        </w:numPr>
        <w:rPr/>
      </w:pPr>
      <w:bookmarkStart w:id="2867" w:name="__RefHeading___Toc3973415_1067777946"/>
      <w:bookmarkStart w:id="2868" w:name="_Toc1215"/>
      <w:bookmarkEnd w:id="2866"/>
      <w:bookmarkEnd w:id="2867"/>
      <w:r>
        <w:rPr>
          <w:rtl w:val="true"/>
        </w:rPr>
        <w:t>عدم اضرار عيب چشم به قصاص</w:t>
      </w:r>
      <w:bookmarkEnd w:id="2868"/>
    </w:p>
    <w:p>
      <w:pPr>
        <w:pStyle w:val="BookText"/>
        <w:rPr/>
      </w:pPr>
      <w:r>
        <w:rPr>
          <w:rFonts w:ascii="IRNazanin" w:hAnsi="IRNazanin" w:eastAsia="IRNazanin"/>
          <w:color w:val="111111"/>
          <w:sz w:val="28"/>
          <w:sz w:val="28"/>
          <w:szCs w:val="28"/>
          <w:rtl w:val="true"/>
          <w:lang w:bidi="fa-IR"/>
        </w:rPr>
        <w:t xml:space="preserve">و فرقى در قصاص، بين صحيحه و معيبه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حِوَل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از هر كدام به سبب ديگرى قصاص مى شود و به تفاوت در انتفاع اعتنا نمى شود</w:t>
      </w:r>
      <w:r>
        <w:rPr>
          <w:rFonts w:eastAsia="IRNazanin" w:cs="IRNazanin"/>
          <w:color w:val="111111"/>
          <w:sz w:val="28"/>
          <w:szCs w:val="28"/>
          <w:rtl w:val="true"/>
          <w:lang w:bidi="fa-IR"/>
        </w:rPr>
        <w:t>.</w:t>
      </w:r>
    </w:p>
    <w:p>
      <w:pPr>
        <w:pStyle w:val="Heading6"/>
        <w:numPr>
          <w:ilvl w:val="5"/>
          <w:numId w:val="1"/>
        </w:numPr>
        <w:rPr/>
      </w:pPr>
      <w:bookmarkStart w:id="2869" w:name="__RefHeading___Toc3973417_1067777946"/>
      <w:bookmarkStart w:id="2870" w:name="_Toc1216"/>
      <w:bookmarkEnd w:id="2869"/>
      <w:r>
        <w:rPr>
          <w:rtl w:val="true"/>
        </w:rPr>
        <w:t>كور نمودن بدون در آوردن چشم</w:t>
      </w:r>
      <w:bookmarkEnd w:id="2870"/>
    </w:p>
    <w:p>
      <w:pPr>
        <w:pStyle w:val="BookText"/>
        <w:rPr/>
      </w:pPr>
      <w:r>
        <w:rPr>
          <w:rFonts w:ascii="IRNazanin" w:hAnsi="IRNazanin" w:eastAsia="IRNazanin"/>
          <w:color w:val="111111"/>
          <w:sz w:val="28"/>
          <w:sz w:val="28"/>
          <w:szCs w:val="28"/>
          <w:rtl w:val="true"/>
          <w:lang w:bidi="fa-IR"/>
        </w:rPr>
        <w:t>اگر فقط جانى ديدن چشم را ازاله كرد و همه چيزش به جاى خود بود، در قصاص، ايجاد مماثلت رعايت مى شود بدون تغرير به محل ديگر حتى حدقه و منابت مژۀ چشم؛ و اگر ممكن نشد قصاص بدون تغرير، ساقط است و منتقل به ديۀ آن مى شود</w:t>
      </w:r>
      <w:r>
        <w:rPr>
          <w:rFonts w:eastAsia="IRNazanin" w:cs="IRNazanin"/>
          <w:color w:val="111111"/>
          <w:sz w:val="28"/>
          <w:szCs w:val="28"/>
          <w:rtl w:val="true"/>
          <w:lang w:bidi="fa-IR"/>
        </w:rPr>
        <w:t>.</w:t>
      </w:r>
    </w:p>
    <w:p>
      <w:pPr>
        <w:pStyle w:val="Heading5"/>
        <w:numPr>
          <w:ilvl w:val="4"/>
          <w:numId w:val="1"/>
        </w:numPr>
        <w:rPr/>
      </w:pPr>
      <w:bookmarkStart w:id="2871" w:name="__RefHeading___Toc3973419_1067777946"/>
      <w:bookmarkStart w:id="2872" w:name="_Toc1217"/>
      <w:bookmarkEnd w:id="2871"/>
      <w:r>
        <w:rPr>
          <w:rtl w:val="true"/>
        </w:rPr>
        <w:t>قصاص در موى سر و ريش و ابرو و مژه</w:t>
      </w:r>
      <w:bookmarkEnd w:id="2872"/>
    </w:p>
    <w:p>
      <w:pPr>
        <w:pStyle w:val="BookText"/>
        <w:rPr/>
      </w:pPr>
      <w:r>
        <w:rPr>
          <w:rFonts w:ascii="IRNazanin" w:hAnsi="IRNazanin" w:eastAsia="IRNazanin"/>
          <w:color w:val="111111"/>
          <w:sz w:val="28"/>
          <w:sz w:val="28"/>
          <w:szCs w:val="28"/>
          <w:rtl w:val="true"/>
          <w:lang w:bidi="fa-IR"/>
        </w:rPr>
        <w:t xml:space="preserve">قصاص ثابت است در موى سر و ريش و ابروها و مژۀ چشم، با امكان مماثلت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كه بعد از عود، روييدن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تغرير راجع به عضو ديگر در آن نباشد؛ و اگر مماثل ممكن نباشد يا آن كه در آن خطر براى عضو ديگر باشد، ديه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قصاص در ازالۀ لحيه ممنوع است به جهت منع در غير قصاص؛ و در غير آن اگر روييد محل قصاص است بدون خوف نروييدن؛ و اگر نروييد، پس ظاهر، مماثلت است اگر چه احتمال روييدن در آن باشد چون ناقص است بدل كامل مى شود</w:t>
      </w:r>
      <w:r>
        <w:rPr>
          <w:rFonts w:eastAsia="IRNazanin" w:cs="IRNazanin"/>
          <w:color w:val="111111"/>
          <w:sz w:val="28"/>
          <w:szCs w:val="28"/>
          <w:rtl w:val="true"/>
          <w:lang w:bidi="fa-IR"/>
        </w:rPr>
        <w:t>.</w:t>
      </w:r>
    </w:p>
    <w:p>
      <w:pPr>
        <w:pStyle w:val="Heading5"/>
        <w:numPr>
          <w:ilvl w:val="4"/>
          <w:numId w:val="1"/>
        </w:numPr>
        <w:rPr/>
      </w:pPr>
      <w:bookmarkStart w:id="2873" w:name="__RefHeading___Toc3973421_1067777946"/>
      <w:bookmarkStart w:id="2874" w:name="_Toc1218"/>
      <w:bookmarkEnd w:id="2873"/>
      <w:r>
        <w:rPr>
          <w:rtl w:val="true"/>
        </w:rPr>
        <w:t>قصاص در آلت رجوليّت</w:t>
      </w:r>
      <w:bookmarkEnd w:id="2874"/>
    </w:p>
    <w:p>
      <w:pPr>
        <w:pStyle w:val="BookText"/>
        <w:rPr/>
      </w:pPr>
      <w:r>
        <w:rPr>
          <w:rFonts w:ascii="IRNazanin" w:hAnsi="IRNazanin" w:eastAsia="IRNazanin"/>
          <w:color w:val="111111"/>
          <w:sz w:val="28"/>
          <w:sz w:val="28"/>
          <w:szCs w:val="28"/>
          <w:rtl w:val="true"/>
          <w:lang w:bidi="fa-IR"/>
        </w:rPr>
        <w:t>قصاص در قطع آلت رجوليت ثابت است، و فرقى بين جوان و غير نيست و همچنين طفل و اغلف و مختون و مرد پير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آلت مرد صحيح، به سبب آلت عنّين و مشلول قطع نمى شود؛ و در عكس، قطع مى شود و در اخذ و ردّ تفاوت تأمل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ديه عنّين، تمام يا ثلث است به نحوى كه در محلش مذكور است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عنّين با مثل او، و مشلول با مثل او، قطع مى شود؛ و همچنين معيوب به سالم مگر در صورت خوف عدم انحسام</w:t>
      </w:r>
      <w:r>
        <w:rPr>
          <w:rFonts w:eastAsia="IRNazanin" w:cs="IRNazanin"/>
          <w:color w:val="111111"/>
          <w:sz w:val="28"/>
          <w:szCs w:val="28"/>
          <w:rtl w:val="true"/>
          <w:lang w:bidi="fa-IR"/>
        </w:rPr>
        <w:t xml:space="preserve">. </w:t>
      </w:r>
      <w:bookmarkStart w:id="2875" w:name="pg10275_96981"/>
    </w:p>
    <w:p>
      <w:pPr>
        <w:pStyle w:val="BookText"/>
        <w:rPr/>
      </w:pPr>
      <w:bookmarkEnd w:id="2875"/>
      <w:r>
        <w:rPr>
          <w:rFonts w:ascii="Amiri" w:hAnsi="Amiri" w:eastAsia="Amiri" w:cs="Amiri"/>
          <w:color w:val="111111"/>
          <w:sz w:val="28"/>
          <w:sz w:val="28"/>
          <w:szCs w:val="28"/>
          <w:rtl w:val="true"/>
          <w:lang w:bidi="ar-SA"/>
        </w:rPr>
        <w:t>و در بعض، قصاص مى شود مثل كلّ‌، با عدم تغرير و خوف عدم انحسام و التيام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عضو است، و فرق بين كبير و صغير آن نيست پس صغير آن بعض كبير نيست؛ و در نصف آن، نصف است بدون تغرير و خوف عدم برء؛ و ملاحظۀ نصف و ثلث يا بيخ از مجنى عليه مى شود، نه آن كه اكتفاى به مساحت در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جانى و مجنى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پس تمامِ قصير، براى بعضِ طويل، قطع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خصيتين و يكى از آنها قصاص ثابت است با عدم تغرير و ايجاب عِنَن يا شلل در سالم، و با تساوى در اين امور قصاص مى شود؛ و اگر مجنى عليه، معيوب به اين عيبها بوده يا آن كه بعد از جنايت هم سالم ماند، قصاص مى شود با عدم تغرير در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كرد ذكر و خصيتين را با هم، يا به تعاقب با ابتداى به هر كدام، قصاص مى شود؛ و در تعاقب و ايجاب شلل يا عنن، در قصاص از صحيح تأمّل است خصوصاً با اخذ ديه شلل و عنن، و بر تقدير ثبوت قصاص، اخذ ديه شلل مثلاً و استرداد آن محتمل است</w:t>
      </w:r>
      <w:r>
        <w:rPr>
          <w:rFonts w:eastAsia="IRNazanin" w:cs="IRNazanin"/>
          <w:color w:val="111111"/>
          <w:sz w:val="28"/>
          <w:szCs w:val="28"/>
          <w:rtl w:val="true"/>
          <w:lang w:bidi="fa-IR"/>
        </w:rPr>
        <w:t>.</w:t>
      </w:r>
    </w:p>
    <w:p>
      <w:pPr>
        <w:pStyle w:val="Heading5"/>
        <w:numPr>
          <w:ilvl w:val="4"/>
          <w:numId w:val="1"/>
        </w:numPr>
        <w:rPr/>
      </w:pPr>
      <w:bookmarkStart w:id="2876" w:name="__RefHeading___Toc3973423_1067777946"/>
      <w:bookmarkStart w:id="2877" w:name="_Toc1219"/>
      <w:bookmarkEnd w:id="2876"/>
      <w:r>
        <w:rPr>
          <w:rtl w:val="true"/>
        </w:rPr>
        <w:t>قصاص در مورد فرج زن</w:t>
      </w:r>
      <w:bookmarkEnd w:id="2877"/>
    </w:p>
    <w:p>
      <w:pPr>
        <w:pStyle w:val="BookText"/>
        <w:rPr/>
      </w:pPr>
      <w:r>
        <w:rPr>
          <w:rFonts w:ascii="IRNazanin" w:hAnsi="IRNazanin" w:eastAsia="IRNazanin"/>
          <w:color w:val="111111"/>
          <w:sz w:val="28"/>
          <w:sz w:val="28"/>
          <w:szCs w:val="28"/>
          <w:rtl w:val="true"/>
          <w:lang w:bidi="fa-IR"/>
        </w:rPr>
        <w:t xml:space="preserve">در شفرين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محيط به فرج زن به منزلۀ لب با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شفتين و يكى از آنها قصاص ثابت است، و فرقى بين كوچك و بزرگ از زن و سالم و معيوبه در باطن فرج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بكرى با انگشت خود ازالۀ بكارت ديگرى كرد، با رعايت مماثلت و عدم تغرير، قصاص مى شود، و اگر رعايت مماثلت معلوم نشد، ديه ثابت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انجام امور مذكورۀ زن، از مرد، قصاص نيست و ديه ثابت است؛ و همچنين اگر زن انجام داد در مرد، چيزى را كه محل آن در زن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قطع آلت رجوليت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معيّن است</w:t>
      </w:r>
      <w:r>
        <w:rPr>
          <w:rFonts w:eastAsia="IRNazanin" w:cs="IRNazanin"/>
          <w:color w:val="111111"/>
          <w:sz w:val="28"/>
          <w:szCs w:val="28"/>
          <w:rtl w:val="true"/>
          <w:lang w:bidi="fa-IR"/>
        </w:rPr>
        <w:t xml:space="preserve">. </w:t>
      </w:r>
      <w:bookmarkStart w:id="2878" w:name="pg10275_96982"/>
    </w:p>
    <w:p>
      <w:pPr>
        <w:pStyle w:val="Heading5"/>
        <w:numPr>
          <w:ilvl w:val="4"/>
          <w:numId w:val="1"/>
        </w:numPr>
        <w:rPr/>
      </w:pPr>
      <w:bookmarkStart w:id="2879" w:name="__RefHeading___Toc3973425_1067777946"/>
      <w:bookmarkStart w:id="2880" w:name="_Toc1220"/>
      <w:bookmarkEnd w:id="2878"/>
      <w:bookmarkEnd w:id="2879"/>
      <w:r>
        <w:rPr>
          <w:rtl w:val="true"/>
        </w:rPr>
        <w:t>قصاص در مورد آلات خنثى</w:t>
      </w:r>
      <w:bookmarkEnd w:id="2880"/>
    </w:p>
    <w:p>
      <w:pPr>
        <w:pStyle w:val="Heading6"/>
        <w:numPr>
          <w:ilvl w:val="5"/>
          <w:numId w:val="1"/>
        </w:numPr>
        <w:rPr/>
      </w:pPr>
      <w:bookmarkStart w:id="2881" w:name="__RefHeading___Toc3973427_1067777946"/>
      <w:bookmarkStart w:id="2882" w:name="_Toc1221"/>
      <w:bookmarkEnd w:id="2881"/>
      <w:r>
        <w:rPr>
          <w:rtl w:val="true"/>
        </w:rPr>
        <w:t>اشاره</w:t>
      </w:r>
      <w:bookmarkEnd w:id="2882"/>
    </w:p>
    <w:p>
      <w:pPr>
        <w:pStyle w:val="BookText"/>
        <w:rPr/>
      </w:pPr>
      <w:r>
        <w:rPr>
          <w:rFonts w:ascii="IRNazanin" w:hAnsi="IRNazanin" w:eastAsia="IRNazanin"/>
          <w:color w:val="111111"/>
          <w:sz w:val="28"/>
          <w:sz w:val="28"/>
          <w:szCs w:val="28"/>
          <w:rtl w:val="true"/>
          <w:lang w:bidi="fa-IR"/>
        </w:rPr>
        <w:t>اگر مجنى عليه خنثى بود</w:t>
      </w:r>
      <w:r>
        <w:rPr>
          <w:rFonts w:eastAsia="IRNazanin" w:cs="IRNazanin"/>
          <w:color w:val="111111"/>
          <w:sz w:val="28"/>
          <w:szCs w:val="28"/>
          <w:rtl w:val="true"/>
          <w:lang w:bidi="fa-IR"/>
        </w:rPr>
        <w:t>:</w:t>
      </w:r>
    </w:p>
    <w:p>
      <w:pPr>
        <w:pStyle w:val="Heading6"/>
        <w:numPr>
          <w:ilvl w:val="5"/>
          <w:numId w:val="1"/>
        </w:numPr>
        <w:rPr/>
      </w:pPr>
      <w:bookmarkStart w:id="2883" w:name="__RefHeading___Toc3973429_1067777946"/>
      <w:bookmarkStart w:id="2884" w:name="_Toc1222"/>
      <w:bookmarkEnd w:id="2883"/>
      <w:r>
        <w:rPr>
          <w:rtl w:val="true"/>
        </w:rPr>
        <w:t>اگر مرد بودن مجنىّ عليه معلوم شود</w:t>
      </w:r>
      <w:bookmarkEnd w:id="2884"/>
    </w:p>
    <w:p>
      <w:pPr>
        <w:pStyle w:val="BookText"/>
        <w:rPr/>
      </w:pPr>
      <w:r>
        <w:rPr>
          <w:rFonts w:ascii="IRNazanin" w:hAnsi="IRNazanin" w:eastAsia="IRNazanin"/>
          <w:color w:val="111111"/>
          <w:sz w:val="28"/>
          <w:sz w:val="28"/>
          <w:szCs w:val="28"/>
          <w:rtl w:val="true"/>
          <w:lang w:bidi="fa-IR"/>
        </w:rPr>
        <w:t>پس از جنايت اگر معلوم شد كه مرد بوده، و مرد بر او جنايت كرد، در آلت رجوليت و دو بيضۀ او قصاص است، و در اطراف فرج زن حكومت است با نقص قيمت مفروض در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جانى بر او زن باشد، در آلات رجوليت ديه است و قصاص محل ندارد، و در اطراف فرج زن حكومت است</w:t>
      </w:r>
      <w:r>
        <w:rPr>
          <w:rFonts w:eastAsia="IRNazanin" w:cs="IRNazanin"/>
          <w:color w:val="111111"/>
          <w:sz w:val="28"/>
          <w:szCs w:val="28"/>
          <w:rtl w:val="true"/>
          <w:lang w:bidi="fa-IR"/>
        </w:rPr>
        <w:t>.</w:t>
      </w:r>
    </w:p>
    <w:p>
      <w:pPr>
        <w:pStyle w:val="Heading6"/>
        <w:numPr>
          <w:ilvl w:val="5"/>
          <w:numId w:val="1"/>
        </w:numPr>
        <w:rPr/>
      </w:pPr>
      <w:bookmarkStart w:id="2885" w:name="__RefHeading___Toc3973431_1067777946"/>
      <w:bookmarkStart w:id="2886" w:name="_Toc1223"/>
      <w:bookmarkEnd w:id="2885"/>
      <w:r>
        <w:rPr>
          <w:rtl w:val="true"/>
        </w:rPr>
        <w:t>اگر زن بودن مجنىّ عليه معلوم شود</w:t>
      </w:r>
      <w:bookmarkEnd w:id="2886"/>
    </w:p>
    <w:p>
      <w:pPr>
        <w:pStyle w:val="BookText"/>
        <w:rPr/>
      </w:pPr>
      <w:r>
        <w:rPr>
          <w:rFonts w:ascii="IRNazanin" w:hAnsi="IRNazanin" w:eastAsia="IRNazanin"/>
          <w:color w:val="111111"/>
          <w:sz w:val="28"/>
          <w:sz w:val="28"/>
          <w:szCs w:val="28"/>
          <w:rtl w:val="true"/>
          <w:lang w:bidi="fa-IR"/>
        </w:rPr>
        <w:t>و اگر ظاهر شد زن بودن مجنى عليه، پس بر مرد جانى قصاص نيست بلكه ديۀ فرج زن بر او است، و در آلات مردى حكومت است با نقص قيمت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جانى زن بود، در فرج زن قصاص است، و در آلات مردى حكومت است چنان چه گذشت</w:t>
      </w:r>
      <w:r>
        <w:rPr>
          <w:rFonts w:eastAsia="IRNazanin" w:cs="IRNazanin"/>
          <w:color w:val="111111"/>
          <w:sz w:val="28"/>
          <w:szCs w:val="28"/>
          <w:rtl w:val="true"/>
          <w:lang w:bidi="fa-IR"/>
        </w:rPr>
        <w:t>.</w:t>
      </w:r>
    </w:p>
    <w:p>
      <w:pPr>
        <w:pStyle w:val="Heading6"/>
        <w:numPr>
          <w:ilvl w:val="5"/>
          <w:numId w:val="1"/>
        </w:numPr>
        <w:rPr/>
      </w:pPr>
      <w:bookmarkStart w:id="2887" w:name="__RefHeading___Toc3973433_1067777946"/>
      <w:bookmarkStart w:id="2888" w:name="_Toc1224"/>
      <w:bookmarkEnd w:id="2887"/>
      <w:r>
        <w:rPr>
          <w:rtl w:val="true"/>
        </w:rPr>
        <w:t>اگر جانى خنثى باشد</w:t>
      </w:r>
      <w:bookmarkEnd w:id="288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جانى خنثىٰ باشد پس قصاص موقوف به علم به حال جانى و مجنى عليه است تا مماثلت معلوم شود؛ پس اگر يكى از آن دو، خنثاى مشكل بود، قصاص ثابت نيست و لازم است ديۀ يكى و حكومت ديگر يا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مجنى عليه صبر نكرد تا حال او معلوم شود، پس نمى تواند مطالبۀ قصاص نمايد از مثل خودش يا از معلوم الحال، و همچنين اگر معلوم الحال بود و جانى معلوم الحال نبود، چون كه مماثلت معلوم نيست؛ و اگر مطالبۀ ديه نمود، متيقن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ديۀ يكى از دو آلت مرد و فرج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مى شود با حكومت در يكى از آن دو، يعنى متيقن از ديه ها كه ديه زن است و از ارشها؛ و اگر طالب، معلوم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ديۀ معلومه به او داده مى شود با حكومت در ديگر، پس از آن اگر معلوم شد ذكوريت، اضافه مى شود بر متيقن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جهل به او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كه تكميل ديۀ مرد باشد، و تعيين مى شود حكومت در فرج </w:t>
      </w:r>
    </w:p>
    <w:p>
      <w:pPr>
        <w:pStyle w:val="BookText"/>
        <w:rPr/>
      </w:pPr>
      <w:r>
        <w:rPr>
          <w:rFonts w:ascii="IRNazanin" w:hAnsi="IRNazanin" w:eastAsia="IRNazanin"/>
          <w:color w:val="111111"/>
          <w:sz w:val="28"/>
          <w:sz w:val="28"/>
          <w:szCs w:val="28"/>
          <w:rtl w:val="true"/>
          <w:lang w:bidi="fa-IR"/>
        </w:rPr>
        <w:t xml:space="preserve">زن و به او داده مى شود؛ و اگر معلوم شد اُنوثيت،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ديۀ مأخوذه، حكومت در آلات مردى تعيين مى شود و به او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مجنى عليه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ديۀ يكى از اين اعضاى مقطوعه را مى خواهم، و قصاص باقى، حق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نمى شود، زيرا ديه قطعى نيست بلكه مقطوع، ارش است؛ 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 يكى را مى خواهم، و قصاص باقى بعد از تبيّن، باقى باشد 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مى شود، زيرا ارش معلوم است براى غير آن چه در واقع قصاص دارد بعد از تبيّن؛ و چون فعلاً استحقاق قصاص فعليت ندارد بلكه مى تواند اقل دو ديه و اقل دو ارش را بگيرد پس ديه گرفتن فعلى، مفوّت قصاص بعدى است، به خلاف ارش گرفتن فعلى كه به غير متعلق قصاص بر هر تقدير واقعيت دارد و فوت نمى شود به آن چه گرفته است؛ بلى بعد از تبيّن، ممكن است به سبب تبيّن تكميل بشود مثل ديه مفوّت قصاص، و بعد از تبيّن حال از ذكوريّت و انوثيّت قصاص در معلوم مى شود، و رعايت اقل ارشها مى شود به تقرير يا تكميل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در مطالبه، فرق بين ديه و ارش باشد، زيرا ديه فرع استحقاق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 آخر معلوم نيست، به خلاف ارش پس مطالبۀ آن بى مانع است به نحو متقدم، به خلاف ديه در عمد، پس مطالبۀ ارش براى زايد واقعى در اقل احتمالين مستلزم اسقاط حق قصاص و ديه صلحى آن باشد و ظهور حال، تأثيرى در تغيير نداشته باشد مگر تكميل متقدم بر تقديرى، و عدم استلزام به اين مى شود كه اقل ارشها را بگيرد و حق قصاص را به جاى خود باقى بدارد كه در وقت تبيّن مطالبه نمايد؛ و اين كه به صورت امكان مذكور شد اقرب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تا آخر معلوم نشد و يأس از علم، حاصل شد، قصاص منتفى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دو ديه و اقل دو ارش ثابت است يا نصف ديه هر عضو و نصف حكومت آن براى رعايت دو احتمال، و اين ديه صلحى نيست</w:t>
      </w:r>
      <w:r>
        <w:rPr>
          <w:rFonts w:eastAsia="IRNazanin" w:cs="IRNazanin"/>
          <w:color w:val="111111"/>
          <w:sz w:val="28"/>
          <w:szCs w:val="28"/>
          <w:rtl w:val="true"/>
          <w:lang w:bidi="fa-IR"/>
        </w:rPr>
        <w:t xml:space="preserve">. </w:t>
      </w:r>
      <w:bookmarkStart w:id="2889" w:name="pg10275_96984"/>
    </w:p>
    <w:p>
      <w:pPr>
        <w:pStyle w:val="Heading5"/>
        <w:numPr>
          <w:ilvl w:val="4"/>
          <w:numId w:val="1"/>
        </w:numPr>
        <w:rPr/>
      </w:pPr>
      <w:bookmarkStart w:id="2890" w:name="__RefHeading___Toc3973435_1067777946"/>
      <w:bookmarkStart w:id="2891" w:name="_Toc1225"/>
      <w:bookmarkEnd w:id="2889"/>
      <w:bookmarkEnd w:id="2890"/>
      <w:r>
        <w:rPr>
          <w:rtl w:val="true"/>
        </w:rPr>
        <w:t>قصاص در اليتين</w:t>
      </w:r>
      <w:bookmarkEnd w:id="2891"/>
    </w:p>
    <w:p>
      <w:pPr>
        <w:pStyle w:val="BookText"/>
        <w:rPr/>
      </w:pPr>
      <w:r>
        <w:rPr>
          <w:rFonts w:ascii="IRNazanin" w:hAnsi="IRNazanin" w:eastAsia="IRNazanin"/>
          <w:color w:val="111111"/>
          <w:sz w:val="28"/>
          <w:sz w:val="28"/>
          <w:szCs w:val="28"/>
          <w:rtl w:val="true"/>
          <w:lang w:bidi="fa-IR"/>
        </w:rPr>
        <w:t>در اليتين، با امكان رعايت مماثلت، قصاص ثابت است و همچنين ثبوت ديه صلحى يا غير صلحى در هر دو و نصف آن در يكى، وگرنه اقتصار بر ارش مى شود</w:t>
      </w:r>
      <w:r>
        <w:rPr>
          <w:rFonts w:eastAsia="IRNazanin" w:cs="IRNazanin"/>
          <w:color w:val="111111"/>
          <w:sz w:val="28"/>
          <w:szCs w:val="28"/>
          <w:rtl w:val="true"/>
          <w:lang w:bidi="fa-IR"/>
        </w:rPr>
        <w:t>.</w:t>
      </w:r>
    </w:p>
    <w:p>
      <w:pPr>
        <w:pStyle w:val="Heading5"/>
        <w:numPr>
          <w:ilvl w:val="4"/>
          <w:numId w:val="1"/>
        </w:numPr>
        <w:rPr/>
      </w:pPr>
      <w:bookmarkStart w:id="2892" w:name="__RefHeading___Toc3973437_1067777946"/>
      <w:bookmarkStart w:id="2893" w:name="_Toc1226"/>
      <w:bookmarkEnd w:id="2892"/>
      <w:r>
        <w:rPr>
          <w:rtl w:val="true"/>
        </w:rPr>
        <w:t>قصاص در عضو مجذوم</w:t>
      </w:r>
      <w:bookmarkEnd w:id="2893"/>
    </w:p>
    <w:p>
      <w:pPr>
        <w:pStyle w:val="BookText"/>
        <w:rPr/>
      </w:pPr>
      <w:r>
        <w:rPr>
          <w:rFonts w:ascii="Amiri" w:hAnsi="Amiri" w:eastAsia="Amiri" w:cs="Amiri"/>
          <w:color w:val="111111"/>
          <w:sz w:val="28"/>
          <w:sz w:val="28"/>
          <w:szCs w:val="28"/>
          <w:rtl w:val="true"/>
          <w:lang w:bidi="ar-SA"/>
        </w:rPr>
        <w:t>و عضو مجذوم، به مثل آن و به صحيح قصاص مى شود؛ و قصاص صحيح به سبب مجذوم، مبنى بر محفوظيت مماثلت است، و با عدم آن ديۀ شرعى ثابت مى شود</w:t>
      </w:r>
      <w:r>
        <w:rPr>
          <w:rFonts w:eastAsia="Amiri" w:cs="Amiri" w:ascii="Amiri" w:hAnsi="Amiri"/>
          <w:color w:val="111111"/>
          <w:sz w:val="28"/>
          <w:szCs w:val="28"/>
          <w:rtl w:val="true"/>
          <w:lang w:bidi="ar-SA"/>
        </w:rPr>
        <w:t>.</w:t>
      </w:r>
    </w:p>
    <w:p>
      <w:pPr>
        <w:pStyle w:val="Heading5"/>
        <w:numPr>
          <w:ilvl w:val="4"/>
          <w:numId w:val="1"/>
        </w:numPr>
        <w:rPr/>
      </w:pPr>
      <w:bookmarkStart w:id="2894" w:name="__RefHeading___Toc3973439_1067777946"/>
      <w:bookmarkStart w:id="2895" w:name="_Toc1227"/>
      <w:bookmarkEnd w:id="2894"/>
      <w:r>
        <w:rPr>
          <w:rtl w:val="true"/>
        </w:rPr>
        <w:t>قصاص در بينى</w:t>
      </w:r>
      <w:bookmarkEnd w:id="2895"/>
    </w:p>
    <w:p>
      <w:pPr>
        <w:pStyle w:val="BookText"/>
        <w:rPr/>
      </w:pPr>
      <w:r>
        <w:rPr>
          <w:rFonts w:ascii="IRNazanin" w:hAnsi="IRNazanin" w:eastAsia="IRNazanin"/>
          <w:color w:val="111111"/>
          <w:sz w:val="28"/>
          <w:sz w:val="28"/>
          <w:szCs w:val="28"/>
          <w:rtl w:val="true"/>
          <w:lang w:bidi="fa-IR"/>
        </w:rPr>
        <w:t>بينى شامّ و غير شامّ‌، به مثل آن قطع مى شود به قصاص، و همچنين غير شامّ به شامّ‌؛ و اما شامّ به غير شامّ پس اگر مبطل شمّ بشود، خالى از تأمل نيست و همچنين تدارك به ردّ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 از اقنى و افطس و غير اينها فرقى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مثل صحيح با مجذوم، مبنى بر تحقق مماثلت است، چنان چه در نظير آن گذشت، و همچنين صحيح به مستحشف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رجوع به شلل، منقول است اتفاق بر اين كه ديۀ قطع آن ثلث است و ايجاد اين صفت در بينى دو ثلث ديه دارد، و لازمه اش عدم قصاص است به جهت عدم مماثلت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نرمى سرِ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 در تمام و بعض؛ و اگر از قصبه انف هم قطع شد، قصاص در غير مارن موقوف بر تحقق مماثلت است؛ و اگر در تمام قصبه محقق است، در بعض، نسبت ملاحظه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كرد سالم، قصبۀ ديگرى را كه مارن آن را ديگرى قطع كرده است، پس در قصاص با ردّ تفاوت يا انتفاى قصاص تأمل است و در كفّ بدون اصابع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قاطع قصبه هم فاقد مارن بود، پس مماثلت و قصاص، اظهر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بعض بينى را قطع كرد، پس در ملاحظه نسبت در قصاص يا مساحت تأمل است، احوط اختيار اقل الأمرين است و اداى ديه است نسبت به زايد غير مقطوع در قصاص</w:t>
      </w:r>
      <w:r>
        <w:rPr>
          <w:rFonts w:eastAsia="IRNazanin" w:cs="IRNazanin"/>
          <w:color w:val="111111"/>
          <w:sz w:val="28"/>
          <w:szCs w:val="28"/>
          <w:rtl w:val="true"/>
          <w:lang w:bidi="fa-IR"/>
        </w:rPr>
        <w:t xml:space="preserve">. </w:t>
      </w:r>
      <w:bookmarkStart w:id="2896" w:name="pg10275_96985"/>
    </w:p>
    <w:p>
      <w:pPr>
        <w:pStyle w:val="BookText"/>
        <w:rPr/>
      </w:pPr>
      <w:bookmarkEnd w:id="2896"/>
      <w:r>
        <w:rPr>
          <w:rFonts w:ascii="Amiri" w:hAnsi="Amiri" w:eastAsia="Amiri" w:cs="Amiri"/>
          <w:color w:val="111111"/>
          <w:sz w:val="28"/>
          <w:sz w:val="28"/>
          <w:szCs w:val="28"/>
          <w:rtl w:val="true"/>
          <w:lang w:bidi="ar-SA"/>
        </w:rPr>
        <w:t xml:space="preserve">و در يكى از دو منخر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سوراخ بينى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است با رعايت مماثلت در يمين و يسار؛ و در حاجز بين آن دو با رعايت مماثلت در حدّ</w:t>
      </w:r>
      <w:r>
        <w:rPr>
          <w:rFonts w:eastAsia="Amiri" w:cs="Amiri" w:ascii="Amiri" w:hAnsi="Amiri"/>
          <w:color w:val="111111"/>
          <w:sz w:val="28"/>
          <w:szCs w:val="28"/>
          <w:rtl w:val="true"/>
          <w:lang w:bidi="ar-SA"/>
        </w:rPr>
        <w:t>.</w:t>
      </w:r>
    </w:p>
    <w:p>
      <w:pPr>
        <w:pStyle w:val="Heading5"/>
        <w:numPr>
          <w:ilvl w:val="4"/>
          <w:numId w:val="1"/>
        </w:numPr>
        <w:rPr/>
      </w:pPr>
      <w:bookmarkStart w:id="2897" w:name="__RefHeading___Toc3973441_1067777946"/>
      <w:bookmarkStart w:id="2898" w:name="_Toc1228"/>
      <w:bookmarkEnd w:id="2897"/>
      <w:r>
        <w:rPr>
          <w:rtl w:val="true"/>
        </w:rPr>
        <w:t>قصاص در گوش</w:t>
      </w:r>
      <w:bookmarkEnd w:id="2898"/>
    </w:p>
    <w:p>
      <w:pPr>
        <w:pStyle w:val="BookText"/>
        <w:rPr/>
      </w:pPr>
      <w:r>
        <w:rPr>
          <w:rFonts w:ascii="IRNazanin" w:hAnsi="IRNazanin" w:eastAsia="IRNazanin"/>
          <w:color w:val="111111"/>
          <w:sz w:val="28"/>
          <w:sz w:val="28"/>
          <w:szCs w:val="28"/>
          <w:rtl w:val="true"/>
          <w:lang w:bidi="fa-IR"/>
        </w:rPr>
        <w:t>و در گوش، با اختلاف در آن قصاص هست، و بين مثقوب و عادى و غير آن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صحيح و به مخزوم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صحيح به مخزوم با اداى ديۀ خَرم يا قطع تا حدّ قطع و اخذ ديه براى بقيه، پس محل تردّد است و احوط صلح بر ديه است</w:t>
      </w:r>
      <w:r>
        <w:rPr>
          <w:rFonts w:eastAsia="IRNazanin" w:cs="IRNazanin"/>
          <w:color w:val="111111"/>
          <w:sz w:val="28"/>
          <w:szCs w:val="28"/>
          <w:rtl w:val="true"/>
          <w:lang w:bidi="fa-IR"/>
        </w:rPr>
        <w:t>.</w:t>
      </w:r>
    </w:p>
    <w:p>
      <w:pPr>
        <w:pStyle w:val="Heading5"/>
        <w:numPr>
          <w:ilvl w:val="4"/>
          <w:numId w:val="1"/>
        </w:numPr>
        <w:rPr/>
      </w:pPr>
      <w:bookmarkStart w:id="2899" w:name="__RefHeading___Toc3973443_1067777946"/>
      <w:bookmarkStart w:id="2900" w:name="_Toc1229"/>
      <w:bookmarkEnd w:id="2899"/>
      <w:r>
        <w:rPr>
          <w:rtl w:val="true"/>
        </w:rPr>
        <w:t>قصاص در دندان</w:t>
      </w:r>
      <w:bookmarkEnd w:id="2900"/>
    </w:p>
    <w:p>
      <w:pPr>
        <w:pStyle w:val="Heading6"/>
        <w:numPr>
          <w:ilvl w:val="5"/>
          <w:numId w:val="1"/>
        </w:numPr>
        <w:rPr/>
      </w:pPr>
      <w:bookmarkStart w:id="2901" w:name="__RefHeading___Toc3973445_1067777946"/>
      <w:bookmarkStart w:id="2902" w:name="_Toc1230"/>
      <w:bookmarkEnd w:id="2901"/>
      <w:r>
        <w:rPr>
          <w:rtl w:val="true"/>
        </w:rPr>
        <w:t>اشاره</w:t>
      </w:r>
      <w:bookmarkEnd w:id="2902"/>
    </w:p>
    <w:p>
      <w:pPr>
        <w:pStyle w:val="BookText"/>
        <w:rPr/>
      </w:pPr>
      <w:r>
        <w:rPr>
          <w:rFonts w:ascii="IRNazanin" w:hAnsi="IRNazanin" w:eastAsia="IRNazanin"/>
          <w:color w:val="111111"/>
          <w:sz w:val="28"/>
          <w:sz w:val="28"/>
          <w:szCs w:val="28"/>
          <w:rtl w:val="true"/>
          <w:lang w:bidi="fa-IR"/>
        </w:rPr>
        <w:t>دندان ريشه دار اگر از اصلش كنده شود، قصاص دارد؛ و همچنين از ظاهرش اگر شكسته شود، با رعايت مماثلت در قصاص و ملاحظۀ آلت قطع در قصاص چه در تمام ظاهر باشد يا در بعض آن</w:t>
      </w:r>
      <w:r>
        <w:rPr>
          <w:rFonts w:eastAsia="IRNazanin" w:cs="IRNazanin"/>
          <w:color w:val="111111"/>
          <w:sz w:val="28"/>
          <w:szCs w:val="28"/>
          <w:rtl w:val="true"/>
          <w:lang w:bidi="fa-IR"/>
        </w:rPr>
        <w:t>.</w:t>
      </w:r>
    </w:p>
    <w:p>
      <w:pPr>
        <w:pStyle w:val="Heading6"/>
        <w:numPr>
          <w:ilvl w:val="5"/>
          <w:numId w:val="1"/>
        </w:numPr>
        <w:rPr/>
      </w:pPr>
      <w:bookmarkStart w:id="2903" w:name="__RefHeading___Toc3973447_1067777946"/>
      <w:bookmarkStart w:id="2904" w:name="_Toc1231"/>
      <w:bookmarkEnd w:id="2903"/>
      <w:r>
        <w:rPr>
          <w:rtl w:val="true"/>
        </w:rPr>
        <w:t>اخبار اهل خبره به رويش يا عدم رويش دندان كنده شده</w:t>
      </w:r>
      <w:bookmarkEnd w:id="2904"/>
    </w:p>
    <w:p>
      <w:pPr>
        <w:pStyle w:val="BookText"/>
        <w:rPr/>
      </w:pPr>
      <w:r>
        <w:rPr>
          <w:rFonts w:ascii="IRNazanin" w:hAnsi="IRNazanin" w:eastAsia="IRNazanin"/>
          <w:color w:val="111111"/>
          <w:sz w:val="28"/>
          <w:sz w:val="28"/>
          <w:szCs w:val="28"/>
          <w:rtl w:val="true"/>
          <w:lang w:bidi="fa-IR"/>
        </w:rPr>
        <w:t>و اگر اهل خبره، به عود مقلوع از آن اخبار كردند، قصاص نمى شود مگر بعد از گذشتن زمانى كه براى عود تعيين كرده اند و عدم عود آن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حكم اهل خبره به عدم عود يا عدم حكم با ظهور عدم به حسب غلبۀ آن، قصاص مى شود؛ پس اگر قبل از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يأس يا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كرد و ناقص يا متغير بود در آن حكومت است بنا بر احوط؛ و اگر به نحو سابق عود كرد پس ثبوت ارش در صورت تفاوت قيمت در مملوك، موافق احتياط است و ترك قصاص موافق احتياط است؛ و اگر عود نكرد و مأيوس شدند از عود، محل قصاص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دندان شير طفل، صبر مى نمايند تا زمان يقين، پس اگر عود كرد، ارش با تفاوت قيمت در مملوك، احتياط است؛ و اگر عود نكرد، محل قصاص است و احتياط غير متروك در مصالحه بر ديه است؛ و اگر قصاص شد يا ديه مأخوذ شد </w:t>
      </w:r>
      <w:bookmarkStart w:id="2905" w:name="pg10275_96986"/>
    </w:p>
    <w:p>
      <w:pPr>
        <w:pStyle w:val="BookText"/>
        <w:rPr/>
      </w:pPr>
      <w:bookmarkEnd w:id="2905"/>
      <w:r>
        <w:rPr>
          <w:rFonts w:ascii="IRNazanin" w:hAnsi="IRNazanin" w:eastAsia="IRNazanin"/>
          <w:color w:val="111111"/>
          <w:sz w:val="28"/>
          <w:sz w:val="28"/>
          <w:szCs w:val="28"/>
          <w:rtl w:val="true"/>
          <w:lang w:bidi="fa-IR"/>
        </w:rPr>
        <w:t xml:space="preserve">احتياط در اعادۀ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زايد بر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اداى ديۀ آن چه در قصاص قلع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برويَد آن چه به قصاص قلع شده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صبى مجنى عليه، قبل از يأس از عود وفات كرد، احوط براى وارث، ترك مطالبۀ زايد بر 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ناقص يا متغير عود كرد، ارش مقلوعه، و تغيّر و نقص عودكننده، موافق احتياط است</w:t>
      </w:r>
      <w:r>
        <w:rPr>
          <w:rFonts w:eastAsia="IRNazanin" w:cs="IRNazanin"/>
          <w:color w:val="111111"/>
          <w:sz w:val="28"/>
          <w:szCs w:val="28"/>
          <w:rtl w:val="true"/>
          <w:lang w:bidi="fa-IR"/>
        </w:rPr>
        <w:t>.</w:t>
      </w:r>
    </w:p>
    <w:p>
      <w:pPr>
        <w:pStyle w:val="Heading6"/>
        <w:numPr>
          <w:ilvl w:val="5"/>
          <w:numId w:val="1"/>
        </w:numPr>
        <w:rPr/>
      </w:pPr>
      <w:bookmarkStart w:id="2906" w:name="__RefHeading___Toc3973449_1067777946"/>
      <w:bookmarkStart w:id="2907" w:name="_Toc1232"/>
      <w:bookmarkEnd w:id="2906"/>
      <w:r>
        <w:rPr>
          <w:rtl w:val="true"/>
        </w:rPr>
        <w:t>رويش دوبارۀ دندان قصاص شده</w:t>
      </w:r>
      <w:bookmarkEnd w:id="2907"/>
    </w:p>
    <w:p>
      <w:pPr>
        <w:pStyle w:val="BookText"/>
        <w:rPr/>
      </w:pPr>
      <w:r>
        <w:rPr>
          <w:rFonts w:ascii="IRNazanin" w:hAnsi="IRNazanin" w:eastAsia="IRNazanin"/>
          <w:color w:val="111111"/>
          <w:sz w:val="28"/>
          <w:sz w:val="28"/>
          <w:szCs w:val="28"/>
          <w:rtl w:val="true"/>
          <w:lang w:bidi="fa-IR"/>
        </w:rPr>
        <w:t>اگر قصاص كرد بالغى، دندان مماثل خود را، پس عود كرد دندان جانى، اظهر عدم جواز ازالۀ آن است از طرف مجنى عليه، و چيز ديگرى هم براى او نيست بعد از تحقّق قصاص</w:t>
      </w:r>
      <w:r>
        <w:rPr>
          <w:rFonts w:eastAsia="IRNazanin" w:cs="IRNazanin"/>
          <w:color w:val="111111"/>
          <w:sz w:val="28"/>
          <w:szCs w:val="28"/>
          <w:rtl w:val="true"/>
          <w:lang w:bidi="fa-IR"/>
        </w:rPr>
        <w:t>.</w:t>
      </w:r>
    </w:p>
    <w:p>
      <w:pPr>
        <w:pStyle w:val="Heading6"/>
        <w:numPr>
          <w:ilvl w:val="5"/>
          <w:numId w:val="1"/>
        </w:numPr>
        <w:rPr/>
      </w:pPr>
      <w:bookmarkStart w:id="2908" w:name="__RefHeading___Toc3973451_1067777946"/>
      <w:bookmarkStart w:id="2909" w:name="_Toc1233"/>
      <w:bookmarkEnd w:id="2908"/>
      <w:r>
        <w:rPr>
          <w:rtl w:val="true"/>
        </w:rPr>
        <w:t>اعتبار تساوى محل در قصاص دندان</w:t>
      </w:r>
      <w:bookmarkEnd w:id="2909"/>
    </w:p>
    <w:p>
      <w:pPr>
        <w:pStyle w:val="BookText"/>
        <w:rPr/>
      </w:pPr>
      <w:r>
        <w:rPr>
          <w:rFonts w:ascii="IRNazanin" w:hAnsi="IRNazanin" w:eastAsia="IRNazanin"/>
          <w:color w:val="111111"/>
          <w:sz w:val="28"/>
          <w:sz w:val="28"/>
          <w:szCs w:val="28"/>
          <w:rtl w:val="true"/>
          <w:lang w:bidi="fa-IR"/>
        </w:rPr>
        <w:t>در قصاص دندان، معتبر است براى محافظت بر مماثلت، تساوى در محل از حيث ثنايا و رباعيات و اضراس الى آخرها و آن چه در طرف راست يا چپ يا بالا يا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نمى شود دندان اصلى به سبب زيادتى، و همچنين زيادتى به سبب زيادتى با تغاير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زايد به سبب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اتحاد محل و صحت فرض و عدم تفاوت به غير كمال و نقص با اخذ تفاوت يا بدون آن با تأمل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مى شود در صورت نبودن اصلى بالفعل</w:t>
      </w:r>
      <w:r>
        <w:rPr>
          <w:rFonts w:eastAsia="IRNazanin" w:cs="IRNazanin"/>
          <w:color w:val="111111"/>
          <w:sz w:val="28"/>
          <w:szCs w:val="28"/>
          <w:rtl w:val="true"/>
          <w:lang w:bidi="fa-IR"/>
        </w:rPr>
        <w:t>.</w:t>
      </w:r>
    </w:p>
    <w:p>
      <w:pPr>
        <w:pStyle w:val="Heading5"/>
        <w:numPr>
          <w:ilvl w:val="4"/>
          <w:numId w:val="1"/>
        </w:numPr>
        <w:rPr/>
      </w:pPr>
      <w:bookmarkStart w:id="2910" w:name="__RefHeading___Toc3973453_1067777946"/>
      <w:bookmarkStart w:id="2911" w:name="_Toc1234"/>
      <w:bookmarkEnd w:id="2910"/>
      <w:r>
        <w:rPr>
          <w:rtl w:val="true"/>
        </w:rPr>
        <w:t>قصاص در انگشتها</w:t>
      </w:r>
      <w:bookmarkEnd w:id="2911"/>
    </w:p>
    <w:p>
      <w:pPr>
        <w:pStyle w:val="BookText"/>
        <w:rPr/>
      </w:pPr>
      <w:r>
        <w:rPr>
          <w:rFonts w:ascii="IRNazanin" w:hAnsi="IRNazanin" w:eastAsia="IRNazanin"/>
          <w:color w:val="111111"/>
          <w:sz w:val="28"/>
          <w:sz w:val="28"/>
          <w:szCs w:val="28"/>
          <w:rtl w:val="true"/>
          <w:lang w:bidi="fa-IR"/>
        </w:rPr>
        <w:t>و آن چه در دندانها مذكور شد از حيث محل و اصالت و زيادتى، جارى است در انگشتها از دستها و پاها و راست و چپ و سبابه و وسطىٰ تا آخر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عضوى كه بر تقدير وجود، قصاص مى شود، بر تقدير عدم، ديه بدل آن مأخوذ مى شود، مثل اين كه دو اصبع را قطع نمايد كسى كه يكى دارد پس يكى را در قصاص </w:t>
      </w:r>
      <w:bookmarkStart w:id="2912" w:name="pg10275_96987"/>
    </w:p>
    <w:p>
      <w:pPr>
        <w:pStyle w:val="BookText"/>
        <w:rPr/>
      </w:pPr>
      <w:bookmarkEnd w:id="2912"/>
      <w:r>
        <w:rPr>
          <w:rFonts w:ascii="IRNazanin" w:hAnsi="IRNazanin" w:eastAsia="IRNazanin"/>
          <w:color w:val="111111"/>
          <w:sz w:val="28"/>
          <w:sz w:val="28"/>
          <w:szCs w:val="28"/>
          <w:rtl w:val="true"/>
          <w:lang w:bidi="fa-IR"/>
        </w:rPr>
        <w:t>قطع مى كنند و ديۀ ديگرى را مى گيرند، يا آن كه كفّ تامّ را قطع نمايد و كفّ او اصابع ندارد پس كفّ را قطع مى نمايد و ديۀ اصابع را مى گيرد</w:t>
      </w:r>
      <w:r>
        <w:rPr>
          <w:rFonts w:eastAsia="IRNazanin" w:cs="IRNazanin"/>
          <w:color w:val="111111"/>
          <w:sz w:val="28"/>
          <w:szCs w:val="28"/>
          <w:rtl w:val="true"/>
          <w:lang w:bidi="fa-IR"/>
        </w:rPr>
        <w:t>.</w:t>
      </w:r>
    </w:p>
    <w:p>
      <w:pPr>
        <w:pStyle w:val="Heading5"/>
        <w:numPr>
          <w:ilvl w:val="4"/>
          <w:numId w:val="1"/>
        </w:numPr>
        <w:rPr/>
      </w:pPr>
      <w:bookmarkStart w:id="2913" w:name="__RefHeading___Toc3973455_1067777946"/>
      <w:bookmarkStart w:id="2914" w:name="_Toc1235"/>
      <w:bookmarkEnd w:id="2913"/>
      <w:r>
        <w:rPr>
          <w:rtl w:val="true"/>
        </w:rPr>
        <w:t>چند مسأله</w:t>
      </w:r>
      <w:bookmarkEnd w:id="2914"/>
    </w:p>
    <w:p>
      <w:pPr>
        <w:pStyle w:val="Heading6"/>
        <w:numPr>
          <w:ilvl w:val="5"/>
          <w:numId w:val="1"/>
        </w:numPr>
        <w:rPr/>
      </w:pPr>
      <w:bookmarkStart w:id="2915" w:name="__RefHeading___Toc3973457_1067777946"/>
      <w:bookmarkStart w:id="2916" w:name="_Toc1236"/>
      <w:bookmarkEnd w:id="2915"/>
      <w:r>
        <w:rPr>
          <w:rtl w:val="true"/>
        </w:rPr>
        <w:t>اگر ناقصى، دست كاملى را قطع نمايد</w:t>
      </w:r>
      <w:bookmarkEnd w:id="2916"/>
    </w:p>
    <w:p>
      <w:pPr>
        <w:pStyle w:val="Heading6"/>
        <w:numPr>
          <w:ilvl w:val="5"/>
          <w:numId w:val="1"/>
        </w:numPr>
        <w:rPr/>
      </w:pPr>
      <w:bookmarkStart w:id="2917" w:name="__RefHeading___Toc3973459_1067777946"/>
      <w:bookmarkStart w:id="2918" w:name="_Toc1237"/>
      <w:bookmarkEnd w:id="2917"/>
      <w:r>
        <w:rPr>
          <w:rtl w:val="true"/>
        </w:rPr>
        <w:t>اشاره</w:t>
      </w:r>
      <w:bookmarkEnd w:id="2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ناقصى، دست كاملى را قطع كرد، و دست قاطع بدون اصابع بود، پس قصاص شد، اظهر لزوم اخذ ديۀ اصابع است اگر چه به حسب خلقت يا آفت، مفقود بوده است، نه آن كه در قصاص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اخذ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كامله دست را مستحق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عكس، قصاص با ردّ ديۀ اصابع، خالى از رجحان نيست و احتياط در صلح بر 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جارى است در نقصان انملۀ جانى يا مجنى عليه به نحو متقدم، از قصاص با اخذ ديۀ مفقود يا ردّ ديۀ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اصابع جانى يا مجنى عليه بدون ناخنها بود</w:t>
      </w:r>
      <w:r>
        <w:rPr>
          <w:rFonts w:eastAsia="IRNazanin" w:cs="IRNazanin"/>
          <w:color w:val="111111"/>
          <w:sz w:val="28"/>
          <w:szCs w:val="28"/>
          <w:rtl w:val="true"/>
          <w:lang w:bidi="fa-IR"/>
        </w:rPr>
        <w:t>.</w:t>
      </w:r>
    </w:p>
    <w:p>
      <w:pPr>
        <w:pStyle w:val="Heading6"/>
        <w:numPr>
          <w:ilvl w:val="5"/>
          <w:numId w:val="1"/>
        </w:numPr>
        <w:rPr/>
      </w:pPr>
      <w:bookmarkStart w:id="2919" w:name="__RefHeading___Toc3973461_1067777946"/>
      <w:bookmarkStart w:id="2920" w:name="_Toc1238"/>
      <w:bookmarkEnd w:id="2919"/>
      <w:r>
        <w:rPr>
          <w:rtl w:val="true"/>
        </w:rPr>
        <w:t>اگر جنايت به انگشت سرايت به كف دست نمايد</w:t>
      </w:r>
      <w:bookmarkEnd w:id="2920"/>
    </w:p>
    <w:p>
      <w:pPr>
        <w:pStyle w:val="BookText"/>
        <w:rPr/>
      </w:pPr>
      <w:r>
        <w:rPr>
          <w:rFonts w:ascii="IRNazanin" w:hAnsi="IRNazanin" w:eastAsia="IRNazanin"/>
          <w:color w:val="111111"/>
          <w:sz w:val="28"/>
          <w:sz w:val="28"/>
          <w:szCs w:val="28"/>
          <w:rtl w:val="true"/>
          <w:lang w:bidi="fa-IR"/>
        </w:rPr>
        <w:t>اگر جنايت بر اصبع، سرايت به كف نمود، بعد مندمل شد، قصاص در كف، ثابت است، و اظهر عدم جواز قصاص در اصبع با اخذ ديه در باقى كف است در مفروض مسأله بدون رضايت جانى</w:t>
      </w:r>
      <w:r>
        <w:rPr>
          <w:rFonts w:eastAsia="IRNazanin" w:cs="IRNazanin"/>
          <w:color w:val="111111"/>
          <w:sz w:val="28"/>
          <w:szCs w:val="28"/>
          <w:rtl w:val="true"/>
          <w:lang w:bidi="fa-IR"/>
        </w:rPr>
        <w:t>.</w:t>
      </w:r>
    </w:p>
    <w:p>
      <w:pPr>
        <w:pStyle w:val="Heading6"/>
        <w:numPr>
          <w:ilvl w:val="5"/>
          <w:numId w:val="1"/>
        </w:numPr>
        <w:rPr/>
      </w:pPr>
      <w:bookmarkStart w:id="2921" w:name="__RefHeading___Toc3973463_1067777946"/>
      <w:bookmarkStart w:id="2922" w:name="_Toc1239"/>
      <w:bookmarkEnd w:id="2921"/>
      <w:r>
        <w:rPr>
          <w:rtl w:val="true"/>
        </w:rPr>
        <w:t>فروض مختلف قطع دست و نحوۀ قصاص</w:t>
      </w:r>
      <w:bookmarkEnd w:id="2922"/>
    </w:p>
    <w:p>
      <w:pPr>
        <w:pStyle w:val="BookText"/>
        <w:rPr/>
      </w:pPr>
      <w:r>
        <w:rPr>
          <w:rFonts w:ascii="IRNazanin" w:hAnsi="IRNazanin" w:eastAsia="IRNazanin"/>
          <w:color w:val="111111"/>
          <w:sz w:val="28"/>
          <w:sz w:val="28"/>
          <w:szCs w:val="28"/>
          <w:rtl w:val="true"/>
          <w:lang w:bidi="fa-IR"/>
        </w:rPr>
        <w:t>اگر دست را قطع كرد از بند دست كه متصل به ابهام است، قصاص از همان مفصل ثابت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بالاى زند مقدارى از ذراع هم قطع كرد، قصاص در بند دست است، و براى زايد، قصاص نيست بلكه ديۀ ذراع توزيع مى شود بر مكسور بنا بر آن چه در ديات مذكور است</w:t>
      </w:r>
      <w:r>
        <w:rPr>
          <w:rFonts w:eastAsia="IRNazanin" w:cs="IRNazanin"/>
          <w:color w:val="111111"/>
          <w:sz w:val="28"/>
          <w:szCs w:val="28"/>
          <w:rtl w:val="true"/>
          <w:lang w:bidi="fa-IR"/>
        </w:rPr>
        <w:t xml:space="preserve">. </w:t>
      </w:r>
      <w:bookmarkStart w:id="2923" w:name="pg10275_96988"/>
    </w:p>
    <w:p>
      <w:pPr>
        <w:pStyle w:val="BookText"/>
        <w:rPr/>
      </w:pPr>
      <w:bookmarkEnd w:id="2923"/>
      <w:r>
        <w:rPr>
          <w:rFonts w:ascii="IRNazanin" w:hAnsi="IRNazanin" w:eastAsia="IRNazanin"/>
          <w:color w:val="111111"/>
          <w:sz w:val="28"/>
          <w:sz w:val="28"/>
          <w:szCs w:val="28"/>
          <w:rtl w:val="true"/>
          <w:lang w:bidi="fa-IR"/>
        </w:rPr>
        <w:t>و اگر از مرفق قطع كرد، از همان مفصل قصاص مى شود، و نمى شود قصاص در مراتب پايين مثل كف نمايد و ديۀ باقى را مطالبه نمايد بدون رضاى 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قطع كرد از منكب، قصاص از همان حدّ است، نه از مرفق با اخذ ديۀ باقى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بازو قطع كرد، قصاص از مرفق است با ديۀ موزّعه بر مقطوع از بازو از ديه بازو كه عضد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برهنه كرد استخوان منكب را، پس با حكم اهل خبره به امكان قصاص، و رعايت مماثلت، قصاص مى شود؛ وگرنه ديه يا استيفاى ممكن با ارش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مراتبى كه در دست گذشت، در پاها جارى است، مثل كف و قدم، و ساق با ذراع، و ران و بازو، و ورك و استخوان دوش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قطع نصف كف، قصاص نيست از موضع قطع، و مى تواند قطع اصابع نمايد و مطالبۀ حكومت در باقى؛ و مشكل است جواز قصاص از انامل و مطالبۀ حكومت در باقى، به جهت امكان قصاص در بعض بقيه؛ و مطالبۀ ديه با امكان قصاص، در عمد، بدون رضايت جانى در اطراف، مشكل است</w:t>
      </w:r>
      <w:r>
        <w:rPr>
          <w:rFonts w:eastAsia="Amiri" w:cs="Amiri" w:ascii="Amiri" w:hAnsi="Amiri"/>
          <w:color w:val="111111"/>
          <w:sz w:val="28"/>
          <w:szCs w:val="28"/>
          <w:rtl w:val="true"/>
          <w:lang w:bidi="ar-SA"/>
        </w:rPr>
        <w:t>.</w:t>
      </w:r>
    </w:p>
    <w:p>
      <w:pPr>
        <w:pStyle w:val="Heading6"/>
        <w:numPr>
          <w:ilvl w:val="5"/>
          <w:numId w:val="1"/>
        </w:numPr>
        <w:rPr/>
      </w:pPr>
      <w:bookmarkStart w:id="2924" w:name="__RefHeading___Toc3973465_1067777946"/>
      <w:bookmarkStart w:id="2925" w:name="_Toc1240"/>
      <w:bookmarkEnd w:id="2924"/>
      <w:r>
        <w:rPr>
          <w:rtl w:val="true"/>
        </w:rPr>
        <w:t>فروع مختلف انگشت اضافى در جانى يا مجنى عليه</w:t>
      </w:r>
      <w:bookmarkEnd w:id="29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هر كدام از قاطع و مجنى عليه، انگشت زايدى در محل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يا پاى مخصوص، با اسم مخصوص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 قصاص ثابت است در زايد و در مشتمل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زيادتى، فقط براى جانى بود، پس خارج از كف مثلاً، مانع از قصاص نيست؛ و داخل در آن، عدم منع و ثبوت قصاص با دفع ديۀ زايد به جانى، خالى از وجه متقدم در كف با اصابع نيست؛ و اگر زايد، متصل به بعض اصابع است، قصاص در ساير اصابع، و ديۀ اصبع سالم، و حكومت در كف، ثابت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زايد، نابت است در انمله وسطى از جانى، قصاص در انمله عليا ثابت است، </w:t>
      </w:r>
    </w:p>
    <w:p>
      <w:pPr>
        <w:pStyle w:val="BookText"/>
        <w:rPr/>
      </w:pPr>
      <w:r>
        <w:rPr>
          <w:rFonts w:ascii="Amiri" w:hAnsi="Amiri" w:eastAsia="Amiri" w:cs="Amiri"/>
          <w:color w:val="111111"/>
          <w:sz w:val="28"/>
          <w:sz w:val="28"/>
          <w:szCs w:val="28"/>
          <w:rtl w:val="true"/>
          <w:lang w:bidi="ar-SA"/>
        </w:rPr>
        <w:t>و دو ثلث ديۀ اصبع براى مجنى عليه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زايد، براى مجنى عليه فقط بود، قصاص از كف براى او ثابت است، و ديۀ اصبع زايده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ثلث ديه اصليه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است؛ و اگر ديۀ مجموع، مأخوذ باشد، يك ديه و ثلث ديه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اصبع از مجنى عليه زايد باشد و تمام اصابع جانى اصلى باشند، قصاص در يد نمى شود، بلكه قصاص در چهار انگشت مى شود، و ديۀ خامسۀ زايده و حكومت در كف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عكس فرض كه بعض اصابع جانى زايد باشد، قصاص در كف، ثابت است، چون ناقص به سبب كامل قطع در قصاص مى شود با مساوات در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زايده در يد جانى، متميّزه از اصليه نباشد، از بند دست قطع نمى شود؛ و اگر چهار انگشت در قصاص قطع نمود با احتمال زيادتى يكى از آنها، پس از قبيل قطع ناقص به كامل است، لكن خلاف تكليف كرده است چون جواز قطع ناقص در صورت عدم كامل است نه مطلقاً؛ و اگر ابهام كه اصلى است قطع بشود، به عدد باقى مانده مى تواند قطع نمايد؛ و اگر براى غير ابهام مقطوع، ديه بگيرد، به واسطۀ عدم قطع به مساوات و عدم اراده قصاص به ناقص مانعى ندارد و براى كف و ساير اصابع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مأخوذ مى شود؛ و اگر از بند دست قطع نمود با وجود زايد بر عدد، بدون تميّز، خلاف تكليف كرده و بايد ديۀ زايده را ادا نمايد و حق خودش را استيفا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يكى از انگشتهاى مورد احتمال زيادة را قطع نمايد، قصاص به اصلى نمى شود، و بر او است نصف ديه هر كدام از اصلى و زايد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قطع كرد صاحب اصابعى كه يكى غير متميز زايد است، اصبعى را از دست كامل الاصابع، قصاص تعيّن ندارد، به جهت احتمال زيادتى در هر يك انگشتى، پس متعين، ديۀ يك انگشت اصلى است؛ و محتمل است جواز قطع دو انگشت با اداى ديۀ </w:t>
      </w:r>
    </w:p>
    <w:p>
      <w:pPr>
        <w:pStyle w:val="BookText"/>
        <w:rPr/>
      </w:pPr>
      <w:r>
        <w:rPr>
          <w:rFonts w:ascii="IRNazanin" w:hAnsi="IRNazanin" w:eastAsia="IRNazanin"/>
          <w:color w:val="111111"/>
          <w:sz w:val="28"/>
          <w:sz w:val="28"/>
          <w:szCs w:val="28"/>
          <w:rtl w:val="true"/>
          <w:lang w:bidi="fa-IR"/>
        </w:rPr>
        <w:t>يك انگشت زايد، بنا بر استفاده از ثابت در كف با اصابع، براى كف بى 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نمود صاحب يد كامله، يد مشتمله بر يك اصبع زايد غير متميز را، محتمل است قطع پنج انگشت و اداى ديۀ يك انگشت زايد و اخذ ديۀ يك انگشت كامله و اخذ حكومت بقيه كف كه در آن يك انگشت غير معلوم الحال، باقى است؛ و مى توانند توافق بر ديۀ يك دست كامل الأصابع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انملۀ مقطوعه، دو طرفى بود از مجنى عليه و جانى، قصاص ثابت است؛ و اگر از خصوص مجنى عليه است، پس براى يكى قصاص و براى ديگرى ديۀ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ثلث ديۀ انملۀ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مى دارد؛ و اگر اسم صادق نيست، ارش زايد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طرف، مخصوص جانى باشد، پس با تميّز و امكان قصاص، يكى از آنها كه اصلى است قصاص مى شود؛ وگرنه ديۀ يك انمله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ثلث يا نصف ديه يك اصبع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مى شود، و محتمل است جواز قطع جميع با اداى ديۀ زايده، و محتمل است جواز قطع يكى كه اصلى يا بدل از آن است، و اقتصار بر ديه و توافق بر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يكى انملۀ بالا و از ديگرى وُسطىٰ را قطع كرد، پس اگر اوّلى قصاص كرد، ديگرى مى تواند در وسطى قصاص نمايد؛ و اگر صاحب وسطى سبقت به مطالبۀ قصاص كرد، تأخير مى اندازند تا معلوم شود حال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دومى به غير قصاص راضى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اولى قصاص كرد، دومى در وسطى مى تواند قصاص نمايد و مى تواند عفو نمايد؛ و اگر اولى عفو نمود اگر چه بر مالى باشد، دومى محتمل است بتواند قصاص نمايد با رد ديۀ عليا، و احوط توافق بر ديۀ وسطىٰ است، و اگر مبادرت به قصاص نمود بر او است ديۀ عليا و براى صاحب عليا است مطالبۀ ديۀ انمله عليا از جانى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قطع كرد عليا از دو سبابه يُمنىٰ از دو نفر را، براى سابق است قصاص در سبابه </w:t>
      </w:r>
      <w:bookmarkStart w:id="2926" w:name="pg10275_96991"/>
    </w:p>
    <w:p>
      <w:pPr>
        <w:pStyle w:val="BookText"/>
        <w:rPr/>
      </w:pPr>
      <w:bookmarkEnd w:id="2926"/>
      <w:r>
        <w:rPr>
          <w:rFonts w:ascii="IRNazanin" w:hAnsi="IRNazanin" w:eastAsia="IRNazanin"/>
          <w:color w:val="111111"/>
          <w:sz w:val="28"/>
          <w:sz w:val="28"/>
          <w:szCs w:val="28"/>
          <w:rtl w:val="true"/>
          <w:lang w:bidi="fa-IR"/>
        </w:rPr>
        <w:t>جانى از يُمنى، و براى دومى است قصاص از يُسراى جانى؛ و اگر اولى عفو نمود، براى دومى قصاص در سبابه يمنى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كرد عليا از سبابه شخصى را پس از آن عليا و وسطى از سبابه ديگرى را، پس اگر اولى عفو نمود، دومى حق قصاص دارد؛ و اگر اولى قصاص نمود، دومى قصاص در باقى و اخذ ديه براى عليا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دومى مقدم بود، مقدم در قصاص مى شود، پس اگر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صاحب علياى فقط مى تواند قصاص نمايد؛ و اگر قصاص نمود، براى صاحب علياى فقط خصوص ديه است</w:t>
      </w:r>
      <w:r>
        <w:rPr>
          <w:rFonts w:eastAsia="IRNazanin" w:cs="IRNazanin"/>
          <w:color w:val="111111"/>
          <w:sz w:val="28"/>
          <w:szCs w:val="28"/>
          <w:rtl w:val="true"/>
          <w:lang w:bidi="fa-IR"/>
        </w:rPr>
        <w:t>.</w:t>
      </w:r>
    </w:p>
    <w:p>
      <w:pPr>
        <w:pStyle w:val="Heading6"/>
        <w:numPr>
          <w:ilvl w:val="5"/>
          <w:numId w:val="1"/>
        </w:numPr>
        <w:rPr/>
      </w:pPr>
      <w:bookmarkStart w:id="2927" w:name="__RefHeading___Toc3973467_1067777946"/>
      <w:bookmarkStart w:id="2928" w:name="_Toc1241"/>
      <w:bookmarkEnd w:id="2927"/>
      <w:r>
        <w:rPr>
          <w:rtl w:val="true"/>
        </w:rPr>
        <w:t>قصاص دست چپ به جاى دست راست</w:t>
      </w:r>
      <w:bookmarkEnd w:id="2928"/>
    </w:p>
    <w:p>
      <w:pPr>
        <w:pStyle w:val="Heading6"/>
        <w:numPr>
          <w:ilvl w:val="5"/>
          <w:numId w:val="1"/>
        </w:numPr>
        <w:rPr/>
      </w:pPr>
      <w:bookmarkStart w:id="2929" w:name="__RefHeading___Toc3973469_1067777946"/>
      <w:bookmarkStart w:id="2930" w:name="_Toc1242"/>
      <w:bookmarkEnd w:id="2929"/>
      <w:r>
        <w:rPr>
          <w:rtl w:val="true"/>
        </w:rPr>
        <w:t>اشاره</w:t>
      </w:r>
      <w:bookmarkEnd w:id="29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قطع كرد يمين شخصى را پس در مقام قصاص، يسار خود را آورد و مجنى عليه آن را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پس اظهر عدم سقوط قصاص يمين است، و لكن لازم است تأخير آن تا اندمال يسار، به جهت منع از سرايت مجموع دو قطع به نفس؛ و قصاص بر قاطع يسار از روى جهل، نيست اگر به اعتقاد يمين قطع كرده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جانى، امر به اخراج يمين را شنيده و اخراج يسار كرده با علم به عدم اجزا، ديه هم بر قاطع نيست، به جهت اقوائيّت سبب اگر مقصر نبوده است قاطع در فحص و استعلام؛ و در صورت عدم علم باذل و استناد بذل يسار به مثل دهشت، در انتفاى ديه بر قاطع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مجنى عليه عالم بود كه يسار است و قطع نمود، بر او است قصاص يسار و براى او است قصاص يمين؛ و جهل به حكم شرعى از باذل و قاطع، عذر نيست در دفع قصاص يا نفى ديه؛ و علم قاطع به موضوع، موجب قصاص است اگر چه جاهل به حكم بوده، خواه باذل، عالم به موضوع باشد يا نه</w:t>
      </w:r>
      <w:r>
        <w:rPr>
          <w:rFonts w:eastAsia="IRNazanin" w:cs="IRNazanin"/>
          <w:color w:val="111111"/>
          <w:sz w:val="28"/>
          <w:szCs w:val="28"/>
          <w:rtl w:val="true"/>
          <w:lang w:bidi="fa-IR"/>
        </w:rPr>
        <w:t>.</w:t>
      </w:r>
    </w:p>
    <w:p>
      <w:pPr>
        <w:pStyle w:val="Heading6"/>
        <w:numPr>
          <w:ilvl w:val="5"/>
          <w:numId w:val="1"/>
        </w:numPr>
        <w:rPr/>
      </w:pPr>
      <w:bookmarkStart w:id="2931" w:name="__RefHeading___Toc3973471_1067777946"/>
      <w:bookmarkStart w:id="2932" w:name="_Toc1243"/>
      <w:bookmarkEnd w:id="2931"/>
      <w:r>
        <w:rPr>
          <w:rtl w:val="true"/>
        </w:rPr>
        <w:t>مضمونيّت جنايت سرايت به نفس با فرض مضمونيّت در طرف</w:t>
      </w:r>
      <w:bookmarkEnd w:id="293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جنايتى كه مضمون باشد در طرف، سرايت آن به نفس هم مضمون است، و هر </w:t>
      </w:r>
      <w:bookmarkStart w:id="2933" w:name="pg10275_96992"/>
    </w:p>
    <w:p>
      <w:pPr>
        <w:pStyle w:val="BookText"/>
        <w:rPr/>
      </w:pPr>
      <w:bookmarkEnd w:id="2933"/>
      <w:r>
        <w:rPr>
          <w:rFonts w:ascii="IRNazanin" w:hAnsi="IRNazanin" w:eastAsia="IRNazanin"/>
          <w:color w:val="111111"/>
          <w:sz w:val="28"/>
          <w:sz w:val="28"/>
          <w:szCs w:val="28"/>
          <w:rtl w:val="true"/>
          <w:lang w:bidi="fa-IR"/>
        </w:rPr>
        <w:t xml:space="preserve">جنايتى بر طرف كه مضمون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كه در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آن مضمون نيست، چون كه با خوف سرايت در طرف قصاص نيست بلكه ديه است؛ و همچنين در ضمان ديه در مورد ثبوت و نفى سرايت، تابع جنايت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كردند در اين كه باذل، عالم بود به يسار بودن مبذول كه قاطع، ضامن نباشد، يا آن كه عالم نبود تا قاطع ضامن باشد بنا بر قول به ضمان او، قول باذل با يمين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 باذل و قاطع بر بدليّت، اثرى ندارد، مگر آن كه مستلزم عفو از قصاص بعد از دو عمل باشد نه در اباحۀ عمل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قاطع بعد از بذل، در قصاص، طفل يا مجنون بود، پس آن چه را كه قطع كرده هدر است، چه نقص عضو باشد يا غير آن؛ و آن چه را كه مستحق بوده، باقى است بر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علم باذل، به جنون قاطع، احتمال دارد ضمان عاقله در تقدير ضمان خودش اگر مجنون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يمين مجنون را قطع كرد پس مجنون، يمين جانى را قطع نمود، قصاص محقق نشده است و باقى است براى ولىّ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قبل از استيفا ثابت بود يعنى ضمان ديه، بنا بر مساوات طرف با نفس در اشتراط مساوات 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ديۀ عضو جانى بر عاقلۀ مجنون است</w:t>
      </w:r>
      <w:r>
        <w:rPr>
          <w:rFonts w:eastAsia="IRNazanin" w:cs="IRNazanin"/>
          <w:color w:val="111111"/>
          <w:sz w:val="28"/>
          <w:szCs w:val="28"/>
          <w:rtl w:val="true"/>
          <w:lang w:bidi="fa-IR"/>
        </w:rPr>
        <w:t>.</w:t>
      </w:r>
    </w:p>
    <w:p>
      <w:pPr>
        <w:pStyle w:val="Heading6"/>
        <w:numPr>
          <w:ilvl w:val="5"/>
          <w:numId w:val="1"/>
        </w:numPr>
        <w:rPr/>
      </w:pPr>
      <w:bookmarkStart w:id="2934" w:name="__RefHeading___Toc3973473_1067777946"/>
      <w:bookmarkStart w:id="2935" w:name="_Toc1244"/>
      <w:bookmarkEnd w:id="2934"/>
      <w:r>
        <w:rPr>
          <w:rtl w:val="true"/>
        </w:rPr>
        <w:t>فوت مجنىٌّ عليه بعد از قطع دست و پا و فروع اختلاف در آن</w:t>
      </w:r>
      <w:bookmarkEnd w:id="2935"/>
    </w:p>
    <w:p>
      <w:pPr>
        <w:pStyle w:val="Heading6"/>
        <w:numPr>
          <w:ilvl w:val="5"/>
          <w:numId w:val="1"/>
        </w:numPr>
        <w:rPr/>
      </w:pPr>
      <w:bookmarkStart w:id="2936" w:name="__RefHeading___Toc3973475_1067777946"/>
      <w:bookmarkStart w:id="2937" w:name="_Toc1245"/>
      <w:bookmarkEnd w:id="2936"/>
      <w:r>
        <w:rPr>
          <w:rtl w:val="true"/>
        </w:rPr>
        <w:t>اشاره</w:t>
      </w:r>
      <w:bookmarkEnd w:id="29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دست ها و پاهاى شخصى را قطع كرد پس از آن وفات كرد، به خطاى شبيه به عمد، و اختلاف شد بين جانى و ولىّ‌، و ولىّ گفت بعد از اندمال، وفات كرد پس مستحق دو ديه هست، و جانى گفت به سرايت، وفات كرد پس مستحق يك ديه است به جهت دخول طرف در نفس؛ پس اگر به سبب امارات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آنها كوتاهى مدت باشد به نحوى كه اندمال بعيد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بودن جانى ثابت شد، مقدم است قول او با يمين او؛ و همچنين اگر منكر بودن ولىّ ثابت شد با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w:t>
      </w:r>
      <w:bookmarkStart w:id="2938" w:name="pg10275_96993"/>
    </w:p>
    <w:p>
      <w:pPr>
        <w:pStyle w:val="BookText"/>
        <w:rPr/>
      </w:pPr>
      <w:bookmarkEnd w:id="2938"/>
      <w:r>
        <w:rPr>
          <w:rFonts w:ascii="IRNazanin" w:hAnsi="IRNazanin" w:eastAsia="IRNazanin"/>
          <w:color w:val="111111"/>
          <w:sz w:val="28"/>
          <w:sz w:val="28"/>
          <w:szCs w:val="28"/>
          <w:rtl w:val="true"/>
          <w:lang w:bidi="fa-IR"/>
        </w:rPr>
        <w:t>آنها طول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با يمين او مقدم است؛ و اگر استظهار نشد و از اتفاق بر امرى استفاده نشد، پس مقتضاى استصحابِ وجوب دو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مُسقطيت سرايت نه كاشفيت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قول ولىّ است</w:t>
      </w:r>
      <w:r>
        <w:rPr>
          <w:rFonts w:eastAsia="IRNazanin" w:cs="IRNazanin"/>
          <w:color w:val="111111"/>
          <w:sz w:val="28"/>
          <w:szCs w:val="28"/>
          <w:rtl w:val="true"/>
          <w:lang w:bidi="fa-IR"/>
        </w:rPr>
        <w:t>.</w:t>
      </w:r>
    </w:p>
    <w:p>
      <w:pPr>
        <w:pStyle w:val="Heading6"/>
        <w:numPr>
          <w:ilvl w:val="5"/>
          <w:numId w:val="1"/>
        </w:numPr>
        <w:rPr/>
      </w:pPr>
      <w:bookmarkStart w:id="2939" w:name="__RefHeading___Toc3973477_1067777946"/>
      <w:bookmarkStart w:id="2940" w:name="_Toc1246"/>
      <w:bookmarkEnd w:id="2939"/>
      <w:r>
        <w:rPr>
          <w:rtl w:val="true"/>
        </w:rPr>
        <w:t>ادّعاى اندمال قطع، توسط جانى</w:t>
      </w:r>
      <w:bookmarkEnd w:id="2940"/>
    </w:p>
    <w:p>
      <w:pPr>
        <w:pStyle w:val="BookText"/>
        <w:rPr/>
      </w:pPr>
      <w:r>
        <w:rPr>
          <w:rFonts w:ascii="IRNazanin" w:hAnsi="IRNazanin" w:eastAsia="IRNazanin"/>
          <w:color w:val="111111"/>
          <w:sz w:val="28"/>
          <w:sz w:val="28"/>
          <w:szCs w:val="28"/>
          <w:rtl w:val="true"/>
          <w:lang w:bidi="fa-IR"/>
        </w:rPr>
        <w:t xml:space="preserve">و اگر جانى ادّعا كرد اندمال قطع يد قبل از وفات را براى نفى غير ديه يد، و ولىّ ادّعا كرد سرايت را براى اثبات ديه نفس، پس استظهار مى شود موافقت يكى از آنها با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جمله طول و قصر مدت با خصوصيات جراحت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استظهار نشد، تقدم قول جانى با حلف بر اندمال، خالى از وجه نيست</w:t>
      </w:r>
      <w:r>
        <w:rPr>
          <w:rFonts w:eastAsia="IRNazanin" w:cs="IRNazanin"/>
          <w:color w:val="111111"/>
          <w:sz w:val="28"/>
          <w:szCs w:val="28"/>
          <w:rtl w:val="true"/>
          <w:lang w:bidi="fa-IR"/>
        </w:rPr>
        <w:t>.</w:t>
      </w:r>
    </w:p>
    <w:p>
      <w:pPr>
        <w:pStyle w:val="Heading6"/>
        <w:numPr>
          <w:ilvl w:val="5"/>
          <w:numId w:val="1"/>
        </w:numPr>
        <w:rPr/>
      </w:pPr>
      <w:bookmarkStart w:id="2941" w:name="__RefHeading___Toc3973479_1067777946"/>
      <w:bookmarkStart w:id="2942" w:name="_Toc1247"/>
      <w:bookmarkEnd w:id="2941"/>
      <w:r>
        <w:rPr>
          <w:rtl w:val="true"/>
        </w:rPr>
        <w:t>فرض تقدم قول جانى در اختلاف</w:t>
      </w:r>
      <w:bookmarkEnd w:id="2942"/>
    </w:p>
    <w:p>
      <w:pPr>
        <w:pStyle w:val="BookText"/>
        <w:rPr/>
      </w:pPr>
      <w:r>
        <w:rPr>
          <w:rFonts w:ascii="IRNazanin" w:hAnsi="IRNazanin" w:eastAsia="IRNazanin"/>
          <w:color w:val="111111"/>
          <w:sz w:val="28"/>
          <w:sz w:val="28"/>
          <w:szCs w:val="28"/>
          <w:rtl w:val="true"/>
          <w:lang w:bidi="fa-IR"/>
        </w:rPr>
        <w:t xml:space="preserve">و همچنين در اختلاف در اين كه وفات به شرب سمّ بوده يا به سرايت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امارات، تقدم قول 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موافق اصالة البراءة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تنصيف ملفوف در كسا با اختلاف در حيات و ممات در حين قطع، تقدم قول موافق با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جانى است در مفروض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Heading6"/>
        <w:numPr>
          <w:ilvl w:val="5"/>
          <w:numId w:val="1"/>
        </w:numPr>
        <w:rPr/>
      </w:pPr>
      <w:bookmarkStart w:id="2943" w:name="__RefHeading___Toc3973481_1067777946"/>
      <w:bookmarkStart w:id="2944" w:name="_Toc1248"/>
      <w:bookmarkEnd w:id="2943"/>
      <w:r>
        <w:rPr>
          <w:rtl w:val="true"/>
        </w:rPr>
        <w:t>اختلاف در عيب از جهت مادرزادى</w:t>
      </w:r>
      <w:bookmarkEnd w:id="2944"/>
    </w:p>
    <w:p>
      <w:pPr>
        <w:pStyle w:val="BookText"/>
        <w:rPr/>
      </w:pPr>
      <w:r>
        <w:rPr>
          <w:rFonts w:ascii="IRNazanin" w:hAnsi="IRNazanin" w:eastAsia="IRNazanin"/>
          <w:color w:val="111111"/>
          <w:sz w:val="28"/>
          <w:sz w:val="28"/>
          <w:szCs w:val="28"/>
          <w:rtl w:val="true"/>
          <w:lang w:bidi="fa-IR"/>
        </w:rPr>
        <w:t>اگر اختلاف در شلل عضو مقطوع از زمان ولادت يا نابينايى چشم مقلوع داشتند، پس تقديم قول مدعى صحت با يمين او در آن چه مستور نيست و اقامۀ بيّنه در آن ميسور است، بلكه در مستور هم،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ادّعاى حدوث عيب قبل از جنايت نمود</w:t>
      </w:r>
      <w:r>
        <w:rPr>
          <w:rFonts w:eastAsia="IRNazanin" w:cs="IRNazanin"/>
          <w:color w:val="111111"/>
          <w:sz w:val="28"/>
          <w:szCs w:val="28"/>
          <w:rtl w:val="true"/>
          <w:lang w:bidi="fa-IR"/>
        </w:rPr>
        <w:t>.</w:t>
      </w:r>
    </w:p>
    <w:p>
      <w:pPr>
        <w:pStyle w:val="Heading6"/>
        <w:numPr>
          <w:ilvl w:val="5"/>
          <w:numId w:val="1"/>
        </w:numPr>
        <w:rPr/>
      </w:pPr>
      <w:bookmarkStart w:id="2945" w:name="__RefHeading___Toc3973483_1067777946"/>
      <w:bookmarkStart w:id="2946" w:name="_Toc1249"/>
      <w:bookmarkEnd w:id="2945"/>
      <w:r>
        <w:rPr>
          <w:rtl w:val="true"/>
        </w:rPr>
        <w:t>ادّعاى صغير بودن در وقت جنايت، توسط جانى</w:t>
      </w:r>
      <w:bookmarkEnd w:id="294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جانى، ادّعا كرد كه در وقت جنايت صغير بوده است،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موافق برائت از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است با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عاقله، ادّعاى بلوغ او در آن وقت كردند، </w:t>
      </w:r>
      <w:bookmarkStart w:id="2947" w:name="pg10275_96994"/>
    </w:p>
    <w:p>
      <w:pPr>
        <w:pStyle w:val="BookText"/>
        <w:rPr/>
      </w:pPr>
      <w:bookmarkEnd w:id="2947"/>
      <w:r>
        <w:rPr>
          <w:rFonts w:ascii="IRNazanin" w:hAnsi="IRNazanin" w:eastAsia="IRNazanin"/>
          <w:color w:val="111111"/>
          <w:sz w:val="28"/>
          <w:sz w:val="28"/>
          <w:szCs w:val="28"/>
          <w:rtl w:val="true"/>
          <w:lang w:bidi="fa-IR"/>
        </w:rPr>
        <w:t>قول ايشان موافق برائت است و در نتيجه از مال جانى است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رجوع اين اختلاف، به اختلاف در تقدم و تأخر جنايت بر بلوغ، برائت از قصاص، تقديم قول جانى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 علم و توافق به تاريخ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تقديم قول جانى، ديه از مال او است مگر با تصديق عاقله او را</w:t>
      </w:r>
      <w:r>
        <w:rPr>
          <w:rFonts w:eastAsia="IRNazanin" w:cs="IRNazanin"/>
          <w:color w:val="111111"/>
          <w:sz w:val="28"/>
          <w:szCs w:val="28"/>
          <w:rtl w:val="true"/>
          <w:lang w:bidi="fa-IR"/>
        </w:rPr>
        <w:t>.</w:t>
      </w:r>
    </w:p>
    <w:p>
      <w:pPr>
        <w:pStyle w:val="Heading6"/>
        <w:numPr>
          <w:ilvl w:val="5"/>
          <w:numId w:val="1"/>
        </w:numPr>
        <w:rPr/>
      </w:pPr>
      <w:bookmarkStart w:id="2948" w:name="__RefHeading___Toc3973485_1067777946"/>
      <w:bookmarkStart w:id="2949" w:name="_Toc1250"/>
      <w:bookmarkEnd w:id="2948"/>
      <w:r>
        <w:rPr>
          <w:rtl w:val="true"/>
        </w:rPr>
        <w:t>ادّعاى جنون</w:t>
      </w:r>
      <w:bookmarkEnd w:id="2949"/>
    </w:p>
    <w:p>
      <w:pPr>
        <w:pStyle w:val="BookText"/>
        <w:rPr/>
      </w:pPr>
      <w:r>
        <w:rPr>
          <w:rFonts w:ascii="IRNazanin" w:hAnsi="IRNazanin" w:eastAsia="IRNazanin"/>
          <w:color w:val="111111"/>
          <w:sz w:val="28"/>
          <w:sz w:val="28"/>
          <w:szCs w:val="28"/>
          <w:rtl w:val="true"/>
          <w:lang w:bidi="fa-IR"/>
        </w:rPr>
        <w:t>و اگر جانى ادّعاى جنون در وقت جنايت كرد، قولش مقدم است در صورت سبق جنون بر آن وقت، وگرنه اظهر تقدم قول ولىّ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اختلاف در اين كه ثابت در حين جنايت، جنون بوده يا سكر، بنا بر عدم لحوق به جنون</w:t>
      </w:r>
      <w:r>
        <w:rPr>
          <w:rFonts w:eastAsia="IRNazanin" w:cs="IRNazanin"/>
          <w:color w:val="111111"/>
          <w:sz w:val="28"/>
          <w:szCs w:val="28"/>
          <w:rtl w:val="true"/>
          <w:lang w:bidi="fa-IR"/>
        </w:rPr>
        <w:t>.</w:t>
      </w:r>
    </w:p>
    <w:p>
      <w:pPr>
        <w:pStyle w:val="Heading6"/>
        <w:numPr>
          <w:ilvl w:val="5"/>
          <w:numId w:val="1"/>
        </w:numPr>
        <w:rPr/>
      </w:pPr>
      <w:bookmarkStart w:id="2950" w:name="__RefHeading___Toc3973487_1067777946"/>
      <w:bookmarkStart w:id="2951" w:name="_Toc1251"/>
      <w:bookmarkEnd w:id="2950"/>
      <w:r>
        <w:rPr>
          <w:rtl w:val="true"/>
        </w:rPr>
        <w:t>اختلاف در تعداد موضحه</w:t>
      </w:r>
      <w:bookmarkEnd w:id="2951"/>
    </w:p>
    <w:p>
      <w:pPr>
        <w:pStyle w:val="BookText"/>
        <w:rPr/>
      </w:pPr>
      <w:r>
        <w:rPr>
          <w:rFonts w:ascii="IRNazanin" w:hAnsi="IRNazanin" w:eastAsia="IRNazanin"/>
          <w:color w:val="111111"/>
          <w:sz w:val="28"/>
          <w:sz w:val="28"/>
          <w:szCs w:val="28"/>
          <w:rtl w:val="true"/>
          <w:lang w:bidi="fa-IR"/>
        </w:rPr>
        <w:t>اگر دو موضحه ايقاع كرد و ازالۀ حاجز بين آنها از طرف جانى شد، پس از آن مجنى عليه ادّعا كرد كه ازاله بعد از اندمال بوده و سه موضحه بر جانى است، و جانى ادّعا كرد كه قبل از اندمال، ازاله شده بود پس يك موضحه شده است، قول مجنى عليه در دو موضحه مقدم است و قول جانى در انتفاى سوم</w:t>
      </w:r>
      <w:r>
        <w:rPr>
          <w:rFonts w:eastAsia="IRNazanin" w:cs="IRNazanin"/>
          <w:color w:val="111111"/>
          <w:sz w:val="28"/>
          <w:szCs w:val="28"/>
          <w:rtl w:val="true"/>
          <w:lang w:bidi="fa-IR"/>
        </w:rPr>
        <w:t>.</w:t>
      </w:r>
    </w:p>
    <w:p>
      <w:pPr>
        <w:pStyle w:val="Heading6"/>
        <w:numPr>
          <w:ilvl w:val="5"/>
          <w:numId w:val="1"/>
        </w:numPr>
        <w:rPr/>
      </w:pPr>
      <w:bookmarkStart w:id="2952" w:name="__RefHeading___Toc3973489_1067777946"/>
      <w:bookmarkStart w:id="2953" w:name="_Toc1252"/>
      <w:bookmarkEnd w:id="2952"/>
      <w:r>
        <w:rPr>
          <w:rtl w:val="true"/>
        </w:rPr>
        <w:t>قتل معهود الكفريه او الرقيّه و ادّعاى اسلام و يا حريّت توسط ولى</w:t>
      </w:r>
      <w:bookmarkEnd w:id="2953"/>
    </w:p>
    <w:p>
      <w:pPr>
        <w:pStyle w:val="BookText"/>
        <w:rPr/>
      </w:pPr>
      <w:r>
        <w:rPr>
          <w:rFonts w:ascii="IRNazanin" w:hAnsi="IRNazanin" w:eastAsia="IRNazanin"/>
          <w:color w:val="111111"/>
          <w:sz w:val="28"/>
          <w:sz w:val="28"/>
          <w:szCs w:val="28"/>
          <w:rtl w:val="true"/>
          <w:lang w:bidi="fa-IR"/>
        </w:rPr>
        <w:t>اگر به قتل رسانيد كسى را كه معهود از او كفر يا رقّيت بود و ولىّ ادّعاى سبق اسلام بر جنايت نمود، قول جانى مقدم است با يمين او؛ و اگر اختلاف در اصل كفر و رقّ بود، قول ولىّ مقدم است مگر در دار الكفر</w:t>
      </w:r>
      <w:r>
        <w:rPr>
          <w:rFonts w:eastAsia="IRNazanin" w:cs="IRNazanin"/>
          <w:color w:val="111111"/>
          <w:sz w:val="28"/>
          <w:szCs w:val="28"/>
          <w:rtl w:val="true"/>
          <w:lang w:bidi="fa-IR"/>
        </w:rPr>
        <w:t>.</w:t>
      </w:r>
    </w:p>
    <w:p>
      <w:pPr>
        <w:pStyle w:val="Heading6"/>
        <w:numPr>
          <w:ilvl w:val="5"/>
          <w:numId w:val="1"/>
        </w:numPr>
        <w:rPr/>
      </w:pPr>
      <w:bookmarkStart w:id="2954" w:name="__RefHeading___Toc3973491_1067777946"/>
      <w:bookmarkStart w:id="2955" w:name="_Toc1253"/>
      <w:bookmarkEnd w:id="2954"/>
      <w:r>
        <w:rPr>
          <w:rtl w:val="true"/>
        </w:rPr>
        <w:t>پيدايش خوره بعد از مداواى انگشت</w:t>
      </w:r>
      <w:bookmarkEnd w:id="295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اصبع مقطوعه را مداوات نمود پس آكله در كف ظاهر شد، جانى ادّعا كرد كه به سبب مداوات خاصه بوده و مجنى عليه ادّعا كرد كه به سبب قطع بوده، قول جانى مقدم است با شهادت اهل خبره به صحت ادّعاى او</w:t>
      </w:r>
      <w:r>
        <w:rPr>
          <w:rFonts w:eastAsia="IRNazanin" w:cs="IRNazanin"/>
          <w:color w:val="111111"/>
          <w:sz w:val="28"/>
          <w:szCs w:val="28"/>
          <w:rtl w:val="true"/>
          <w:lang w:bidi="fa-IR"/>
        </w:rPr>
        <w:t xml:space="preserve">. </w:t>
      </w:r>
      <w:bookmarkStart w:id="2956" w:name="pg10275_96995"/>
    </w:p>
    <w:p>
      <w:pPr>
        <w:pStyle w:val="Heading6"/>
        <w:numPr>
          <w:ilvl w:val="5"/>
          <w:numId w:val="1"/>
        </w:numPr>
        <w:rPr/>
      </w:pPr>
      <w:bookmarkStart w:id="2957" w:name="__RefHeading___Toc3973493_1067777946"/>
      <w:bookmarkStart w:id="2958" w:name="_Toc1254"/>
      <w:bookmarkEnd w:id="2956"/>
      <w:bookmarkEnd w:id="2957"/>
      <w:r>
        <w:rPr>
          <w:rtl w:val="true"/>
        </w:rPr>
        <w:t>تعاقب قطع دست راست شخصى بر قطع انگشت ديگرى</w:t>
      </w:r>
      <w:bookmarkEnd w:id="295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اصبعى از دست راست كسى را قطع كرد، پس از آن دست راست ديگرى را قطع كرد، قصاص مى شود اصبع، پس از آن، دست، با اداى ديۀ اصبع مقطوعه در قصاص بنا بر آن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عكس شد، قصاص براى دست راست مى شود، و براى اصبع از دست چپ قصاص مى شود يا ديۀ آن مأخوذ مى شود، بنا بر آن چه متعيّن شده در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بيان وجه مخالفت به تقديم متأخر و آن كه استيفاى حق مى شود؛ پس اگر صاحب يد، دست راست را قطع كرد، صاحب اصبع، از دست چپ قطع مى نمايد يا ديۀ اصبع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عكس، صاحب اصبع قطع كرد، صاحب يد، دست را قطع مى كند و ديۀ انگشت را مى گيرد بر حسب آن چه مقدم شد در محلش</w:t>
      </w:r>
      <w:r>
        <w:rPr>
          <w:rFonts w:eastAsia="IRNazanin" w:cs="IRNazanin"/>
          <w:color w:val="111111"/>
          <w:sz w:val="28"/>
          <w:szCs w:val="28"/>
          <w:rtl w:val="true"/>
          <w:lang w:bidi="fa-IR"/>
        </w:rPr>
        <w:t>.</w:t>
      </w:r>
    </w:p>
    <w:p>
      <w:pPr>
        <w:pStyle w:val="Heading6"/>
        <w:numPr>
          <w:ilvl w:val="5"/>
          <w:numId w:val="1"/>
        </w:numPr>
        <w:rPr/>
      </w:pPr>
      <w:bookmarkStart w:id="2959" w:name="__RefHeading___Toc3973495_1067777946"/>
      <w:bookmarkStart w:id="2960" w:name="_Toc1255"/>
      <w:bookmarkEnd w:id="2959"/>
      <w:r>
        <w:rPr>
          <w:rtl w:val="true"/>
        </w:rPr>
        <w:t>عفو قبل از اندمال</w:t>
      </w:r>
      <w:bookmarkEnd w:id="2960"/>
    </w:p>
    <w:p>
      <w:pPr>
        <w:pStyle w:val="Heading6"/>
        <w:numPr>
          <w:ilvl w:val="5"/>
          <w:numId w:val="1"/>
        </w:numPr>
        <w:rPr/>
      </w:pPr>
      <w:bookmarkStart w:id="2961" w:name="__RefHeading___Toc3973497_1067777946"/>
      <w:bookmarkStart w:id="2962" w:name="_Toc1256"/>
      <w:bookmarkEnd w:id="2961"/>
      <w:r>
        <w:rPr>
          <w:rtl w:val="true"/>
        </w:rPr>
        <w:t>اشاره</w:t>
      </w:r>
      <w:bookmarkEnd w:id="296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قطع كرد انگشت شخصى را، پس عفو كرد مجنى عليه قبل از اندمال، پس از آن مندمل شد، قصاص و ديه، به سبب عفو مطلق منتفى مى شود؛ و اگر استظهار عفو از ثابت بالفعل باشد، در عمد، قصاص منتفى مى شود، و ثبوت و نفى ديه مسكوت عنه است</w:t>
      </w:r>
      <w:r>
        <w:rPr>
          <w:rFonts w:eastAsia="IRNazanin" w:cs="IRNazanin"/>
          <w:color w:val="111111"/>
          <w:sz w:val="28"/>
          <w:szCs w:val="28"/>
          <w:rtl w:val="true"/>
          <w:lang w:bidi="fa-IR"/>
        </w:rPr>
        <w:t>.</w:t>
      </w:r>
    </w:p>
    <w:p>
      <w:pPr>
        <w:pStyle w:val="Heading6"/>
        <w:numPr>
          <w:ilvl w:val="5"/>
          <w:numId w:val="1"/>
        </w:numPr>
        <w:rPr/>
      </w:pPr>
      <w:bookmarkStart w:id="2963" w:name="__RefHeading___Toc3973499_1067777946"/>
      <w:bookmarkStart w:id="2964" w:name="_Toc1257"/>
      <w:bookmarkEnd w:id="2963"/>
      <w:r>
        <w:rPr>
          <w:rtl w:val="true"/>
        </w:rPr>
        <w:t>لوازم انحاى مختلف عفو از جنايت يا قصاص</w:t>
      </w:r>
      <w:bookmarkEnd w:id="2964"/>
    </w:p>
    <w:p>
      <w:pPr>
        <w:pStyle w:val="BookText"/>
        <w:rPr/>
      </w:pPr>
      <w:r>
        <w:rPr>
          <w:rFonts w:ascii="IRNazanin" w:hAnsi="IRNazanin" w:eastAsia="IRNazanin"/>
          <w:color w:val="111111"/>
          <w:sz w:val="28"/>
          <w:sz w:val="28"/>
          <w:szCs w:val="28"/>
          <w:rtl w:val="true"/>
          <w:lang w:bidi="fa-IR"/>
        </w:rPr>
        <w:t>و اگر عفو از جنايت عمديه و مقتضاى آن بشود، ظاهر، عفو از قصاص است، و ثبوت ديه منوط به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بگويد عفو از قصاص كردم، پس ثبوت ديه به صلح بعدى با توقف بر اقتضاى قصاص، محل تأمل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تأمل است در عفو از ديه يا انتفاى محل ثبوت غير قصاص در عمد، بلكه اگر عفو از قصاص بر مال كرد و راضى شد جانى به مال، ساقط مى شود قصاص و </w:t>
      </w:r>
      <w:bookmarkStart w:id="2965" w:name="pg10275_96996"/>
    </w:p>
    <w:p>
      <w:pPr>
        <w:pStyle w:val="BookText"/>
        <w:rPr/>
      </w:pPr>
      <w:bookmarkEnd w:id="2965"/>
      <w:r>
        <w:rPr>
          <w:rFonts w:ascii="IRNazanin" w:hAnsi="IRNazanin" w:eastAsia="IRNazanin"/>
          <w:color w:val="111111"/>
          <w:sz w:val="28"/>
          <w:sz w:val="28"/>
          <w:szCs w:val="28"/>
          <w:rtl w:val="true"/>
          <w:lang w:bidi="fa-IR"/>
        </w:rPr>
        <w:t>ثابت مى شود مال؛ و اگر راضى نشد، ثابت نمى شود مال، و در سقوط قصاص تأمل است</w:t>
      </w:r>
      <w:r>
        <w:rPr>
          <w:rFonts w:eastAsia="IRNazanin" w:cs="IRNazanin"/>
          <w:color w:val="111111"/>
          <w:sz w:val="28"/>
          <w:szCs w:val="28"/>
          <w:rtl w:val="true"/>
          <w:lang w:bidi="fa-IR"/>
        </w:rPr>
        <w:t>.</w:t>
      </w:r>
    </w:p>
    <w:p>
      <w:pPr>
        <w:pStyle w:val="Heading6"/>
        <w:numPr>
          <w:ilvl w:val="5"/>
          <w:numId w:val="1"/>
        </w:numPr>
        <w:rPr/>
      </w:pPr>
      <w:bookmarkStart w:id="2966" w:name="__RefHeading___Toc3973501_1067777946"/>
      <w:bookmarkStart w:id="2967" w:name="_Toc1258"/>
      <w:bookmarkEnd w:id="2966"/>
      <w:r>
        <w:rPr>
          <w:rtl w:val="true"/>
        </w:rPr>
        <w:t>اختلاف در نحوۀ عفو</w:t>
      </w:r>
      <w:bookmarkEnd w:id="2967"/>
    </w:p>
    <w:p>
      <w:pPr>
        <w:pStyle w:val="BookText"/>
        <w:rPr/>
      </w:pPr>
      <w:r>
        <w:rPr>
          <w:rFonts w:ascii="IRNazanin" w:hAnsi="IRNazanin" w:eastAsia="IRNazanin"/>
          <w:color w:val="111111"/>
          <w:sz w:val="28"/>
          <w:sz w:val="28"/>
          <w:szCs w:val="28"/>
          <w:rtl w:val="true"/>
          <w:lang w:bidi="fa-IR"/>
        </w:rPr>
        <w:t>اگر نزاع كردند در اين كه عفو از قصاص بر مالى با تراضى محقق شده، يا عفو از قصاص بدون شرط، قصاص ثابت و ديه غير ثابت است پس قول جانى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نزاع در اين بود كه عفو واقع، مطلق بوده يا مشروط، و رضاى جانى بر ديه نبوده، در ثبوت عفو از قصاص تأمل است و ديه هم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مقطوع شدن انگشت عفو كردم از جنايت، پس از آن سرايت به كف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در انگشت ساقط مى شود؛ و آيا متعين است براى او ديۀ كف به استثناى آن چه براى يك انگشت است يا باقى است قصاص در كف با اداى ديۀ يك انگشت يا باقى است قصاص در بقيۀ انگشت ها با حكومت در كف‌؟ وجوهى است، احتياط در توافق بر اول است، و احتمال ثبوت يكى از دو وجه اخير به نحو تعيين يا تخيير،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سرايت كرد جنايت بر 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متعقب به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مجنى عليه، قصاص نفس بعد از اداى ديۀ اصبع جانى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تصريح كرد به عفو از جنايت و سرايت آن، بين آن دو، قصاص عضو منتفى است، و اظهر عدم تأثير عفو است در نفى قصاص براى ولىّ‌</w:t>
      </w:r>
      <w:r>
        <w:rPr>
          <w:rFonts w:eastAsia="IRNazanin" w:cs="IRNazanin"/>
          <w:color w:val="111111"/>
          <w:sz w:val="28"/>
          <w:szCs w:val="28"/>
          <w:rtl w:val="true"/>
          <w:lang w:bidi="fa-IR"/>
        </w:rPr>
        <w:t>.</w:t>
      </w:r>
    </w:p>
    <w:p>
      <w:pPr>
        <w:pStyle w:val="Heading6"/>
        <w:numPr>
          <w:ilvl w:val="5"/>
          <w:numId w:val="1"/>
        </w:numPr>
        <w:rPr/>
      </w:pPr>
      <w:bookmarkStart w:id="2968" w:name="__RefHeading___Toc3973503_1067777946"/>
      <w:bookmarkStart w:id="2969" w:name="_Toc1259"/>
      <w:bookmarkEnd w:id="2968"/>
      <w:r>
        <w:rPr>
          <w:rtl w:val="true"/>
        </w:rPr>
        <w:t>فرعى در جنايت عبد بر حرّ</w:t>
      </w:r>
      <w:bookmarkEnd w:id="2969"/>
    </w:p>
    <w:p>
      <w:pPr>
        <w:pStyle w:val="Heading6"/>
        <w:numPr>
          <w:ilvl w:val="5"/>
          <w:numId w:val="1"/>
        </w:numPr>
        <w:rPr/>
      </w:pPr>
      <w:bookmarkStart w:id="2970" w:name="__RefHeading___Toc3973505_1067777946"/>
      <w:bookmarkStart w:id="2971" w:name="_Toc1260"/>
      <w:bookmarkEnd w:id="2970"/>
      <w:r>
        <w:rPr>
          <w:rtl w:val="true"/>
        </w:rPr>
        <w:t>اشاره</w:t>
      </w:r>
      <w:bookmarkEnd w:id="29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جنايت كرد عبدى بر حرّى، به نحوى كه متعلق شد به رقبۀ عبد، استحقاق مجنى عليه قصاص او يا استرقاق او را يا خصوص استرقاق او را به تمام يا بعض، پس ابراء كرد عبد را؛ پس چون به حسب قراين، استفادۀ اسقاط حق اقتصاص و استرقاق بر مالك است، مانعى ندارد، و به منزلۀ عفو از قصاص يا استرقاق است كسى را كه</w:t>
      </w:r>
      <w:bookmarkStart w:id="2972" w:name="pg10275_96997"/>
    </w:p>
    <w:p>
      <w:pPr>
        <w:pStyle w:val="BookText"/>
        <w:rPr/>
      </w:pPr>
      <w:bookmarkEnd w:id="2972"/>
      <w:r>
        <w:rPr>
          <w:rFonts w:ascii="IRNazanin" w:hAnsi="IRNazanin" w:eastAsia="IRNazanin"/>
          <w:color w:val="111111"/>
          <w:sz w:val="28"/>
          <w:sz w:val="28"/>
          <w:szCs w:val="28"/>
          <w:rtl w:val="true"/>
          <w:lang w:bidi="fa-IR"/>
        </w:rPr>
        <w:t xml:space="preserve">جنايت، موجب محدوديت سلطان او بود بر نفس مملوك در منع از قصاص و استرقاق؛ و عفو موجب، رجوع به ما قبل جنايت مى نمايد؛ و حمل بر ظهور غير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ساير موارد با قراين حاليه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ندارد</w:t>
      </w:r>
      <w:r>
        <w:rPr>
          <w:rFonts w:eastAsia="IRNazanin" w:cs="IRNazanin"/>
          <w:color w:val="111111"/>
          <w:sz w:val="28"/>
          <w:szCs w:val="28"/>
          <w:rtl w:val="true"/>
          <w:lang w:bidi="fa-IR"/>
        </w:rPr>
        <w:t>.</w:t>
      </w:r>
    </w:p>
    <w:p>
      <w:pPr>
        <w:pStyle w:val="Heading6"/>
        <w:numPr>
          <w:ilvl w:val="5"/>
          <w:numId w:val="1"/>
        </w:numPr>
        <w:rPr/>
      </w:pPr>
      <w:bookmarkStart w:id="2973" w:name="__RefHeading___Toc3973507_1067777946"/>
      <w:bookmarkStart w:id="2974" w:name="_Toc1261"/>
      <w:bookmarkEnd w:id="2973"/>
      <w:r>
        <w:rPr>
          <w:rtl w:val="true"/>
        </w:rPr>
        <w:t>ابراى مؤثّر و غير مؤثّر</w:t>
      </w:r>
      <w:bookmarkEnd w:id="2974"/>
    </w:p>
    <w:p>
      <w:pPr>
        <w:pStyle w:val="BookText"/>
        <w:rPr/>
      </w:pPr>
      <w:r>
        <w:rPr>
          <w:rFonts w:ascii="IRNazanin" w:hAnsi="IRNazanin" w:eastAsia="IRNazanin"/>
          <w:color w:val="111111"/>
          <w:sz w:val="28"/>
          <w:sz w:val="28"/>
          <w:szCs w:val="28"/>
          <w:rtl w:val="true"/>
          <w:lang w:bidi="fa-IR"/>
        </w:rPr>
        <w:t>و ابراى عاقله در شبيه عمد، يا ابراى قاتل در خطأ محض، بى اثر است؛ و ابراء از موجب جنايت، به نحوى كه اثر نداشته باشد، از هر كه به او تعلق خواهد پيدا كرد، مؤثر است و مسقط حق است كه ديه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و الصلاة علىٰ سيد أنبيائه و أوصيائه الأطهرين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المقام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بيد العبد محمّد تقي بن محمود عفى عنهما</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5" w:name="pg10275_96999"/>
      <w:bookmarkStart w:id="2976" w:name="pg10275_96999"/>
      <w:bookmarkEnd w:id="2976"/>
    </w:p>
    <w:p>
      <w:pPr>
        <w:pStyle w:val="Heading2"/>
        <w:numPr>
          <w:ilvl w:val="1"/>
          <w:numId w:val="1"/>
        </w:numPr>
        <w:rPr/>
      </w:pPr>
      <w:bookmarkStart w:id="2977" w:name="pg10275_96999"/>
      <w:bookmarkStart w:id="2978" w:name="__RefHeading___Toc3973509_1067777946"/>
      <w:bookmarkStart w:id="2979" w:name="_Toc1262"/>
      <w:bookmarkEnd w:id="2977"/>
      <w:bookmarkEnd w:id="2978"/>
      <w:r>
        <w:rPr>
          <w:rtl w:val="true"/>
        </w:rPr>
        <w:t>كتاب ديات</w:t>
      </w:r>
      <w:bookmarkEnd w:id="2979"/>
    </w:p>
    <w:p>
      <w:pPr>
        <w:pStyle w:val="Heading3"/>
        <w:numPr>
          <w:ilvl w:val="2"/>
          <w:numId w:val="1"/>
        </w:numPr>
        <w:rPr/>
      </w:pPr>
      <w:bookmarkStart w:id="2980" w:name="__RefHeading___Toc3973511_1067777946"/>
      <w:bookmarkStart w:id="2981" w:name="_Toc1263"/>
      <w:bookmarkEnd w:id="2980"/>
      <w:r>
        <w:rPr>
          <w:rtl w:val="true"/>
        </w:rPr>
        <w:t>اشاره</w:t>
      </w:r>
      <w:bookmarkEnd w:id="2981"/>
    </w:p>
    <w:p>
      <w:pPr>
        <w:pStyle w:val="BookText"/>
        <w:rPr/>
      </w:pPr>
      <w:r>
        <w:rPr>
          <w:rFonts w:ascii="Amiri" w:hAnsi="Amiri" w:eastAsia="Amiri" w:cs="Amiri"/>
          <w:color w:val="111111"/>
          <w:sz w:val="28"/>
          <w:sz w:val="28"/>
          <w:szCs w:val="28"/>
          <w:rtl w:val="true"/>
          <w:lang w:bidi="ar-SA"/>
        </w:rPr>
        <w:t>اقسام قتل و مقدار ديه</w:t>
      </w:r>
    </w:p>
    <w:p>
      <w:pPr>
        <w:pStyle w:val="BookText"/>
        <w:rPr/>
      </w:pPr>
      <w:r>
        <w:rPr>
          <w:rFonts w:ascii="IRNazanin" w:hAnsi="IRNazanin" w:eastAsia="IRNazanin"/>
          <w:color w:val="111111"/>
          <w:sz w:val="28"/>
          <w:sz w:val="28"/>
          <w:szCs w:val="28"/>
          <w:rtl w:val="true"/>
          <w:lang w:bidi="fa-IR"/>
        </w:rPr>
        <w:t>موجبات ضمان</w:t>
      </w:r>
    </w:p>
    <w:p>
      <w:pPr>
        <w:pStyle w:val="BookText"/>
        <w:rPr/>
      </w:pPr>
      <w:r>
        <w:rPr>
          <w:rFonts w:ascii="IRNazanin" w:hAnsi="IRNazanin" w:eastAsia="IRNazanin"/>
          <w:color w:val="111111"/>
          <w:sz w:val="28"/>
          <w:sz w:val="28"/>
          <w:szCs w:val="28"/>
          <w:rtl w:val="true"/>
          <w:lang w:bidi="fa-IR"/>
        </w:rPr>
        <w:t>تزاحم موجبات ضمان</w:t>
      </w:r>
    </w:p>
    <w:p>
      <w:pPr>
        <w:pStyle w:val="BookText"/>
        <w:rPr/>
      </w:pPr>
      <w:r>
        <w:rPr>
          <w:rFonts w:ascii="Amiri" w:hAnsi="Amiri" w:eastAsia="Amiri" w:cs="Amiri"/>
          <w:color w:val="111111"/>
          <w:sz w:val="28"/>
          <w:sz w:val="28"/>
          <w:szCs w:val="28"/>
          <w:rtl w:val="true"/>
          <w:lang w:bidi="ar-SA"/>
        </w:rPr>
        <w:t>ديه جنايت بر اطراف</w:t>
      </w:r>
    </w:p>
    <w:p>
      <w:pPr>
        <w:pStyle w:val="BookText"/>
        <w:rPr/>
      </w:pPr>
      <w:r>
        <w:rPr>
          <w:rFonts w:ascii="Amiri" w:hAnsi="Amiri" w:eastAsia="Amiri" w:cs="Amiri"/>
          <w:color w:val="111111"/>
          <w:sz w:val="28"/>
          <w:sz w:val="28"/>
          <w:szCs w:val="28"/>
          <w:rtl w:val="true"/>
          <w:lang w:bidi="ar-SA"/>
        </w:rPr>
        <w:t>ديۀ جنين</w:t>
      </w:r>
    </w:p>
    <w:p>
      <w:pPr>
        <w:pStyle w:val="BookText"/>
        <w:rPr/>
      </w:pPr>
      <w:r>
        <w:rPr>
          <w:rFonts w:ascii="Amiri" w:hAnsi="Amiri" w:eastAsia="Amiri" w:cs="Amiri"/>
          <w:color w:val="111111"/>
          <w:sz w:val="28"/>
          <w:sz w:val="28"/>
          <w:szCs w:val="28"/>
          <w:rtl w:val="true"/>
          <w:lang w:bidi="ar-SA"/>
        </w:rPr>
        <w:t>ديۀ جنايت بر ميّت</w:t>
      </w:r>
    </w:p>
    <w:p>
      <w:pPr>
        <w:pStyle w:val="BookText"/>
        <w:rPr/>
      </w:pPr>
      <w:r>
        <w:rPr>
          <w:rFonts w:ascii="Amiri" w:hAnsi="Amiri" w:eastAsia="Amiri" w:cs="Amiri"/>
          <w:color w:val="111111"/>
          <w:sz w:val="28"/>
          <w:sz w:val="28"/>
          <w:szCs w:val="28"/>
          <w:rtl w:val="true"/>
          <w:lang w:bidi="ar-SA"/>
        </w:rPr>
        <w:t>ديۀ جنايت بر حيوان</w:t>
      </w:r>
    </w:p>
    <w:p>
      <w:pPr>
        <w:pStyle w:val="BookText"/>
        <w:rPr/>
      </w:pPr>
      <w:r>
        <w:rPr>
          <w:rFonts w:ascii="Amiri" w:hAnsi="Amiri" w:eastAsia="Amiri" w:cs="Amiri"/>
          <w:color w:val="111111"/>
          <w:sz w:val="28"/>
          <w:sz w:val="28"/>
          <w:szCs w:val="28"/>
          <w:rtl w:val="true"/>
          <w:lang w:bidi="ar-SA"/>
        </w:rPr>
        <w:t>كفارۀ قتل</w:t>
      </w:r>
    </w:p>
    <w:p>
      <w:pPr>
        <w:pStyle w:val="BookText"/>
        <w:rPr/>
      </w:pPr>
      <w:r>
        <w:rPr>
          <w:rFonts w:ascii="Amiri" w:hAnsi="Amiri" w:eastAsia="Amiri" w:cs="Amiri"/>
          <w:color w:val="111111"/>
          <w:sz w:val="28"/>
          <w:sz w:val="28"/>
          <w:szCs w:val="28"/>
          <w:rtl w:val="true"/>
          <w:lang w:bidi="ar-SA"/>
        </w:rPr>
        <w:t>تعيين عاقله و كيفيت توزيع</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ديه بر عاقله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2" w:name="pg10275_97001"/>
      <w:bookmarkStart w:id="2983" w:name="pg10275_97001"/>
      <w:bookmarkEnd w:id="2983"/>
    </w:p>
    <w:p>
      <w:pPr>
        <w:pStyle w:val="Heading3"/>
        <w:numPr>
          <w:ilvl w:val="2"/>
          <w:numId w:val="1"/>
        </w:numPr>
        <w:rPr/>
      </w:pPr>
      <w:bookmarkStart w:id="2984" w:name="pg10275_97001"/>
      <w:bookmarkStart w:id="2985" w:name="__RefHeading___Toc3973513_1067777946"/>
      <w:bookmarkStart w:id="2986" w:name="_Toc1264"/>
      <w:bookmarkEnd w:id="2984"/>
      <w:bookmarkEnd w:id="2985"/>
      <w:r>
        <w:rPr>
          <w:rtl w:val="true"/>
        </w:rPr>
        <w:t>فصل اول اقسام قتل و مقدار ديه</w:t>
      </w:r>
      <w:bookmarkEnd w:id="2986"/>
    </w:p>
    <w:p>
      <w:pPr>
        <w:pStyle w:val="Heading4"/>
        <w:numPr>
          <w:ilvl w:val="3"/>
          <w:numId w:val="1"/>
        </w:numPr>
        <w:rPr/>
      </w:pPr>
      <w:bookmarkStart w:id="2987" w:name="__RefHeading___Toc3973515_1067777946"/>
      <w:bookmarkStart w:id="2988" w:name="_Toc1265"/>
      <w:bookmarkEnd w:id="2987"/>
      <w:r>
        <w:rPr>
          <w:rtl w:val="true"/>
        </w:rPr>
        <w:t>اشاره</w:t>
      </w:r>
      <w:bookmarkEnd w:id="29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سيّد أنبيائه محمّد و آله الطيّبين</w:t>
      </w:r>
    </w:p>
    <w:p>
      <w:pPr>
        <w:pStyle w:val="BookText"/>
        <w:rPr/>
      </w:pPr>
      <w:r>
        <w:rPr>
          <w:rFonts w:ascii="Amiri" w:hAnsi="Amiri" w:eastAsia="Amiri" w:cs="Amiri"/>
          <w:color w:val="111111"/>
          <w:sz w:val="28"/>
          <w:sz w:val="28"/>
          <w:szCs w:val="28"/>
          <w:rtl w:val="true"/>
          <w:lang w:bidi="ar-SA"/>
        </w:rPr>
        <w:t>و اللعن الدائم علىٰ أعدائهم أجمعين</w:t>
      </w:r>
      <w:r>
        <w:rPr>
          <w:rFonts w:eastAsia="Amiri" w:cs="Amiri" w:ascii="Amiri" w:hAnsi="Amiri"/>
          <w:color w:val="111111"/>
          <w:sz w:val="28"/>
          <w:szCs w:val="28"/>
          <w:rtl w:val="true"/>
          <w:lang w:bidi="ar-SA"/>
        </w:rPr>
        <w:t>.</w:t>
      </w:r>
    </w:p>
    <w:p>
      <w:pPr>
        <w:pStyle w:val="Heading4"/>
        <w:numPr>
          <w:ilvl w:val="3"/>
          <w:numId w:val="1"/>
        </w:numPr>
        <w:rPr/>
      </w:pPr>
      <w:bookmarkStart w:id="2989" w:name="__RefHeading___Toc3973517_1067777946"/>
      <w:bookmarkStart w:id="2990" w:name="_Toc1266"/>
      <w:bookmarkEnd w:id="2989"/>
      <w:r>
        <w:rPr>
          <w:rtl w:val="true"/>
        </w:rPr>
        <w:t>مراد از ديه</w:t>
      </w:r>
      <w:bookmarkEnd w:id="2990"/>
    </w:p>
    <w:p>
      <w:pPr>
        <w:pStyle w:val="BookText"/>
        <w:rPr/>
      </w:pPr>
      <w:r>
        <w:rPr>
          <w:rFonts w:ascii="Amiri" w:hAnsi="Amiri" w:eastAsia="Amiri" w:cs="Amiri"/>
          <w:color w:val="111111"/>
          <w:sz w:val="28"/>
          <w:sz w:val="28"/>
          <w:szCs w:val="28"/>
          <w:rtl w:val="true"/>
          <w:lang w:bidi="ar-SA"/>
        </w:rPr>
        <w:t xml:space="preserve">ديه مالى است كه لازم مى شود به سبب جنايت بر حرّ، در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جنايت بر اطراف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مقدر باشد شرعاً يا غير مقدر مثل موارد ثبوت ارش و حكومت؛ و ناميده مى شود ديه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كلام در چهار مطلب است</w:t>
      </w:r>
      <w:r>
        <w:rPr>
          <w:rFonts w:eastAsia="IRNazanin" w:cs="IRNazanin"/>
          <w:color w:val="111111"/>
          <w:sz w:val="28"/>
          <w:szCs w:val="28"/>
          <w:rtl w:val="true"/>
          <w:lang w:bidi="fa-IR"/>
        </w:rPr>
        <w:t>:</w:t>
      </w:r>
    </w:p>
    <w:p>
      <w:pPr>
        <w:pStyle w:val="Heading4"/>
        <w:numPr>
          <w:ilvl w:val="3"/>
          <w:numId w:val="1"/>
        </w:numPr>
        <w:rPr/>
      </w:pPr>
      <w:bookmarkStart w:id="2991" w:name="__RefHeading___Toc3973519_1067777946"/>
      <w:bookmarkStart w:id="2992" w:name="_Toc1267"/>
      <w:bookmarkEnd w:id="2991"/>
      <w:r>
        <w:rPr/>
        <w:t>1</w:t>
      </w:r>
      <w:r>
        <w:rPr>
          <w:rtl w:val="true"/>
        </w:rPr>
        <w:t xml:space="preserve">. </w:t>
      </w:r>
      <w:r>
        <w:rPr>
          <w:rtl w:val="true"/>
        </w:rPr>
        <w:t>اقسام قتل</w:t>
      </w:r>
      <w:bookmarkEnd w:id="299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جنايت به قتل يا غير آن،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آن قصد در فعل و قتل محفوظ است، يا غير عمدى؛ و آن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مثل زدن با عصا به قصد تأديب كه قاصد فعل است و قاصد قتل نيست و سبب هم قاتل غالبى نيست كه قصد آن ملازم قصد قتل باشد،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نه قاصد فعل است و نه قاصد قتل، مثل آن كه طايرى را رمى نمايد و بر انسان واقع شود و مقتول شود، كه نه قاصد رمى انسان و نه قاصد قتل او است و خطأ در اصل فعل و در قتل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ملحق به اين قسم است در شرع، تعمد طفل يا مجنون؛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شبيه عمد است قصد فعل و قتل با احراز </w:t>
      </w:r>
      <w:bookmarkStart w:id="2993" w:name="pg10275_97002"/>
    </w:p>
    <w:p>
      <w:pPr>
        <w:pStyle w:val="BookText"/>
        <w:rPr/>
      </w:pPr>
      <w:bookmarkEnd w:id="2993"/>
      <w:r>
        <w:rPr>
          <w:rFonts w:ascii="Amiri" w:hAnsi="Amiri" w:eastAsia="Amiri" w:cs="Amiri"/>
          <w:color w:val="111111"/>
          <w:sz w:val="28"/>
          <w:sz w:val="28"/>
          <w:szCs w:val="28"/>
          <w:rtl w:val="true"/>
          <w:lang w:bidi="ar-SA"/>
        </w:rPr>
        <w:t>استحقاق به سبب كفر يا قصاص و تبيّن عدم استحقاق، يا آن كه احراز صيد نمود معلوم شد انسان غير مستحق قتل بوده</w:t>
      </w:r>
      <w:r>
        <w:rPr>
          <w:rFonts w:eastAsia="Amiri" w:cs="Amiri" w:ascii="Amiri" w:hAnsi="Amiri"/>
          <w:color w:val="111111"/>
          <w:sz w:val="28"/>
          <w:szCs w:val="28"/>
          <w:rtl w:val="true"/>
          <w:lang w:bidi="ar-SA"/>
        </w:rPr>
        <w:t>.</w:t>
      </w:r>
    </w:p>
    <w:p>
      <w:pPr>
        <w:pStyle w:val="Heading4"/>
        <w:numPr>
          <w:ilvl w:val="3"/>
          <w:numId w:val="1"/>
        </w:numPr>
        <w:rPr/>
      </w:pPr>
      <w:bookmarkStart w:id="2994" w:name="__RefHeading___Toc3973521_1067777946"/>
      <w:bookmarkStart w:id="2995" w:name="_Toc1268"/>
      <w:bookmarkEnd w:id="2994"/>
      <w:r>
        <w:rPr/>
        <w:t>2</w:t>
      </w:r>
      <w:r>
        <w:rPr>
          <w:rtl w:val="true"/>
        </w:rPr>
        <w:t xml:space="preserve">. </w:t>
      </w:r>
      <w:r>
        <w:rPr>
          <w:rtl w:val="true"/>
        </w:rPr>
        <w:t>اقسام ديه</w:t>
      </w:r>
      <w:bookmarkEnd w:id="2995"/>
    </w:p>
    <w:p>
      <w:pPr>
        <w:pStyle w:val="Heading5"/>
        <w:numPr>
          <w:ilvl w:val="4"/>
          <w:numId w:val="1"/>
        </w:numPr>
        <w:rPr/>
      </w:pPr>
      <w:bookmarkStart w:id="2996" w:name="__RefHeading___Toc3973523_1067777946"/>
      <w:bookmarkStart w:id="2997" w:name="_Toc1269"/>
      <w:bookmarkEnd w:id="2996"/>
      <w:r>
        <w:rPr>
          <w:rtl w:val="true"/>
        </w:rPr>
        <w:t>الف</w:t>
      </w:r>
      <w:r>
        <w:rPr>
          <w:rtl w:val="true"/>
        </w:rPr>
        <w:t xml:space="preserve">. </w:t>
      </w:r>
      <w:r>
        <w:rPr>
          <w:rtl w:val="true"/>
        </w:rPr>
        <w:t>ديۀ قتل عمدى</w:t>
      </w:r>
      <w:bookmarkEnd w:id="2997"/>
    </w:p>
    <w:p>
      <w:pPr>
        <w:pStyle w:val="Heading6"/>
        <w:numPr>
          <w:ilvl w:val="5"/>
          <w:numId w:val="1"/>
        </w:numPr>
        <w:rPr/>
      </w:pPr>
      <w:bookmarkStart w:id="2998" w:name="__RefHeading___Toc3973525_1067777946"/>
      <w:bookmarkStart w:id="2999" w:name="_Toc1270"/>
      <w:bookmarkEnd w:id="2998"/>
      <w:r>
        <w:rPr>
          <w:rtl w:val="true"/>
        </w:rPr>
        <w:t>اشاره</w:t>
      </w:r>
      <w:bookmarkEnd w:id="2999"/>
    </w:p>
    <w:p>
      <w:pPr>
        <w:pStyle w:val="BookText"/>
        <w:rPr/>
      </w:pPr>
      <w:r>
        <w:rPr>
          <w:rFonts w:ascii="IRNazanin" w:hAnsi="IRNazanin" w:eastAsia="IRNazanin"/>
          <w:color w:val="111111"/>
          <w:sz w:val="28"/>
          <w:sz w:val="28"/>
          <w:szCs w:val="28"/>
          <w:rtl w:val="true"/>
          <w:lang w:bidi="fa-IR"/>
        </w:rPr>
        <w:t>ديه قتل عمدى كه با تراضى ثابت است يكى از شش چيز است به نحو تخيير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شتر كه مسنّه باشند يعنى داخل در سال ششم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فحولت در شترها افضل بلكه احوط است اگر چه اظهر عدم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دويست گاو چه نر باشند يا ماده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كه دو جامۀ ردا و ازار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اين است كه از بُردهاى يمانى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هزار دينار كه عبارت است هر دينارى از يك مثقال شرعى از طلاى مسكوك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اكتفاى به يك مثقال از غير مسكوك بنا بر عدم اجزاى دفع قيمت، تأمل است، اظهر در تقدير مذكور عدم اجزا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 هزار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ده درهم متقوّم بوده در زمان تشريع اين حكم در اسلام به يك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هزار گوسفند چه نر باشند يا ماده</w:t>
      </w:r>
      <w:r>
        <w:rPr>
          <w:rFonts w:eastAsia="IRNazanin" w:cs="IRNazanin"/>
          <w:color w:val="111111"/>
          <w:sz w:val="28"/>
          <w:szCs w:val="28"/>
          <w:rtl w:val="true"/>
          <w:lang w:bidi="fa-IR"/>
        </w:rPr>
        <w:t>.</w:t>
      </w:r>
    </w:p>
    <w:p>
      <w:pPr>
        <w:pStyle w:val="Heading6"/>
        <w:numPr>
          <w:ilvl w:val="5"/>
          <w:numId w:val="1"/>
        </w:numPr>
        <w:rPr/>
      </w:pPr>
      <w:bookmarkStart w:id="3000" w:name="__RefHeading___Toc3973527_1067777946"/>
      <w:bookmarkStart w:id="3001" w:name="_Toc1271"/>
      <w:bookmarkEnd w:id="3000"/>
      <w:r>
        <w:rPr>
          <w:rtl w:val="true"/>
        </w:rPr>
        <w:t>اختيار تعيين با قاتل است</w:t>
      </w:r>
      <w:bookmarkEnd w:id="3001"/>
    </w:p>
    <w:p>
      <w:pPr>
        <w:pStyle w:val="BookText"/>
        <w:rPr/>
      </w:pPr>
      <w:r>
        <w:rPr>
          <w:rFonts w:ascii="IRNazanin" w:hAnsi="IRNazanin" w:eastAsia="IRNazanin"/>
          <w:color w:val="111111"/>
          <w:sz w:val="28"/>
          <w:sz w:val="28"/>
          <w:szCs w:val="28"/>
          <w:rtl w:val="true"/>
          <w:lang w:bidi="fa-IR"/>
        </w:rPr>
        <w:t>و بر تقدير تصالح و توافق بر ديه، اختيار تعيين آن از بين شش نوع، بر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مقتول حق امتناع ندارد اگر چه قاتل از نوع مال خصوص مبذول نباشد</w:t>
      </w:r>
      <w:r>
        <w:rPr>
          <w:rFonts w:eastAsia="IRNazanin" w:cs="IRNazanin"/>
          <w:color w:val="111111"/>
          <w:sz w:val="28"/>
          <w:szCs w:val="28"/>
          <w:rtl w:val="true"/>
          <w:lang w:bidi="fa-IR"/>
        </w:rPr>
        <w:t>.</w:t>
      </w:r>
    </w:p>
    <w:p>
      <w:pPr>
        <w:pStyle w:val="Heading6"/>
        <w:numPr>
          <w:ilvl w:val="5"/>
          <w:numId w:val="1"/>
        </w:numPr>
        <w:rPr/>
      </w:pPr>
      <w:bookmarkStart w:id="3002" w:name="__RefHeading___Toc3973529_1067777946"/>
      <w:bookmarkStart w:id="3003" w:name="_Toc1272"/>
      <w:bookmarkEnd w:id="3002"/>
      <w:r>
        <w:rPr>
          <w:rtl w:val="true"/>
        </w:rPr>
        <w:t>ديۀ عمد از مال جانى است و در يك سال وصول مى شود</w:t>
      </w:r>
      <w:bookmarkEnd w:id="300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ديه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تراضى ثابت است يا در مواردى كه قود متعين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مال جانى است نه از بيت المال و نه بر عاقله؛ و در يك سال وصول مى شود، يعنى تأخير را جانى استحقاق ندارد و تقديم را ولىّ استحقاق ندارد بنا بر اظهر</w:t>
      </w:r>
      <w:r>
        <w:rPr>
          <w:rFonts w:eastAsia="Amiri" w:cs="Amiri" w:ascii="Amiri" w:hAnsi="Amiri"/>
          <w:color w:val="111111"/>
          <w:sz w:val="28"/>
          <w:szCs w:val="28"/>
          <w:rtl w:val="true"/>
          <w:lang w:bidi="ar-SA"/>
        </w:rPr>
        <w:t xml:space="preserve">. </w:t>
      </w:r>
      <w:bookmarkStart w:id="3004" w:name="pg10275_97003"/>
    </w:p>
    <w:p>
      <w:pPr>
        <w:pStyle w:val="Heading6"/>
        <w:numPr>
          <w:ilvl w:val="5"/>
          <w:numId w:val="1"/>
        </w:numPr>
        <w:rPr/>
      </w:pPr>
      <w:bookmarkStart w:id="3005" w:name="__RefHeading___Toc3973531_1067777946"/>
      <w:bookmarkStart w:id="3006" w:name="_Toc1273"/>
      <w:bookmarkEnd w:id="3004"/>
      <w:bookmarkEnd w:id="3005"/>
      <w:r>
        <w:rPr>
          <w:rtl w:val="true"/>
        </w:rPr>
        <w:t>مبدء سال اخذ ديه</w:t>
      </w:r>
      <w:bookmarkEnd w:id="3006"/>
    </w:p>
    <w:p>
      <w:pPr>
        <w:pStyle w:val="BookText"/>
        <w:rPr/>
      </w:pPr>
      <w:r>
        <w:rPr>
          <w:rFonts w:ascii="IRNazanin" w:hAnsi="IRNazanin" w:eastAsia="IRNazanin"/>
          <w:color w:val="111111"/>
          <w:sz w:val="28"/>
          <w:sz w:val="28"/>
          <w:szCs w:val="28"/>
          <w:rtl w:val="true"/>
          <w:lang w:bidi="fa-IR"/>
        </w:rPr>
        <w:t>در مواردى كه با صلح و تراضى ديه ثابت مى شود، مبدء سال از حين تراضى به آن است نه از حين جنايت، به خلاف آن كه اگر ثابت ابتدايى ديه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صلح ثابت شد و در صلح خصوصيت جايزه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متبع است چه در اصل باشد چه در مقدار يا غير اينها</w:t>
      </w:r>
      <w:r>
        <w:rPr>
          <w:rFonts w:eastAsia="IRNazanin" w:cs="IRNazanin"/>
          <w:color w:val="111111"/>
          <w:sz w:val="28"/>
          <w:szCs w:val="28"/>
          <w:rtl w:val="true"/>
          <w:lang w:bidi="fa-IR"/>
        </w:rPr>
        <w:t>.</w:t>
      </w:r>
    </w:p>
    <w:p>
      <w:pPr>
        <w:pStyle w:val="Heading6"/>
        <w:numPr>
          <w:ilvl w:val="5"/>
          <w:numId w:val="1"/>
        </w:numPr>
        <w:rPr/>
      </w:pPr>
      <w:bookmarkStart w:id="3007" w:name="__RefHeading___Toc3973533_1067777946"/>
      <w:bookmarkStart w:id="3008" w:name="_Toc1274"/>
      <w:bookmarkEnd w:id="3007"/>
      <w:r>
        <w:rPr>
          <w:rtl w:val="true"/>
        </w:rPr>
        <w:t>تغليظ ديۀ عمد</w:t>
      </w:r>
      <w:bookmarkEnd w:id="3008"/>
    </w:p>
    <w:p>
      <w:pPr>
        <w:pStyle w:val="BookText"/>
        <w:rPr/>
      </w:pPr>
      <w:r>
        <w:rPr>
          <w:rFonts w:ascii="IRNazanin" w:hAnsi="IRNazanin" w:eastAsia="IRNazanin"/>
          <w:color w:val="111111"/>
          <w:sz w:val="28"/>
          <w:sz w:val="28"/>
          <w:szCs w:val="28"/>
          <w:rtl w:val="true"/>
          <w:lang w:bidi="fa-IR"/>
        </w:rPr>
        <w:t>ديه عمد نسبت بغير عمد تغليظ مى شود به آن چه گذشت در سنّ شتر و در وقت استيفا</w:t>
      </w:r>
      <w:r>
        <w:rPr>
          <w:rFonts w:eastAsia="IRNazanin" w:cs="IRNazanin"/>
          <w:color w:val="111111"/>
          <w:sz w:val="28"/>
          <w:szCs w:val="28"/>
          <w:rtl w:val="true"/>
          <w:lang w:bidi="fa-IR"/>
        </w:rPr>
        <w:t>.</w:t>
      </w:r>
    </w:p>
    <w:p>
      <w:pPr>
        <w:pStyle w:val="Heading6"/>
        <w:numPr>
          <w:ilvl w:val="5"/>
          <w:numId w:val="1"/>
        </w:numPr>
        <w:rPr/>
      </w:pPr>
      <w:bookmarkStart w:id="3009" w:name="__RefHeading___Toc3973535_1067777946"/>
      <w:bookmarkStart w:id="3010" w:name="_Toc1275"/>
      <w:bookmarkEnd w:id="3009"/>
      <w:r>
        <w:rPr>
          <w:rtl w:val="true"/>
        </w:rPr>
        <w:t>اناطۀ اكتفاى به بذل قيمت سوقيه به تراضى</w:t>
      </w:r>
      <w:bookmarkEnd w:id="3010"/>
    </w:p>
    <w:p>
      <w:pPr>
        <w:pStyle w:val="BookText"/>
        <w:rPr/>
      </w:pPr>
      <w:r>
        <w:rPr>
          <w:rFonts w:ascii="IRNazanin" w:hAnsi="IRNazanin" w:eastAsia="IRNazanin"/>
          <w:color w:val="111111"/>
          <w:sz w:val="28"/>
          <w:sz w:val="28"/>
          <w:szCs w:val="28"/>
          <w:rtl w:val="true"/>
          <w:lang w:bidi="fa-IR"/>
        </w:rPr>
        <w:t>و در تراضى و صلح مطلق نمى تواند اكتفا به بذل قيمت سوقيه نمايد مگر با تراضى جديد، پس واجب نيست قبول بر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مطالبه ولىّ‌، واجب نيست اداى بر قاتل باذل عين، هر كدام از اعيانى كه طرف تخيير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متمكن از غير چيزى كه در ماليت با امور ششگانه موافق است نباشد، اظهر اين است كه مى تواند ادا نمايد، و آن كه بر ولىّ واجب است قبول، بعد از مصالحه مطلقه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تلفيق از اصول ششگانه حكم قيمت سوقيه است بنا بر اظهر</w:t>
      </w:r>
      <w:r>
        <w:rPr>
          <w:rFonts w:eastAsia="IRNazanin" w:cs="IRNazanin"/>
          <w:color w:val="111111"/>
          <w:sz w:val="28"/>
          <w:szCs w:val="28"/>
          <w:rtl w:val="true"/>
          <w:lang w:bidi="fa-IR"/>
        </w:rPr>
        <w:t>.</w:t>
      </w:r>
    </w:p>
    <w:p>
      <w:pPr>
        <w:pStyle w:val="Heading5"/>
        <w:numPr>
          <w:ilvl w:val="4"/>
          <w:numId w:val="1"/>
        </w:numPr>
        <w:rPr/>
      </w:pPr>
      <w:bookmarkStart w:id="3011" w:name="__RefHeading___Toc3973537_1067777946"/>
      <w:bookmarkStart w:id="3012" w:name="_Toc1276"/>
      <w:bookmarkEnd w:id="3011"/>
      <w:r>
        <w:rPr>
          <w:rtl w:val="true"/>
        </w:rPr>
        <w:t>ب</w:t>
      </w:r>
      <w:r>
        <w:rPr>
          <w:rtl w:val="true"/>
        </w:rPr>
        <w:t xml:space="preserve">. </w:t>
      </w:r>
      <w:r>
        <w:rPr>
          <w:rtl w:val="true"/>
        </w:rPr>
        <w:t>ديۀ شبيه به عمد</w:t>
      </w:r>
      <w:bookmarkEnd w:id="3012"/>
    </w:p>
    <w:p>
      <w:pPr>
        <w:pStyle w:val="Heading6"/>
        <w:numPr>
          <w:ilvl w:val="5"/>
          <w:numId w:val="1"/>
        </w:numPr>
        <w:rPr/>
      </w:pPr>
      <w:bookmarkStart w:id="3013" w:name="__RefHeading___Toc3973539_1067777946"/>
      <w:bookmarkStart w:id="3014" w:name="_Toc1277"/>
      <w:bookmarkEnd w:id="3013"/>
      <w:r>
        <w:rPr>
          <w:rtl w:val="true"/>
        </w:rPr>
        <w:t>اشاره</w:t>
      </w:r>
      <w:bookmarkEnd w:id="301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ديه شبيه عمد صد 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تفصيل آن دو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صحيحۀ عبد الله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روايت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طروقۀ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به تخيير بين اين دو تفصيل، خالى از وجه نيست، لكن تعين اول احوط است</w:t>
      </w:r>
      <w:r>
        <w:rPr>
          <w:rFonts w:eastAsia="Amiri" w:cs="Amiri" w:ascii="Amiri" w:hAnsi="Amiri"/>
          <w:color w:val="111111"/>
          <w:sz w:val="28"/>
          <w:szCs w:val="28"/>
          <w:rtl w:val="true"/>
          <w:lang w:bidi="ar-SA"/>
        </w:rPr>
        <w:t xml:space="preserve">. </w:t>
      </w:r>
      <w:bookmarkStart w:id="3015" w:name="pg10275_97004"/>
    </w:p>
    <w:p>
      <w:pPr>
        <w:pStyle w:val="Heading6"/>
        <w:numPr>
          <w:ilvl w:val="5"/>
          <w:numId w:val="1"/>
        </w:numPr>
        <w:rPr/>
      </w:pPr>
      <w:bookmarkStart w:id="3016" w:name="__RefHeading___Toc3973541_1067777946"/>
      <w:bookmarkStart w:id="3017" w:name="_Toc1278"/>
      <w:bookmarkEnd w:id="3015"/>
      <w:bookmarkEnd w:id="3016"/>
      <w:r>
        <w:rPr>
          <w:rtl w:val="true"/>
        </w:rPr>
        <w:t>اگر جانى ديۀ شبيه به عمد را نداشته باشد</w:t>
      </w:r>
      <w:bookmarkEnd w:id="3017"/>
    </w:p>
    <w:p>
      <w:pPr>
        <w:pStyle w:val="BookText"/>
        <w:rPr/>
      </w:pPr>
      <w:r>
        <w:rPr>
          <w:rFonts w:ascii="IRNazanin" w:hAnsi="IRNazanin" w:eastAsia="IRNazanin"/>
          <w:color w:val="111111"/>
          <w:sz w:val="28"/>
          <w:sz w:val="28"/>
          <w:szCs w:val="28"/>
          <w:rtl w:val="true"/>
          <w:lang w:bidi="fa-IR"/>
        </w:rPr>
        <w:t>و اين ديه بر 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نداشته باشد استسعاء مى شود؛ و اگر ممكن نباشد يا وفات كند و راهى براى بذل آن از اقارب يا ساير مسلمين نباشد از بيت المال ادا مى شود در صورتى كه بر بيت المال اداى ديون غير مقدوره مسلمين باشد</w:t>
      </w:r>
      <w:r>
        <w:rPr>
          <w:rFonts w:eastAsia="IRNazanin" w:cs="IRNazanin"/>
          <w:color w:val="111111"/>
          <w:sz w:val="28"/>
          <w:szCs w:val="28"/>
          <w:rtl w:val="true"/>
          <w:lang w:bidi="fa-IR"/>
        </w:rPr>
        <w:t>.</w:t>
      </w:r>
    </w:p>
    <w:p>
      <w:pPr>
        <w:pStyle w:val="Heading6"/>
        <w:numPr>
          <w:ilvl w:val="5"/>
          <w:numId w:val="1"/>
        </w:numPr>
        <w:rPr/>
      </w:pPr>
      <w:bookmarkStart w:id="3018" w:name="__RefHeading___Toc3973543_1067777946"/>
      <w:bookmarkStart w:id="3019" w:name="_Toc1279"/>
      <w:bookmarkEnd w:id="3018"/>
      <w:r>
        <w:rPr>
          <w:rtl w:val="true"/>
        </w:rPr>
        <w:t>زمان اداى ديه در شبه عمد</w:t>
      </w:r>
      <w:bookmarkEnd w:id="3019"/>
    </w:p>
    <w:p>
      <w:pPr>
        <w:pStyle w:val="BookText"/>
        <w:rPr/>
      </w:pPr>
      <w:r>
        <w:rPr>
          <w:rFonts w:ascii="Amiri" w:hAnsi="Amiri" w:eastAsia="Amiri" w:cs="Amiri"/>
          <w:color w:val="111111"/>
          <w:sz w:val="28"/>
          <w:sz w:val="28"/>
          <w:szCs w:val="28"/>
          <w:rtl w:val="true"/>
          <w:lang w:bidi="ar-SA"/>
        </w:rPr>
        <w:t xml:space="preserve">اداى ديه در شبه عمد محدود است در طرف اقل به يك سال و در طرف اكثر به سه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استحقاق استيفا در كمتر از يك سال نيست و در بيش از سه، استحقاق تأخير و تأجيل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ما بين يك و سه احوط توافق قاتل و ولىّ است</w:t>
      </w:r>
      <w:r>
        <w:rPr>
          <w:rFonts w:eastAsia="Amiri" w:cs="Amiri" w:ascii="Amiri" w:hAnsi="Amiri"/>
          <w:color w:val="111111"/>
          <w:sz w:val="28"/>
          <w:szCs w:val="28"/>
          <w:rtl w:val="true"/>
          <w:lang w:bidi="ar-SA"/>
        </w:rPr>
        <w:t>.</w:t>
      </w:r>
    </w:p>
    <w:p>
      <w:pPr>
        <w:pStyle w:val="Heading6"/>
        <w:numPr>
          <w:ilvl w:val="5"/>
          <w:numId w:val="1"/>
        </w:numPr>
        <w:rPr/>
      </w:pPr>
      <w:bookmarkStart w:id="3020" w:name="__RefHeading___Toc3973545_1067777946"/>
      <w:bookmarkStart w:id="3021" w:name="_Toc1280"/>
      <w:bookmarkEnd w:id="3020"/>
      <w:r>
        <w:rPr>
          <w:rtl w:val="true"/>
        </w:rPr>
        <w:t>بعض فروع اختلاف</w:t>
      </w:r>
      <w:bookmarkEnd w:id="3021"/>
    </w:p>
    <w:p>
      <w:pPr>
        <w:pStyle w:val="BookText"/>
        <w:rPr/>
      </w:pPr>
      <w:r>
        <w:rPr>
          <w:rFonts w:ascii="IRNazanin" w:hAnsi="IRNazanin" w:eastAsia="IRNazanin"/>
          <w:color w:val="111111"/>
          <w:sz w:val="28"/>
          <w:sz w:val="28"/>
          <w:szCs w:val="28"/>
          <w:rtl w:val="true"/>
          <w:lang w:bidi="fa-IR"/>
        </w:rPr>
        <w:t>در اختلاف ولىّ و قاتل، در حامل بودن آن چه در ديه معتبر است حامل بودن آن از حيوان، مرجع اهل خبره و معرفت مى باشند با وثوق به قول ايشان، و احوط اعتبار تعدد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معلوم شد غلط در حساب، استدراك مناسب،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اسقاط كرد حيوان قبل از تسليم، ابدال مى شود؛ و بعد از تسليم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شد كه قبض مسبوق به حمل بوده يا نه پس اگر قبض با رجوع به اهل خبره بوده اظهر تقدم قول غريم است به اين كه ولادت نزد ولىّ بوده؛ وگرنه قول ولىّ موافق با اصالت عدم حمل است در صورت عدم معلوميت حمل، بلكه مطلقاً به واسطۀ اصالت عدم تسليم حق به اهل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فرقى در سنّ حيوان در غير شتر بين عمد و غير عمد نيست</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3973547_1067777946"/>
      <w:bookmarkStart w:id="3023" w:name="_Toc1281"/>
      <w:bookmarkEnd w:id="3022"/>
      <w:r>
        <w:rPr>
          <w:rtl w:val="true"/>
        </w:rPr>
        <w:t>ج</w:t>
      </w:r>
      <w:r>
        <w:rPr>
          <w:rtl w:val="true"/>
        </w:rPr>
        <w:t xml:space="preserve">. </w:t>
      </w:r>
      <w:r>
        <w:rPr>
          <w:rtl w:val="true"/>
        </w:rPr>
        <w:t>ديه خطأ محض</w:t>
      </w:r>
      <w:bookmarkEnd w:id="3023"/>
    </w:p>
    <w:p>
      <w:pPr>
        <w:pStyle w:val="Heading6"/>
        <w:numPr>
          <w:ilvl w:val="5"/>
          <w:numId w:val="1"/>
        </w:numPr>
        <w:rPr/>
      </w:pPr>
      <w:bookmarkStart w:id="3024" w:name="__RefHeading___Toc3973549_1067777946"/>
      <w:bookmarkStart w:id="3025" w:name="_Toc1282"/>
      <w:bookmarkEnd w:id="3024"/>
      <w:r>
        <w:rPr>
          <w:rtl w:val="true"/>
        </w:rPr>
        <w:t>اشاره</w:t>
      </w:r>
      <w:bookmarkEnd w:id="302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ديه خطأ محض عبارت است 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اظهر</w:t>
      </w:r>
      <w:r>
        <w:rPr>
          <w:rFonts w:eastAsia="Amiri" w:cs="Amiri" w:ascii="Amiri" w:hAnsi="Amiri"/>
          <w:color w:val="111111"/>
          <w:sz w:val="28"/>
          <w:szCs w:val="28"/>
          <w:rtl w:val="true"/>
          <w:lang w:bidi="ar-SA"/>
        </w:rPr>
        <w:t xml:space="preserve">. </w:t>
      </w:r>
      <w:bookmarkStart w:id="3026" w:name="pg10275_97005"/>
    </w:p>
    <w:p>
      <w:pPr>
        <w:pStyle w:val="Heading6"/>
        <w:numPr>
          <w:ilvl w:val="5"/>
          <w:numId w:val="1"/>
        </w:numPr>
        <w:rPr/>
      </w:pPr>
      <w:bookmarkStart w:id="3027" w:name="__RefHeading___Toc3973551_1067777946"/>
      <w:bookmarkStart w:id="3028" w:name="_Toc1283"/>
      <w:bookmarkEnd w:id="3026"/>
      <w:bookmarkEnd w:id="3027"/>
      <w:r>
        <w:rPr>
          <w:rtl w:val="true"/>
        </w:rPr>
        <w:t>زمان استيفاى ديه</w:t>
      </w:r>
      <w:bookmarkEnd w:id="3028"/>
    </w:p>
    <w:p>
      <w:pPr>
        <w:pStyle w:val="BookText"/>
        <w:rPr/>
      </w:pPr>
      <w:r>
        <w:rPr>
          <w:rFonts w:ascii="IRNazanin" w:hAnsi="IRNazanin" w:eastAsia="IRNazanin"/>
          <w:color w:val="111111"/>
          <w:sz w:val="28"/>
          <w:sz w:val="28"/>
          <w:szCs w:val="28"/>
          <w:rtl w:val="true"/>
          <w:lang w:bidi="fa-IR"/>
        </w:rPr>
        <w:t>مدت استيفاى تمام ديه سه سال است كه در هر سالى ثلث آن ادا مى شود، چه آن كه ديه كامل باشد يا ناقص مثل ديه زن، در نفس باشد يا در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تثليث به حساب ديۀ كامله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طرف اگر ثلث ديه است همه آن حالّ است در 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هر ديه تثليث مى شود؟ براى غريم احوط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تعدد جانى يا مجنىّ عليه، حلول مى نمايد در هر سالى ثلث مجموع ديه نسبت به كسانى كه بر آنها است ديه، و كسانى كه براى آنها است ديه؛ و هم چنين با تعدد جنايت حلول مى نمايد براى هر جنايتى ثلث ديه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مختلف باشد جنايتها از حيث عمد و خطا، براى هر كدام حلول در اصل آن ملاحظه مى شود، مثل آن كه آن ديگرى نبوده، و الحاق غير مقدّر به مقدّر در تأجيل به حسب عمد و خطا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جنايت بر عبد، اظهر لحوق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تأجيل و مقدار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جنايت بر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جنايت عبد، محتمل حلول آن است در آن چه متعلق به رقبۀ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ارادۀ مولى فداء را محتمل است تأجيل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ديه خطأ نسبت به ديه عمد و شبه عمد، مخفّف است در سنّ شتر و در صفت آن و در مدت استيفاى آن 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سنهاى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در كتاب زكات مذكور است</w:t>
      </w:r>
      <w:r>
        <w:rPr>
          <w:rFonts w:eastAsia="IRNazanin" w:cs="IRNazanin"/>
          <w:color w:val="111111"/>
          <w:sz w:val="28"/>
          <w:szCs w:val="28"/>
          <w:rtl w:val="true"/>
          <w:lang w:bidi="fa-IR"/>
        </w:rPr>
        <w:t>.</w:t>
      </w:r>
    </w:p>
    <w:p>
      <w:pPr>
        <w:pStyle w:val="Heading6"/>
        <w:numPr>
          <w:ilvl w:val="5"/>
          <w:numId w:val="1"/>
        </w:numPr>
        <w:rPr/>
      </w:pPr>
      <w:bookmarkStart w:id="3029" w:name="__RefHeading___Toc3973553_1067777946"/>
      <w:bookmarkStart w:id="3030" w:name="_Toc1284"/>
      <w:bookmarkEnd w:id="3029"/>
      <w:r>
        <w:rPr>
          <w:rtl w:val="true"/>
        </w:rPr>
        <w:t>ثبوت ديۀ خطاى محض بر عاقله</w:t>
      </w:r>
      <w:bookmarkEnd w:id="3030"/>
    </w:p>
    <w:p>
      <w:pPr>
        <w:pStyle w:val="BookText"/>
        <w:rPr/>
      </w:pPr>
      <w:r>
        <w:rPr>
          <w:rFonts w:ascii="IRNazanin" w:hAnsi="IRNazanin" w:eastAsia="IRNazanin"/>
          <w:color w:val="111111"/>
          <w:sz w:val="28"/>
          <w:sz w:val="28"/>
          <w:szCs w:val="28"/>
          <w:rtl w:val="true"/>
          <w:lang w:bidi="fa-IR"/>
        </w:rPr>
        <w:t>و ديه خطأ محض بر عاقله است نه بر جانى مگر آن كه نباشند يا فقير باشند به نحوى كه مذكور مى شود إنّ شاء اللّٰه</w:t>
      </w:r>
      <w:r>
        <w:rPr>
          <w:rFonts w:eastAsia="IRNazanin" w:cs="IRNazanin"/>
          <w:color w:val="111111"/>
          <w:sz w:val="28"/>
          <w:szCs w:val="28"/>
          <w:rtl w:val="true"/>
          <w:lang w:bidi="fa-IR"/>
        </w:rPr>
        <w:t>.</w:t>
      </w:r>
    </w:p>
    <w:p>
      <w:pPr>
        <w:pStyle w:val="Heading4"/>
        <w:numPr>
          <w:ilvl w:val="3"/>
          <w:numId w:val="1"/>
        </w:numPr>
        <w:rPr/>
      </w:pPr>
      <w:bookmarkStart w:id="3031" w:name="__RefHeading___Toc3973555_1067777946"/>
      <w:bookmarkStart w:id="3032" w:name="_Toc1285"/>
      <w:bookmarkEnd w:id="3031"/>
      <w:r>
        <w:rPr>
          <w:rtl w:val="true"/>
        </w:rPr>
        <w:t>موارد تغليظ ديه</w:t>
      </w:r>
      <w:r>
        <w:rPr>
          <w:rtl w:val="true"/>
        </w:rPr>
        <w:t xml:space="preserve">: </w:t>
      </w:r>
      <w:r>
        <w:rPr>
          <w:rtl w:val="true"/>
        </w:rPr>
        <w:t>ماههاى حرام، حرم الهى و نبوى و مشاهد مشرفه</w:t>
      </w:r>
      <w:bookmarkEnd w:id="3032"/>
    </w:p>
    <w:p>
      <w:pPr>
        <w:pStyle w:val="Heading5"/>
        <w:numPr>
          <w:ilvl w:val="4"/>
          <w:numId w:val="1"/>
        </w:numPr>
        <w:rPr/>
      </w:pPr>
      <w:bookmarkStart w:id="3033" w:name="__RefHeading___Toc3973557_1067777946"/>
      <w:bookmarkStart w:id="3034" w:name="_Toc1286"/>
      <w:bookmarkEnd w:id="3033"/>
      <w:r>
        <w:rPr>
          <w:rtl w:val="true"/>
        </w:rPr>
        <w:t>اشاره</w:t>
      </w:r>
      <w:bookmarkEnd w:id="303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در چهار ماه حرام موجب تغليظ ديه است يعنى اضافه مى شود ثلث ديه در جميع </w:t>
      </w:r>
      <w:bookmarkStart w:id="3035" w:name="pg10275_97006"/>
    </w:p>
    <w:p>
      <w:pPr>
        <w:pStyle w:val="BookText"/>
        <w:rPr/>
      </w:pPr>
      <w:bookmarkEnd w:id="3035"/>
      <w:r>
        <w:rPr>
          <w:rFonts w:ascii="Amiri" w:hAnsi="Amiri" w:eastAsia="Amiri" w:cs="Amiri"/>
          <w:color w:val="111111"/>
          <w:sz w:val="28"/>
          <w:sz w:val="28"/>
          <w:szCs w:val="28"/>
          <w:rtl w:val="true"/>
          <w:lang w:bidi="ar-SA"/>
        </w:rPr>
        <w:t>اجناس 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احوط الحاق قتل در حرم مكه است به قتل در ماه هاى حرام، و تعميم تغليظ به قتل غير عمدى است، و الحاق مراقد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مشاهد مشرفه به مكّۀ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تغليظ اختصاص ندارد به قتل مسلمان و كبير و عاقل؛ و جارى نيست در جنايت بر 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تعميم تغليظ است به قتل والد ولد را به خلاف ساير اقربا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 تعدد سبب، تغليظ متعدد مى شود بدون 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زيادتى مختص است به اخذ ديه، و جارى در قصاص نيست</w:t>
      </w:r>
      <w:r>
        <w:rPr>
          <w:rFonts w:eastAsia="Amiri" w:cs="Amiri" w:ascii="Amiri" w:hAnsi="Amiri"/>
          <w:color w:val="111111"/>
          <w:sz w:val="28"/>
          <w:szCs w:val="28"/>
          <w:rtl w:val="true"/>
          <w:lang w:bidi="ar-SA"/>
        </w:rPr>
        <w:t>.</w:t>
      </w:r>
    </w:p>
    <w:p>
      <w:pPr>
        <w:pStyle w:val="Heading5"/>
        <w:numPr>
          <w:ilvl w:val="4"/>
          <w:numId w:val="1"/>
        </w:numPr>
        <w:rPr/>
      </w:pPr>
      <w:bookmarkStart w:id="3036" w:name="__RefHeading___Toc3973559_1067777946"/>
      <w:bookmarkStart w:id="3037" w:name="_Toc1287"/>
      <w:bookmarkEnd w:id="3036"/>
      <w:r>
        <w:rPr>
          <w:rtl w:val="true"/>
        </w:rPr>
        <w:t>رمى در حل يا حرم</w:t>
      </w:r>
      <w:bookmarkEnd w:id="3037"/>
    </w:p>
    <w:p>
      <w:pPr>
        <w:pStyle w:val="BookText"/>
        <w:rPr/>
      </w:pPr>
      <w:r>
        <w:rPr>
          <w:rFonts w:ascii="IRNazanin" w:hAnsi="IRNazanin" w:eastAsia="IRNazanin"/>
          <w:color w:val="111111"/>
          <w:sz w:val="28"/>
          <w:sz w:val="28"/>
          <w:szCs w:val="28"/>
          <w:rtl w:val="true"/>
          <w:lang w:bidi="fa-IR"/>
        </w:rPr>
        <w:t>اگر رمى كرد در حلّ‌، كسى را كه در حرم است و به قتل رساند، يا آن كه رمى كرد در حرم، كسى را كه در حلّ باشد و به قتل رساند، احوط تغليظ است در صورت اول بلكه خالى از وجه نيست، و اظهر عدم آن است در صورت دوم</w:t>
      </w:r>
      <w:r>
        <w:rPr>
          <w:rFonts w:eastAsia="IRNazanin" w:cs="IRNazanin"/>
          <w:color w:val="111111"/>
          <w:sz w:val="28"/>
          <w:szCs w:val="28"/>
          <w:rtl w:val="true"/>
          <w:lang w:bidi="fa-IR"/>
        </w:rPr>
        <w:t>.</w:t>
      </w:r>
    </w:p>
    <w:p>
      <w:pPr>
        <w:pStyle w:val="Heading5"/>
        <w:numPr>
          <w:ilvl w:val="4"/>
          <w:numId w:val="1"/>
        </w:numPr>
        <w:rPr/>
      </w:pPr>
      <w:bookmarkStart w:id="3038" w:name="__RefHeading___Toc3973561_1067777946"/>
      <w:bookmarkStart w:id="3039" w:name="_Toc1288"/>
      <w:bookmarkEnd w:id="3038"/>
      <w:r>
        <w:rPr>
          <w:rtl w:val="true"/>
        </w:rPr>
        <w:t>پناه آوردن جانى به حرم</w:t>
      </w:r>
      <w:bookmarkEnd w:id="3039"/>
    </w:p>
    <w:p>
      <w:pPr>
        <w:pStyle w:val="BookText"/>
        <w:rPr/>
      </w:pPr>
      <w:r>
        <w:rPr>
          <w:rFonts w:ascii="IRNazanin" w:hAnsi="IRNazanin" w:eastAsia="IRNazanin"/>
          <w:color w:val="111111"/>
          <w:sz w:val="28"/>
          <w:sz w:val="28"/>
          <w:szCs w:val="28"/>
          <w:rtl w:val="true"/>
          <w:lang w:bidi="fa-IR"/>
        </w:rPr>
        <w:t>اگر كسى در غير حرم، جنايتى موجب قصاص كرد پس پناه آورد به حرم مكّىّ‌، در آنجا قصاص نمى شود بلكه تضييق مى شود در مطعم و مشرب و پس از خروج، قصاص مى شود، مگر آن كه جنايت را در حرم ايقاع كرده باشد كه قصاص در حرم مانعى ندارد</w:t>
      </w:r>
      <w:r>
        <w:rPr>
          <w:rFonts w:eastAsia="IRNazanin" w:cs="IRNazanin"/>
          <w:color w:val="111111"/>
          <w:sz w:val="28"/>
          <w:szCs w:val="28"/>
          <w:rtl w:val="true"/>
          <w:lang w:bidi="fa-IR"/>
        </w:rPr>
        <w:t>.</w:t>
      </w:r>
    </w:p>
    <w:p>
      <w:pPr>
        <w:pStyle w:val="Heading5"/>
        <w:numPr>
          <w:ilvl w:val="4"/>
          <w:numId w:val="1"/>
        </w:numPr>
        <w:rPr/>
      </w:pPr>
      <w:bookmarkStart w:id="3040" w:name="__RefHeading___Toc3973563_1067777946"/>
      <w:bookmarkStart w:id="3041" w:name="_Toc1289"/>
      <w:bookmarkEnd w:id="3040"/>
      <w:r>
        <w:rPr>
          <w:rtl w:val="true"/>
        </w:rPr>
        <w:t>الحاق مشاهد مشرفه و مساجد به حرم</w:t>
      </w:r>
      <w:bookmarkEnd w:id="3041"/>
    </w:p>
    <w:p>
      <w:pPr>
        <w:pStyle w:val="BookText"/>
        <w:rPr/>
      </w:pPr>
      <w:r>
        <w:rPr>
          <w:rFonts w:ascii="Amiri" w:hAnsi="Amiri" w:eastAsia="Amiri" w:cs="Amiri"/>
          <w:color w:val="111111"/>
          <w:sz w:val="28"/>
          <w:sz w:val="28"/>
          <w:szCs w:val="28"/>
          <w:rtl w:val="true"/>
          <w:lang w:bidi="ar-SA"/>
        </w:rPr>
        <w:t xml:space="preserve">و الحاق مشاهد مشرفه نبىّ و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بلادى كه قبر مقدس در آنها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مطلق مساجد خالى از وجه نيست</w:t>
      </w:r>
      <w:r>
        <w:rPr>
          <w:rFonts w:eastAsia="Amiri" w:cs="Amiri" w:ascii="Amiri" w:hAnsi="Amiri"/>
          <w:color w:val="111111"/>
          <w:sz w:val="28"/>
          <w:szCs w:val="28"/>
          <w:rtl w:val="true"/>
          <w:lang w:bidi="ar-SA"/>
        </w:rPr>
        <w:t>.</w:t>
      </w:r>
    </w:p>
    <w:p>
      <w:pPr>
        <w:pStyle w:val="Heading5"/>
        <w:numPr>
          <w:ilvl w:val="4"/>
          <w:numId w:val="1"/>
        </w:numPr>
        <w:rPr/>
      </w:pPr>
      <w:bookmarkStart w:id="3042" w:name="__RefHeading___Toc3973565_1067777946"/>
      <w:bookmarkStart w:id="3043" w:name="_Toc1290"/>
      <w:bookmarkEnd w:id="3042"/>
      <w:r>
        <w:rPr>
          <w:rtl w:val="true"/>
        </w:rPr>
        <w:t>ديۀ زن</w:t>
      </w:r>
      <w:bookmarkEnd w:id="304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ديه زن مسلمان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كبيره باشد چه صغيره، چه عاقله باشد يا مجنونه، چه اعضاى </w:t>
      </w:r>
      <w:bookmarkStart w:id="3044" w:name="pg10275_97007"/>
    </w:p>
    <w:p>
      <w:pPr>
        <w:pStyle w:val="BookText"/>
        <w:rPr/>
      </w:pPr>
      <w:bookmarkEnd w:id="3044"/>
      <w:r>
        <w:rPr>
          <w:rFonts w:ascii="IRNazanin" w:hAnsi="IRNazanin" w:eastAsia="IRNazanin"/>
          <w:color w:val="111111"/>
          <w:sz w:val="28"/>
          <w:sz w:val="28"/>
          <w:szCs w:val="28"/>
          <w:rtl w:val="true"/>
          <w:lang w:bidi="fa-IR"/>
        </w:rPr>
        <w:t>او تامّ و سالم باشند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ديه مرد مسلمان آزاد است، در نفس و در اطراف؛ و اگر ديۀ طرف يا جراحت از ثلث ديۀ مرد كمتر باشد متساوى هستند مرد و زن در قصاص و ديه</w:t>
      </w:r>
      <w:r>
        <w:rPr>
          <w:rFonts w:eastAsia="IRNazanin" w:cs="IRNazanin"/>
          <w:color w:val="111111"/>
          <w:sz w:val="28"/>
          <w:szCs w:val="28"/>
          <w:rtl w:val="true"/>
          <w:lang w:bidi="fa-IR"/>
        </w:rPr>
        <w:t>.</w:t>
      </w:r>
    </w:p>
    <w:p>
      <w:pPr>
        <w:pStyle w:val="Heading5"/>
        <w:numPr>
          <w:ilvl w:val="4"/>
          <w:numId w:val="1"/>
        </w:numPr>
        <w:rPr/>
      </w:pPr>
      <w:bookmarkStart w:id="3045" w:name="__RefHeading___Toc3973567_1067777946"/>
      <w:bookmarkStart w:id="3046" w:name="_Toc1291"/>
      <w:bookmarkEnd w:id="3045"/>
      <w:r>
        <w:rPr>
          <w:rtl w:val="true"/>
        </w:rPr>
        <w:t>خنثاى مشكل</w:t>
      </w:r>
      <w:bookmarkEnd w:id="3046"/>
    </w:p>
    <w:p>
      <w:pPr>
        <w:pStyle w:val="BookText"/>
        <w:rPr/>
      </w:pPr>
      <w:r>
        <w:rPr>
          <w:rFonts w:ascii="IRNazanin" w:hAnsi="IRNazanin" w:eastAsia="IRNazanin"/>
          <w:color w:val="111111"/>
          <w:sz w:val="28"/>
          <w:sz w:val="28"/>
          <w:szCs w:val="28"/>
          <w:rtl w:val="true"/>
          <w:lang w:bidi="fa-IR"/>
        </w:rPr>
        <w:t>و خنثاى مشكل ملحق به هيچ كدام از مرد و زن در مقدار ديه او نمى شود، بلكه نصف ديه متيقن، و نصف ديگر شايد تنصيف آن بى وجه نباشد</w:t>
      </w:r>
      <w:r>
        <w:rPr>
          <w:rFonts w:eastAsia="IRNazanin" w:cs="IRNazanin"/>
          <w:color w:val="111111"/>
          <w:sz w:val="28"/>
          <w:szCs w:val="28"/>
          <w:rtl w:val="true"/>
          <w:lang w:bidi="fa-IR"/>
        </w:rPr>
        <w:t>.</w:t>
      </w:r>
    </w:p>
    <w:p>
      <w:pPr>
        <w:pStyle w:val="Heading5"/>
        <w:numPr>
          <w:ilvl w:val="4"/>
          <w:numId w:val="1"/>
        </w:numPr>
        <w:rPr/>
      </w:pPr>
      <w:bookmarkStart w:id="3047" w:name="__RefHeading___Toc3973569_1067777946"/>
      <w:bookmarkStart w:id="3048" w:name="_Toc1292"/>
      <w:bookmarkEnd w:id="3047"/>
      <w:r>
        <w:rPr>
          <w:rtl w:val="true"/>
        </w:rPr>
        <w:t>فرق مختلفه</w:t>
      </w:r>
      <w:bookmarkEnd w:id="3048"/>
    </w:p>
    <w:p>
      <w:pPr>
        <w:pStyle w:val="BookText"/>
        <w:rPr/>
      </w:pPr>
      <w:r>
        <w:rPr>
          <w:rFonts w:ascii="IRNazanin" w:hAnsi="IRNazanin" w:eastAsia="IRNazanin"/>
          <w:color w:val="111111"/>
          <w:sz w:val="28"/>
          <w:sz w:val="28"/>
          <w:szCs w:val="28"/>
          <w:rtl w:val="true"/>
          <w:lang w:bidi="fa-IR"/>
        </w:rPr>
        <w:t>فِرَق مختلفه اسلام هر كدام محكوم به كفر ظاهرى نباشد مثل غلاة و خوارج و نواصب و منكر ضرورى يا آن چه را كه معترف به ثبوت در دين باشد و ثابت باشد، در ديه متساوى هستند و ديه آنها به سبب كفر باطنى آنها كه در آخرت آثارش محقق است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الزنا اگر اظهار اسلام كرد و يا محكوم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بود ديه او مثل ديۀ مسلمان ها است، به خلاف صورتى كه سبب محكوميت به اسلام او نباشد</w:t>
      </w:r>
      <w:r>
        <w:rPr>
          <w:rFonts w:eastAsia="IRNazanin" w:cs="IRNazanin"/>
          <w:color w:val="111111"/>
          <w:sz w:val="28"/>
          <w:szCs w:val="28"/>
          <w:rtl w:val="true"/>
          <w:lang w:bidi="fa-IR"/>
        </w:rPr>
        <w:t>.</w:t>
      </w:r>
    </w:p>
    <w:p>
      <w:pPr>
        <w:pStyle w:val="Heading5"/>
        <w:numPr>
          <w:ilvl w:val="4"/>
          <w:numId w:val="1"/>
        </w:numPr>
        <w:rPr/>
      </w:pPr>
      <w:bookmarkStart w:id="3049" w:name="__RefHeading___Toc3973571_1067777946"/>
      <w:bookmarkStart w:id="3050" w:name="_Toc1293"/>
      <w:bookmarkEnd w:id="3049"/>
      <w:r>
        <w:rPr>
          <w:rtl w:val="true"/>
        </w:rPr>
        <w:t>ديۀ ذمى</w:t>
      </w:r>
      <w:bookmarkEnd w:id="3050"/>
    </w:p>
    <w:p>
      <w:pPr>
        <w:pStyle w:val="BookText"/>
        <w:rPr/>
      </w:pPr>
      <w:r>
        <w:rPr>
          <w:rFonts w:ascii="Amiri" w:hAnsi="Amiri" w:eastAsia="Amiri" w:cs="Amiri"/>
          <w:color w:val="111111"/>
          <w:sz w:val="28"/>
          <w:sz w:val="28"/>
          <w:szCs w:val="28"/>
          <w:rtl w:val="true"/>
          <w:lang w:bidi="ar-SA"/>
        </w:rPr>
        <w:t xml:space="preserve">ديۀ مرد ذمّى آزاد يعنى از يهود و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مجوس، عبارت است از هشتصد درهم، و ديۀ زنهاى ايشان كه آزاد باشند نصف ديه مردان ايشان است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ديه عضو و جراحات ايشان به ديۀ نفس ايشان، مثل نسبت ديه اعضا و جراحات مسلمان است به ديۀ نفس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زنهاى ايشان در ديه عضو و جراحت، مساوى با مرد ايشان است در كمتر از ثلث ديه مرد، و تنصيف مى شود در ثلث و زايد براى ايشان، مثل آن چه در مرد مسلمان و زن مسلمان در ديۀ اعضا و جراحات مذكور است</w:t>
      </w:r>
      <w:r>
        <w:rPr>
          <w:rFonts w:eastAsia="IRNazanin" w:cs="IRNazanin"/>
          <w:color w:val="111111"/>
          <w:sz w:val="28"/>
          <w:szCs w:val="28"/>
          <w:rtl w:val="true"/>
          <w:lang w:bidi="fa-IR"/>
        </w:rPr>
        <w:t xml:space="preserve">. </w:t>
      </w:r>
      <w:bookmarkStart w:id="3051" w:name="pg10275_97008"/>
    </w:p>
    <w:p>
      <w:pPr>
        <w:pStyle w:val="Heading5"/>
        <w:numPr>
          <w:ilvl w:val="4"/>
          <w:numId w:val="1"/>
        </w:numPr>
        <w:rPr/>
      </w:pPr>
      <w:bookmarkStart w:id="3052" w:name="__RefHeading___Toc3973573_1067777946"/>
      <w:bookmarkStart w:id="3053" w:name="_Toc1294"/>
      <w:bookmarkEnd w:id="3051"/>
      <w:bookmarkEnd w:id="3052"/>
      <w:r>
        <w:rPr>
          <w:rtl w:val="true"/>
        </w:rPr>
        <w:t>جريان تغليظ ديه در ذمّى</w:t>
      </w:r>
      <w:bookmarkEnd w:id="3053"/>
    </w:p>
    <w:p>
      <w:pPr>
        <w:pStyle w:val="BookText"/>
        <w:rPr/>
      </w:pPr>
      <w:r>
        <w:rPr>
          <w:rFonts w:ascii="IRNazanin" w:hAnsi="IRNazanin" w:eastAsia="IRNazanin"/>
          <w:color w:val="111111"/>
          <w:sz w:val="28"/>
          <w:sz w:val="28"/>
          <w:szCs w:val="28"/>
          <w:rtl w:val="true"/>
          <w:lang w:bidi="fa-IR"/>
        </w:rPr>
        <w:t>و جريان تغليظ در ديۀ ذمّى به اسبابى كه در ديۀ مسلمان گذشت خالى از وجه نيست</w:t>
      </w:r>
      <w:r>
        <w:rPr>
          <w:rFonts w:eastAsia="IRNazanin" w:cs="IRNazanin"/>
          <w:color w:val="111111"/>
          <w:sz w:val="28"/>
          <w:szCs w:val="28"/>
          <w:rtl w:val="true"/>
          <w:lang w:bidi="fa-IR"/>
        </w:rPr>
        <w:t>.</w:t>
      </w:r>
    </w:p>
    <w:p>
      <w:pPr>
        <w:pStyle w:val="Heading5"/>
        <w:numPr>
          <w:ilvl w:val="4"/>
          <w:numId w:val="1"/>
        </w:numPr>
        <w:rPr/>
      </w:pPr>
      <w:bookmarkStart w:id="3054" w:name="__RefHeading___Toc3973575_1067777946"/>
      <w:bookmarkStart w:id="3055" w:name="_Toc1295"/>
      <w:bookmarkEnd w:id="3054"/>
      <w:r>
        <w:rPr>
          <w:rtl w:val="true"/>
        </w:rPr>
        <w:t>عدم ديه بر غير اهل ذمه و كتاب</w:t>
      </w:r>
      <w:bookmarkEnd w:id="3055"/>
    </w:p>
    <w:p>
      <w:pPr>
        <w:pStyle w:val="BookText"/>
        <w:rPr/>
      </w:pPr>
      <w:r>
        <w:rPr>
          <w:rFonts w:ascii="IRNazanin" w:hAnsi="IRNazanin" w:eastAsia="IRNazanin"/>
          <w:color w:val="111111"/>
          <w:sz w:val="28"/>
          <w:sz w:val="28"/>
          <w:szCs w:val="28"/>
          <w:rtl w:val="true"/>
          <w:lang w:bidi="fa-IR"/>
        </w:rPr>
        <w:t>براى غير اهل ذمه و كتاب، ديه نيست بر مسلمان، چه در حرب باشند يا با عهدى با مسلمانها باشند، قاصر باشند در ترك اسلام يا مقصّر؛ و همچنين كسى كه مرتد از دين خودش شده باشد به نحوى كه اقرار بر آن دين فعلى نمى شود اگر چه از يهود و نصارى و مجوس بوده باشد</w:t>
      </w:r>
      <w:r>
        <w:rPr>
          <w:rFonts w:eastAsia="IRNazanin" w:cs="IRNazanin"/>
          <w:color w:val="111111"/>
          <w:sz w:val="28"/>
          <w:szCs w:val="28"/>
          <w:rtl w:val="true"/>
          <w:lang w:bidi="fa-IR"/>
        </w:rPr>
        <w:t>.</w:t>
      </w:r>
    </w:p>
    <w:p>
      <w:pPr>
        <w:pStyle w:val="Heading5"/>
        <w:numPr>
          <w:ilvl w:val="4"/>
          <w:numId w:val="1"/>
        </w:numPr>
        <w:rPr/>
      </w:pPr>
      <w:bookmarkStart w:id="3056" w:name="__RefHeading___Toc3973577_1067777946"/>
      <w:bookmarkStart w:id="3057" w:name="_Toc1296"/>
      <w:bookmarkEnd w:id="3056"/>
      <w:r>
        <w:rPr>
          <w:rtl w:val="true"/>
        </w:rPr>
        <w:t>ديۀ مملوك</w:t>
      </w:r>
      <w:bookmarkEnd w:id="3057"/>
    </w:p>
    <w:p>
      <w:pPr>
        <w:pStyle w:val="BookText"/>
        <w:rPr/>
      </w:pPr>
      <w:r>
        <w:rPr>
          <w:rFonts w:ascii="IRNazanin" w:hAnsi="IRNazanin" w:eastAsia="IRNazanin"/>
          <w:color w:val="111111"/>
          <w:sz w:val="28"/>
          <w:sz w:val="28"/>
          <w:szCs w:val="28"/>
          <w:rtl w:val="true"/>
          <w:lang w:bidi="fa-IR"/>
        </w:rPr>
        <w:t xml:space="preserve">ديۀ مملوك، قيمت او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ديه حُرّ ننمايد، وگرنه مردود به ديۀ حرّ مى شود، پس مسلمان مردود به ديۀ مسلمان مى شود و ذمّى مردود مى شود به ديه ذمّى؛ و همچنين ديۀ مملوكه قيمت او است اگر تجاوز از ديۀ حرّه ننمايد وگرنه مردود به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كه از مال جانى است در عمد و شبه آن، و بر عاقله است در خطا، مثل جنايت بر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ديه اعضا و جراحات مملوك قياس به ديه حرّ مى شود؛ پس در هر موضعى كه ديۀ حرّ ثابت است قيمت مملوك ثابت است، و در هر موضعى كه نصف ديۀ حرّ ثابت است نصف قيمت مملوك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چه تقديرى ثابت نيست، مملوك اصل است براى حرّ، كه فرض مى شود مملوك سالم و مجنىّ عليه، و قيمت آنها تعيين مى شود و نسبت بين دو قيمت تعيين مى شود و به همان نسبت از ديه حرّ مأخوذ مى 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جنايت بر عبد شد به چيزى كه مستوعب قيمت آن است، مولى از جانى يا عاقلۀ او مطالبۀ قيمت نمى نمايد مگر با دفع مملوك به او؛ و اگر به كمتر از قيمت او باشد فقط مطالبۀ قيمت جنايت كه ارش است مى نمايد و نمى تواند دفع نمايد مملوك را و مطالبه تمام قيمت نمايد مگر با رضاى كسى كه بر او است اداى قيمت و ارش</w:t>
      </w:r>
      <w:r>
        <w:rPr>
          <w:rFonts w:eastAsia="IRNazanin" w:cs="IRNazanin"/>
          <w:color w:val="111111"/>
          <w:sz w:val="28"/>
          <w:szCs w:val="28"/>
          <w:rtl w:val="true"/>
          <w:lang w:bidi="fa-IR"/>
        </w:rPr>
        <w:t xml:space="preserve">. </w:t>
      </w:r>
      <w:bookmarkStart w:id="3058" w:name="pg10275_97009"/>
    </w:p>
    <w:p>
      <w:pPr>
        <w:pStyle w:val="Heading5"/>
        <w:numPr>
          <w:ilvl w:val="4"/>
          <w:numId w:val="1"/>
        </w:numPr>
        <w:rPr/>
      </w:pPr>
      <w:bookmarkStart w:id="3059" w:name="__RefHeading___Toc3973579_1067777946"/>
      <w:bookmarkStart w:id="3060" w:name="_Toc1297"/>
      <w:bookmarkEnd w:id="3058"/>
      <w:bookmarkEnd w:id="3059"/>
      <w:r>
        <w:rPr>
          <w:rtl w:val="true"/>
        </w:rPr>
        <w:t>عدم ضمان مولى بر جنايت عبد</w:t>
      </w:r>
      <w:bookmarkEnd w:id="306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ضامن جنايت مملوك خودش نيست بلكه متعلّق به رقبۀ مملوك مى شود و مولى مخيّر است بين دفع جانى و فكّ او به ارش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تخيير براى مولاى جانى است در جنايت خطايى، و براى مجنىّ عليه يا مالك او است در جنايت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جنايت، مستوعب قيمت مملوك نباشد تخيير مذكور ثابت است؛ و در صورت تملك غير، معادل ارش جنايت را، مالك اصلى شريك مى شود با مالك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مملوك و مملوكه و رقّ محض و مدبّر نيست، و در امّ ولد تأمل است در ضمان مولى جنايت او را</w:t>
      </w:r>
      <w:r>
        <w:rPr>
          <w:rFonts w:eastAsia="IRNazanin" w:cs="IRNazanin"/>
          <w:color w:val="111111"/>
          <w:sz w:val="28"/>
          <w:szCs w:val="28"/>
          <w:rtl w:val="true"/>
          <w:lang w:bidi="fa-IR"/>
        </w:rPr>
        <w:t xml:space="preserve">. </w:t>
      </w:r>
      <w:bookmarkStart w:id="3061" w:name="pg10275_97010"/>
    </w:p>
    <w:p>
      <w:pPr>
        <w:pStyle w:val="Heading3"/>
        <w:numPr>
          <w:ilvl w:val="2"/>
          <w:numId w:val="1"/>
        </w:numPr>
        <w:rPr/>
      </w:pPr>
      <w:bookmarkStart w:id="3062" w:name="__RefHeading___Toc3973581_1067777946"/>
      <w:bookmarkStart w:id="3063" w:name="_Toc1298"/>
      <w:bookmarkEnd w:id="3061"/>
      <w:bookmarkEnd w:id="3062"/>
      <w:r>
        <w:rPr>
          <w:rtl w:val="true"/>
        </w:rPr>
        <w:t>فصل دوم موجبات ضمان</w:t>
      </w:r>
      <w:bookmarkEnd w:id="3063"/>
    </w:p>
    <w:p>
      <w:pPr>
        <w:pStyle w:val="Heading4"/>
        <w:numPr>
          <w:ilvl w:val="3"/>
          <w:numId w:val="1"/>
        </w:numPr>
        <w:rPr/>
      </w:pPr>
      <w:bookmarkStart w:id="3064" w:name="__RefHeading___Toc3973583_1067777946"/>
      <w:bookmarkStart w:id="3065" w:name="_Toc1299"/>
      <w:bookmarkEnd w:id="3064"/>
      <w:r>
        <w:rPr/>
        <w:t>1</w:t>
      </w:r>
      <w:r>
        <w:rPr>
          <w:rtl w:val="true"/>
        </w:rPr>
        <w:t xml:space="preserve">. </w:t>
      </w:r>
      <w:r>
        <w:rPr>
          <w:rtl w:val="true"/>
        </w:rPr>
        <w:t>مسائل ضمان به مباشرت</w:t>
      </w:r>
      <w:bookmarkEnd w:id="3065"/>
    </w:p>
    <w:p>
      <w:pPr>
        <w:pStyle w:val="Heading5"/>
        <w:numPr>
          <w:ilvl w:val="4"/>
          <w:numId w:val="1"/>
        </w:numPr>
        <w:rPr/>
      </w:pPr>
      <w:bookmarkStart w:id="3066" w:name="__RefHeading___Toc3973585_1067777946"/>
      <w:bookmarkStart w:id="3067" w:name="_Toc1300"/>
      <w:bookmarkEnd w:id="3066"/>
      <w:r>
        <w:rPr>
          <w:rtl w:val="true"/>
        </w:rPr>
        <w:t>ضمان زوج و اب و معلم</w:t>
      </w:r>
      <w:bookmarkEnd w:id="3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اتلاف نفس يا طرف زوج، زوجه را، يا اب و جدّ ابى يا وصىّ ايشان يا معلّم، طفل را، بدون قصد قتل و اين كه سبب، قاتل غالبى باشد، خلاف است، احوط ضمان است در جميع</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3973587_1067777946"/>
      <w:bookmarkStart w:id="3069" w:name="_Toc1301"/>
      <w:bookmarkEnd w:id="3068"/>
      <w:r>
        <w:rPr>
          <w:rtl w:val="true"/>
        </w:rPr>
        <w:t>ضمان طبيب</w:t>
      </w:r>
      <w:bookmarkEnd w:id="3069"/>
    </w:p>
    <w:p>
      <w:pPr>
        <w:pStyle w:val="Heading6"/>
        <w:numPr>
          <w:ilvl w:val="5"/>
          <w:numId w:val="1"/>
        </w:numPr>
        <w:rPr/>
      </w:pPr>
      <w:bookmarkStart w:id="3070" w:name="__RefHeading___Toc3973589_1067777946"/>
      <w:bookmarkStart w:id="3071" w:name="_Toc1302"/>
      <w:bookmarkEnd w:id="3070"/>
      <w:r>
        <w:rPr>
          <w:rtl w:val="true"/>
        </w:rPr>
        <w:t>اشاره</w:t>
      </w:r>
      <w:bookmarkEnd w:id="30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طبيب ضامن است آن چه را به علاج او تلف مى شود از نفس يا طرف در صورت قاصر بودن مريض به صباوت يا جنون يا مملوكيت با عدم اذن ولىّ يا آن كه حرّ كامل باشد و اذن نداده باشد در معالجه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مقصّر باشد در علاج، ضامن است مطلقاً اگر چه حاذق و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قاصر در معرفت باشد و تقصير در علاج نكرده باشد به طور يقين و مأذون باشد، عدم ضمان اقرب است؛ و هم چنين اگر حاذق باشد در صورت وجوب علاج بر او اگر چه مأذون نباشد به واسطۀ عدم امكان استيذان</w:t>
      </w:r>
      <w:r>
        <w:rPr>
          <w:rFonts w:eastAsia="IRNazanin" w:cs="IRNazanin"/>
          <w:color w:val="111111"/>
          <w:sz w:val="28"/>
          <w:szCs w:val="28"/>
          <w:rtl w:val="true"/>
          <w:lang w:bidi="fa-IR"/>
        </w:rPr>
        <w:t>.</w:t>
      </w:r>
    </w:p>
    <w:p>
      <w:pPr>
        <w:pStyle w:val="Heading6"/>
        <w:numPr>
          <w:ilvl w:val="5"/>
          <w:numId w:val="1"/>
        </w:numPr>
        <w:rPr/>
      </w:pPr>
      <w:bookmarkStart w:id="3072" w:name="__RefHeading___Toc3973591_1067777946"/>
      <w:bookmarkStart w:id="3073" w:name="_Toc1303"/>
      <w:bookmarkEnd w:id="3072"/>
      <w:r>
        <w:rPr>
          <w:rtl w:val="true"/>
        </w:rPr>
        <w:t>عدم ضمان با اخذ برائت و اذن طبيب حاذق</w:t>
      </w:r>
      <w:bookmarkEnd w:id="307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طبيب حاذق بود و اخذ برائت 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مريض اگر كامل العقل است، و از ولىّ او در صورت عدم كمال، پس با مباشرت او اتلاف شد، اظهر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074" w:name="pg10275_97011"/>
    </w:p>
    <w:p>
      <w:pPr>
        <w:pStyle w:val="BookText"/>
        <w:rPr/>
      </w:pPr>
      <w:bookmarkEnd w:id="3074"/>
      <w:r>
        <w:rPr>
          <w:rFonts w:ascii="IRNazanin" w:hAnsi="IRNazanin" w:eastAsia="IRNazanin"/>
          <w:color w:val="111111"/>
          <w:sz w:val="28"/>
          <w:sz w:val="28"/>
          <w:szCs w:val="28"/>
          <w:rtl w:val="true"/>
          <w:lang w:bidi="fa-IR"/>
        </w:rPr>
        <w:t>ممكن است استظهار ابراء از اذن متعارف در علاج، اگر چه احوط عدم اكتفاى به مجرد اذن و ابراء است مادام كه به نحو شرط در ضمن عقد اجاره، شرط برائت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صورت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صورت عدم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است از مال خودش مثل ساير موارد شبه عمد</w:t>
      </w:r>
      <w:r>
        <w:rPr>
          <w:rFonts w:eastAsia="Amiri" w:cs="Amiri" w:ascii="Amiri" w:hAnsi="Amiri"/>
          <w:color w:val="111111"/>
          <w:sz w:val="28"/>
          <w:szCs w:val="28"/>
          <w:rtl w:val="true"/>
          <w:lang w:bidi="ar-SA"/>
        </w:rPr>
        <w:t>.</w:t>
      </w:r>
    </w:p>
    <w:p>
      <w:pPr>
        <w:pStyle w:val="Heading6"/>
        <w:numPr>
          <w:ilvl w:val="5"/>
          <w:numId w:val="1"/>
        </w:numPr>
        <w:rPr/>
      </w:pPr>
      <w:bookmarkStart w:id="3075" w:name="__RefHeading___Toc3973593_1067777946"/>
      <w:bookmarkStart w:id="3076" w:name="_Toc1304"/>
      <w:bookmarkEnd w:id="3075"/>
      <w:r>
        <w:rPr>
          <w:rtl w:val="true"/>
        </w:rPr>
        <w:t>عدم ضمان در مجرد اخبار طبيب</w:t>
      </w:r>
      <w:bookmarkEnd w:id="3076"/>
    </w:p>
    <w:p>
      <w:pPr>
        <w:pStyle w:val="BookText"/>
        <w:rPr/>
      </w:pPr>
      <w:r>
        <w:rPr>
          <w:rFonts w:ascii="IRNazanin" w:hAnsi="IRNazanin" w:eastAsia="IRNazanin"/>
          <w:color w:val="111111"/>
          <w:sz w:val="28"/>
          <w:sz w:val="28"/>
          <w:szCs w:val="28"/>
          <w:rtl w:val="true"/>
          <w:lang w:bidi="fa-IR"/>
        </w:rPr>
        <w:t>و در صورت عدم مباشرت طبيب و عدم تغرير بلكه مجرد اخبار به مقتضاى امارات و ظنون عقلائيه، اظهر عدم ضمان طبيب است اگر چه عمل، به اعتماد به قول او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ظنّ به استناد تلف به علاج طبيب اظهر عدم ضمان است مطلقاً يعنى اگر چه بدون اذن بوده</w:t>
      </w:r>
      <w:r>
        <w:rPr>
          <w:rFonts w:eastAsia="IRNazanin" w:cs="IRNazanin"/>
          <w:color w:val="111111"/>
          <w:sz w:val="28"/>
          <w:szCs w:val="28"/>
          <w:rtl w:val="true"/>
          <w:lang w:bidi="fa-IR"/>
        </w:rPr>
        <w:t>.</w:t>
      </w:r>
    </w:p>
    <w:p>
      <w:pPr>
        <w:pStyle w:val="Heading6"/>
        <w:numPr>
          <w:ilvl w:val="5"/>
          <w:numId w:val="1"/>
        </w:numPr>
        <w:rPr/>
      </w:pPr>
      <w:bookmarkStart w:id="3077" w:name="__RefHeading___Toc3973595_1067777946"/>
      <w:bookmarkStart w:id="3078" w:name="_Toc1305"/>
      <w:bookmarkEnd w:id="3077"/>
      <w:r>
        <w:rPr>
          <w:rtl w:val="true"/>
        </w:rPr>
        <w:t>جواز اقسام معالجات</w:t>
      </w:r>
      <w:bookmarkEnd w:id="3078"/>
    </w:p>
    <w:p>
      <w:pPr>
        <w:pStyle w:val="BookText"/>
        <w:rPr/>
      </w:pPr>
      <w:r>
        <w:rPr>
          <w:rFonts w:ascii="IRNazanin" w:hAnsi="IRNazanin" w:eastAsia="IRNazanin"/>
          <w:color w:val="111111"/>
          <w:sz w:val="28"/>
          <w:sz w:val="28"/>
          <w:szCs w:val="28"/>
          <w:rtl w:val="true"/>
          <w:lang w:bidi="fa-IR"/>
        </w:rPr>
        <w:t>و اظهر جواز اقسام معالجات است بر طبق ظنون عقلائيه و تجربيّات اگر چه علميه و اجتهاديه نباشد</w:t>
      </w:r>
      <w:r>
        <w:rPr>
          <w:rFonts w:eastAsia="IRNazanin" w:cs="IRNazanin"/>
          <w:color w:val="111111"/>
          <w:sz w:val="28"/>
          <w:szCs w:val="28"/>
          <w:rtl w:val="true"/>
          <w:lang w:bidi="fa-IR"/>
        </w:rPr>
        <w:t>.</w:t>
      </w:r>
    </w:p>
    <w:p>
      <w:pPr>
        <w:pStyle w:val="Heading6"/>
        <w:numPr>
          <w:ilvl w:val="5"/>
          <w:numId w:val="1"/>
        </w:numPr>
        <w:rPr/>
      </w:pPr>
      <w:bookmarkStart w:id="3079" w:name="__RefHeading___Toc3973597_1067777946"/>
      <w:bookmarkStart w:id="3080" w:name="_Toc1306"/>
      <w:bookmarkEnd w:id="3079"/>
      <w:r>
        <w:rPr>
          <w:rtl w:val="true"/>
        </w:rPr>
        <w:t>معالجه به آن چه در غير معالجه جايز نيست</w:t>
      </w:r>
      <w:bookmarkEnd w:id="308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علاج طبيب به طريقى كه در غير مقام علاج،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قطع عضو يا داغ كردن محلى از بدن يا شكافتن دُمل و ساير عمليات متداوله و نحو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اقتصار به صورت غلبۀ احتمال شفاى از مرض مخصوص مثل جرح، بر عدم، و عدم تأثير در احداث احتمال تلف نفس يا بليّۀ ديگرى در ساير اعضا است؛ مگر آن كه احتمال مقابل، مماثل و مرجوح باشد نه مخوف تر يعنى اقرب به هلاك يا فاسدتر، اگر چه احتمال آنها مرجوح تر باشد از احتمال شفاى از مرض مخصوص؛ مگر آن كه احتمال اداى بقاى مرض مخصوص به تلف يا فاسدتر از مقابل، اقوى باشد از احتمال تلف به </w:t>
      </w:r>
      <w:bookmarkStart w:id="3081" w:name="pg10275_97012"/>
    </w:p>
    <w:p>
      <w:pPr>
        <w:pStyle w:val="BookText"/>
        <w:rPr/>
      </w:pPr>
      <w:bookmarkEnd w:id="3081"/>
      <w:r>
        <w:rPr>
          <w:rFonts w:ascii="IRNazanin" w:hAnsi="IRNazanin" w:eastAsia="IRNazanin"/>
          <w:color w:val="111111"/>
          <w:sz w:val="28"/>
          <w:sz w:val="28"/>
          <w:szCs w:val="28"/>
          <w:rtl w:val="true"/>
          <w:lang w:bidi="fa-IR"/>
        </w:rPr>
        <w:t>سبب علاج يا حدوث مرض ديگرى كه فاسدتر است؛ بلكه در صورت ترجيح احتمال يا محتمل بر عكس در مقابل، احتياط ترك نشود</w:t>
      </w:r>
      <w:r>
        <w:rPr>
          <w:rFonts w:eastAsia="IRNazanin" w:cs="IRNazanin"/>
          <w:color w:val="111111"/>
          <w:sz w:val="28"/>
          <w:szCs w:val="28"/>
          <w:rtl w:val="true"/>
          <w:lang w:bidi="fa-IR"/>
        </w:rPr>
        <w:t>.</w:t>
      </w:r>
    </w:p>
    <w:p>
      <w:pPr>
        <w:pStyle w:val="Heading5"/>
        <w:numPr>
          <w:ilvl w:val="4"/>
          <w:numId w:val="1"/>
        </w:numPr>
        <w:rPr/>
      </w:pPr>
      <w:bookmarkStart w:id="3082" w:name="__RefHeading___Toc3973599_1067777946"/>
      <w:bookmarkStart w:id="3083" w:name="_Toc1307"/>
      <w:bookmarkEnd w:id="3082"/>
      <w:r>
        <w:rPr>
          <w:rtl w:val="true"/>
        </w:rPr>
        <w:t>تلف مستند به انقلاب نائم غير ظئر</w:t>
      </w:r>
      <w:bookmarkEnd w:id="30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نائم غير ظئر اگر به انقلاب او در خواب، نفسى يا طرفى تلف شد و مستند به او شد، ضامن، عاقله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موارد خطأ محض</w:t>
      </w:r>
      <w:r>
        <w:rPr>
          <w:rFonts w:eastAsia="IRNazanin" w:cs="IRNazanin"/>
          <w:color w:val="111111"/>
          <w:sz w:val="28"/>
          <w:szCs w:val="28"/>
          <w:rtl w:val="true"/>
          <w:lang w:bidi="fa-IR"/>
        </w:rPr>
        <w:t>.</w:t>
      </w:r>
    </w:p>
    <w:p>
      <w:pPr>
        <w:pStyle w:val="Heading5"/>
        <w:numPr>
          <w:ilvl w:val="4"/>
          <w:numId w:val="1"/>
        </w:numPr>
        <w:rPr/>
      </w:pPr>
      <w:bookmarkStart w:id="3084" w:name="__RefHeading___Toc3973601_1067777946"/>
      <w:bookmarkStart w:id="3085" w:name="_Toc1308"/>
      <w:bookmarkEnd w:id="3084"/>
      <w:r>
        <w:rPr>
          <w:rtl w:val="true"/>
        </w:rPr>
        <w:t>اتلاف يكى از زوجين توسط ديگرى</w:t>
      </w:r>
      <w:bookmarkEnd w:id="30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 عنف و سختى در جماع، يا ضمّ و فشار دادن در غير جماع، يكى از زوجين ديگرى را اتلاف نمود يا در اجانب واقع شد، ديه شبه عمد را ضامن است، به واسطۀ عدم قصد قتل در صورت قصد فعل، چه آن فعل سائغ باشد يا نه، در صورت عدم غلبه قتل به آن سبب؛ و در صورت تهمت قصد قتل، احتمال قود با قسامه قائم است</w:t>
      </w:r>
      <w:r>
        <w:rPr>
          <w:rFonts w:eastAsia="IRNazanin" w:cs="IRNazanin"/>
          <w:color w:val="111111"/>
          <w:sz w:val="28"/>
          <w:szCs w:val="28"/>
          <w:rtl w:val="true"/>
          <w:lang w:bidi="fa-IR"/>
        </w:rPr>
        <w:t>.</w:t>
      </w:r>
    </w:p>
    <w:p>
      <w:pPr>
        <w:pStyle w:val="Heading5"/>
        <w:numPr>
          <w:ilvl w:val="4"/>
          <w:numId w:val="1"/>
        </w:numPr>
        <w:rPr/>
      </w:pPr>
      <w:bookmarkStart w:id="3086" w:name="__RefHeading___Toc3973603_1067777946"/>
      <w:bookmarkStart w:id="3087" w:name="_Toc1309"/>
      <w:bookmarkEnd w:id="3086"/>
      <w:r>
        <w:rPr>
          <w:rtl w:val="true"/>
        </w:rPr>
        <w:t>اصابت كالاى محموله به انسانى</w:t>
      </w:r>
      <w:bookmarkEnd w:id="30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متاعى را حمل نمود پس اصابت كرد به انسانى و تلف شد يا متاع شكست، ضامن ميّت و منكسر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دفع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حامل، در صورت قصد فعل نه اتلاف كه شبيه به عمد باشد، و در صورت عدم ائتمان بر متاع كه رافع ضمان آن باشد مگر با تعدى و تفريط كه اگر عمد محقق باشد قصاص در انسان هم ثابت است؛ و با تفريط ثابت، ائتمان بى اثر است؛ و با ادّعاى تفريط و قصد اتلاف، احتمال قسامه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قصد فعل هم نبوده كه خطأ محض واقع شد، ضمان بر عاقله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ضامن باشد مثل غير صورت ائتمان مالكى</w:t>
      </w:r>
      <w:r>
        <w:rPr>
          <w:rFonts w:eastAsia="IRNazanin" w:cs="IRNazanin"/>
          <w:color w:val="111111"/>
          <w:sz w:val="28"/>
          <w:szCs w:val="28"/>
          <w:rtl w:val="true"/>
          <w:lang w:bidi="fa-IR"/>
        </w:rPr>
        <w:t>.</w:t>
      </w:r>
    </w:p>
    <w:p>
      <w:pPr>
        <w:pStyle w:val="Heading5"/>
        <w:numPr>
          <w:ilvl w:val="4"/>
          <w:numId w:val="1"/>
        </w:numPr>
        <w:rPr/>
      </w:pPr>
      <w:bookmarkStart w:id="3088" w:name="__RefHeading___Toc3973605_1067777946"/>
      <w:bookmarkStart w:id="3089" w:name="_Toc1310"/>
      <w:bookmarkEnd w:id="3088"/>
      <w:r>
        <w:rPr>
          <w:rtl w:val="true"/>
        </w:rPr>
        <w:t>وفات مستند به صيحه و فرياد</w:t>
      </w:r>
      <w:bookmarkEnd w:id="30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صيحه زد بر بالغ عاقل ملتفت پس وفات كرد بعد از سقوط يا بدون آن، پس</w:t>
      </w:r>
      <w:bookmarkStart w:id="3090" w:name="pg10275_97013"/>
    </w:p>
    <w:p>
      <w:pPr>
        <w:pStyle w:val="BookText"/>
        <w:rPr/>
      </w:pPr>
      <w:bookmarkEnd w:id="3090"/>
      <w:r>
        <w:rPr>
          <w:rFonts w:ascii="IRNazanin" w:hAnsi="IRNazanin" w:eastAsia="IRNazanin"/>
          <w:color w:val="111111"/>
          <w:sz w:val="28"/>
          <w:sz w:val="28"/>
          <w:szCs w:val="28"/>
          <w:rtl w:val="true"/>
          <w:lang w:bidi="fa-IR"/>
        </w:rPr>
        <w:t xml:space="preserve">با ظهور استناد موت به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زمان و مكان و خصوصيات 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از مال خودش با قصد فعل نه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قاصد قتل بود قصاص ثابت است بنا بر ثبوت آن در سبب غير قاتل غالبى با قصد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دعواى وارث، قصد قتل را، احتمال قسامه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مثل مريض و مجنون و طفل، و غافل از بالغ عاقل، ضمان ثابت است؛ و با قصد قتل، قصاص ثابت است اگر چه قاتل نادرى است بنا بر آن چه اشاره شد؛ و اگر قاتل غالبى است ملحق به عمد است اگر چه قاصد قتل نباشد بنا بر آن چه در بيان عمد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صيحه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ميّت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خطأ محض است و ديه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شنيدن صيحه فرار كرد پس در طريق فرار در چاهى افتاد يا از بالاى سقف خود را بپايين انداخت و تلف شد يا درنده او را هلاك كرد با آن كه بصير بود، پس به حسب موارد مختلفه، ضمانِ سبب، داير مدار اقوائيّت سبب از مباشر است با ملاحظه خصوصيات اين سبب و اين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اعمى اگر به سماع صيحه فرار كرد و به سببى در طريق، هلاك شد ضمان بر صيحه كننده ثابت است به واسطۀ قوّت سبب بر مباشر</w:t>
      </w:r>
      <w:r>
        <w:rPr>
          <w:rFonts w:eastAsia="IRNazanin" w:cs="IRNazanin"/>
          <w:color w:val="111111"/>
          <w:sz w:val="28"/>
          <w:szCs w:val="28"/>
          <w:rtl w:val="true"/>
          <w:lang w:bidi="fa-IR"/>
        </w:rPr>
        <w:t>.</w:t>
      </w:r>
    </w:p>
    <w:p>
      <w:pPr>
        <w:pStyle w:val="Heading5"/>
        <w:numPr>
          <w:ilvl w:val="4"/>
          <w:numId w:val="1"/>
        </w:numPr>
        <w:rPr/>
      </w:pPr>
      <w:bookmarkStart w:id="3091" w:name="__RefHeading___Toc3973607_1067777946"/>
      <w:bookmarkStart w:id="3092" w:name="_Toc1311"/>
      <w:bookmarkEnd w:id="3091"/>
      <w:r>
        <w:rPr>
          <w:rtl w:val="true"/>
        </w:rPr>
        <w:t>ترساندن حامل</w:t>
      </w:r>
      <w:bookmarkEnd w:id="30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اخافه كرد حامل را پس اسقاط جنين كرد و وفات كرد بعد از استهلال، ضامن ديه جنين است از مال خودش يا عاقله او به اختلاف شبه عمد و خطاى محض؛ و هم چنين اگر حامل وفات كرد ضامن ديه او است به يكى از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متعمدِ اتلاف به سبب غالبى يا با قصد اتلاف به سببى كه نادر باشد قتل به آن، بود، قصاص ثابت است بنا بر آن چه اشاره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قصاص موجود نبود، ديه را ضامن است به يكى از دو قسم متقدم</w:t>
      </w:r>
      <w:r>
        <w:rPr>
          <w:rFonts w:eastAsia="IRNazanin" w:cs="IRNazanin"/>
          <w:color w:val="111111"/>
          <w:sz w:val="28"/>
          <w:szCs w:val="28"/>
          <w:rtl w:val="true"/>
          <w:lang w:bidi="fa-IR"/>
        </w:rPr>
        <w:t>.</w:t>
      </w:r>
      <w:bookmarkStart w:id="3093" w:name="pg10275_97014"/>
    </w:p>
    <w:p>
      <w:pPr>
        <w:pStyle w:val="Heading5"/>
        <w:numPr>
          <w:ilvl w:val="4"/>
          <w:numId w:val="1"/>
        </w:numPr>
        <w:rPr/>
      </w:pPr>
      <w:bookmarkStart w:id="3094" w:name="__RefHeading___Toc3973609_1067777946"/>
      <w:bookmarkStart w:id="3095" w:name="_Toc1312"/>
      <w:bookmarkEnd w:id="3093"/>
      <w:bookmarkEnd w:id="3094"/>
      <w:r>
        <w:rPr>
          <w:rtl w:val="true"/>
        </w:rPr>
        <w:t>ضربه به قصد كشتن شخصى و كشته شدن ديگرى</w:t>
      </w:r>
      <w:bookmarkEnd w:id="309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صدمۀ كسى، ديگرى هلاك شد، ضامن ديه او است از مال خود صادم اگر قصد صدم داشته و قصد اهلاك نداشته؛ و اگر قاصد اهلاك بوده يا آن كه صدمه قاتل غالبى بوده، قصاص ثابت است بنا بر آن چه اشاره به آن شد؛ و اگر صادم تلف شد بدون تفريطِ مصدوم،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مصدوم در طريق تنگى كه جايز نبوده وقوف در آن ايستاده بود و اين صدمه واقع شد، صادم ضامن مصدوم نيست با ندانستن واقف يا ضيق موقف او؛ و مصدوم ضامن صادم است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اقوائيّت سبب يا مباشر، و چارۀ ديگرى داشتن يا نداشتن، و اقسام عمد و شبه آن و خطأ و احكام آنها، رعايت مى شود</w:t>
      </w:r>
      <w:r>
        <w:rPr>
          <w:rFonts w:eastAsia="IRNazanin" w:cs="IRNazanin"/>
          <w:color w:val="111111"/>
          <w:sz w:val="28"/>
          <w:szCs w:val="28"/>
          <w:rtl w:val="true"/>
          <w:lang w:bidi="fa-IR"/>
        </w:rPr>
        <w:t>.</w:t>
      </w:r>
    </w:p>
    <w:p>
      <w:pPr>
        <w:pStyle w:val="Heading5"/>
        <w:numPr>
          <w:ilvl w:val="4"/>
          <w:numId w:val="1"/>
        </w:numPr>
        <w:rPr/>
      </w:pPr>
      <w:bookmarkStart w:id="3096" w:name="__RefHeading___Toc3973611_1067777946"/>
      <w:bookmarkStart w:id="3097" w:name="_Toc1313"/>
      <w:bookmarkEnd w:id="3096"/>
      <w:r>
        <w:rPr>
          <w:rtl w:val="true"/>
        </w:rPr>
        <w:t>تصادم دو نفر به همديگر</w:t>
      </w:r>
      <w:bookmarkEnd w:id="3097"/>
    </w:p>
    <w:p>
      <w:pPr>
        <w:pStyle w:val="Heading6"/>
        <w:numPr>
          <w:ilvl w:val="5"/>
          <w:numId w:val="1"/>
        </w:numPr>
        <w:rPr/>
      </w:pPr>
      <w:bookmarkStart w:id="3098" w:name="__RefHeading___Toc3973613_1067777946"/>
      <w:bookmarkStart w:id="3099" w:name="_Toc1314"/>
      <w:bookmarkEnd w:id="3098"/>
      <w:r>
        <w:rPr>
          <w:rtl w:val="true"/>
        </w:rPr>
        <w:t>اشاره</w:t>
      </w:r>
      <w:bookmarkEnd w:id="309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تصادم كردند دو نفر به همديگر به طورى كه در قتل هر يك، دو نفر شريك بودند، هر كدام ضامن نصف ديه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ديه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قصد فعل نه قتل، و تقاصّ مى شود و تفاوت بر آن كسى است كه ضامن 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دو راكب يا دو راجل يا مختلف و بين مستلقى و منكبّ و مختلف ها با فرض موضوع مسأله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نصف قيمت فرس راكب را ضامن است در صورت تلف به تصادم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صدمه هر يكى كافى در قتل ديگرى بود و بدون شراكت بود، هر كدام ضامن تمام ديه ديگرى است و تقاص مى شود و تفاوت بر ضامن زايد است در صورتى كه هر صدمه قاتل، غالبى نباشد بلكه بر حسب اتفاق قاتل باشد، مثل صورت تعاقب دو صدمه مستقله كه هر دو قاتل به مباشرت مى باشند، و مثل صورت عثرۀ مارّى به جالسى كه هر دو تلف شوند، و صورت حفر در غير ملك اگر حافر مجروح به عابر شد و عابر سقوط در چاه كرد و هر دو وفات كردند كه در اينها يكى قاتل به مباشرت و ديگرى قاتل به تسبيب است و هر كدام ضامن تمام ديه ديگرى است و تفاوت بر </w:t>
      </w:r>
      <w:bookmarkStart w:id="3100" w:name="pg10275_97015"/>
    </w:p>
    <w:p>
      <w:pPr>
        <w:pStyle w:val="BookText"/>
        <w:rPr/>
      </w:pPr>
      <w:bookmarkEnd w:id="3100"/>
      <w:r>
        <w:rPr>
          <w:rFonts w:ascii="Amiri" w:hAnsi="Amiri" w:eastAsia="Amiri" w:cs="Amiri"/>
          <w:color w:val="111111"/>
          <w:sz w:val="28"/>
          <w:sz w:val="28"/>
          <w:szCs w:val="28"/>
          <w:rtl w:val="true"/>
          <w:lang w:bidi="ar-SA"/>
        </w:rPr>
        <w:t>ضامن زايد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يكى از صدمه ها بى اثر بود به واسطۀ غايت ضعف، استقلال در تأثير و حكم، مال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فعل هم مقصود نبود، ديه بر عاقله است و تقاصى نيست، مگر آن كه عاقله هر كدام وارث او باشد، و تفاوت بر كسى است كه ضامن زايد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متعمد باشد در قتل يا در فعل، به خلاف ديگرى، هر كدام حكم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مركوب مربوط به عاقله نيست اگر چه خطاى محض باشد</w:t>
      </w:r>
      <w:r>
        <w:rPr>
          <w:rFonts w:eastAsia="IRNazanin" w:cs="IRNazanin"/>
          <w:color w:val="111111"/>
          <w:sz w:val="28"/>
          <w:szCs w:val="28"/>
          <w:rtl w:val="true"/>
          <w:lang w:bidi="fa-IR"/>
        </w:rPr>
        <w:t>.</w:t>
      </w:r>
    </w:p>
    <w:p>
      <w:pPr>
        <w:pStyle w:val="Heading6"/>
        <w:numPr>
          <w:ilvl w:val="5"/>
          <w:numId w:val="1"/>
        </w:numPr>
        <w:rPr/>
      </w:pPr>
      <w:bookmarkStart w:id="3101" w:name="__RefHeading___Toc3973615_1067777946"/>
      <w:bookmarkStart w:id="3102" w:name="_Toc1315"/>
      <w:bookmarkEnd w:id="3101"/>
      <w:r>
        <w:rPr>
          <w:rtl w:val="true"/>
        </w:rPr>
        <w:t>بودن تجاذب در حكم تصادم</w:t>
      </w:r>
      <w:bookmarkEnd w:id="3102"/>
    </w:p>
    <w:p>
      <w:pPr>
        <w:pStyle w:val="BookText"/>
        <w:rPr/>
      </w:pPr>
      <w:r>
        <w:rPr>
          <w:rFonts w:ascii="IRNazanin" w:hAnsi="IRNazanin" w:eastAsia="IRNazanin"/>
          <w:color w:val="111111"/>
          <w:sz w:val="28"/>
          <w:sz w:val="28"/>
          <w:szCs w:val="28"/>
          <w:rtl w:val="true"/>
          <w:lang w:bidi="fa-IR"/>
        </w:rPr>
        <w:t>و تجاذب در حكم تصادم است اگر مثلاً هر دو ريسمانى را گرفتند و معلّق شدند به آن پس قطع شد و هر دو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متقدمه در تصادم، تصوير مى شود در اينجا، اگر هر دو در مالكيّت ريسمان يا غاصبيت آن متساوى بودند؛ و اگر مختلف باشند غاصب، مضمون نيست هلاك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ثالثى در وقت تجاذب دو نفر، ريسمان را قطع نمود و تلف شدند، ضامن هر دو است، از مال خودش يا عاقلۀ او، چه آن كه آن دو مالك يا غاصب يا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ثالث مالك باشد و آن دو غاصب باشند محتمل است عدم ضمان ثالث به سبب قطع بعد از منع و اعلام قطع و اصرار آنها</w:t>
      </w:r>
      <w:r>
        <w:rPr>
          <w:rFonts w:eastAsia="IRNazanin" w:cs="IRNazanin"/>
          <w:color w:val="111111"/>
          <w:sz w:val="28"/>
          <w:szCs w:val="28"/>
          <w:rtl w:val="true"/>
          <w:lang w:bidi="fa-IR"/>
        </w:rPr>
        <w:t>.</w:t>
      </w:r>
    </w:p>
    <w:p>
      <w:pPr>
        <w:pStyle w:val="Heading6"/>
        <w:numPr>
          <w:ilvl w:val="5"/>
          <w:numId w:val="1"/>
        </w:numPr>
        <w:rPr/>
      </w:pPr>
      <w:bookmarkStart w:id="3103" w:name="__RefHeading___Toc3973617_1067777946"/>
      <w:bookmarkStart w:id="3104" w:name="_Toc1316"/>
      <w:bookmarkEnd w:id="3103"/>
      <w:r>
        <w:rPr>
          <w:rtl w:val="true"/>
        </w:rPr>
        <w:t>تصادم دو دابّه بعد از مقلوبيّت</w:t>
      </w:r>
      <w:bookmarkEnd w:id="310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هر دو راكب بودند و مقلوب شدند در مركوب به سببى از مركوبها و تصادم شد بين دو دابّه، محتمل است مهدوريّت هر دو اگر دابّه صائله نيست، به واسطۀ تنزيل به منزله تلف به آفت سماويه؛ و محتمل است كه مثل تصادم دو راكب غير مقلوب در صورت عدم قصد فعل باشد كه خطأ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راجح است در تقدير ضمان اتلافات دابۀ غير صائله از خود يا بر عاقله فى الجمله يا به اختلاف در راكب و مركوب</w:t>
      </w:r>
      <w:r>
        <w:rPr>
          <w:rFonts w:eastAsia="IRNazanin" w:cs="IRNazanin"/>
          <w:color w:val="111111"/>
          <w:sz w:val="28"/>
          <w:szCs w:val="28"/>
          <w:rtl w:val="true"/>
          <w:lang w:bidi="fa-IR"/>
        </w:rPr>
        <w:t xml:space="preserve">. </w:t>
      </w:r>
      <w:bookmarkStart w:id="3105" w:name="pg10275_97016"/>
    </w:p>
    <w:p>
      <w:pPr>
        <w:pStyle w:val="BookText"/>
        <w:rPr/>
      </w:pPr>
      <w:bookmarkEnd w:id="3105"/>
      <w:r>
        <w:rPr>
          <w:rFonts w:ascii="IRNazanin" w:hAnsi="IRNazanin" w:eastAsia="IRNazanin"/>
          <w:color w:val="111111"/>
          <w:sz w:val="28"/>
          <w:sz w:val="28"/>
          <w:szCs w:val="28"/>
          <w:rtl w:val="true"/>
          <w:lang w:bidi="fa-IR"/>
        </w:rPr>
        <w:t>اگر راكب ها كه اصطدام نمودند هر دو صبىّ يا مجنون يا مختلف در صباوت و جنون بودند نصف ديه هر كدام بر عاقلۀ ديگرى است، اگر چه ولىّ آنها براى مصلحت ايشان سوار نموده باشد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نصف دابّۀ هر كدام در فرض شراكت در تلف هر يك بر خود قاصرها و از مال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اركاب ولىّ براى مصلحت راكبها نبوده ضمان ولىّ از مال خودش در شبه عمد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اجنبى اركاب نمود همچنين ضامن ديۀ هر دو صبى و قيمت هر دو مركوب از مال خودش است در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باشند توزيع ديه ها و قيمت هاى دابه بر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نفرى كه اصطدام نمودند و تلف شدند بنده و بالغ و عاقل بودند، جنايت هر دو ساقط مى شود و مولاى هيچ كدام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يكى از آنها آزاد باشد، محتمل است تقاص در ديه دو نصف كه نه بر مولىٰ چيزى باشد نه براى او؛ و محتمل است بر حرّ نصف ديه عبد براى مولاى او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زايد باشد نصف قيمت از نصف ديه حرّ، در مثل حرّ ذمىّ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آن كه حق حرّ است به واسطۀ تلف عبد ساقط باشد، و هم چنين نصف قيمت مركوب عبد ثابت باشد بر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متعين است در صورت موت عبد و فرس او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حرّ فقط وفات كرد نصف ديه او و نصف قيمت مركوب او متعلق به رقبه عبد مى شود براى ورثه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حرّ اصطدام كردند يكى وفات كرد، بر باقى نصف ديۀ ميّت است، مگر آن كه كشف شود بى اثر بودن صدمۀ ميّت كه در اين صورت تمام ديۀ ميّت بر باقى است</w:t>
      </w:r>
      <w:r>
        <w:rPr>
          <w:rFonts w:eastAsia="IRNazanin" w:cs="IRNazanin"/>
          <w:color w:val="111111"/>
          <w:sz w:val="28"/>
          <w:szCs w:val="28"/>
          <w:rtl w:val="true"/>
          <w:lang w:bidi="fa-IR"/>
        </w:rPr>
        <w:t>.</w:t>
      </w:r>
    </w:p>
    <w:p>
      <w:pPr>
        <w:pStyle w:val="Heading6"/>
        <w:numPr>
          <w:ilvl w:val="5"/>
          <w:numId w:val="1"/>
        </w:numPr>
        <w:rPr/>
      </w:pPr>
      <w:bookmarkStart w:id="3106" w:name="__RefHeading___Toc3973619_1067777946"/>
      <w:bookmarkStart w:id="3107" w:name="_Toc1317"/>
      <w:bookmarkEnd w:id="3106"/>
      <w:r>
        <w:rPr>
          <w:rtl w:val="true"/>
        </w:rPr>
        <w:t>تصادم دو حامل</w:t>
      </w:r>
      <w:bookmarkEnd w:id="310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حامل تصادم كردند و اسقاط كردند و وفات كردند، هر كدام نصف ديه ديگرى و نصف ديه جنين كامل را ضامن است، و بر ورثه هر كدام مقاصه، و اداى تفاوت بر ضامن زيادتى است 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اصطدام مقصود نبوده ديه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ذكورت و انوثت جنين معلوم نشود ربع ديه ذكر و ربع ديه انثىٰ ثابت است؛ و در </w:t>
      </w:r>
      <w:bookmarkStart w:id="3108" w:name="pg10275_97017"/>
    </w:p>
    <w:p>
      <w:pPr>
        <w:pStyle w:val="BookText"/>
        <w:rPr/>
      </w:pPr>
      <w:bookmarkEnd w:id="3108"/>
      <w:r>
        <w:rPr>
          <w:rFonts w:ascii="IRNazanin" w:hAnsi="IRNazanin" w:eastAsia="IRNazanin"/>
          <w:color w:val="111111"/>
          <w:sz w:val="28"/>
          <w:sz w:val="28"/>
          <w:szCs w:val="28"/>
          <w:rtl w:val="true"/>
          <w:lang w:bidi="fa-IR"/>
        </w:rPr>
        <w:t>صورت اختلاف در اين جهت هر كدام حكم خودش را دارد؛ و بر هر كدام چهار كفّاره واجب مى شود، يعنى براى خودش و جنين خود، و صاحبه اش و جنين او بنا بر آن كه كفاره بر شريك در قتل نفس يا غير به نحو كامل است</w:t>
      </w:r>
      <w:r>
        <w:rPr>
          <w:rFonts w:eastAsia="IRNazanin" w:cs="IRNazanin"/>
          <w:color w:val="111111"/>
          <w:sz w:val="28"/>
          <w:szCs w:val="28"/>
          <w:rtl w:val="true"/>
          <w:lang w:bidi="fa-IR"/>
        </w:rPr>
        <w:t>.</w:t>
      </w:r>
    </w:p>
    <w:p>
      <w:pPr>
        <w:pStyle w:val="Heading5"/>
        <w:numPr>
          <w:ilvl w:val="4"/>
          <w:numId w:val="1"/>
        </w:numPr>
        <w:rPr/>
      </w:pPr>
      <w:bookmarkStart w:id="3109" w:name="__RefHeading___Toc3973621_1067777946"/>
      <w:bookmarkStart w:id="3110" w:name="_Toc1318"/>
      <w:bookmarkEnd w:id="3109"/>
      <w:r>
        <w:rPr>
          <w:rtl w:val="true"/>
        </w:rPr>
        <w:t>ديۀ كسى كه از بين تيراندازها عبور مى كند</w:t>
      </w:r>
      <w:bookmarkEnd w:id="3110"/>
    </w:p>
    <w:p>
      <w:pPr>
        <w:pStyle w:val="Heading6"/>
        <w:numPr>
          <w:ilvl w:val="5"/>
          <w:numId w:val="1"/>
        </w:numPr>
        <w:rPr/>
      </w:pPr>
      <w:bookmarkStart w:id="3111" w:name="__RefHeading___Toc3973623_1067777946"/>
      <w:bookmarkStart w:id="3112" w:name="_Toc1319"/>
      <w:bookmarkEnd w:id="3111"/>
      <w:r>
        <w:rPr>
          <w:rtl w:val="true"/>
        </w:rPr>
        <w:t>اشاره</w:t>
      </w:r>
      <w:bookmarkEnd w:id="311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مرور كرد بين تيراندازها با اباحه مكان مروركننده پس اصابت كرد به او تيرى و وفات كرد، ديه بر عاقله رامى است در تقدير خطأ محض كه در فعل و قصد مخطى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ابلاغ و اسماع كرد، عاقله ضامن نيست، بلكه ضمانى نيست با اباحۀ مرمى بر رامى و معبر بر مارّ؛ و همچنين در تقدير عدم اباحه بر مارّ، نسبت به عدم ضمان، مثل دخول در ملك رامى بدون اذن و با تحذير مذكور كه احتمال مصادفت به خطأ را به حسب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كالعدم قرار مى دهد، يا آن كه استناد مصادفت را به مارّ اقوى مى نمايد</w:t>
      </w:r>
      <w:r>
        <w:rPr>
          <w:rFonts w:eastAsia="IRNazanin" w:cs="IRNazanin"/>
          <w:color w:val="111111"/>
          <w:sz w:val="28"/>
          <w:szCs w:val="28"/>
          <w:rtl w:val="true"/>
          <w:lang w:bidi="fa-IR"/>
        </w:rPr>
        <w:t>.</w:t>
      </w:r>
    </w:p>
    <w:p>
      <w:pPr>
        <w:pStyle w:val="Heading6"/>
        <w:numPr>
          <w:ilvl w:val="5"/>
          <w:numId w:val="1"/>
        </w:numPr>
        <w:rPr/>
      </w:pPr>
      <w:bookmarkStart w:id="3113" w:name="__RefHeading___Toc3973625_1067777946"/>
      <w:bookmarkStart w:id="3114" w:name="_Toc1320"/>
      <w:bookmarkEnd w:id="3113"/>
      <w:r>
        <w:rPr>
          <w:rtl w:val="true"/>
        </w:rPr>
        <w:t>اگر كسى را به تيراندازها نزديك كند</w:t>
      </w:r>
      <w:bookmarkEnd w:id="3114"/>
    </w:p>
    <w:p>
      <w:pPr>
        <w:pStyle w:val="BookText"/>
        <w:rPr/>
      </w:pPr>
      <w:r>
        <w:rPr>
          <w:rFonts w:ascii="IRNazanin" w:hAnsi="IRNazanin" w:eastAsia="IRNazanin"/>
          <w:color w:val="111111"/>
          <w:sz w:val="28"/>
          <w:sz w:val="28"/>
          <w:szCs w:val="28"/>
          <w:rtl w:val="true"/>
          <w:lang w:bidi="fa-IR"/>
        </w:rPr>
        <w:t>اگر انسان غافلى را به رامى نزديك كرد بدون قصد از هيچ كدام، اظهر ضمان رامى يا عاقله آن است به اختلاف شبه عمد و خطاى محض؛ و عالم به حال، مضمونٌ له نيست بلكه ضامن است در محل قابل؛ و اين در صورت عدم تحذير است كه رامى ضامن مارّ است يا عاقله 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متعمد در قتل بود به نحوى كه شرط قصاص موجود شد مورد 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صبىّ‌، خودش نزديك شد رامى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مميّز باشد بنا بر اظهر از ترجيح عموم خطا بودن عمد صبىّ‌</w:t>
      </w:r>
      <w:r>
        <w:rPr>
          <w:rFonts w:eastAsia="IRNazanin" w:cs="IRNazanin"/>
          <w:color w:val="111111"/>
          <w:sz w:val="28"/>
          <w:szCs w:val="28"/>
          <w:rtl w:val="true"/>
          <w:lang w:bidi="fa-IR"/>
        </w:rPr>
        <w:t>.</w:t>
      </w:r>
    </w:p>
    <w:p>
      <w:pPr>
        <w:pStyle w:val="Heading5"/>
        <w:numPr>
          <w:ilvl w:val="4"/>
          <w:numId w:val="1"/>
        </w:numPr>
        <w:rPr/>
      </w:pPr>
      <w:bookmarkStart w:id="3115" w:name="__RefHeading___Toc3973627_1067777946"/>
      <w:bookmarkStart w:id="3116" w:name="_Toc1321"/>
      <w:bookmarkEnd w:id="3115"/>
      <w:r>
        <w:rPr>
          <w:rtl w:val="true"/>
        </w:rPr>
        <w:t>ضمان ختّان</w:t>
      </w:r>
      <w:bookmarkEnd w:id="311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ختّان قطع كرد حشفه طفل را، ضامن است اگر قصد قطع نداشته، از مال</w:t>
      </w:r>
      <w:bookmarkStart w:id="3117" w:name="pg10275_97018"/>
    </w:p>
    <w:p>
      <w:pPr>
        <w:pStyle w:val="BookText"/>
        <w:rPr/>
      </w:pPr>
      <w:bookmarkEnd w:id="3117"/>
      <w:r>
        <w:rPr>
          <w:rFonts w:ascii="IRNazanin" w:hAnsi="IRNazanin" w:eastAsia="IRNazanin"/>
          <w:color w:val="111111"/>
          <w:sz w:val="28"/>
          <w:sz w:val="28"/>
          <w:szCs w:val="28"/>
          <w:rtl w:val="true"/>
          <w:lang w:bidi="fa-IR"/>
        </w:rPr>
        <w:t>خودش، چون شبه عمد است؛ و اذن، ضمان را رفع نمى كند مگر استظهار برائت شود و آن متعارف در مثل اين گونه اعمال نيست</w:t>
      </w:r>
      <w:r>
        <w:rPr>
          <w:rFonts w:eastAsia="IRNazanin" w:cs="IRNazanin"/>
          <w:color w:val="111111"/>
          <w:sz w:val="28"/>
          <w:szCs w:val="28"/>
          <w:rtl w:val="true"/>
          <w:lang w:bidi="fa-IR"/>
        </w:rPr>
        <w:t>.</w:t>
      </w:r>
    </w:p>
    <w:p>
      <w:pPr>
        <w:pStyle w:val="Heading5"/>
        <w:numPr>
          <w:ilvl w:val="4"/>
          <w:numId w:val="1"/>
        </w:numPr>
        <w:rPr/>
      </w:pPr>
      <w:bookmarkStart w:id="3118" w:name="__RefHeading___Toc3973629_1067777946"/>
      <w:bookmarkStart w:id="3119" w:name="_Toc1322"/>
      <w:bookmarkEnd w:id="3118"/>
      <w:r>
        <w:rPr>
          <w:rtl w:val="true"/>
        </w:rPr>
        <w:t>كسى كه از بلندى بر ديگرى سقوط كند</w:t>
      </w:r>
      <w:bookmarkEnd w:id="311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بلندى افتاد بر ديگرى و آن ديگرى وفات كرد، پس با تحقّق عمديّت قتل، مورد قصاص است؛ و با قصد فعل نه قتل، شبه عمد، و ديه از مال او است؛ و با عدم قصد فعل هم با صحت اسناد، خطأ محض است و ديه بر عاقله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صورتى است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از روى غفلت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اِلجاى هوا افتاد به روى ديگرى، ضامن نيست به هيچ وجه، يعنى نه از خود و نه بر عاقله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انقلاب بر ديگرى در خواب، از اين قسم نيست بلكه از قسم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ظاهر است كه اگر ثالثى از روى الجاء، ايقاع كرد غير را بر روى ديگرى، ضمان بر ثالث ملجى است نه بر واقع از روى الجاء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وقوع از روى الجاء نبود و واقع تلف شد، كسى ضامن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الجاء و دفع، ضمان بر آن دافع ثالث است؛ و هم چنين قصاص با تحقق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واقعِ مدفوع و اسفل هر دو تلف شدند، ضمان هر دو بر دافع عالى ثالث است به نحوى كه متقدم شد از اقسام خطأ و عمد</w:t>
      </w:r>
      <w:r>
        <w:rPr>
          <w:rFonts w:eastAsia="IRNazanin" w:cs="IRNazanin"/>
          <w:color w:val="111111"/>
          <w:sz w:val="28"/>
          <w:szCs w:val="28"/>
          <w:rtl w:val="true"/>
          <w:lang w:bidi="fa-IR"/>
        </w:rPr>
        <w:t>.</w:t>
      </w:r>
    </w:p>
    <w:p>
      <w:pPr>
        <w:pStyle w:val="Heading5"/>
        <w:numPr>
          <w:ilvl w:val="4"/>
          <w:numId w:val="1"/>
        </w:numPr>
        <w:rPr/>
      </w:pPr>
      <w:bookmarkStart w:id="3120" w:name="__RefHeading___Toc3973631_1067777946"/>
      <w:bookmarkStart w:id="3121" w:name="_Toc1323"/>
      <w:bookmarkEnd w:id="3120"/>
      <w:r>
        <w:rPr>
          <w:rtl w:val="true"/>
        </w:rPr>
        <w:t>تحريك حمل كننده چيزى و افتادن آن چيز</w:t>
      </w:r>
      <w:bookmarkEnd w:id="312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نخس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حامل محمولى را، يا به سببى ديگر او را جنبانيد و بى 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او را، تا محمول افتاد و هلاك شد، پس اگر الجاء كرد حامل را كه در حركت خودش و اضطراب خودش اختيارى نداشت، ضامن، ثالث كه نخس كرده است مى باشد؛ و اگر مختار بود، حامل، ضامن است در صورتى كه محمول، متعدّى در</w:t>
      </w:r>
      <w:bookmarkStart w:id="3122" w:name="pg10275_97019"/>
    </w:p>
    <w:p>
      <w:pPr>
        <w:pStyle w:val="BookText"/>
        <w:rPr/>
      </w:pPr>
      <w:bookmarkEnd w:id="3122"/>
      <w:r>
        <w:rPr>
          <w:rFonts w:ascii="IRNazanin" w:hAnsi="IRNazanin" w:eastAsia="IRNazanin"/>
          <w:color w:val="111111"/>
          <w:sz w:val="28"/>
          <w:sz w:val="28"/>
          <w:szCs w:val="28"/>
          <w:rtl w:val="true"/>
          <w:lang w:bidi="fa-IR"/>
        </w:rPr>
        <w:t xml:space="preserve">محمول بودن نباشد، وگرنه محتمل است هدر باشد؛ و محتمل است نصف ديه بر ناخس در صورت الجاء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در صورت اختيار باشد؛ و در صورت مجهول بودن حال از حيث الجاء و اختيار، و تعدّى و عدم، محتمل است دو ثلث ديه توزيع بر ناخس و حامل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هر كه بر او ديه ثابت است رعايت عمد و شبه عمد و خطأ محض و قصد قتل يا غلبه قتل به نحو متقدم مى شود</w:t>
      </w:r>
      <w:r>
        <w:rPr>
          <w:rFonts w:eastAsia="IRNazanin" w:cs="IRNazanin"/>
          <w:color w:val="111111"/>
          <w:sz w:val="28"/>
          <w:szCs w:val="28"/>
          <w:rtl w:val="true"/>
          <w:lang w:bidi="fa-IR"/>
        </w:rPr>
        <w:t>.</w:t>
      </w:r>
    </w:p>
    <w:p>
      <w:pPr>
        <w:pStyle w:val="Heading5"/>
        <w:numPr>
          <w:ilvl w:val="4"/>
          <w:numId w:val="1"/>
        </w:numPr>
        <w:rPr/>
      </w:pPr>
      <w:bookmarkStart w:id="3123" w:name="__RefHeading___Toc3973633_1067777946"/>
      <w:bookmarkStart w:id="3124" w:name="_Toc1324"/>
      <w:bookmarkEnd w:id="3123"/>
      <w:r>
        <w:rPr>
          <w:rtl w:val="true"/>
        </w:rPr>
        <w:t>ضمان دعوت كننده در شب</w:t>
      </w:r>
      <w:bookmarkEnd w:id="312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دعوت نمايد غير را و در شب او را از منزلش خارج نمايد، ضامن او است تا آن كه ثابت نمايد رجوع به منزل را، و ديه بر او است از مال خودش نه بر عاقله اگر چه معلوم نباشد موت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شود عمد به قتل و قتل عمدى، مورد قصاص است اگر چه با اقرار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شود خطأ محض، ديه بر عاقله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التماس خودش خارج شد و مصاحبت كرد ضمان نيست، و هم چنين اگر به خيال دعوت، خارج و مدعوّ ديگرى بوده، يا به سبب تخيير نه استدعا، خارج شد و مصاحبت كرد، يا آن كه اجير براى عملى در خارج منزل در شب شد و خارج شد با مصاحبت 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احكام قتل عمدى مترتّب نمى شود تا ثابت نشود به مجرّد خروج با دعوت؛ و منع از ارث محقق نمى شود با موجب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دعوت كننده جماعتى باشند، توزيع مى شود ديه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دعوت كرد جماعتى را ضامن ديه هر كدام است به نحو 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مدعوّ، مقتول ديده شد و دعوت كننده اقرار نكرد و ادّعا كرد قتل ديگرى را، پس اگر اقامه بيّنه بر مدعاى خود كرد برىء است از قصاص، وگرنه اظهر عدم استحقاق قصاص است و ديه بر او ثابت است چنان چه گذشت؛ و احتمال قصاص با قسامه يا لوث به سبب امارات زايده بر مفروض در اصل مسأله، قائم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ديده شد مدعوّ ميّت است، پس با علم به قتل غير يا اقامه بيّنه بر آن يا علم </w:t>
      </w:r>
      <w:bookmarkStart w:id="3125" w:name="pg10275_97020"/>
    </w:p>
    <w:p>
      <w:pPr>
        <w:pStyle w:val="BookText"/>
        <w:rPr/>
      </w:pPr>
      <w:bookmarkEnd w:id="3125"/>
      <w:r>
        <w:rPr>
          <w:rFonts w:ascii="IRNazanin" w:hAnsi="IRNazanin" w:eastAsia="IRNazanin"/>
          <w:color w:val="111111"/>
          <w:sz w:val="28"/>
          <w:sz w:val="28"/>
          <w:szCs w:val="28"/>
          <w:rtl w:val="true"/>
          <w:lang w:bidi="fa-IR"/>
        </w:rPr>
        <w:t>بموت طبيعى خود، ضامن نيست دعوت كننده؛ و با احتمال آن كه موت او مستند به دعوت كننده بوده و به سببى غير ظاهر از ناحيه او موت او بوده است، ضامن ديه از مال خودش است چنان چه گذشت</w:t>
      </w:r>
      <w:r>
        <w:rPr>
          <w:rFonts w:eastAsia="IRNazanin" w:cs="IRNazanin"/>
          <w:color w:val="111111"/>
          <w:sz w:val="28"/>
          <w:szCs w:val="28"/>
          <w:rtl w:val="true"/>
          <w:lang w:bidi="fa-IR"/>
        </w:rPr>
        <w:t>.</w:t>
      </w:r>
    </w:p>
    <w:p>
      <w:pPr>
        <w:pStyle w:val="Heading5"/>
        <w:numPr>
          <w:ilvl w:val="4"/>
          <w:numId w:val="1"/>
        </w:numPr>
        <w:rPr/>
      </w:pPr>
      <w:bookmarkStart w:id="3126" w:name="__RefHeading___Toc3973635_1067777946"/>
      <w:bookmarkStart w:id="3127" w:name="_Toc1325"/>
      <w:bookmarkEnd w:id="3126"/>
      <w:r>
        <w:rPr>
          <w:rtl w:val="true"/>
        </w:rPr>
        <w:t>منكر شدن اهل طفل را بعد از آوردن توسط دايه</w:t>
      </w:r>
      <w:bookmarkEnd w:id="312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دايه، طفل را بعد از مدتى احضار كرد و اهل طفل او را انكار نمودند، تصديق مى شود، تا ثابت شود مغايرت به سبب كبر سنّ و نحو آن؛ و احوط ضمّ يمين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تقدير ثبوت، قول او مقبول نيست، و بر او است ديه يا احضار مورد احتمال، پس قبول مى شود با يمين او در احضار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قول سابق او معلوم الكذب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كذب او در احضار اخير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ضمان ثابت است با اقرار به استيجار و دفع به دايۀ ديگر بدون اذن اهل</w:t>
      </w:r>
      <w:r>
        <w:rPr>
          <w:rFonts w:eastAsia="IRNazanin" w:cs="IRNazanin"/>
          <w:color w:val="111111"/>
          <w:sz w:val="28"/>
          <w:szCs w:val="28"/>
          <w:rtl w:val="true"/>
          <w:lang w:bidi="fa-IR"/>
        </w:rPr>
        <w:t>.</w:t>
      </w:r>
    </w:p>
    <w:p>
      <w:pPr>
        <w:pStyle w:val="Heading5"/>
        <w:numPr>
          <w:ilvl w:val="4"/>
          <w:numId w:val="1"/>
        </w:numPr>
        <w:rPr/>
      </w:pPr>
      <w:bookmarkStart w:id="3128" w:name="__RefHeading___Toc3973637_1067777946"/>
      <w:bookmarkStart w:id="3129" w:name="_Toc1326"/>
      <w:bookmarkEnd w:id="3128"/>
      <w:r>
        <w:rPr>
          <w:rtl w:val="true"/>
        </w:rPr>
        <w:t>از بين رفتن طفل توسط افتادن دايه بر او</w:t>
      </w:r>
      <w:bookmarkEnd w:id="312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دايه منقلب شد بر طفل مرتضع و او را تلف كرد، لازم است ديه بر عاقله او چون خطأ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فقر ارضاع نكرده بلكه براى جاه و عزّت و فخر اين عمل را قبول كرده و اين واقعه حادث شد، مروىّ است كه ضمان بر خودش از مال او است و الحاق به شبه عمد مى شود، و اين خالى از وجه نيست</w:t>
      </w:r>
      <w:r>
        <w:rPr>
          <w:rFonts w:eastAsia="IRNazanin" w:cs="IRNazanin"/>
          <w:color w:val="111111"/>
          <w:sz w:val="28"/>
          <w:szCs w:val="28"/>
          <w:rtl w:val="true"/>
          <w:lang w:bidi="fa-IR"/>
        </w:rPr>
        <w:t>.</w:t>
      </w:r>
    </w:p>
    <w:p>
      <w:pPr>
        <w:pStyle w:val="Heading5"/>
        <w:numPr>
          <w:ilvl w:val="4"/>
          <w:numId w:val="1"/>
        </w:numPr>
        <w:rPr/>
      </w:pPr>
      <w:bookmarkStart w:id="3130" w:name="__RefHeading___Toc3973639_1067777946"/>
      <w:bookmarkStart w:id="3131" w:name="_Toc1327"/>
      <w:bookmarkEnd w:id="3130"/>
      <w:r>
        <w:rPr>
          <w:rtl w:val="true"/>
        </w:rPr>
        <w:t xml:space="preserve">تطبيق محقق </w:t>
      </w:r>
      <w:r>
        <w:rPr>
          <w:rtl w:val="true"/>
        </w:rPr>
        <w:t xml:space="preserve">- </w:t>
      </w:r>
      <w:r>
        <w:rPr>
          <w:rtl w:val="true"/>
        </w:rPr>
        <w:t xml:space="preserve">قدس سره </w:t>
      </w:r>
      <w:r>
        <w:rPr>
          <w:rtl w:val="true"/>
        </w:rPr>
        <w:t xml:space="preserve">- </w:t>
      </w:r>
      <w:r>
        <w:rPr>
          <w:rtl w:val="true"/>
        </w:rPr>
        <w:t>روايتى را بر دخول سارق بر زن</w:t>
      </w:r>
      <w:bookmarkEnd w:id="313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تطبيق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مسأله رابعه، روايت صحيحۀ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دخول سارق بر زن، خالى از استقامت نيست بر تقدير عمل به فقرات آن، كه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موالى ديه را، و تقدير آن به چهار هزار درهم باعتبار تعيّن مهر المثل در آن زمان به اين قدر است، و تطبيق مضمون بر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اين تقدير خارج از مقتضاى قواعد عامه نيست، تفصيل آن مذكور نمى شود</w:t>
      </w:r>
      <w:r>
        <w:rPr>
          <w:rFonts w:eastAsia="IRNazanin" w:cs="IRNazanin"/>
          <w:color w:val="111111"/>
          <w:sz w:val="28"/>
          <w:szCs w:val="28"/>
          <w:rtl w:val="true"/>
          <w:lang w:bidi="fa-IR"/>
        </w:rPr>
        <w:t>.</w:t>
      </w:r>
      <w:bookmarkStart w:id="3132" w:name="pg10275_97021"/>
    </w:p>
    <w:p>
      <w:pPr>
        <w:pStyle w:val="Heading4"/>
        <w:numPr>
          <w:ilvl w:val="3"/>
          <w:numId w:val="1"/>
        </w:numPr>
        <w:rPr/>
      </w:pPr>
      <w:bookmarkStart w:id="3133" w:name="__RefHeading___Toc3973641_1067777946"/>
      <w:bookmarkStart w:id="3134" w:name="_Toc1328"/>
      <w:bookmarkEnd w:id="3132"/>
      <w:bookmarkEnd w:id="3133"/>
      <w:r>
        <w:rPr/>
        <w:t>2</w:t>
      </w:r>
      <w:r>
        <w:rPr>
          <w:rtl w:val="true"/>
        </w:rPr>
        <w:t xml:space="preserve">. </w:t>
      </w:r>
      <w:r>
        <w:rPr>
          <w:rtl w:val="true"/>
        </w:rPr>
        <w:t xml:space="preserve">اسباب موجبۀ ضمان </w:t>
      </w:r>
      <w:r>
        <w:rPr>
          <w:rtl w:val="true"/>
        </w:rPr>
        <w:t>(</w:t>
      </w:r>
      <w:r>
        <w:rPr>
          <w:rtl w:val="true"/>
        </w:rPr>
        <w:t>ضمان به تسبيب</w:t>
      </w:r>
      <w:r>
        <w:rPr>
          <w:rtl w:val="true"/>
        </w:rPr>
        <w:t>)</w:t>
      </w:r>
      <w:bookmarkEnd w:id="3134"/>
    </w:p>
    <w:p>
      <w:pPr>
        <w:pStyle w:val="Heading5"/>
        <w:numPr>
          <w:ilvl w:val="4"/>
          <w:numId w:val="1"/>
        </w:numPr>
        <w:rPr/>
      </w:pPr>
      <w:bookmarkStart w:id="3135" w:name="__RefHeading___Toc3973643_1067777946"/>
      <w:bookmarkStart w:id="3136" w:name="_Toc1329"/>
      <w:bookmarkEnd w:id="3135"/>
      <w:r>
        <w:rPr>
          <w:rtl w:val="true"/>
        </w:rPr>
        <w:t>معناى سبب</w:t>
      </w:r>
      <w:bookmarkEnd w:id="3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چيزى كه دخالت در تلف داشته باشد لكن علت قريبه، غير آن است، مثل حفر بئر و نصب سكّين و القاى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دخالت در تلف لغزش عابر است</w:t>
      </w:r>
      <w:r>
        <w:rPr>
          <w:rFonts w:eastAsia="IRNazanin" w:cs="IRNazanin"/>
          <w:color w:val="111111"/>
          <w:sz w:val="28"/>
          <w:szCs w:val="28"/>
          <w:rtl w:val="true"/>
          <w:lang w:bidi="fa-IR"/>
        </w:rPr>
        <w:t>.</w:t>
      </w:r>
    </w:p>
    <w:p>
      <w:pPr>
        <w:pStyle w:val="Heading5"/>
        <w:numPr>
          <w:ilvl w:val="4"/>
          <w:numId w:val="1"/>
        </w:numPr>
        <w:rPr/>
      </w:pPr>
      <w:bookmarkStart w:id="3137" w:name="__RefHeading___Toc3973645_1067777946"/>
      <w:bookmarkStart w:id="3138" w:name="_Toc1330"/>
      <w:bookmarkEnd w:id="3137"/>
      <w:r>
        <w:rPr>
          <w:rtl w:val="true"/>
        </w:rPr>
        <w:t>تلف به وسيله گذاردن سنگى در ملك خود يا معبر عام</w:t>
      </w:r>
      <w:bookmarkEnd w:id="3138"/>
    </w:p>
    <w:p>
      <w:pPr>
        <w:pStyle w:val="Heading6"/>
        <w:numPr>
          <w:ilvl w:val="5"/>
          <w:numId w:val="1"/>
        </w:numPr>
        <w:rPr/>
      </w:pPr>
      <w:bookmarkStart w:id="3139" w:name="__RefHeading___Toc3973647_1067777946"/>
      <w:bookmarkStart w:id="3140" w:name="_Toc1331"/>
      <w:bookmarkEnd w:id="3139"/>
      <w:r>
        <w:rPr>
          <w:rtl w:val="true"/>
        </w:rPr>
        <w:t>اشاره</w:t>
      </w:r>
      <w:bookmarkEnd w:id="3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سنگى را در ملك خودش يا آن چه به منزله ملك است گذاشت، ضامن تلف به سبب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غير ملك خودش يا در معبر عام گذاشت، ضامن است مگر آن كه براى مصلحت عموم باشد به نحوى كه اگر استيذان از امام مى كرد با خصوصياتش اذن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وضع حجر است در حكم مذكور، در ملك و غير ملك، حفر حفيره و حفر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سنگى را در معبر عام گذاشت بدون مصلحت عام و دو نفر سنگ ديگرى را گذاشتند و به مجموع، لغزش عابرى حاصل شد، اظهر تنصيف ديه است بين يك نفرى كه يك سنگ گذاشته و دو نفرى كه سنگ ديگر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نصب حجر است، نصب كارد در معبر كه سبب لغزيدن پاى عبوركننده است به تفصيل مذكور</w:t>
      </w:r>
      <w:r>
        <w:rPr>
          <w:rFonts w:eastAsia="IRNazanin" w:cs="IRNazanin"/>
          <w:color w:val="111111"/>
          <w:sz w:val="28"/>
          <w:szCs w:val="28"/>
          <w:rtl w:val="true"/>
          <w:lang w:bidi="fa-IR"/>
        </w:rPr>
        <w:t>.</w:t>
      </w:r>
    </w:p>
    <w:p>
      <w:pPr>
        <w:pStyle w:val="Heading6"/>
        <w:numPr>
          <w:ilvl w:val="5"/>
          <w:numId w:val="1"/>
        </w:numPr>
        <w:rPr/>
      </w:pPr>
      <w:bookmarkStart w:id="3141" w:name="__RefHeading___Toc3973649_1067777946"/>
      <w:bookmarkStart w:id="3142" w:name="_Toc1332"/>
      <w:bookmarkEnd w:id="3141"/>
      <w:r>
        <w:rPr>
          <w:rtl w:val="true"/>
        </w:rPr>
        <w:t>سنگى كه سيل آن را آورده باشد</w:t>
      </w:r>
      <w:bookmarkEnd w:id="3142"/>
    </w:p>
    <w:p>
      <w:pPr>
        <w:pStyle w:val="BookText"/>
        <w:rPr/>
      </w:pPr>
      <w:r>
        <w:rPr>
          <w:rFonts w:ascii="IRNazanin" w:hAnsi="IRNazanin" w:eastAsia="IRNazanin"/>
          <w:color w:val="111111"/>
          <w:sz w:val="28"/>
          <w:sz w:val="28"/>
          <w:szCs w:val="28"/>
          <w:rtl w:val="true"/>
          <w:lang w:bidi="fa-IR"/>
        </w:rPr>
        <w:t>و اگر سنگ را سيل آورد در معبر، كسى ضامن تلف به آن نيست اگر چه متمكن از ازاله بود و نكرد، به خلاف آن كه تبديل مكان آن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ضمان به نقل به اقل ضرراً بلكه مساوى تأمل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جنب سنگ سيل، سنگى گذاشت، اظهر ضمان نصف ديه و مهدوريت نصف ديگر است</w:t>
      </w:r>
      <w:r>
        <w:rPr>
          <w:rFonts w:eastAsia="IRNazanin" w:cs="IRNazanin"/>
          <w:color w:val="111111"/>
          <w:sz w:val="28"/>
          <w:szCs w:val="28"/>
          <w:rtl w:val="true"/>
          <w:lang w:bidi="fa-IR"/>
        </w:rPr>
        <w:t xml:space="preserve">. </w:t>
      </w:r>
      <w:bookmarkStart w:id="3143" w:name="pg10275_97022"/>
    </w:p>
    <w:p>
      <w:pPr>
        <w:pStyle w:val="Heading6"/>
        <w:numPr>
          <w:ilvl w:val="5"/>
          <w:numId w:val="1"/>
        </w:numPr>
        <w:rPr/>
      </w:pPr>
      <w:bookmarkStart w:id="3144" w:name="__RefHeading___Toc3973651_1067777946"/>
      <w:bookmarkStart w:id="3145" w:name="_Toc1333"/>
      <w:bookmarkEnd w:id="3143"/>
      <w:bookmarkEnd w:id="3144"/>
      <w:r>
        <w:rPr>
          <w:rtl w:val="true"/>
        </w:rPr>
        <w:t>حفر چاه در كنار سنگ سيل</w:t>
      </w:r>
      <w:bookmarkEnd w:id="3145"/>
    </w:p>
    <w:p>
      <w:pPr>
        <w:pStyle w:val="BookText"/>
        <w:rPr/>
      </w:pPr>
      <w:r>
        <w:rPr>
          <w:rFonts w:ascii="IRNazanin" w:hAnsi="IRNazanin" w:eastAsia="IRNazanin"/>
          <w:color w:val="111111"/>
          <w:sz w:val="28"/>
          <w:sz w:val="28"/>
          <w:szCs w:val="28"/>
          <w:rtl w:val="true"/>
          <w:lang w:bidi="fa-IR"/>
        </w:rPr>
        <w:t>اگر در جنب سنگ سيل، حفر بئرى نمود و به واسطۀ لغزش از سنگ، واقع شد عابر در چاه و تلف شد، يا آن كه يكى وضع سنگ كرد و ديگرى حفر بئر و هر دو متعدى بودند، اظهر ضمان نصف است براى هر كدام از حافر و واضع سنگ اگر چه با هم نباشد و به تعاقب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متعدّى بود، بر خصوص او ضمان نصف است بنا بر اظهر و بر ديگرى چيزى نيست، در صورتى كه به مجموع اين دو عمل، تلف واقع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بين بئر مكشوف و مغطّىٰ نيست در صورتى كه اقوى نباشد تأثير غير حفر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تردّى مالك و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مالك در دخول يا بدون اذن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تقدير عدم ضمان به واسطۀ وقوع حفر در ملك</w:t>
      </w:r>
      <w:r>
        <w:rPr>
          <w:rFonts w:eastAsia="IRNazanin" w:cs="IRNazanin"/>
          <w:color w:val="111111"/>
          <w:sz w:val="28"/>
          <w:szCs w:val="28"/>
          <w:rtl w:val="true"/>
          <w:lang w:bidi="fa-IR"/>
        </w:rPr>
        <w:t>.</w:t>
      </w:r>
    </w:p>
    <w:p>
      <w:pPr>
        <w:pStyle w:val="Heading6"/>
        <w:numPr>
          <w:ilvl w:val="5"/>
          <w:numId w:val="1"/>
        </w:numPr>
        <w:rPr/>
      </w:pPr>
      <w:bookmarkStart w:id="3146" w:name="__RefHeading___Toc3973653_1067777946"/>
      <w:bookmarkStart w:id="3147" w:name="_Toc1334"/>
      <w:bookmarkEnd w:id="3146"/>
      <w:r>
        <w:rPr>
          <w:rtl w:val="true"/>
        </w:rPr>
        <w:t>سقوط ضمان از حافر با لحوق به رضاى مالك قبل از سقوط</w:t>
      </w:r>
      <w:bookmarkEnd w:id="3147"/>
    </w:p>
    <w:p>
      <w:pPr>
        <w:pStyle w:val="BookText"/>
        <w:rPr/>
      </w:pPr>
      <w:r>
        <w:rPr>
          <w:rFonts w:ascii="IRNazanin" w:hAnsi="IRNazanin" w:eastAsia="IRNazanin"/>
          <w:color w:val="111111"/>
          <w:sz w:val="28"/>
          <w:sz w:val="28"/>
          <w:szCs w:val="28"/>
          <w:rtl w:val="true"/>
          <w:lang w:bidi="fa-IR"/>
        </w:rPr>
        <w:t>اظهر سقوط ضمان است از حافر اگر ملحوق به رضاى مالك در بقا شد قبل از وقوع عابر در آن، و اين كه به منزلۀ حفر مالك مى شود</w:t>
      </w:r>
      <w:r>
        <w:rPr>
          <w:rFonts w:eastAsia="IRNazanin" w:cs="IRNazanin"/>
          <w:color w:val="111111"/>
          <w:sz w:val="28"/>
          <w:szCs w:val="28"/>
          <w:rtl w:val="true"/>
          <w:lang w:bidi="fa-IR"/>
        </w:rPr>
        <w:t>.</w:t>
      </w:r>
    </w:p>
    <w:p>
      <w:pPr>
        <w:pStyle w:val="Heading6"/>
        <w:numPr>
          <w:ilvl w:val="5"/>
          <w:numId w:val="1"/>
        </w:numPr>
        <w:rPr/>
      </w:pPr>
      <w:bookmarkStart w:id="3148" w:name="__RefHeading___Toc3973655_1067777946"/>
      <w:bookmarkStart w:id="3149" w:name="_Toc1335"/>
      <w:bookmarkEnd w:id="3148"/>
      <w:r>
        <w:rPr>
          <w:rtl w:val="true"/>
        </w:rPr>
        <w:t>عدم ضمان براى مصلحت عابرين</w:t>
      </w:r>
      <w:bookmarkEnd w:id="3149"/>
    </w:p>
    <w:p>
      <w:pPr>
        <w:pStyle w:val="BookText"/>
        <w:rPr/>
      </w:pPr>
      <w:r>
        <w:rPr>
          <w:rFonts w:ascii="IRNazanin" w:hAnsi="IRNazanin" w:eastAsia="IRNazanin"/>
          <w:color w:val="111111"/>
          <w:sz w:val="28"/>
          <w:sz w:val="28"/>
          <w:szCs w:val="28"/>
          <w:rtl w:val="true"/>
          <w:lang w:bidi="fa-IR"/>
        </w:rPr>
        <w:t>و اگر حفر در طريق مسلمين براى مصلحت مارّه بود و جائز بود با خصوصياتش حتى از ناحيه استيذان، اظهر عدم ضمان است</w:t>
      </w:r>
      <w:r>
        <w:rPr>
          <w:rFonts w:eastAsia="IRNazanin" w:cs="IRNazanin"/>
          <w:color w:val="111111"/>
          <w:sz w:val="28"/>
          <w:szCs w:val="28"/>
          <w:rtl w:val="true"/>
          <w:lang w:bidi="fa-IR"/>
        </w:rPr>
        <w:t>.</w:t>
      </w:r>
    </w:p>
    <w:p>
      <w:pPr>
        <w:pStyle w:val="Heading6"/>
        <w:numPr>
          <w:ilvl w:val="5"/>
          <w:numId w:val="1"/>
        </w:numPr>
        <w:rPr/>
      </w:pPr>
      <w:bookmarkStart w:id="3150" w:name="__RefHeading___Toc3973657_1067777946"/>
      <w:bookmarkStart w:id="3151" w:name="_Toc1336"/>
      <w:bookmarkEnd w:id="3150"/>
      <w:r>
        <w:rPr>
          <w:rtl w:val="true"/>
        </w:rPr>
        <w:t>عدم ضمان با اذن اهل اذن</w:t>
      </w:r>
      <w:bookmarkEnd w:id="3151"/>
    </w:p>
    <w:p>
      <w:pPr>
        <w:pStyle w:val="BookText"/>
        <w:rPr/>
      </w:pPr>
      <w:r>
        <w:rPr>
          <w:rFonts w:ascii="IRNazanin" w:hAnsi="IRNazanin" w:eastAsia="IRNazanin"/>
          <w:color w:val="111111"/>
          <w:sz w:val="28"/>
          <w:sz w:val="28"/>
          <w:szCs w:val="28"/>
          <w:rtl w:val="true"/>
          <w:lang w:bidi="fa-IR"/>
        </w:rPr>
        <w:t>و اما اگر با اذنِ مستحِق اذن حفر شد، ضمان نيست اگر چه براى مصلحت حفركننده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ملك مشترك حفر نمايد، اظهر عدم ضمان حافر است تمام ديه را، بلكه به مقدار حصص شركا كه معتدى است به حفر در متعلّق حق آنها به حسب وضع و تكليف</w:t>
      </w:r>
      <w:r>
        <w:rPr>
          <w:rFonts w:eastAsia="IRNazanin" w:cs="IRNazanin"/>
          <w:color w:val="111111"/>
          <w:sz w:val="28"/>
          <w:szCs w:val="28"/>
          <w:rtl w:val="true"/>
          <w:lang w:bidi="fa-IR"/>
        </w:rPr>
        <w:t xml:space="preserve">. </w:t>
      </w:r>
      <w:bookmarkStart w:id="3152" w:name="pg10275_97023"/>
    </w:p>
    <w:p>
      <w:pPr>
        <w:pStyle w:val="Heading5"/>
        <w:numPr>
          <w:ilvl w:val="4"/>
          <w:numId w:val="1"/>
        </w:numPr>
        <w:rPr/>
      </w:pPr>
      <w:bookmarkStart w:id="3153" w:name="__RefHeading___Toc3973659_1067777946"/>
      <w:bookmarkStart w:id="3154" w:name="_Toc1337"/>
      <w:bookmarkEnd w:id="3152"/>
      <w:bookmarkEnd w:id="3153"/>
      <w:r>
        <w:rPr>
          <w:rtl w:val="true"/>
        </w:rPr>
        <w:t>بناى مسجد در طريق مسلمين</w:t>
      </w:r>
      <w:bookmarkEnd w:id="31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طريق مسلمين بناى مسجدى كرد به نحو جائز، به اين كه ضرر به مرور كننده ها نداشته باشد و در زايد بر مقدار حاجت ايشان در محل مخصوص باشد و براى عموم باشد يا با اذن امام و مستحق اذن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اذن در امثال اين امور داشته باشد چنان چه امام اصل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ضامن نمى شود آن چه تلف مى شود به واسطۀ آن وگرنه ضامن است</w:t>
      </w:r>
      <w:r>
        <w:rPr>
          <w:rFonts w:eastAsia="IRNazanin" w:cs="IRNazanin"/>
          <w:color w:val="111111"/>
          <w:sz w:val="28"/>
          <w:szCs w:val="28"/>
          <w:rtl w:val="true"/>
          <w:lang w:bidi="fa-IR"/>
        </w:rPr>
        <w:t>.</w:t>
      </w:r>
    </w:p>
    <w:p>
      <w:pPr>
        <w:pStyle w:val="Heading5"/>
        <w:numPr>
          <w:ilvl w:val="4"/>
          <w:numId w:val="1"/>
        </w:numPr>
        <w:rPr/>
      </w:pPr>
      <w:bookmarkStart w:id="3155" w:name="__RefHeading___Toc3973661_1067777946"/>
      <w:bookmarkStart w:id="3156" w:name="_Toc1338"/>
      <w:bookmarkEnd w:id="3155"/>
      <w:r>
        <w:rPr>
          <w:rtl w:val="true"/>
        </w:rPr>
        <w:t>ضمان معلم شنا</w:t>
      </w:r>
      <w:bookmarkEnd w:id="31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شنا، ضامن طفل است اگر غرق شد در صورت تفريط، اگر چه ولىّ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ضمان بدون تفريط اگر متعقب به غرق شد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بالغ رشيد نيست مگر با اقوائيّت استناد غرق به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رافع بودن برائت، ضمان ثابت بر تقدير عدم آن را، وجهى است كه در اخذ طبيب برائت را گذشت</w:t>
      </w:r>
      <w:r>
        <w:rPr>
          <w:rFonts w:eastAsia="IRNazanin" w:cs="IRNazanin"/>
          <w:color w:val="111111"/>
          <w:sz w:val="28"/>
          <w:szCs w:val="28"/>
          <w:rtl w:val="true"/>
          <w:lang w:bidi="fa-IR"/>
        </w:rPr>
        <w:t>.</w:t>
      </w:r>
    </w:p>
    <w:p>
      <w:pPr>
        <w:pStyle w:val="Heading5"/>
        <w:numPr>
          <w:ilvl w:val="4"/>
          <w:numId w:val="1"/>
        </w:numPr>
        <w:rPr/>
      </w:pPr>
      <w:bookmarkStart w:id="3157" w:name="__RefHeading___Toc3973663_1067777946"/>
      <w:bookmarkStart w:id="3158" w:name="_Toc1339"/>
      <w:bookmarkEnd w:id="3157"/>
      <w:r>
        <w:rPr>
          <w:rtl w:val="true"/>
        </w:rPr>
        <w:t>كشته شدن يكى از ده نفر پرتاب كننده سنگ با همان سنگ</w:t>
      </w:r>
      <w:bookmarkEnd w:id="31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مثل منجنيق، ده نفر سنگى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ده نفر را كُشت، عاقله هر كدام از باقى ها يك عُشر را براى ورثه مقتول ضامن هست و يك عُشر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نفر بودند يكى كشته شد، عاقله هر كدام از دو نفر يك ثلث را ضامن مى شود و يك ثلث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ضمان، مربوط به عاقلۀ آن است كه طناب منجنيق را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بمالك منجنيق يا كسى كه كمك مى نمايد به نگاهدارى چوب آن و يا گذاشتن سنگ در داخل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قتل اجنبى داشته اند و هلاك كرد مقصود را، عمد موجب قصاص از جميع است با غلبه قتل با اين سبب، يا بنا بر اكتفا به قصد قتل به سبب غير غالب</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قصد رمى داشتند و قصد قتل نداشتند و غلبه قتل هم در سبب نبود، شبه عمد </w:t>
      </w:r>
      <w:bookmarkStart w:id="3159" w:name="pg10275_97024"/>
    </w:p>
    <w:p>
      <w:pPr>
        <w:pStyle w:val="BookText"/>
        <w:rPr/>
      </w:pPr>
      <w:bookmarkEnd w:id="3159"/>
      <w:r>
        <w:rPr>
          <w:rFonts w:ascii="Amiri" w:hAnsi="Amiri" w:eastAsia="Amiri" w:cs="Amiri"/>
          <w:color w:val="111111"/>
          <w:sz w:val="28"/>
          <w:sz w:val="28"/>
          <w:szCs w:val="28"/>
          <w:rtl w:val="true"/>
          <w:lang w:bidi="ar-SA"/>
        </w:rPr>
        <w:t xml:space="preserve">است و ديه از مال رامى است به حسابى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عاقله بود در خطأ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قصد قتل كسى يا حيوانى داشتند و به ديگرى اصابت كرد، خطأ محض است و ديه بر عاقله است</w:t>
      </w:r>
      <w:r>
        <w:rPr>
          <w:rFonts w:eastAsia="IRNazanin" w:cs="IRNazanin"/>
          <w:color w:val="111111"/>
          <w:sz w:val="28"/>
          <w:szCs w:val="28"/>
          <w:rtl w:val="true"/>
          <w:lang w:bidi="fa-IR"/>
        </w:rPr>
        <w:t>.</w:t>
      </w:r>
    </w:p>
    <w:p>
      <w:pPr>
        <w:pStyle w:val="Heading5"/>
        <w:numPr>
          <w:ilvl w:val="4"/>
          <w:numId w:val="1"/>
        </w:numPr>
        <w:rPr/>
      </w:pPr>
      <w:bookmarkStart w:id="3160" w:name="__RefHeading___Toc3973665_1067777946"/>
      <w:bookmarkStart w:id="3161" w:name="_Toc1340"/>
      <w:bookmarkEnd w:id="3160"/>
      <w:r>
        <w:rPr>
          <w:rtl w:val="true"/>
        </w:rPr>
        <w:t>تصادف دو كشتى</w:t>
      </w:r>
      <w:bookmarkEnd w:id="3161"/>
    </w:p>
    <w:p>
      <w:pPr>
        <w:pStyle w:val="Heading6"/>
        <w:numPr>
          <w:ilvl w:val="5"/>
          <w:numId w:val="1"/>
        </w:numPr>
        <w:rPr/>
      </w:pPr>
      <w:bookmarkStart w:id="3162" w:name="__RefHeading___Toc3973667_1067777946"/>
      <w:bookmarkStart w:id="3163" w:name="_Toc1341"/>
      <w:bookmarkEnd w:id="3162"/>
      <w:r>
        <w:rPr>
          <w:rtl w:val="true"/>
        </w:rPr>
        <w:t>اشاره</w:t>
      </w:r>
      <w:bookmarkEnd w:id="31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كشتى به هم خوردند پس هلاك شد جميع آن چه در آن است از انسان و حيوان و متاع ها، پس اگر به نحو جنگ و تعمد قتل و اهلاك بوده، در صورت اتلاف غالبى يا كفايت قصد اتلاف به نادر از اسباب، هر كدام از گرداننده هاى كشتى ها، ضامن نصف تالف از ديگرى است؛ و نصف ديگر كه به سبب خودش تلف شده، مهدور است چنان چه در اصطدام دو راكب مذكور است</w:t>
      </w:r>
      <w:r>
        <w:rPr>
          <w:rFonts w:eastAsia="IRNazanin" w:cs="IRNazanin"/>
          <w:color w:val="111111"/>
          <w:sz w:val="28"/>
          <w:szCs w:val="28"/>
          <w:rtl w:val="true"/>
          <w:lang w:bidi="fa-IR"/>
        </w:rPr>
        <w:t>.</w:t>
      </w:r>
    </w:p>
    <w:p>
      <w:pPr>
        <w:pStyle w:val="Heading6"/>
        <w:numPr>
          <w:ilvl w:val="5"/>
          <w:numId w:val="1"/>
        </w:numPr>
        <w:rPr/>
      </w:pPr>
      <w:bookmarkStart w:id="3164" w:name="__RefHeading___Toc3973669_1067777946"/>
      <w:bookmarkStart w:id="3165" w:name="_Toc1342"/>
      <w:bookmarkEnd w:id="3164"/>
      <w:r>
        <w:rPr>
          <w:rtl w:val="true"/>
        </w:rPr>
        <w:t>قصد تصادم بدون قتل</w:t>
      </w:r>
      <w:bookmarkEnd w:id="3165"/>
    </w:p>
    <w:p>
      <w:pPr>
        <w:pStyle w:val="BookText"/>
        <w:rPr/>
      </w:pPr>
      <w:r>
        <w:rPr>
          <w:rFonts w:ascii="IRNazanin" w:hAnsi="IRNazanin" w:eastAsia="IRNazanin"/>
          <w:color w:val="111111"/>
          <w:sz w:val="28"/>
          <w:sz w:val="28"/>
          <w:szCs w:val="28"/>
          <w:rtl w:val="true"/>
          <w:lang w:bidi="fa-IR"/>
        </w:rPr>
        <w:t>اگر متعمد قتل نبودند بلكه قصد اصطدام داشتند بدون اتلاف با عدم غلبه تلف به آن سبب و عدم علم به آن مگر بعد از تعذّر ضبط، يا آن كه قصد حركت داشتند و قصد اثر نداشته اند حتى اصطدام و در اين مقام مفرِّط بودند و مسامحۀ غير جايزه كردند در ترك حبس ممكن يا در اجرا با وزيدن باد شديد يا طغيان آب به احتمال عدم تعقب به اتلاف، در اين موارد قصاص نيست و ديه شبه عمد از مال مُجرى است به طورى كه ذكر شد نصف ديۀ هر كدام بر ديگرى است، و هم چنين نصف قيمت اموال تالفه از هر طرف بر ديگرى است</w:t>
      </w:r>
      <w:r>
        <w:rPr>
          <w:rFonts w:eastAsia="IRNazanin" w:cs="IRNazanin"/>
          <w:color w:val="111111"/>
          <w:sz w:val="28"/>
          <w:szCs w:val="28"/>
          <w:rtl w:val="true"/>
          <w:lang w:bidi="fa-IR"/>
        </w:rPr>
        <w:t>.</w:t>
      </w:r>
    </w:p>
    <w:p>
      <w:pPr>
        <w:pStyle w:val="Heading6"/>
        <w:numPr>
          <w:ilvl w:val="5"/>
          <w:numId w:val="1"/>
        </w:numPr>
        <w:rPr/>
      </w:pPr>
      <w:bookmarkStart w:id="3166" w:name="__RefHeading___Toc3973671_1067777946"/>
      <w:bookmarkStart w:id="3167" w:name="_Toc1343"/>
      <w:bookmarkEnd w:id="3166"/>
      <w:r>
        <w:rPr>
          <w:rtl w:val="true"/>
        </w:rPr>
        <w:t>جريان حكم مذكور در دو حمّال</w:t>
      </w:r>
      <w:bookmarkEnd w:id="316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تفصيل جارى است در اصطدام دو حمّال، و ضمان هم به طور سابق است در نفس و مال به تنصيفى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بالخصوص ديگرى را با صدمۀ خود تلف نمود و مال او را اتلاف كرد، ضامن تمام ديه او و تمام اموال او است</w:t>
      </w:r>
      <w:r>
        <w:rPr>
          <w:rFonts w:eastAsia="IRNazanin" w:cs="IRNazanin"/>
          <w:color w:val="111111"/>
          <w:sz w:val="28"/>
          <w:szCs w:val="28"/>
          <w:rtl w:val="true"/>
          <w:lang w:bidi="fa-IR"/>
        </w:rPr>
        <w:t xml:space="preserve">. </w:t>
      </w:r>
      <w:bookmarkStart w:id="3168" w:name="pg10275_97025"/>
    </w:p>
    <w:p>
      <w:pPr>
        <w:pStyle w:val="Heading6"/>
        <w:numPr>
          <w:ilvl w:val="5"/>
          <w:numId w:val="1"/>
        </w:numPr>
        <w:rPr/>
      </w:pPr>
      <w:bookmarkStart w:id="3169" w:name="__RefHeading___Toc3973673_1067777946"/>
      <w:bookmarkStart w:id="3170" w:name="_Toc1344"/>
      <w:bookmarkEnd w:id="3168"/>
      <w:bookmarkEnd w:id="3169"/>
      <w:r>
        <w:rPr>
          <w:rtl w:val="true"/>
        </w:rPr>
        <w:t>تلف تمامى اموال در فرض مذكور</w:t>
      </w:r>
      <w:bookmarkEnd w:id="3170"/>
    </w:p>
    <w:p>
      <w:pPr>
        <w:pStyle w:val="BookText"/>
        <w:rPr/>
      </w:pPr>
      <w:r>
        <w:rPr>
          <w:rFonts w:ascii="IRNazanin" w:hAnsi="IRNazanin" w:eastAsia="IRNazanin"/>
          <w:color w:val="111111"/>
          <w:sz w:val="28"/>
          <w:sz w:val="28"/>
          <w:szCs w:val="28"/>
          <w:rtl w:val="true"/>
          <w:lang w:bidi="fa-IR"/>
        </w:rPr>
        <w:t>و اگر در فرض مذكور، تمام اموال طرفين تلف شد، ضامن تمام اموال طرفين، خصوص صدمه زننده است و مصدوم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متعمد اتلاف و قاصد اتلاف بودند، يكى ديگرى را اتلاف كرد، قصاص بعد از ردّ نصف ديه ثابت است؛ و اگر شبه عمد بوده هر يكى ضامن نصف ديه از مال خودش است چنان چه گذشت</w:t>
      </w:r>
      <w:r>
        <w:rPr>
          <w:rFonts w:eastAsia="IRNazanin" w:cs="IRNazanin"/>
          <w:color w:val="111111"/>
          <w:sz w:val="28"/>
          <w:szCs w:val="28"/>
          <w:rtl w:val="true"/>
          <w:lang w:bidi="fa-IR"/>
        </w:rPr>
        <w:t>.</w:t>
      </w:r>
    </w:p>
    <w:p>
      <w:pPr>
        <w:pStyle w:val="Heading6"/>
        <w:numPr>
          <w:ilvl w:val="5"/>
          <w:numId w:val="1"/>
        </w:numPr>
        <w:rPr/>
      </w:pPr>
      <w:bookmarkStart w:id="3171" w:name="__RefHeading___Toc3973675_1067777946"/>
      <w:bookmarkStart w:id="3172" w:name="_Toc1345"/>
      <w:bookmarkEnd w:id="3171"/>
      <w:r>
        <w:rPr>
          <w:rtl w:val="true"/>
        </w:rPr>
        <w:t>اگر محرك كشتى غاصب باشند و همه اموال تلف شود</w:t>
      </w:r>
      <w:bookmarkEnd w:id="3172"/>
    </w:p>
    <w:p>
      <w:pPr>
        <w:pStyle w:val="BookText"/>
        <w:rPr/>
      </w:pPr>
      <w:r>
        <w:rPr>
          <w:rFonts w:ascii="IRNazanin" w:hAnsi="IRNazanin" w:eastAsia="IRNazanin"/>
          <w:color w:val="111111"/>
          <w:sz w:val="28"/>
          <w:sz w:val="28"/>
          <w:szCs w:val="28"/>
          <w:rtl w:val="true"/>
          <w:lang w:bidi="fa-IR"/>
        </w:rPr>
        <w:t>و در صورت تصادم هر دو سفينه و تلف هر آن چه در آنها است، اگر هر دو محرِّك غاصب باشند، هر كدام ضامن نصف دو كشتى و آن چه در آن بوده است مى شود براى مالك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صورتى كه هر دو اجير باشند در صورت مفروضه كه تفريط باشد</w:t>
      </w:r>
      <w:r>
        <w:rPr>
          <w:rFonts w:eastAsia="IRNazanin" w:cs="IRNazanin"/>
          <w:color w:val="111111"/>
          <w:sz w:val="28"/>
          <w:szCs w:val="28"/>
          <w:rtl w:val="true"/>
          <w:lang w:bidi="fa-IR"/>
        </w:rPr>
        <w:t>.</w:t>
      </w:r>
    </w:p>
    <w:p>
      <w:pPr>
        <w:pStyle w:val="Heading6"/>
        <w:numPr>
          <w:ilvl w:val="5"/>
          <w:numId w:val="1"/>
        </w:numPr>
        <w:rPr/>
      </w:pPr>
      <w:bookmarkStart w:id="3173" w:name="__RefHeading___Toc3973677_1067777946"/>
      <w:bookmarkStart w:id="3174" w:name="_Toc1346"/>
      <w:bookmarkEnd w:id="3173"/>
      <w:r>
        <w:rPr>
          <w:rtl w:val="true"/>
        </w:rPr>
        <w:t>عدم ضمان در فرض امين بودن</w:t>
      </w:r>
      <w:bookmarkEnd w:id="3174"/>
    </w:p>
    <w:p>
      <w:pPr>
        <w:pStyle w:val="BookText"/>
        <w:rPr/>
      </w:pPr>
      <w:r>
        <w:rPr>
          <w:rFonts w:ascii="IRNazanin" w:hAnsi="IRNazanin" w:eastAsia="IRNazanin"/>
          <w:color w:val="111111"/>
          <w:sz w:val="28"/>
          <w:sz w:val="28"/>
          <w:szCs w:val="28"/>
          <w:rtl w:val="true"/>
          <w:lang w:bidi="fa-IR"/>
        </w:rPr>
        <w:t xml:space="preserve">و در خطأ محض، امين، مال آن كسى را كه او را ائتمان نموده، ضامن نيست؛ و امين او مال طرف را ضامن است؛ و مالك مخيّر است در رجوع به قيمت تمام سفينه خود و آن چه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مضمونه به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امين خودش و او رجوع به نصف آن به طرف نمايد، يا آن كه نصف را از امين مطالبه نمايد و نصف ديگر را از مُتلِف آن، چون نصف را به اتلاف ضامن است و نصف را به تفريط در تعريض به اتلاف طرف؛ و كسى كه استحقاق مطالبه ديه دارد از ضامن آن مطالبه ديه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ديه در شبه عمد از اموال ضامن است؛ و در عمد قصاص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جهت فرقى بين مالك بودن محرّك كشتى يا غير او نيست در صورت كمال آنها</w:t>
      </w:r>
      <w:r>
        <w:rPr>
          <w:rFonts w:eastAsia="Amiri" w:cs="Amiri" w:ascii="Amiri" w:hAnsi="Amiri"/>
          <w:color w:val="111111"/>
          <w:sz w:val="28"/>
          <w:szCs w:val="28"/>
          <w:rtl w:val="true"/>
          <w:lang w:bidi="ar-SA"/>
        </w:rPr>
        <w:t>.</w:t>
      </w:r>
    </w:p>
    <w:p>
      <w:pPr>
        <w:pStyle w:val="Heading6"/>
        <w:numPr>
          <w:ilvl w:val="5"/>
          <w:numId w:val="1"/>
        </w:numPr>
        <w:rPr/>
      </w:pPr>
      <w:bookmarkStart w:id="3175" w:name="__RefHeading___Toc3973679_1067777946"/>
      <w:bookmarkStart w:id="3176" w:name="_Toc1347"/>
      <w:bookmarkEnd w:id="3175"/>
      <w:r>
        <w:rPr>
          <w:rtl w:val="true"/>
        </w:rPr>
        <w:t>اگر محرك كشتى طفل يا مجنون باشد</w:t>
      </w:r>
      <w:bookmarkEnd w:id="317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محرّك، طفل يا مجنون باشد و خودشان متصدى اجراى كشتى شدند و به اصطدام اتلاف كردند، ضمان مال بر خود ايشان است و ضمان نفوس بر عاقله ايشان؛ </w:t>
      </w:r>
      <w:bookmarkStart w:id="3177" w:name="pg10275_97026"/>
    </w:p>
    <w:p>
      <w:pPr>
        <w:pStyle w:val="BookText"/>
        <w:rPr/>
      </w:pPr>
      <w:bookmarkEnd w:id="3177"/>
      <w:r>
        <w:rPr>
          <w:rFonts w:ascii="IRNazanin" w:hAnsi="IRNazanin" w:eastAsia="IRNazanin"/>
          <w:color w:val="111111"/>
          <w:sz w:val="28"/>
          <w:sz w:val="28"/>
          <w:szCs w:val="28"/>
          <w:rtl w:val="true"/>
          <w:lang w:bidi="fa-IR"/>
        </w:rPr>
        <w:t>و هم چنين اگر ولىّ بدست ايشان داد براى مصلحت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اجنبى بدست ايشان داد يا ولىّ نه براى مصلحت ايشان، ضمان بر اجنبى يا ولىّ است در مال، و در نفوس بر عاقله اجنبى يا ولىّ در خطأ محض، و بر خود ايشان است در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اموال اقوائيّت سبب بى وجه نيست</w:t>
      </w:r>
      <w:r>
        <w:rPr>
          <w:rFonts w:eastAsia="IRNazanin" w:cs="IRNazanin"/>
          <w:color w:val="111111"/>
          <w:sz w:val="28"/>
          <w:szCs w:val="28"/>
          <w:rtl w:val="true"/>
          <w:lang w:bidi="fa-IR"/>
        </w:rPr>
        <w:t>.</w:t>
      </w:r>
    </w:p>
    <w:p>
      <w:pPr>
        <w:pStyle w:val="Heading6"/>
        <w:numPr>
          <w:ilvl w:val="5"/>
          <w:numId w:val="1"/>
        </w:numPr>
        <w:rPr/>
      </w:pPr>
      <w:bookmarkStart w:id="3178" w:name="__RefHeading___Toc3973681_1067777946"/>
      <w:bookmarkStart w:id="3179" w:name="_Toc1348"/>
      <w:bookmarkEnd w:id="3178"/>
      <w:r>
        <w:rPr>
          <w:rtl w:val="true"/>
        </w:rPr>
        <w:t>فرض عدم تفريط در محرك كشتى ها</w:t>
      </w:r>
      <w:bookmarkEnd w:id="3179"/>
    </w:p>
    <w:p>
      <w:pPr>
        <w:pStyle w:val="BookText"/>
        <w:rPr/>
      </w:pPr>
      <w:r>
        <w:rPr>
          <w:rFonts w:ascii="IRNazanin" w:hAnsi="IRNazanin" w:eastAsia="IRNazanin"/>
          <w:color w:val="111111"/>
          <w:sz w:val="28"/>
          <w:sz w:val="28"/>
          <w:szCs w:val="28"/>
          <w:rtl w:val="true"/>
          <w:lang w:bidi="fa-IR"/>
        </w:rPr>
        <w:t>و اگر تفريطى در هيچ كدام از محرّك هاى كشتى ها مفروض نباشد، هيچ كدام هيچ چيز را ضامن نيست، مثل اين كه اصطدام به غلبه ريح شديد باشد كه هيچ يك قادر بر ضبط يا القا در ساحل به نحوى كه مُنجى باشد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محرّك ها مختلف باشند در عمد و تفريط و خطأ محض، هر كدام حكم خودش را دارد و حكم او اناطه به حكم ديگرى ندارد</w:t>
      </w:r>
      <w:r>
        <w:rPr>
          <w:rFonts w:eastAsia="IRNazanin" w:cs="IRNazanin"/>
          <w:color w:val="111111"/>
          <w:sz w:val="28"/>
          <w:szCs w:val="28"/>
          <w:rtl w:val="true"/>
          <w:lang w:bidi="fa-IR"/>
        </w:rPr>
        <w:t>.</w:t>
      </w:r>
    </w:p>
    <w:p>
      <w:pPr>
        <w:pStyle w:val="Heading5"/>
        <w:numPr>
          <w:ilvl w:val="4"/>
          <w:numId w:val="1"/>
        </w:numPr>
        <w:rPr/>
      </w:pPr>
      <w:bookmarkStart w:id="3180" w:name="__RefHeading___Toc3973683_1067777946"/>
      <w:bookmarkStart w:id="3181" w:name="_Toc1349"/>
      <w:bookmarkEnd w:id="3180"/>
      <w:r>
        <w:rPr>
          <w:rtl w:val="true"/>
        </w:rPr>
        <w:t>اگر كشتى در اثر اقدام بر اصلاح آن غرق شود</w:t>
      </w:r>
      <w:bookmarkEnd w:id="31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اصلاح كرد كشتى را در حال سير آن يا وقوف آن، يا تبديل قطعه اى از آن نمود براى اصلاح آن، يا ميخى كوبيد در آن، پس منجر به فساد آن شد و غرق شد نفس و مال در آن، ضامن است مال و نفس تالفه به سبب اصلاح را از مال خودش، كه شبيه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عاقله است ديه نفس اگر خطأ محض باشد، مثل آن كه با كاردى كه در دست او بود ساقط شد بى اختيار و كارد قطع كرد موضعى از آن را و به اين سبب غرق شد بعض 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ضمان مال بر خود متلف است بر هر تقدير، لكن در اصلاح 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اذن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مال نيست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اصلاح واجب براى مصلحت ساكنين كه متوقف باشد نجات آنها به آن، ضمان نفس مشكل است اگر بدون تفريط باشد، و غرق و فساد كاشف از تفريط و عدم </w:t>
      </w:r>
      <w:bookmarkStart w:id="3182" w:name="pg10275_97027"/>
    </w:p>
    <w:p>
      <w:pPr>
        <w:pStyle w:val="BookText"/>
        <w:rPr/>
      </w:pPr>
      <w:bookmarkEnd w:id="3182"/>
      <w:r>
        <w:rPr>
          <w:rFonts w:ascii="Amiri" w:hAnsi="Amiri" w:eastAsia="Amiri" w:cs="Amiri"/>
          <w:color w:val="111111"/>
          <w:sz w:val="28"/>
          <w:sz w:val="28"/>
          <w:szCs w:val="28"/>
          <w:rtl w:val="true"/>
          <w:lang w:bidi="ar-SA"/>
        </w:rPr>
        <w:t>مهارت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جا متعمد باشد و قاصد غرق نمودن نفوس باشد، محل قصاص است در صورت غلبه اتلاف يا اكتفا به قصد اتلاف با سبب نادر چنان چه گذشت ذكر آن</w:t>
      </w:r>
      <w:r>
        <w:rPr>
          <w:rFonts w:eastAsia="IRNazanin" w:cs="IRNazanin"/>
          <w:color w:val="111111"/>
          <w:sz w:val="28"/>
          <w:szCs w:val="28"/>
          <w:rtl w:val="true"/>
          <w:lang w:bidi="fa-IR"/>
        </w:rPr>
        <w:t>.</w:t>
      </w:r>
    </w:p>
    <w:p>
      <w:pPr>
        <w:pStyle w:val="Heading5"/>
        <w:numPr>
          <w:ilvl w:val="4"/>
          <w:numId w:val="1"/>
        </w:numPr>
        <w:rPr/>
      </w:pPr>
      <w:bookmarkStart w:id="3183" w:name="__RefHeading___Toc3973685_1067777946"/>
      <w:bookmarkStart w:id="3184" w:name="_Toc1350"/>
      <w:bookmarkEnd w:id="3183"/>
      <w:r>
        <w:rPr>
          <w:rtl w:val="true"/>
        </w:rPr>
        <w:t>فرض عدم ضمان در خراب شدن ديوار</w:t>
      </w:r>
      <w:bookmarkEnd w:id="3184"/>
    </w:p>
    <w:p>
      <w:pPr>
        <w:pStyle w:val="Heading6"/>
        <w:numPr>
          <w:ilvl w:val="5"/>
          <w:numId w:val="1"/>
        </w:numPr>
        <w:rPr/>
      </w:pPr>
      <w:bookmarkStart w:id="3185" w:name="__RefHeading___Toc3973687_1067777946"/>
      <w:bookmarkStart w:id="3186" w:name="_Toc1351"/>
      <w:bookmarkEnd w:id="3185"/>
      <w:r>
        <w:rPr>
          <w:rtl w:val="true"/>
        </w:rPr>
        <w:t>اشاره</w:t>
      </w:r>
      <w:bookmarkEnd w:id="318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ضامن نيست صاحب ديوار، آن چه را كه تلف مى شود به وقوع آن بر كسى يا چيزى از اموال كسى اگر در ملك خودش يا در مكان مباحى بنا كرده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مستحكم عادى كه بر حسب عادت، ثابت و برقرار است و بر خلاف عادت منهدم شود، يا چيزى از آن جدا شود و واقع شود بر كسى يا مال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ساقط شود در طريق عام يا در ملك غير، و شخصى به سبب غبار آن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مستقيم بنا نكرد بلكه مايل به طرف ملك خودش آن را بنا كرد بازهم واقع شد به طرف ملك غير يا به طريق عام،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وقوع آن را و مهلت داده نشد تا آن كه آن را تعمير نمايد و افتاد، همين حكم را دارد</w:t>
      </w:r>
      <w:r>
        <w:rPr>
          <w:rFonts w:eastAsia="IRNazanin" w:cs="IRNazanin"/>
          <w:color w:val="111111"/>
          <w:sz w:val="28"/>
          <w:szCs w:val="28"/>
          <w:rtl w:val="true"/>
          <w:lang w:bidi="fa-IR"/>
        </w:rPr>
        <w:t>.</w:t>
      </w:r>
    </w:p>
    <w:p>
      <w:pPr>
        <w:pStyle w:val="Heading6"/>
        <w:numPr>
          <w:ilvl w:val="5"/>
          <w:numId w:val="1"/>
        </w:numPr>
        <w:rPr/>
      </w:pPr>
      <w:bookmarkStart w:id="3187" w:name="__RefHeading___Toc3973689_1067777946"/>
      <w:bookmarkStart w:id="3188" w:name="_Toc1352"/>
      <w:bookmarkEnd w:id="3187"/>
      <w:r>
        <w:rPr>
          <w:rtl w:val="true"/>
        </w:rPr>
        <w:t>فرض ضمان در خراب شدن ديوار</w:t>
      </w:r>
      <w:bookmarkEnd w:id="3188"/>
    </w:p>
    <w:p>
      <w:pPr>
        <w:pStyle w:val="BookText"/>
        <w:rPr/>
      </w:pPr>
      <w:r>
        <w:rPr>
          <w:rFonts w:ascii="IRNazanin" w:hAnsi="IRNazanin" w:eastAsia="IRNazanin"/>
          <w:color w:val="111111"/>
          <w:sz w:val="28"/>
          <w:sz w:val="28"/>
          <w:szCs w:val="28"/>
          <w:rtl w:val="true"/>
          <w:lang w:bidi="fa-IR"/>
        </w:rPr>
        <w:t>و اگر مى توانست و مسامحه در تعمير كرد با علم، ضامن است با عدم قصد قتل، ديه را از مال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بنا كرد مايل به طرف شارع عام يا ملك غير كه نوعى از عدوان است، يا آن كه بنا نمايد در ملك غير، از روى عدوان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بعضى از آن مايل شد به طرف غير ملك، پس واقع شد و اتلاف كرد، در مقدار مايل و تالف به آن ضامن است؛ و در زايد و تالف به آن ضامن نيست اگر سقوط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صورت ميل بعضى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عادى باشد؛ و اگر نه همه يك حكم دارد در عرف مطّلع به خصوصيات 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همه است، مگر آن كه از زمان ميل و علم، مهلت تعمير يا هدم بدون اتلاف، به او داده نشده بوده</w:t>
      </w:r>
      <w:r>
        <w:rPr>
          <w:rFonts w:eastAsia="IRNazanin" w:cs="IRNazanin"/>
          <w:color w:val="111111"/>
          <w:sz w:val="28"/>
          <w:szCs w:val="28"/>
          <w:rtl w:val="true"/>
          <w:lang w:bidi="fa-IR"/>
        </w:rPr>
        <w:t xml:space="preserve">. </w:t>
      </w:r>
      <w:bookmarkStart w:id="3189" w:name="pg10275_97028"/>
    </w:p>
    <w:p>
      <w:pPr>
        <w:pStyle w:val="Heading6"/>
        <w:numPr>
          <w:ilvl w:val="5"/>
          <w:numId w:val="1"/>
        </w:numPr>
        <w:rPr/>
      </w:pPr>
      <w:bookmarkStart w:id="3190" w:name="__RefHeading___Toc3973691_1067777946"/>
      <w:bookmarkStart w:id="3191" w:name="_Toc1353"/>
      <w:bookmarkEnd w:id="3189"/>
      <w:bookmarkEnd w:id="3190"/>
      <w:r>
        <w:rPr>
          <w:rtl w:val="true"/>
        </w:rPr>
        <w:t>اگر ديوار خراب شده مال طفل يا مجنون باشد</w:t>
      </w:r>
      <w:bookmarkEnd w:id="3191"/>
    </w:p>
    <w:p>
      <w:pPr>
        <w:pStyle w:val="BookText"/>
        <w:rPr/>
      </w:pPr>
      <w:r>
        <w:rPr>
          <w:rFonts w:ascii="IRNazanin" w:hAnsi="IRNazanin" w:eastAsia="IRNazanin"/>
          <w:color w:val="111111"/>
          <w:sz w:val="28"/>
          <w:sz w:val="28"/>
          <w:szCs w:val="28"/>
          <w:rtl w:val="true"/>
          <w:lang w:bidi="fa-IR"/>
        </w:rPr>
        <w:t>اگر ديوار مال طفل يا مجنون باشد، پس ضمان ولىّ با تفريط در صورت ضمان كامل،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جريان اين ضمان در حاكم نسبت به جدار غايب با اطلاع و تمكّن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ميل كرد جدار به ملك غير و غير راضى شد به آن، ضمان نسبت بغير كه راضى است، ساقط است</w:t>
      </w:r>
      <w:r>
        <w:rPr>
          <w:rFonts w:eastAsia="IRNazanin" w:cs="IRNazanin"/>
          <w:color w:val="111111"/>
          <w:sz w:val="28"/>
          <w:szCs w:val="28"/>
          <w:rtl w:val="true"/>
          <w:lang w:bidi="fa-IR"/>
        </w:rPr>
        <w:t>.</w:t>
      </w:r>
    </w:p>
    <w:p>
      <w:pPr>
        <w:pStyle w:val="Heading6"/>
        <w:numPr>
          <w:ilvl w:val="5"/>
          <w:numId w:val="1"/>
        </w:numPr>
        <w:rPr/>
      </w:pPr>
      <w:bookmarkStart w:id="3192" w:name="__RefHeading___Toc3973693_1067777946"/>
      <w:bookmarkStart w:id="3193" w:name="_Toc1354"/>
      <w:bookmarkEnd w:id="3192"/>
      <w:r>
        <w:rPr>
          <w:rtl w:val="true"/>
        </w:rPr>
        <w:t>چند فرع ديگر در خراب شدن ديوار</w:t>
      </w:r>
      <w:bookmarkEnd w:id="3193"/>
    </w:p>
    <w:p>
      <w:pPr>
        <w:pStyle w:val="BookText"/>
        <w:rPr/>
      </w:pPr>
      <w:r>
        <w:rPr>
          <w:rFonts w:ascii="IRNazanin" w:hAnsi="IRNazanin" w:eastAsia="IRNazanin"/>
          <w:color w:val="111111"/>
          <w:sz w:val="28"/>
          <w:sz w:val="28"/>
          <w:szCs w:val="28"/>
          <w:rtl w:val="true"/>
          <w:lang w:bidi="fa-IR"/>
        </w:rPr>
        <w:t>و همچنين اگر با اين وصف ميل فروخت با اطلاع دادن كه تعمير بر مشترى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هبه كرد و اقباض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قبيل بناى مايل در ملك به سوى غير ملك است، اگر بنا كرد به طور مستقيم روى اساسى كه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ندارد و ميل به احد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تعين يا تعين طريق يا ملك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بنا بر اظهر، پس ضمان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ضمان با ميل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حايط، مشرف به انهدام شد و معلوم شد، پس آن هم مثل ميل عارض يا سابق يا بى قرارى اساس است در ضمان، چنان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جايى كه خوف سقوط هست و ضمان بر تقدير سقوط ثابت است، خائف اگر شريك در جدار است حق مطالبه نقض و هدم جدار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حاكم اگر خوف بر عابرين شارع است مى تواند مطالبه هدم نمايد در موارد ضمان بر تقدير وقوع و تلف</w:t>
      </w:r>
      <w:r>
        <w:rPr>
          <w:rFonts w:eastAsia="IRNazanin" w:cs="IRNazanin"/>
          <w:color w:val="111111"/>
          <w:sz w:val="28"/>
          <w:szCs w:val="28"/>
          <w:rtl w:val="true"/>
          <w:lang w:bidi="fa-IR"/>
        </w:rPr>
        <w:t>.</w:t>
      </w:r>
    </w:p>
    <w:p>
      <w:pPr>
        <w:pStyle w:val="Heading5"/>
        <w:numPr>
          <w:ilvl w:val="4"/>
          <w:numId w:val="1"/>
        </w:numPr>
        <w:rPr/>
      </w:pPr>
      <w:bookmarkStart w:id="3194" w:name="__RefHeading___Toc3973695_1067777946"/>
      <w:bookmarkStart w:id="3195" w:name="_Toc1355"/>
      <w:bookmarkEnd w:id="3194"/>
      <w:r>
        <w:rPr>
          <w:rtl w:val="true"/>
        </w:rPr>
        <w:t>قرار دادن ناودان در راه</w:t>
      </w:r>
      <w:bookmarkEnd w:id="3195"/>
    </w:p>
    <w:p>
      <w:pPr>
        <w:pStyle w:val="Heading6"/>
        <w:numPr>
          <w:ilvl w:val="5"/>
          <w:numId w:val="1"/>
        </w:numPr>
        <w:rPr/>
      </w:pPr>
      <w:bookmarkStart w:id="3196" w:name="__RefHeading___Toc3973697_1067777946"/>
      <w:bookmarkStart w:id="3197" w:name="_Toc1356"/>
      <w:bookmarkEnd w:id="3196"/>
      <w:r>
        <w:rPr>
          <w:rtl w:val="true"/>
        </w:rPr>
        <w:t>اشاره</w:t>
      </w:r>
      <w:bookmarkEnd w:id="319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ميزاب و نحو آن به سوى طريق نافذ كه مَخرج آن غير مَدخل آن است به نحوى كه مضرّ به عابرين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نافذ نيست و مخرج ندارد، بدون</w:t>
      </w:r>
      <w:bookmarkStart w:id="3198" w:name="pg10275_97029"/>
    </w:p>
    <w:p>
      <w:pPr>
        <w:pStyle w:val="BookText"/>
        <w:rPr/>
      </w:pPr>
      <w:bookmarkEnd w:id="3198"/>
      <w:r>
        <w:rPr>
          <w:rFonts w:ascii="IRNazanin" w:hAnsi="IRNazanin" w:eastAsia="IRNazanin"/>
          <w:color w:val="111111"/>
          <w:sz w:val="28"/>
          <w:sz w:val="28"/>
          <w:szCs w:val="28"/>
          <w:rtl w:val="true"/>
          <w:lang w:bidi="fa-IR"/>
        </w:rPr>
        <w:t>اذن شركا جايز نيست اگر چه مضرّ نباشد، مگر در مقدارى كه خارج از اشتراك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اضرار و با استحكام عادى در نصب و بنا اگر اصابت كرد كسى يا مالى را و اتلاف كرد، ضامن نيست نصب كننده، به خلاف صورت اضرار و عدم استحكام، چنان چه در جدار مايل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فرقى در جواز و عدم ضمان بين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حال شخص و غير مضر به حال عابرين است نيست، مثل اخراج رواشن و اجنحه و ساباط</w:t>
      </w:r>
      <w:r>
        <w:rPr>
          <w:rFonts w:eastAsia="IRNazanin" w:cs="IRNazanin"/>
          <w:color w:val="111111"/>
          <w:sz w:val="28"/>
          <w:szCs w:val="28"/>
          <w:rtl w:val="true"/>
          <w:lang w:bidi="fa-IR"/>
        </w:rPr>
        <w:t>.</w:t>
      </w:r>
      <w:r>
        <w:rPr>
          <w:rStyle w:val="FootnoteAnchor"/>
          <w:rtl w:val="true"/>
        </w:rPr>
        <w:footnoteReference w:id="22"/>
      </w:r>
    </w:p>
    <w:p>
      <w:pPr>
        <w:pStyle w:val="Heading6"/>
        <w:numPr>
          <w:ilvl w:val="5"/>
          <w:numId w:val="1"/>
        </w:numPr>
        <w:rPr/>
      </w:pPr>
      <w:bookmarkStart w:id="3199" w:name="__RefHeading___Toc3973699_1067777946"/>
      <w:bookmarkStart w:id="3200" w:name="_Toc1357"/>
      <w:bookmarkEnd w:id="3199"/>
      <w:r>
        <w:rPr>
          <w:rtl w:val="true"/>
        </w:rPr>
        <w:t>اگر در ملك خود آتشى بيفروزد و چيزى تلف شود از غير</w:t>
      </w:r>
      <w:bookmarkEnd w:id="3200"/>
    </w:p>
    <w:p>
      <w:pPr>
        <w:pStyle w:val="BookText"/>
        <w:rPr/>
      </w:pPr>
      <w:r>
        <w:rPr>
          <w:rFonts w:ascii="IRNazanin" w:hAnsi="IRNazanin" w:eastAsia="IRNazanin"/>
          <w:color w:val="111111"/>
          <w:sz w:val="28"/>
          <w:sz w:val="28"/>
          <w:szCs w:val="28"/>
          <w:rtl w:val="true"/>
          <w:lang w:bidi="fa-IR"/>
        </w:rPr>
        <w:t xml:space="preserve">اگر در ملك خودش آتشى افروخت براى استفاده به قدر حاجت با اطمينان به عدم تعدى و عدم قضاى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خصوصيات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تعدّى، پس اتلاف كرد مال همسايه را،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اطمينان به عدم تعدى نداشت يا آن كه بر حسب عادت مثل آن متعدى است، اگر غافل بوده است ضامن است اگر چه از قدر حاجت زايد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رعايت خصوصيات مذكوره اظهر عدم فرق است بين زيادتى از قدر حاجت و عدم آن</w:t>
      </w:r>
      <w:r>
        <w:rPr>
          <w:rFonts w:eastAsia="IRNazanin" w:cs="IRNazanin"/>
          <w:color w:val="111111"/>
          <w:sz w:val="28"/>
          <w:szCs w:val="28"/>
          <w:rtl w:val="true"/>
          <w:lang w:bidi="fa-IR"/>
        </w:rPr>
        <w:t>.</w:t>
      </w:r>
    </w:p>
    <w:p>
      <w:pPr>
        <w:pStyle w:val="Heading6"/>
        <w:numPr>
          <w:ilvl w:val="5"/>
          <w:numId w:val="1"/>
        </w:numPr>
        <w:rPr/>
      </w:pPr>
      <w:bookmarkStart w:id="3201" w:name="__RefHeading___Toc3973701_1067777946"/>
      <w:bookmarkStart w:id="3202" w:name="_Toc1358"/>
      <w:bookmarkEnd w:id="3201"/>
      <w:r>
        <w:rPr>
          <w:rtl w:val="true"/>
        </w:rPr>
        <w:t>اگر در ملك غير يا در راه عمومى آتش افروخت</w:t>
      </w:r>
      <w:bookmarkEnd w:id="3202"/>
    </w:p>
    <w:p>
      <w:pPr>
        <w:pStyle w:val="BookText"/>
        <w:rPr/>
      </w:pPr>
      <w:r>
        <w:rPr>
          <w:rFonts w:ascii="IRNazanin" w:hAnsi="IRNazanin" w:eastAsia="IRNazanin"/>
          <w:color w:val="111111"/>
          <w:sz w:val="28"/>
          <w:sz w:val="28"/>
          <w:szCs w:val="28"/>
          <w:rtl w:val="true"/>
          <w:lang w:bidi="fa-IR"/>
        </w:rPr>
        <w:t xml:space="preserve">اگر در ملك غير، آتش روشن كرد بدون اذن، يا در شارع عام در صورتى كه جايز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فرض قصد مصلحت عابرين با انتفاع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آن چه تلف مى شود به سبب تعدى آتش، از نفس و مال را، از مال خودش، اگر چه قاصد اتلاف نباشد، مثل ساير موارد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مباشرى اقوى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القاى در آتش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بر مباشر است نه بر سبب، در فرض</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قصد اتلاف نفس داشت با احراق در آتش روشن كردن اگر چه در ملك فاعل </w:t>
      </w:r>
      <w:bookmarkStart w:id="3203" w:name="pg10275_97030"/>
    </w:p>
    <w:p>
      <w:pPr>
        <w:pStyle w:val="BookText"/>
        <w:rPr/>
      </w:pPr>
      <w:bookmarkEnd w:id="3203"/>
      <w:r>
        <w:rPr>
          <w:rFonts w:ascii="Amiri" w:hAnsi="Amiri" w:eastAsia="Amiri" w:cs="Amiri"/>
          <w:color w:val="111111"/>
          <w:sz w:val="28"/>
          <w:sz w:val="28"/>
          <w:szCs w:val="28"/>
          <w:rtl w:val="true"/>
          <w:lang w:bidi="ar-SA"/>
        </w:rPr>
        <w:t>باشد و راه فرارى براى طرف نبوده و سبب، غالبىّ الاتلاف بود يا مقصود به آن اتلاف نادرى آن بود، بنا بر يك احتمال مورد قصاص است</w:t>
      </w:r>
      <w:r>
        <w:rPr>
          <w:rFonts w:eastAsia="Amiri" w:cs="Amiri" w:ascii="Amiri" w:hAnsi="Amiri"/>
          <w:color w:val="111111"/>
          <w:sz w:val="28"/>
          <w:szCs w:val="28"/>
          <w:rtl w:val="true"/>
          <w:lang w:bidi="ar-SA"/>
        </w:rPr>
        <w:t>.</w:t>
      </w:r>
    </w:p>
    <w:p>
      <w:pPr>
        <w:pStyle w:val="Heading6"/>
        <w:numPr>
          <w:ilvl w:val="5"/>
          <w:numId w:val="1"/>
        </w:numPr>
        <w:rPr/>
      </w:pPr>
      <w:bookmarkStart w:id="3204" w:name="__RefHeading___Toc3973703_1067777946"/>
      <w:bookmarkStart w:id="3205" w:name="_Toc1359"/>
      <w:bookmarkEnd w:id="3204"/>
      <w:r>
        <w:rPr>
          <w:rtl w:val="true"/>
        </w:rPr>
        <w:t>اگر فضلات مركوب شخصى موجب اتلاف شود</w:t>
      </w:r>
      <w:bookmarkEnd w:id="3205"/>
    </w:p>
    <w:p>
      <w:pPr>
        <w:pStyle w:val="BookText"/>
        <w:rPr/>
      </w:pPr>
      <w:r>
        <w:rPr>
          <w:rFonts w:ascii="IRNazanin" w:hAnsi="IRNazanin" w:eastAsia="IRNazanin"/>
          <w:color w:val="111111"/>
          <w:sz w:val="28"/>
          <w:sz w:val="28"/>
          <w:szCs w:val="28"/>
          <w:rtl w:val="true"/>
          <w:lang w:bidi="fa-IR"/>
        </w:rPr>
        <w:t xml:space="preserve">اگر فضلات مركوب كسى در طريق عام سبب اهلاك عابر يا اتلاف مال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لغزيدن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ضمان است در صورتى كه خارج از متعارف و به نحو مضرّ به عابرين نبوده است، چه آن كه بول دابّه مثلاً در حال سير بوده يا در حال وقوف جايز؛ به خلاف وقوف ممتدّ غير جايز به واسطۀ ظن به تضرّر عابرين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حكم القاى قمامۀ منزل كه موجب لغزش عابرين مى شود احياناً، يا آب پاشيدن در طريق و معبر عام، كه داير است ضمان مدار اضرار و تعدى به عابرين، و با جواز و عدم عدوان و متعارف بودن، به خصوص القاى خاص به نحوى كه سيره بر ترك محافظت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صورت قضاى عادت به سببيت آن به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تعمد مارّ وضع قدم را به موجب لغزش خلاف متعارف، مباشر اقوى است مطلقاً</w:t>
      </w:r>
      <w:r>
        <w:rPr>
          <w:rFonts w:eastAsia="IRNazanin" w:cs="IRNazanin"/>
          <w:color w:val="111111"/>
          <w:sz w:val="28"/>
          <w:szCs w:val="28"/>
          <w:rtl w:val="true"/>
          <w:lang w:bidi="fa-IR"/>
        </w:rPr>
        <w:t>.</w:t>
      </w:r>
    </w:p>
    <w:p>
      <w:pPr>
        <w:pStyle w:val="Heading6"/>
        <w:numPr>
          <w:ilvl w:val="5"/>
          <w:numId w:val="1"/>
        </w:numPr>
        <w:rPr/>
      </w:pPr>
      <w:bookmarkStart w:id="3206" w:name="__RefHeading___Toc3973705_1067777946"/>
      <w:bookmarkStart w:id="3207" w:name="_Toc1360"/>
      <w:bookmarkEnd w:id="3206"/>
      <w:r>
        <w:rPr>
          <w:rtl w:val="true"/>
        </w:rPr>
        <w:t>نسيان و غفلت در فرض ضمان به عدوان شأنى</w:t>
      </w:r>
      <w:bookmarkEnd w:id="3207"/>
    </w:p>
    <w:p>
      <w:pPr>
        <w:pStyle w:val="BookText"/>
        <w:rPr/>
      </w:pPr>
      <w:r>
        <w:rPr>
          <w:rFonts w:ascii="IRNazanin" w:hAnsi="IRNazanin" w:eastAsia="IRNazanin"/>
          <w:color w:val="111111"/>
          <w:sz w:val="28"/>
          <w:sz w:val="28"/>
          <w:szCs w:val="28"/>
          <w:rtl w:val="true"/>
          <w:lang w:bidi="fa-IR"/>
        </w:rPr>
        <w:t>و در صورت ضمان به عدوان شأنى، نسيان و غفلت، رافع ضمان نيست 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تعمّد قتل يا غالبيت سببيت يا نادر بودن آن و اكتفاى به قصد قتل، مورد قصاص است، چنان چه گذشت</w:t>
      </w:r>
      <w:r>
        <w:rPr>
          <w:rFonts w:eastAsia="IRNazanin" w:cs="IRNazanin"/>
          <w:color w:val="111111"/>
          <w:sz w:val="28"/>
          <w:szCs w:val="28"/>
          <w:rtl w:val="true"/>
          <w:lang w:bidi="fa-IR"/>
        </w:rPr>
        <w:t>.</w:t>
      </w:r>
    </w:p>
    <w:p>
      <w:pPr>
        <w:pStyle w:val="Heading6"/>
        <w:numPr>
          <w:ilvl w:val="5"/>
          <w:numId w:val="1"/>
        </w:numPr>
        <w:rPr/>
      </w:pPr>
      <w:bookmarkStart w:id="3208" w:name="__RefHeading___Toc3973707_1067777946"/>
      <w:bookmarkStart w:id="3209" w:name="_Toc1361"/>
      <w:bookmarkEnd w:id="3208"/>
      <w:r>
        <w:rPr>
          <w:rtl w:val="true"/>
        </w:rPr>
        <w:t>رعايت مماثلت و</w:t>
      </w:r>
      <w:r>
        <w:rPr>
          <w:rtl w:val="true"/>
        </w:rPr>
        <w:t xml:space="preserve">... </w:t>
      </w:r>
      <w:r>
        <w:rPr>
          <w:rtl w:val="true"/>
        </w:rPr>
        <w:t>حكم به عدم ضمان با عدم عدوان</w:t>
      </w:r>
      <w:bookmarkEnd w:id="320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اطلاق ضمان با تلف صبىّ غير مميّز و مجنون و حيوان در جايى كه اگر كامل بود، ضمان نبود حتى اگر واقعه در ظلمت شب و از نابينا واقع مى شد، تأمل است، اظهر مماثلت است در حكم به عدم ضمان با عدم عدوان از فاعل كه مُلقىٖ است</w:t>
      </w:r>
      <w:r>
        <w:rPr>
          <w:rFonts w:eastAsia="IRNazanin" w:cs="IRNazanin"/>
          <w:color w:val="111111"/>
          <w:sz w:val="28"/>
          <w:szCs w:val="28"/>
          <w:rtl w:val="true"/>
          <w:lang w:bidi="fa-IR"/>
        </w:rPr>
        <w:t xml:space="preserve">. </w:t>
      </w:r>
      <w:bookmarkStart w:id="3210" w:name="pg10275_97031"/>
    </w:p>
    <w:p>
      <w:pPr>
        <w:pStyle w:val="Heading6"/>
        <w:numPr>
          <w:ilvl w:val="5"/>
          <w:numId w:val="1"/>
        </w:numPr>
        <w:rPr/>
      </w:pPr>
      <w:bookmarkStart w:id="3211" w:name="__RefHeading___Toc3973709_1067777946"/>
      <w:bookmarkStart w:id="3212" w:name="_Toc1362"/>
      <w:bookmarkEnd w:id="3210"/>
      <w:bookmarkEnd w:id="3211"/>
      <w:r>
        <w:rPr>
          <w:rtl w:val="true"/>
        </w:rPr>
        <w:t>بناى دكان در معبر عام</w:t>
      </w:r>
      <w:bookmarkEnd w:id="3212"/>
    </w:p>
    <w:p>
      <w:pPr>
        <w:pStyle w:val="BookText"/>
        <w:rPr/>
      </w:pPr>
      <w:r>
        <w:rPr>
          <w:rFonts w:ascii="IRNazanin" w:hAnsi="IRNazanin" w:eastAsia="IRNazanin"/>
          <w:color w:val="111111"/>
          <w:sz w:val="28"/>
          <w:sz w:val="28"/>
          <w:szCs w:val="28"/>
          <w:rtl w:val="true"/>
          <w:lang w:bidi="fa-IR"/>
        </w:rPr>
        <w:t>و همچنين است حكم بناى دكانى در معبر عام، و اگر مصلحت عابرين رعايت شده و جايز بوده و به اذن اهل اذن بوده، ضامن نيست و داخل در عدم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احكام حفر بئر در طريق و خصوصيات آن، احكام فروع مقام استفاده مى شود</w:t>
      </w:r>
      <w:r>
        <w:rPr>
          <w:rFonts w:eastAsia="IRNazanin" w:cs="IRNazanin"/>
          <w:color w:val="111111"/>
          <w:sz w:val="28"/>
          <w:szCs w:val="28"/>
          <w:rtl w:val="true"/>
          <w:lang w:bidi="fa-IR"/>
        </w:rPr>
        <w:t>.</w:t>
      </w:r>
    </w:p>
    <w:p>
      <w:pPr>
        <w:pStyle w:val="Heading5"/>
        <w:numPr>
          <w:ilvl w:val="4"/>
          <w:numId w:val="1"/>
        </w:numPr>
        <w:rPr/>
      </w:pPr>
      <w:bookmarkStart w:id="3213" w:name="__RefHeading___Toc3973711_1067777946"/>
      <w:bookmarkStart w:id="3214" w:name="_Toc1363"/>
      <w:bookmarkEnd w:id="3213"/>
      <w:r>
        <w:rPr>
          <w:rtl w:val="true"/>
        </w:rPr>
        <w:t>حكم تلف به وسيله ظرف روى ديوار</w:t>
      </w:r>
      <w:bookmarkEnd w:id="321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چنين است حكم ظرفى كه روى ديوار خودش يا ديوار مباح بر خودش گذاشت پس تلف شد به سقوط آن، نفسى يا مالى، ضامن نيست بدون عدوان مفروض در مثل وضع مايل به طرف غير ملك يا به نحوى كه استقرار ندارد و در معرضيّت سقوط است به طرف غير ملك، چنان كه در ديوار مايل گذشت</w:t>
      </w:r>
      <w:r>
        <w:rPr>
          <w:rFonts w:eastAsia="IRNazanin" w:cs="IRNazanin"/>
          <w:color w:val="111111"/>
          <w:sz w:val="28"/>
          <w:szCs w:val="28"/>
          <w:rtl w:val="true"/>
          <w:lang w:bidi="fa-IR"/>
        </w:rPr>
        <w:t>.</w:t>
      </w:r>
    </w:p>
    <w:p>
      <w:pPr>
        <w:pStyle w:val="Heading5"/>
        <w:numPr>
          <w:ilvl w:val="4"/>
          <w:numId w:val="1"/>
        </w:numPr>
        <w:rPr/>
      </w:pPr>
      <w:bookmarkStart w:id="3215" w:name="__RefHeading___Toc3973713_1067777946"/>
      <w:bookmarkStart w:id="3216" w:name="_Toc1364"/>
      <w:bookmarkEnd w:id="3215"/>
      <w:r>
        <w:rPr>
          <w:rtl w:val="true"/>
        </w:rPr>
        <w:t>وجوب نگهدارى حيوان در بعضى وقت ها</w:t>
      </w:r>
      <w:bookmarkEnd w:id="3216"/>
    </w:p>
    <w:p>
      <w:pPr>
        <w:pStyle w:val="Heading6"/>
        <w:numPr>
          <w:ilvl w:val="5"/>
          <w:numId w:val="1"/>
        </w:numPr>
        <w:rPr/>
      </w:pPr>
      <w:bookmarkStart w:id="3217" w:name="__RefHeading___Toc3973715_1067777946"/>
      <w:bookmarkStart w:id="3218" w:name="_Toc1365"/>
      <w:bookmarkEnd w:id="3217"/>
      <w:r>
        <w:rPr>
          <w:rtl w:val="true"/>
        </w:rPr>
        <w:t>اشاره</w:t>
      </w:r>
      <w:bookmarkEnd w:id="321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حفظ حيوان شخص در وقت اغتلام و هيجان از شدت شهوت، و درندگى و گزنده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اهمال كرد با علم، ضامن جنايات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مجهول الحال يا معلوم الحال اگر تفريط در ضبط آن نكرد ضمانى نيست</w:t>
      </w:r>
      <w:r>
        <w:rPr>
          <w:rFonts w:eastAsia="IRNazanin" w:cs="IRNazanin"/>
          <w:color w:val="111111"/>
          <w:sz w:val="28"/>
          <w:szCs w:val="28"/>
          <w:rtl w:val="true"/>
          <w:lang w:bidi="fa-IR"/>
        </w:rPr>
        <w:t>.</w:t>
      </w:r>
    </w:p>
    <w:p>
      <w:pPr>
        <w:pStyle w:val="Heading6"/>
        <w:numPr>
          <w:ilvl w:val="5"/>
          <w:numId w:val="1"/>
        </w:numPr>
        <w:rPr/>
      </w:pPr>
      <w:bookmarkStart w:id="3219" w:name="__RefHeading___Toc3973717_1067777946"/>
      <w:bookmarkStart w:id="3220" w:name="_Toc1366"/>
      <w:bookmarkEnd w:id="3219"/>
      <w:r>
        <w:rPr>
          <w:rtl w:val="true"/>
        </w:rPr>
        <w:t>عدم ضمان در مقام دفع حيوان درنده</w:t>
      </w:r>
      <w:bookmarkEnd w:id="3220"/>
    </w:p>
    <w:p>
      <w:pPr>
        <w:pStyle w:val="BookText"/>
        <w:rPr/>
      </w:pPr>
      <w:r>
        <w:rPr>
          <w:rFonts w:ascii="IRNazanin" w:hAnsi="IRNazanin" w:eastAsia="IRNazanin"/>
          <w:color w:val="111111"/>
          <w:sz w:val="28"/>
          <w:sz w:val="28"/>
          <w:szCs w:val="28"/>
          <w:rtl w:val="true"/>
          <w:lang w:bidi="fa-IR"/>
        </w:rPr>
        <w:t>و اگر در مقام دفاع از حيوان درنده، مرتكب جنايتى در آن شد، ضامن نيست با رعايت اقل و اخف در مقام دفع شرّ آن؛ به خلاف جنايت در غير مقام دفع و دفاع از خود يا نفس محترمه ديگر يا مال محترمى كه ضامن است</w:t>
      </w:r>
      <w:r>
        <w:rPr>
          <w:rFonts w:eastAsia="IRNazanin" w:cs="IRNazanin"/>
          <w:color w:val="111111"/>
          <w:sz w:val="28"/>
          <w:szCs w:val="28"/>
          <w:rtl w:val="true"/>
          <w:lang w:bidi="fa-IR"/>
        </w:rPr>
        <w:t>.</w:t>
      </w:r>
    </w:p>
    <w:p>
      <w:pPr>
        <w:pStyle w:val="Heading6"/>
        <w:numPr>
          <w:ilvl w:val="5"/>
          <w:numId w:val="1"/>
        </w:numPr>
        <w:rPr/>
      </w:pPr>
      <w:bookmarkStart w:id="3221" w:name="__RefHeading___Toc3973719_1067777946"/>
      <w:bookmarkStart w:id="3222" w:name="_Toc1367"/>
      <w:bookmarkEnd w:id="3221"/>
      <w:r>
        <w:rPr>
          <w:rtl w:val="true"/>
        </w:rPr>
        <w:t>لزوم حفظ گربه اگر درنده شود</w:t>
      </w:r>
      <w:bookmarkEnd w:id="3222"/>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درندگى در گربه مملوكى ظاهر شد، بايد او را ضبط نمايد به نحوى كه مناسب آن باشد، وگرنه مالك آن ضامن جنايات آن است با تفريط در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در مقام دفاع از نفس محترمه يا مال محترم اگر او را كُشت با رعايت اقل دافع، ضامن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جواز قتل آن در غير دفاع تأمل است</w:t>
      </w:r>
      <w:r>
        <w:rPr>
          <w:rFonts w:eastAsia="IRNazanin" w:cs="IRNazanin"/>
          <w:color w:val="111111"/>
          <w:sz w:val="28"/>
          <w:szCs w:val="28"/>
          <w:rtl w:val="true"/>
          <w:lang w:bidi="fa-IR"/>
        </w:rPr>
        <w:t xml:space="preserve">. </w:t>
      </w:r>
      <w:bookmarkStart w:id="3223" w:name="pg10275_97032"/>
    </w:p>
    <w:p>
      <w:pPr>
        <w:pStyle w:val="Heading5"/>
        <w:numPr>
          <w:ilvl w:val="4"/>
          <w:numId w:val="1"/>
        </w:numPr>
        <w:rPr/>
      </w:pPr>
      <w:bookmarkStart w:id="3224" w:name="__RefHeading___Toc3973721_1067777946"/>
      <w:bookmarkStart w:id="3225" w:name="_Toc1368"/>
      <w:bookmarkEnd w:id="3223"/>
      <w:bookmarkEnd w:id="3224"/>
      <w:r>
        <w:rPr>
          <w:rtl w:val="true"/>
        </w:rPr>
        <w:t>اگر حيوان كسى بر حيوان ديگرى آسيب بزند</w:t>
      </w:r>
      <w:bookmarkEnd w:id="322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داخل شد حيوان مملوكى بر حيوان مملوك مالك ديگر و بر آن جنايتى وارد كرد، ضامن است مالك حيوان داخل با تفريط مالك در ضبط لازم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حيوان ديگر بر داخل جنايتى وارد كرد در فرض مذكور، صاحب آن ضامن براى صاحب حيوان داخل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طور فرار از محل خودش خارج شد و داخل بر ديگرى شد و جنايتى وارد كرد، چون مالك آن تفريط در حفظ لازم نداشته ضامن نيست</w:t>
      </w:r>
      <w:r>
        <w:rPr>
          <w:rFonts w:eastAsia="IRNazanin" w:cs="IRNazanin"/>
          <w:color w:val="111111"/>
          <w:sz w:val="28"/>
          <w:szCs w:val="28"/>
          <w:rtl w:val="true"/>
          <w:lang w:bidi="fa-IR"/>
        </w:rPr>
        <w:t>.</w:t>
      </w:r>
    </w:p>
    <w:p>
      <w:pPr>
        <w:pStyle w:val="Heading5"/>
        <w:numPr>
          <w:ilvl w:val="4"/>
          <w:numId w:val="1"/>
        </w:numPr>
        <w:rPr/>
      </w:pPr>
      <w:bookmarkStart w:id="3226" w:name="__RefHeading___Toc3973723_1067777946"/>
      <w:bookmarkStart w:id="3227" w:name="_Toc1369"/>
      <w:bookmarkEnd w:id="3226"/>
      <w:r>
        <w:rPr>
          <w:rtl w:val="true"/>
        </w:rPr>
        <w:t>اگر سگ خانه اى، واردِ بر آن خانه را بِدَرَد</w:t>
      </w:r>
      <w:bookmarkEnd w:id="322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داخل خانه جماعتى شد پس سگ حراست آنها او را دريد پس اگر با اذن ايشان داخل شد ضامن هستند جنايت سگ را، وگرنه ضامن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در روز داخل شد با شهادت حال بر اذن؛ به خلاف شب با شهادت حال بر عدم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بعضى اذن دادند، با جواز دخول با اذن آن بعض، ضامن است خصوص اذن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اذن شد، قول منكر مقدم است مگر با شهادت حال بر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اذن، خصوصى است و آن چه جارى مجراى آن باشد، نه عمومى به نحوى كه كشف از التزام به لوازم دخول ننمايد اگر چه شرعاً جايز باشد دخول با آن</w:t>
      </w:r>
      <w:r>
        <w:rPr>
          <w:rFonts w:eastAsia="IRNazanin" w:cs="IRNazanin"/>
          <w:color w:val="111111"/>
          <w:sz w:val="28"/>
          <w:szCs w:val="28"/>
          <w:rtl w:val="true"/>
          <w:lang w:bidi="fa-IR"/>
        </w:rPr>
        <w:t>.</w:t>
      </w:r>
    </w:p>
    <w:p>
      <w:pPr>
        <w:pStyle w:val="Heading5"/>
        <w:numPr>
          <w:ilvl w:val="4"/>
          <w:numId w:val="1"/>
        </w:numPr>
        <w:rPr/>
      </w:pPr>
      <w:bookmarkStart w:id="3228" w:name="__RefHeading___Toc3973725_1067777946"/>
      <w:bookmarkStart w:id="3229" w:name="_Toc1370"/>
      <w:bookmarkEnd w:id="3228"/>
      <w:r>
        <w:rPr>
          <w:rtl w:val="true"/>
        </w:rPr>
        <w:t>تفصيل بين راكب و سايق دابه در ضمان بر دست و پاى دابّه</w:t>
      </w:r>
      <w:bookmarkEnd w:id="3229"/>
    </w:p>
    <w:p>
      <w:pPr>
        <w:pStyle w:val="Heading6"/>
        <w:numPr>
          <w:ilvl w:val="5"/>
          <w:numId w:val="1"/>
        </w:numPr>
        <w:rPr/>
      </w:pPr>
      <w:bookmarkStart w:id="3230" w:name="__RefHeading___Toc3973727_1067777946"/>
      <w:bookmarkStart w:id="3231" w:name="_Toc1371"/>
      <w:bookmarkEnd w:id="3230"/>
      <w:r>
        <w:rPr>
          <w:rtl w:val="true"/>
        </w:rPr>
        <w:t>اشاره</w:t>
      </w:r>
      <w:bookmarkEnd w:id="323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راكب دابّه و قائد آن، ضامن جنايت آن است به اصابت با دستهاى آن، و ضامن اصابت با پاهاى آن نيست مگر سايق،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به غير، وضع قدم است كه فرقى با وضع 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سايق، ضامن اصابت دستها و پاها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ضمان راكب و قائد و سايق، اصابت دابه را در حال وقوف، به هر يك از دستها و پاهاى آن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لحوق سر و گردن بلكه مقاديم بدن به دستها است در ضمان</w:t>
      </w:r>
      <w:r>
        <w:rPr>
          <w:rFonts w:eastAsia="IRNazanin" w:cs="IRNazanin"/>
          <w:color w:val="111111"/>
          <w:sz w:val="28"/>
          <w:szCs w:val="28"/>
          <w:rtl w:val="true"/>
          <w:lang w:bidi="fa-IR"/>
        </w:rPr>
        <w:t xml:space="preserve">. </w:t>
      </w:r>
      <w:bookmarkStart w:id="3232" w:name="pg10275_97033"/>
    </w:p>
    <w:p>
      <w:pPr>
        <w:pStyle w:val="BookText"/>
        <w:rPr/>
      </w:pPr>
      <w:bookmarkEnd w:id="3232"/>
      <w:r>
        <w:rPr>
          <w:rFonts w:ascii="IRNazanin" w:hAnsi="IRNazanin" w:eastAsia="IRNazanin"/>
          <w:color w:val="111111"/>
          <w:sz w:val="28"/>
          <w:sz w:val="28"/>
          <w:szCs w:val="28"/>
          <w:rtl w:val="true"/>
          <w:lang w:bidi="fa-IR"/>
        </w:rPr>
        <w:t>و اظهر خروج صورت علم به عدم تفريط راكب در جنايت دستها، و علم به تفريط راكب در جنايت پاها است از حكم به ضمان در اول و عدم در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ركوب بر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بر عكس مى شود در صورتى كه متمكن از ضبط پشت مركوب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تمكن راكب و قائد از روبروى دستهاى مركوب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آن كه ركوب بر عكس از روى اضطرار و فاقد تمكن راكب از طرف پشت مركوب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مستظهر از روايات باب، ضمان در غير صورت علم به عدم تفريط و عدم ضمان در غير صورت علم به تفريط است، پس اظهر جريان ضمان به تسبيب است در مقام، و عدم انحصار به مباشرت؛ مثل آن كه به اصابت، ابطال نمايد دستهاى دابّه، ضوء چشم شخصى را</w:t>
      </w:r>
      <w:r>
        <w:rPr>
          <w:rFonts w:eastAsia="IRNazanin" w:cs="IRNazanin"/>
          <w:color w:val="111111"/>
          <w:sz w:val="28"/>
          <w:szCs w:val="28"/>
          <w:rtl w:val="true"/>
          <w:lang w:bidi="fa-IR"/>
        </w:rPr>
        <w:t>.</w:t>
      </w:r>
    </w:p>
    <w:p>
      <w:pPr>
        <w:pStyle w:val="Heading6"/>
        <w:numPr>
          <w:ilvl w:val="5"/>
          <w:numId w:val="1"/>
        </w:numPr>
        <w:rPr/>
      </w:pPr>
      <w:bookmarkStart w:id="3233" w:name="__RefHeading___Toc3973729_1067777946"/>
      <w:bookmarkStart w:id="3234" w:name="_Toc1372"/>
      <w:bookmarkEnd w:id="3233"/>
      <w:r>
        <w:rPr>
          <w:rtl w:val="true"/>
        </w:rPr>
        <w:t>عدم مانعيّت نسيان و غفلت از ضمان به تفريط</w:t>
      </w:r>
      <w:bookmarkEnd w:id="3234"/>
    </w:p>
    <w:p>
      <w:pPr>
        <w:pStyle w:val="BookText"/>
        <w:rPr/>
      </w:pPr>
      <w:r>
        <w:rPr>
          <w:rFonts w:ascii="Amiri" w:hAnsi="Amiri" w:eastAsia="Amiri" w:cs="Amiri"/>
          <w:color w:val="111111"/>
          <w:sz w:val="28"/>
          <w:sz w:val="28"/>
          <w:szCs w:val="28"/>
          <w:rtl w:val="true"/>
          <w:lang w:bidi="ar-SA"/>
        </w:rPr>
        <w:t>و در باب ضمان، نسيان و غفلت، مانع از ضمان به تفريط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نگاه داشت دابّه را، ضامن جميع جنايات از جميع اطراف آن است؛ و صورت علم به عدم تفريط، خارج است</w:t>
      </w:r>
      <w:r>
        <w:rPr>
          <w:rFonts w:eastAsia="IRNazanin" w:cs="IRNazanin"/>
          <w:color w:val="111111"/>
          <w:sz w:val="28"/>
          <w:szCs w:val="28"/>
          <w:rtl w:val="true"/>
          <w:lang w:bidi="fa-IR"/>
        </w:rPr>
        <w:t>.</w:t>
      </w:r>
    </w:p>
    <w:p>
      <w:pPr>
        <w:pStyle w:val="Heading6"/>
        <w:numPr>
          <w:ilvl w:val="5"/>
          <w:numId w:val="1"/>
        </w:numPr>
        <w:rPr/>
      </w:pPr>
      <w:bookmarkStart w:id="3235" w:name="__RefHeading___Toc3973731_1067777946"/>
      <w:bookmarkStart w:id="3236" w:name="_Toc1373"/>
      <w:bookmarkEnd w:id="3235"/>
      <w:r>
        <w:rPr>
          <w:rtl w:val="true"/>
        </w:rPr>
        <w:t>تلف شدن شخصى در اثر زدن به دابّه</w:t>
      </w:r>
      <w:bookmarkEnd w:id="3236"/>
    </w:p>
    <w:p>
      <w:pPr>
        <w:pStyle w:val="BookText"/>
        <w:rPr/>
      </w:pPr>
      <w:r>
        <w:rPr>
          <w:rFonts w:ascii="IRNazanin" w:hAnsi="IRNazanin" w:eastAsia="IRNazanin"/>
          <w:color w:val="111111"/>
          <w:sz w:val="28"/>
          <w:sz w:val="28"/>
          <w:szCs w:val="28"/>
          <w:rtl w:val="true"/>
          <w:lang w:bidi="fa-IR"/>
        </w:rPr>
        <w:t>اگر با زدن و نحو آن، دابّه مضطرب شد و كسى را تلف كرد، ضارب، ضامن است چه راكب باشد چه اجنبى، مگر آن كه ضرب در مقام دفاع، از ضارب بوده، كه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سائق و راكب و قائد همه باشند، شريكند در ضمان در صورت اشتراك، يعنى اگر هر كدام منفرد بود، ضامن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منفرد است در ضمان آن چه مخصوص است به ضمان آن بعضى از اينها؛ و همچنين است اجتماع دو صنف از اينها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مورد قطار بود، در ضمان قائد، اول را، و سائق، آخرى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مذكور در </w:t>
      </w:r>
      <w:bookmarkStart w:id="3237" w:name="pg10275_97034"/>
    </w:p>
    <w:p>
      <w:pPr>
        <w:pStyle w:val="BookText"/>
        <w:rPr/>
      </w:pPr>
      <w:bookmarkEnd w:id="3237"/>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نيست؛ و ضمان سائق، متوسط را و اصابت پاهاى متقدّم را مبنىّ بر تمكن از ضبط غير متأخر است اصابت آنها را با پاها، و تحقق تفريط به اين جهت است</w:t>
      </w:r>
      <w:r>
        <w:rPr>
          <w:rFonts w:eastAsia="IRNazanin" w:cs="IRNazanin"/>
          <w:color w:val="111111"/>
          <w:sz w:val="28"/>
          <w:szCs w:val="28"/>
          <w:rtl w:val="true"/>
          <w:lang w:bidi="fa-IR"/>
        </w:rPr>
        <w:t>.</w:t>
      </w:r>
    </w:p>
    <w:p>
      <w:pPr>
        <w:pStyle w:val="Heading6"/>
        <w:numPr>
          <w:ilvl w:val="5"/>
          <w:numId w:val="1"/>
        </w:numPr>
        <w:rPr/>
      </w:pPr>
      <w:bookmarkStart w:id="3238" w:name="__RefHeading___Toc3973733_1067777946"/>
      <w:bookmarkStart w:id="3239" w:name="_Toc1374"/>
      <w:bookmarkEnd w:id="3238"/>
      <w:r>
        <w:rPr>
          <w:rtl w:val="true"/>
        </w:rPr>
        <w:t>فرض وحدت و تعدد سائق ها</w:t>
      </w:r>
      <w:bookmarkEnd w:id="3239"/>
    </w:p>
    <w:p>
      <w:pPr>
        <w:pStyle w:val="BookText"/>
        <w:rPr/>
      </w:pPr>
      <w:r>
        <w:rPr>
          <w:rFonts w:ascii="IRNazanin" w:hAnsi="IRNazanin" w:eastAsia="IRNazanin"/>
          <w:color w:val="111111"/>
          <w:sz w:val="28"/>
          <w:sz w:val="28"/>
          <w:szCs w:val="28"/>
          <w:rtl w:val="true"/>
          <w:lang w:bidi="fa-IR"/>
        </w:rPr>
        <w:t>و اگر دابّه متعدد باشد، سائق واحد، ضامن است در صورت قدرت بر ضبط متعدد، مثل واحد به نحوى كه در واحد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سائقها متعدّد باشند يا قائدها متعدد باشند، شريكند در ضمان در صورت ضمان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متعدد از سائق با واحد قائد يا بر عكس، و متعدد از هر كدام با متعدد از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راكب دو رديف باشند، مساوى در ضمان هستند با تساوى در قدرت بر ضبط، مثل دو راكب يك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متعاقب باشند، ضمان دوّمى محل تأمل است، اگر چه مروىّ و منسوب به قطع اصحاب، تساوى است</w:t>
      </w:r>
      <w:r>
        <w:rPr>
          <w:rFonts w:eastAsia="IRNazanin" w:cs="IRNazanin"/>
          <w:color w:val="111111"/>
          <w:sz w:val="28"/>
          <w:szCs w:val="28"/>
          <w:rtl w:val="true"/>
          <w:lang w:bidi="fa-IR"/>
        </w:rPr>
        <w:t>.</w:t>
      </w:r>
    </w:p>
    <w:p>
      <w:pPr>
        <w:pStyle w:val="Heading6"/>
        <w:numPr>
          <w:ilvl w:val="5"/>
          <w:numId w:val="1"/>
        </w:numPr>
        <w:rPr/>
      </w:pPr>
      <w:bookmarkStart w:id="3240" w:name="__RefHeading___Toc3973735_1067777946"/>
      <w:bookmarkStart w:id="3241" w:name="_Toc1375"/>
      <w:bookmarkEnd w:id="3240"/>
      <w:r>
        <w:rPr>
          <w:rtl w:val="true"/>
        </w:rPr>
        <w:t>فرض ضمان صاحب دابّه و عدم ضمان راكب</w:t>
      </w:r>
      <w:bookmarkEnd w:id="3241"/>
    </w:p>
    <w:p>
      <w:pPr>
        <w:pStyle w:val="BookText"/>
        <w:rPr/>
      </w:pPr>
      <w:r>
        <w:rPr>
          <w:rFonts w:ascii="IRNazanin" w:hAnsi="IRNazanin" w:eastAsia="IRNazanin"/>
          <w:color w:val="111111"/>
          <w:sz w:val="28"/>
          <w:sz w:val="28"/>
          <w:szCs w:val="28"/>
          <w:rtl w:val="true"/>
          <w:lang w:bidi="fa-IR"/>
        </w:rPr>
        <w:t>اگر صاحب دابّه با او باشد، او ضامن است نه راكب در صورتى كه در خارج، اختياردارِ دابّه، صاحبش باشد؛ و اگر هر يك در جهتى امر ضبط و حفظ دابّه موكول به او است، ضامن است در خصوص آن جهت؛ و اگر به هر دو يا سه موكول است، شريكند در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دابّه، راكب را انداخت، مالك، ضامن او نيست؛ مگر با تنفير مالك بوده باشد، يا آن كه امر ضبط آن از همه جهت موكول به كسى باشد و تفريط نمايد، يا آن كه راكب مستقل نباشد، مثل طفل يا مجنون، كه اختياردارِ مركوب در ضبط، ضامن است</w:t>
      </w:r>
      <w:r>
        <w:rPr>
          <w:rFonts w:eastAsia="IRNazanin" w:cs="IRNazanin"/>
          <w:color w:val="111111"/>
          <w:sz w:val="28"/>
          <w:szCs w:val="28"/>
          <w:rtl w:val="true"/>
          <w:lang w:bidi="fa-IR"/>
        </w:rPr>
        <w:t>.</w:t>
      </w:r>
    </w:p>
    <w:p>
      <w:pPr>
        <w:pStyle w:val="Heading6"/>
        <w:numPr>
          <w:ilvl w:val="5"/>
          <w:numId w:val="1"/>
        </w:numPr>
        <w:rPr/>
      </w:pPr>
      <w:bookmarkStart w:id="3242" w:name="__RefHeading___Toc3973737_1067777946"/>
      <w:bookmarkStart w:id="3243" w:name="_Toc1376"/>
      <w:bookmarkEnd w:id="3242"/>
      <w:r>
        <w:rPr>
          <w:rtl w:val="true"/>
        </w:rPr>
        <w:t>ضمان مملوك سواره</w:t>
      </w:r>
      <w:bookmarkEnd w:id="3243"/>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مملوك خودش را سوار كرد به دابّه، آيا ضامن جنايت آن است مطلقاً، يا آن كه صغير و عاجز باشد مملوك با فرق بين نفس و طرف يا مال، يا متعلق به رقبۀ مملوك </w:t>
      </w:r>
      <w:bookmarkStart w:id="3244" w:name="pg10275_97035"/>
    </w:p>
    <w:p>
      <w:pPr>
        <w:pStyle w:val="BookText"/>
        <w:rPr/>
      </w:pPr>
      <w:bookmarkEnd w:id="3244"/>
      <w:r>
        <w:rPr>
          <w:rFonts w:ascii="Amiri" w:hAnsi="Amiri" w:eastAsia="Amiri" w:cs="Amiri"/>
          <w:color w:val="111111"/>
          <w:sz w:val="28"/>
          <w:sz w:val="28"/>
          <w:szCs w:val="28"/>
          <w:rtl w:val="true"/>
          <w:lang w:bidi="ar-SA"/>
        </w:rPr>
        <w:t>است مطلقاً جنايت بر غير مال و بعد از عتق مطلوب است در مال‌؟ احتمالاتى است، ضمان مولى در موردى كه راكب غير مملوك ضامن است با اركاب مولى، خالى از وجه نيست</w:t>
      </w:r>
      <w:r>
        <w:rPr>
          <w:rFonts w:eastAsia="Amiri" w:cs="Amiri" w:ascii="Amiri" w:hAnsi="Amiri"/>
          <w:color w:val="111111"/>
          <w:sz w:val="28"/>
          <w:szCs w:val="28"/>
          <w:rtl w:val="true"/>
          <w:lang w:bidi="ar-SA"/>
        </w:rPr>
        <w:t>.</w:t>
      </w:r>
    </w:p>
    <w:p>
      <w:pPr>
        <w:pStyle w:val="Heading5"/>
        <w:numPr>
          <w:ilvl w:val="4"/>
          <w:numId w:val="1"/>
        </w:numPr>
        <w:rPr/>
      </w:pPr>
      <w:bookmarkStart w:id="3245" w:name="__RefHeading___Toc3973739_1067777946"/>
      <w:bookmarkStart w:id="3246" w:name="_Toc1377"/>
      <w:bookmarkEnd w:id="3245"/>
      <w:r>
        <w:rPr>
          <w:rtl w:val="true"/>
        </w:rPr>
        <w:t>داخل شدن حيوان در زراعت كسى</w:t>
      </w:r>
      <w:bookmarkEnd w:id="324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دابّۀ كسى داخل زراعت او شد كه محفوف به زراعت ديگرى است، جايز نيست اخراج آن به نحوى كه خالى از اضرار غير نيست؛ و اگر اخراج شد، عاصى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دخول و خروج با تفريط مالك بوده، ضامن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است در عدم جواز اخراج، اگر دابّه مال غير باشد و داخل زراعتِ كسى باشد كه در اطراف آن زراعت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مالك آن ضامن نيست اگر تفريط در ضبط آن نكرده است؛ و با تفريط ضامن است در صورت صبر و ترك اخراج با اضرار در مسألۀ مفروضه</w:t>
      </w:r>
      <w:r>
        <w:rPr>
          <w:rFonts w:eastAsia="IRNazanin" w:cs="IRNazanin"/>
          <w:color w:val="111111"/>
          <w:sz w:val="28"/>
          <w:szCs w:val="28"/>
          <w:rtl w:val="true"/>
          <w:lang w:bidi="fa-IR"/>
        </w:rPr>
        <w:t xml:space="preserve">. </w:t>
      </w:r>
      <w:bookmarkStart w:id="3247" w:name="pg10275_97036"/>
    </w:p>
    <w:p>
      <w:pPr>
        <w:pStyle w:val="Heading3"/>
        <w:numPr>
          <w:ilvl w:val="2"/>
          <w:numId w:val="1"/>
        </w:numPr>
        <w:rPr/>
      </w:pPr>
      <w:bookmarkStart w:id="3248" w:name="__RefHeading___Toc3973741_1067777946"/>
      <w:bookmarkStart w:id="3249" w:name="_Toc1378"/>
      <w:bookmarkEnd w:id="3247"/>
      <w:bookmarkEnd w:id="3248"/>
      <w:r>
        <w:rPr>
          <w:rtl w:val="true"/>
        </w:rPr>
        <w:t>فصل سوم تزاحم موجبات ضمان</w:t>
      </w:r>
      <w:bookmarkEnd w:id="3249"/>
    </w:p>
    <w:p>
      <w:pPr>
        <w:pStyle w:val="Heading4"/>
        <w:numPr>
          <w:ilvl w:val="3"/>
          <w:numId w:val="1"/>
        </w:numPr>
        <w:rPr/>
      </w:pPr>
      <w:bookmarkStart w:id="3250" w:name="__RefHeading___Toc3973743_1067777946"/>
      <w:bookmarkStart w:id="3251" w:name="_Toc1379"/>
      <w:bookmarkEnd w:id="3250"/>
      <w:r>
        <w:rPr>
          <w:rtl w:val="true"/>
        </w:rPr>
        <w:t>ثبوت ضمان بر مباشر در صورت اقوى بودن آن از سبب</w:t>
      </w:r>
      <w:bookmarkEnd w:id="3251"/>
    </w:p>
    <w:p>
      <w:pPr>
        <w:pStyle w:val="BookText"/>
        <w:rPr/>
      </w:pPr>
      <w:r>
        <w:rPr>
          <w:rFonts w:ascii="IRNazanin" w:hAnsi="IRNazanin" w:eastAsia="IRNazanin"/>
          <w:color w:val="111111"/>
          <w:sz w:val="28"/>
          <w:sz w:val="28"/>
          <w:szCs w:val="28"/>
          <w:rtl w:val="true"/>
          <w:lang w:bidi="fa-IR"/>
        </w:rPr>
        <w:t>اگر در جنايتى سبب و مباشر جمع بودند و سبب اقوى نبود ضمان بر مباشر است، مثل دفع كننده با حفر بئر كننده، و نگاه دارنده با ذبح كننده، و سنگ گذار در منجنيق با آن كه مى كشد طناب آن را</w:t>
      </w:r>
      <w:r>
        <w:rPr>
          <w:rFonts w:eastAsia="IRNazanin" w:cs="IRNazanin"/>
          <w:color w:val="111111"/>
          <w:sz w:val="28"/>
          <w:szCs w:val="28"/>
          <w:rtl w:val="true"/>
          <w:lang w:bidi="fa-IR"/>
        </w:rPr>
        <w:t>.</w:t>
      </w:r>
    </w:p>
    <w:p>
      <w:pPr>
        <w:pStyle w:val="Heading4"/>
        <w:numPr>
          <w:ilvl w:val="3"/>
          <w:numId w:val="1"/>
        </w:numPr>
        <w:rPr/>
      </w:pPr>
      <w:bookmarkStart w:id="3252" w:name="__RefHeading___Toc3973745_1067777946"/>
      <w:bookmarkStart w:id="3253" w:name="_Toc1380"/>
      <w:bookmarkEnd w:id="3252"/>
      <w:r>
        <w:rPr>
          <w:rtl w:val="true"/>
        </w:rPr>
        <w:t>فرض غرور مباشر</w:t>
      </w:r>
      <w:bookmarkEnd w:id="3253"/>
    </w:p>
    <w:p>
      <w:pPr>
        <w:pStyle w:val="BookText"/>
        <w:rPr/>
      </w:pPr>
      <w:r>
        <w:rPr>
          <w:rFonts w:ascii="IRNazanin" w:hAnsi="IRNazanin" w:eastAsia="IRNazanin"/>
          <w:color w:val="111111"/>
          <w:sz w:val="28"/>
          <w:sz w:val="28"/>
          <w:szCs w:val="28"/>
          <w:rtl w:val="true"/>
          <w:lang w:bidi="fa-IR"/>
        </w:rPr>
        <w:t xml:space="preserve">مگر در صورت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غرور، مثل آن كه چاهى را در غير ملك حفر كرده و پوشانيده به نحو جايز پس كسى ديگرى را دفع كرد در آن بدون اطلاع، كه ضمان بر حافر است، يا آن كه با اذن او حفر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فراركننده از موجب خوفى واقع شد بدون اطلاع در چنين چاهى يا چاهى كه از روى عدوان حفر شده، حافر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حافر و مباشر ضعيف باشند به واسطۀ كامل نبودن</w:t>
      </w:r>
      <w:r>
        <w:rPr>
          <w:rFonts w:eastAsia="IRNazanin" w:cs="IRNazanin"/>
          <w:color w:val="111111"/>
          <w:sz w:val="28"/>
          <w:szCs w:val="28"/>
          <w:rtl w:val="true"/>
          <w:lang w:bidi="fa-IR"/>
        </w:rPr>
        <w:t>.</w:t>
      </w:r>
    </w:p>
    <w:p>
      <w:pPr>
        <w:pStyle w:val="Heading4"/>
        <w:numPr>
          <w:ilvl w:val="3"/>
          <w:numId w:val="1"/>
        </w:numPr>
        <w:rPr/>
      </w:pPr>
      <w:bookmarkStart w:id="3254" w:name="__RefHeading___Toc3973747_1067777946"/>
      <w:bookmarkStart w:id="3255" w:name="_Toc1381"/>
      <w:bookmarkEnd w:id="3254"/>
      <w:r>
        <w:rPr>
          <w:rtl w:val="true"/>
        </w:rPr>
        <w:t>حفر چاه در ملك خود و دعوت غير و افتادن وى</w:t>
      </w:r>
      <w:bookmarkEnd w:id="3255"/>
    </w:p>
    <w:p>
      <w:pPr>
        <w:pStyle w:val="BookText"/>
        <w:rPr/>
      </w:pPr>
      <w:r>
        <w:rPr>
          <w:rFonts w:ascii="IRNazanin" w:hAnsi="IRNazanin" w:eastAsia="IRNazanin"/>
          <w:color w:val="111111"/>
          <w:sz w:val="28"/>
          <w:sz w:val="28"/>
          <w:szCs w:val="28"/>
          <w:rtl w:val="true"/>
          <w:lang w:bidi="fa-IR"/>
        </w:rPr>
        <w:t>اگر در ملك خودش حفر چاه كرد و پوشانيد آن را و دعوت كرد غير را و اعلام به آن نكرد، اگر چه از روى فراموشى بوده، اظهر ضمان مالك است</w:t>
      </w:r>
      <w:r>
        <w:rPr>
          <w:rFonts w:eastAsia="IRNazanin" w:cs="IRNazanin"/>
          <w:color w:val="111111"/>
          <w:sz w:val="28"/>
          <w:szCs w:val="28"/>
          <w:rtl w:val="true"/>
          <w:lang w:bidi="fa-IR"/>
        </w:rPr>
        <w:t>.</w:t>
      </w:r>
    </w:p>
    <w:p>
      <w:pPr>
        <w:pStyle w:val="Heading4"/>
        <w:numPr>
          <w:ilvl w:val="3"/>
          <w:numId w:val="1"/>
        </w:numPr>
        <w:rPr/>
      </w:pPr>
      <w:bookmarkStart w:id="3256" w:name="__RefHeading___Toc3973749_1067777946"/>
      <w:bookmarkStart w:id="3257" w:name="_Toc1382"/>
      <w:bookmarkEnd w:id="3256"/>
      <w:r>
        <w:rPr>
          <w:rtl w:val="true"/>
        </w:rPr>
        <w:t>اجتماع دو سبب</w:t>
      </w:r>
      <w:bookmarkEnd w:id="325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سبب جمع شد، محتمل است ترجيح اسبق در جنايت با تعدى هر دو، مثل </w:t>
      </w:r>
      <w:bookmarkStart w:id="3258" w:name="pg10275_97037"/>
    </w:p>
    <w:p>
      <w:pPr>
        <w:pStyle w:val="BookText"/>
        <w:rPr/>
      </w:pPr>
      <w:bookmarkEnd w:id="3258"/>
      <w:r>
        <w:rPr>
          <w:rFonts w:ascii="IRNazanin" w:hAnsi="IRNazanin" w:eastAsia="IRNazanin"/>
          <w:color w:val="111111"/>
          <w:sz w:val="28"/>
          <w:sz w:val="28"/>
          <w:szCs w:val="28"/>
          <w:rtl w:val="true"/>
          <w:lang w:bidi="fa-IR"/>
        </w:rPr>
        <w:t>وضع حجر و حفر بئر، يا حفر بئر و نصب چاقو در آن؛ و محتمل است تشريك در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اقرب است در صورت كارگر نبودن هر يك در جنايت بدون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يكى غير اختيارى باشد، مثل آن كه سيل سنگ را آورده تا كنار چاه، يا آن كه يكى متعدى نيست، ضمان نصف ديه يا قيمت بر مختار متعدى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شريك بودند در حفر در غير ملك، هر دو ضامن هستند با توزيع ديه يا قيمت به قدر عمل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براى همين مقصد يكى تا نزديك آخر رسانيد و ديگرى اتمام كرد</w:t>
      </w:r>
      <w:r>
        <w:rPr>
          <w:rFonts w:eastAsia="IRNazanin" w:cs="IRNazanin"/>
          <w:color w:val="111111"/>
          <w:sz w:val="28"/>
          <w:szCs w:val="28"/>
          <w:rtl w:val="true"/>
          <w:lang w:bidi="fa-IR"/>
        </w:rPr>
        <w:t>.</w:t>
      </w:r>
    </w:p>
    <w:p>
      <w:pPr>
        <w:pStyle w:val="Heading4"/>
        <w:numPr>
          <w:ilvl w:val="3"/>
          <w:numId w:val="1"/>
        </w:numPr>
        <w:rPr/>
      </w:pPr>
      <w:bookmarkStart w:id="3259" w:name="__RefHeading___Toc3973751_1067777946"/>
      <w:bookmarkStart w:id="3260" w:name="_Toc1383"/>
      <w:bookmarkEnd w:id="3259"/>
      <w:r>
        <w:rPr>
          <w:rtl w:val="true"/>
        </w:rPr>
        <w:t>اجتماع غرض نافع و حفر مهلك</w:t>
      </w:r>
      <w:bookmarkEnd w:id="3260"/>
    </w:p>
    <w:p>
      <w:pPr>
        <w:pStyle w:val="BookText"/>
        <w:rPr/>
      </w:pPr>
      <w:r>
        <w:rPr>
          <w:rFonts w:ascii="IRNazanin" w:hAnsi="IRNazanin" w:eastAsia="IRNazanin"/>
          <w:color w:val="111111"/>
          <w:sz w:val="28"/>
          <w:sz w:val="28"/>
          <w:szCs w:val="28"/>
          <w:rtl w:val="true"/>
          <w:lang w:bidi="fa-IR"/>
        </w:rPr>
        <w:t>و اگر يكى براى غرض نافع حفر كرد تا حدّى كه بر آن جنايتى مترتب نمى شود، و ديگرى حفر كرد تا حدّ اهلاك، احتمال دارد ضمان دوّمى تمام ديه يا قيمت را</w:t>
      </w:r>
      <w:r>
        <w:rPr>
          <w:rFonts w:eastAsia="IRNazanin" w:cs="IRNazanin"/>
          <w:color w:val="111111"/>
          <w:sz w:val="28"/>
          <w:szCs w:val="28"/>
          <w:rtl w:val="true"/>
          <w:lang w:bidi="fa-IR"/>
        </w:rPr>
        <w:t>.</w:t>
      </w:r>
    </w:p>
    <w:p>
      <w:pPr>
        <w:pStyle w:val="Heading4"/>
        <w:numPr>
          <w:ilvl w:val="3"/>
          <w:numId w:val="1"/>
        </w:numPr>
        <w:rPr/>
      </w:pPr>
      <w:bookmarkStart w:id="3261" w:name="__RefHeading___Toc3973753_1067777946"/>
      <w:bookmarkStart w:id="3262" w:name="_Toc1384"/>
      <w:bookmarkEnd w:id="3261"/>
      <w:r>
        <w:rPr>
          <w:rtl w:val="true"/>
        </w:rPr>
        <w:t>گذارنده سنگ در معبر و حركت دهندۀ آن</w:t>
      </w:r>
      <w:bookmarkEnd w:id="3262"/>
    </w:p>
    <w:p>
      <w:pPr>
        <w:pStyle w:val="BookText"/>
        <w:rPr/>
      </w:pPr>
      <w:r>
        <w:rPr>
          <w:rFonts w:ascii="IRNazanin" w:hAnsi="IRNazanin" w:eastAsia="IRNazanin"/>
          <w:color w:val="111111"/>
          <w:sz w:val="28"/>
          <w:sz w:val="28"/>
          <w:szCs w:val="28"/>
          <w:rtl w:val="true"/>
          <w:lang w:bidi="fa-IR"/>
        </w:rPr>
        <w:t>اگر به سبب سنگى كه در معبر گذاشته شده عابرى غير متسامح كه معذور باشد سقوط كرد، ضمان بر گذارنده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آن را حركت داد از محلش به واسطۀ لغزيدن، و ديگرى به واسطۀ آن در آن محل سقوط كرد، ضمان بر اولى است اگر نقل بى اثر بوده، و بر دوّمى است اگر بدون نقل، مؤثر در غير تحريك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 غير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 نبوده؛ و بر هر كدام كه غير متعدى باشد ضمان نيست بنا بر اظهر</w:t>
      </w:r>
      <w:r>
        <w:rPr>
          <w:rFonts w:eastAsia="IRNazanin" w:cs="IRNazanin"/>
          <w:color w:val="111111"/>
          <w:sz w:val="28"/>
          <w:szCs w:val="28"/>
          <w:rtl w:val="true"/>
          <w:lang w:bidi="fa-IR"/>
        </w:rPr>
        <w:t>.</w:t>
      </w:r>
    </w:p>
    <w:p>
      <w:pPr>
        <w:pStyle w:val="Heading4"/>
        <w:numPr>
          <w:ilvl w:val="3"/>
          <w:numId w:val="1"/>
        </w:numPr>
        <w:rPr/>
      </w:pPr>
      <w:bookmarkStart w:id="3263" w:name="__RefHeading___Toc3973755_1067777946"/>
      <w:bookmarkStart w:id="3264" w:name="_Toc1385"/>
      <w:bookmarkEnd w:id="3263"/>
      <w:r>
        <w:rPr>
          <w:rtl w:val="true"/>
        </w:rPr>
        <w:t>سقوط دو نفر در حفره اى و تأثير اجتماع در هلاك</w:t>
      </w:r>
      <w:bookmarkEnd w:id="326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ساقط شدند دو نفر در حفره اى و هر دو به مداخلۀ وقوع ديگرى هلاك شدند، ضمان بر حافر به حفر عدوانى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حفر عدوانى نبود و با تدافع در آن بدون عمد واقع شدند، هر كدام يا عاقلۀ او نصف ديه ديگرى را ضامن است، يعنى در شبه عمد يا خطأ محض</w:t>
      </w:r>
      <w:r>
        <w:rPr>
          <w:rFonts w:eastAsia="IRNazanin" w:cs="IRNazanin"/>
          <w:color w:val="111111"/>
          <w:sz w:val="28"/>
          <w:szCs w:val="28"/>
          <w:rtl w:val="true"/>
          <w:lang w:bidi="fa-IR"/>
        </w:rPr>
        <w:t xml:space="preserve">. </w:t>
      </w:r>
      <w:bookmarkStart w:id="3265" w:name="pg10275_97038"/>
    </w:p>
    <w:p>
      <w:pPr>
        <w:pStyle w:val="BookText"/>
        <w:rPr/>
      </w:pPr>
      <w:bookmarkEnd w:id="3265"/>
      <w:r>
        <w:rPr>
          <w:rFonts w:ascii="IRNazanin" w:hAnsi="IRNazanin" w:eastAsia="IRNazanin"/>
          <w:color w:val="111111"/>
          <w:sz w:val="28"/>
          <w:sz w:val="28"/>
          <w:szCs w:val="28"/>
          <w:rtl w:val="true"/>
          <w:lang w:bidi="fa-IR"/>
        </w:rPr>
        <w:t>و اگر بدون مداخلۀ وقوع ديگرى افتادند و هلاك شدند، ضامن همديگر نيستند و حافر، ضامن است اگر متعدى است</w:t>
      </w:r>
      <w:r>
        <w:rPr>
          <w:rFonts w:eastAsia="IRNazanin" w:cs="IRNazanin"/>
          <w:color w:val="111111"/>
          <w:sz w:val="28"/>
          <w:szCs w:val="28"/>
          <w:rtl w:val="true"/>
          <w:lang w:bidi="fa-IR"/>
        </w:rPr>
        <w:t>.</w:t>
      </w:r>
    </w:p>
    <w:p>
      <w:pPr>
        <w:pStyle w:val="Heading4"/>
        <w:numPr>
          <w:ilvl w:val="3"/>
          <w:numId w:val="1"/>
        </w:numPr>
        <w:rPr/>
      </w:pPr>
      <w:bookmarkStart w:id="3266" w:name="__RefHeading___Toc3973757_1067777946"/>
      <w:bookmarkStart w:id="3267" w:name="_Toc1386"/>
      <w:bookmarkEnd w:id="3266"/>
      <w:r>
        <w:rPr>
          <w:rtl w:val="true"/>
        </w:rPr>
        <w:t>اگر بگويد</w:t>
      </w:r>
      <w:r>
        <w:rPr>
          <w:rtl w:val="true"/>
        </w:rPr>
        <w:t>: «</w:t>
      </w:r>
      <w:r>
        <w:rPr>
          <w:rtl w:val="true"/>
        </w:rPr>
        <w:t>براى حفظ كشتى مال را در دريا بيندازد</w:t>
      </w:r>
      <w:r>
        <w:rPr>
          <w:rtl w:val="true"/>
        </w:rPr>
        <w:t>»</w:t>
      </w:r>
      <w:bookmarkEnd w:id="3267"/>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خود را در دريا بينداز تا كشتى سالم از غرق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انداخت بدون اكراه، كسى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بينداز در دريا و بر من است ضمان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وقت خوف بر كشتى، ضامن قيمت وقت انداختن آن است اگر قيمى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غير موقع خوف، تقاضاى القاى با ضمان كرد، پس با اندراج آن در جعاله، ضمان متّجه است</w:t>
      </w:r>
      <w:r>
        <w:rPr>
          <w:rFonts w:eastAsia="IRNazanin" w:cs="IRNazanin"/>
          <w:color w:val="111111"/>
          <w:sz w:val="28"/>
          <w:szCs w:val="28"/>
          <w:rtl w:val="true"/>
          <w:lang w:bidi="fa-IR"/>
        </w:rPr>
        <w:t>.</w:t>
      </w:r>
    </w:p>
    <w:p>
      <w:pPr>
        <w:pStyle w:val="Heading4"/>
        <w:numPr>
          <w:ilvl w:val="3"/>
          <w:numId w:val="1"/>
        </w:numPr>
        <w:rPr/>
      </w:pPr>
      <w:bookmarkStart w:id="3268" w:name="__RefHeading___Toc3973759_1067777946"/>
      <w:bookmarkStart w:id="3269" w:name="_Toc1387"/>
      <w:bookmarkEnd w:id="3268"/>
      <w:r>
        <w:rPr>
          <w:rtl w:val="true"/>
        </w:rPr>
        <w:t>انداختن كالاى ديگرى در دريا براى خوف از هلاك</w:t>
      </w:r>
      <w:bookmarkEnd w:id="3269"/>
    </w:p>
    <w:p>
      <w:pPr>
        <w:pStyle w:val="BookText"/>
        <w:rPr/>
      </w:pPr>
      <w:r>
        <w:rPr>
          <w:rFonts w:ascii="IRNazanin" w:hAnsi="IRNazanin" w:eastAsia="IRNazanin"/>
          <w:color w:val="111111"/>
          <w:sz w:val="28"/>
          <w:sz w:val="28"/>
          <w:szCs w:val="28"/>
          <w:rtl w:val="true"/>
          <w:lang w:bidi="fa-IR"/>
        </w:rPr>
        <w:t>اگر متاع غير را القا در دريا كرد بدون اذن مالك، براى خوف بر مالك يا خودش يا غير، ضامن است براى مالك اگر چه واجب باشد در بعض احوال</w:t>
      </w:r>
      <w:r>
        <w:rPr>
          <w:rFonts w:eastAsia="IRNazanin" w:cs="IRNazanin"/>
          <w:color w:val="111111"/>
          <w:sz w:val="28"/>
          <w:szCs w:val="28"/>
          <w:rtl w:val="true"/>
          <w:lang w:bidi="fa-IR"/>
        </w:rPr>
        <w:t>.</w:t>
      </w:r>
    </w:p>
    <w:p>
      <w:pPr>
        <w:pStyle w:val="Heading4"/>
        <w:numPr>
          <w:ilvl w:val="3"/>
          <w:numId w:val="1"/>
        </w:numPr>
        <w:rPr/>
      </w:pPr>
      <w:bookmarkStart w:id="3270" w:name="__RefHeading___Toc3973761_1067777946"/>
      <w:bookmarkStart w:id="3271" w:name="_Toc1388"/>
      <w:bookmarkEnd w:id="3270"/>
      <w:r>
        <w:rPr>
          <w:rtl w:val="true"/>
        </w:rPr>
        <w:t>عدم ضمان در فرض از بين بردن كالاى كسى براى حفظ آن شخص</w:t>
      </w:r>
      <w:bookmarkEnd w:id="3271"/>
    </w:p>
    <w:p>
      <w:pPr>
        <w:pStyle w:val="BookText"/>
        <w:rPr/>
      </w:pPr>
      <w:r>
        <w:rPr>
          <w:rFonts w:ascii="IRNazanin" w:hAnsi="IRNazanin" w:eastAsia="IRNazanin"/>
          <w:color w:val="111111"/>
          <w:sz w:val="28"/>
          <w:sz w:val="28"/>
          <w:szCs w:val="28"/>
          <w:rtl w:val="true"/>
          <w:lang w:bidi="fa-IR"/>
        </w:rPr>
        <w:t>و اگر براى خوف بر نفسِ مالك القا كرد و براى غيبت مالك يا عدم مهلت استيذان يا عدم اذن مالك به جهت جهل به موضوع و غفلت و عدم اطلاع، با عدم تمكن از استيذان از حاكم شرع، دور نيست عدم ضمان به حسب حكم واقعى، به جهت ولايت عدول مؤمنين در فرض مذكور كه مصلحت مالك است؛ مصلحت ديگرى هم باشد يا نباشد</w:t>
      </w:r>
      <w:r>
        <w:rPr>
          <w:rFonts w:eastAsia="IRNazanin" w:cs="IRNazanin"/>
          <w:color w:val="111111"/>
          <w:sz w:val="28"/>
          <w:szCs w:val="28"/>
          <w:rtl w:val="true"/>
          <w:lang w:bidi="fa-IR"/>
        </w:rPr>
        <w:t>.</w:t>
      </w:r>
    </w:p>
    <w:p>
      <w:pPr>
        <w:pStyle w:val="Heading4"/>
        <w:numPr>
          <w:ilvl w:val="3"/>
          <w:numId w:val="1"/>
        </w:numPr>
        <w:rPr/>
      </w:pPr>
      <w:bookmarkStart w:id="3272" w:name="__RefHeading___Toc3973763_1067777946"/>
      <w:bookmarkStart w:id="3273" w:name="_Toc1389"/>
      <w:bookmarkEnd w:id="3272"/>
      <w:r>
        <w:rPr>
          <w:rtl w:val="true"/>
        </w:rPr>
        <w:t xml:space="preserve">اگر بگويد </w:t>
      </w:r>
      <w:r>
        <w:rPr>
          <w:rtl w:val="true"/>
        </w:rPr>
        <w:t>«</w:t>
      </w:r>
      <w:r>
        <w:rPr>
          <w:rtl w:val="true"/>
        </w:rPr>
        <w:t>كالاى خود را به دريا بينداز من و همه ضامن هستيم</w:t>
      </w:r>
      <w:bookmarkEnd w:id="3273"/>
    </w:p>
    <w:p>
      <w:pPr>
        <w:pStyle w:val="BookText"/>
        <w:rPr/>
      </w:pPr>
      <w:r>
        <w:rPr>
          <w:rFonts w:ascii="IRNazanin" w:hAnsi="IRNazanin" w:eastAsia="IRNazanin"/>
          <w:color w:val="111111"/>
          <w:sz w:val="28"/>
          <w:sz w:val="28"/>
          <w:szCs w:val="28"/>
          <w:rtl w:val="true"/>
          <w:lang w:bidi="fa-IR"/>
        </w:rPr>
        <w:t>اگر ترك القاءِ واجب كرد تا هلاك شد نفسى يا مالى در كشتى، آثم است نه ضامن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خود را در دريا بينداز و من با مسافرين در كشتى ضامن آن هستيم، پس اگر مغرور شد و متاع خود را انداخت، آمر، ضامن جميع است؛ و هم چنين هر </w:t>
      </w:r>
      <w:bookmarkStart w:id="3274" w:name="pg10275_97039"/>
    </w:p>
    <w:p>
      <w:pPr>
        <w:pStyle w:val="BookText"/>
        <w:rPr/>
      </w:pPr>
      <w:bookmarkEnd w:id="3274"/>
      <w:r>
        <w:rPr>
          <w:rFonts w:ascii="Amiri" w:hAnsi="Amiri" w:eastAsia="Amiri" w:cs="Amiri"/>
          <w:color w:val="111111"/>
          <w:sz w:val="28"/>
          <w:sz w:val="28"/>
          <w:szCs w:val="28"/>
          <w:rtl w:val="true"/>
          <w:lang w:bidi="ar-SA"/>
        </w:rPr>
        <w:t>كدام از راكب ها كه اذن داده بودند يا اجازه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غرورى نبود، ظاهر عبارت به تنهايى، اشتراك است و به مقدار خودش بعد از توزيع بر جميع، ضامن است؛ و ديگران ضامن حصص نيستند مگر با اعتراف به اذن يا اجازه يا ثابت شدن آنها؛ كما اين كه با اعتراف آنها و مثل آن، هر يك ضامن جميع هم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ادّعاءِ ارادۀ اشتراك نمود و ديگران امتناع كردند، پس در قبول قول او راجع به نيّت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تضمين ديگران به جهت امتناع ايشان، يعنى بعضى يا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زيرا نتيجه بر ضمان جميع مال مترتّب است و حصّه مناسب آن است، لذا تضمينِ آمر، جميع را موافق ظاهر حال است؛ نه آن كه ترك تفحص از مقصود، تفريط است از ملقىٖ‌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عبارت مذكوره، خودش كه مالك نيست القا كرد، ضمان جميع مال ثابت است بر او بدون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ذكر ضمان خودش با ساكنين،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داده اند در ضمان از ايشان به حصص، پس انكار كردند، خودش ضامن جميع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وثوق مالك به قول او وگرنه اقدام نمى كند به حسب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تحقق غرور، چنان چه در سابق ذكر شد، و بر آنها بدون بيّنه چيزى نيست</w:t>
      </w:r>
      <w:r>
        <w:rPr>
          <w:rFonts w:eastAsia="IRNazanin" w:cs="IRNazanin"/>
          <w:color w:val="111111"/>
          <w:sz w:val="28"/>
          <w:szCs w:val="28"/>
          <w:rtl w:val="true"/>
          <w:lang w:bidi="fa-IR"/>
        </w:rPr>
        <w:t>.</w:t>
      </w:r>
    </w:p>
    <w:p>
      <w:pPr>
        <w:pStyle w:val="Heading4"/>
        <w:numPr>
          <w:ilvl w:val="3"/>
          <w:numId w:val="1"/>
        </w:numPr>
        <w:rPr/>
      </w:pPr>
      <w:bookmarkStart w:id="3275" w:name="__RefHeading___Toc3973765_1067777946"/>
      <w:bookmarkStart w:id="3276" w:name="_Toc1390"/>
      <w:bookmarkEnd w:id="3275"/>
      <w:r>
        <w:rPr>
          <w:rtl w:val="true"/>
        </w:rPr>
        <w:t>عدم خروج عين مضمونه از ملك</w:t>
      </w:r>
      <w:bookmarkEnd w:id="3276"/>
    </w:p>
    <w:p>
      <w:pPr>
        <w:pStyle w:val="BookText"/>
        <w:rPr/>
      </w:pPr>
      <w:r>
        <w:rPr>
          <w:rFonts w:ascii="IRNazanin" w:hAnsi="IRNazanin" w:eastAsia="IRNazanin"/>
          <w:color w:val="111111"/>
          <w:sz w:val="28"/>
          <w:sz w:val="28"/>
          <w:szCs w:val="28"/>
          <w:rtl w:val="true"/>
          <w:lang w:bidi="fa-IR"/>
        </w:rPr>
        <w:t>عين مضمونه از ملك، خارج نمى شود؛ پس اگر به نحوى به مالك رسيد، ضامن، استرداد عين مبذول را مى نمايد؛ و اگر نقصى حاصل شده استثنا مى شود و بقيه را ردّ مى نمايد؛ و ملك عوض، متزلزل است و به ظفر به عين، منفسخ مى شود</w:t>
      </w:r>
      <w:r>
        <w:rPr>
          <w:rFonts w:eastAsia="IRNazanin" w:cs="IRNazanin"/>
          <w:color w:val="111111"/>
          <w:sz w:val="28"/>
          <w:szCs w:val="28"/>
          <w:rtl w:val="true"/>
          <w:lang w:bidi="fa-IR"/>
        </w:rPr>
        <w:t>.</w:t>
      </w:r>
    </w:p>
    <w:p>
      <w:pPr>
        <w:pStyle w:val="Heading4"/>
        <w:numPr>
          <w:ilvl w:val="3"/>
          <w:numId w:val="1"/>
        </w:numPr>
        <w:rPr/>
      </w:pPr>
      <w:bookmarkStart w:id="3277" w:name="__RefHeading___Toc3973767_1067777946"/>
      <w:bookmarkStart w:id="3278" w:name="_Toc1391"/>
      <w:bookmarkEnd w:id="3277"/>
      <w:r>
        <w:rPr>
          <w:rtl w:val="true"/>
        </w:rPr>
        <w:t>افتادن چهار نفر در حفرۀ شير</w:t>
      </w:r>
      <w:bookmarkEnd w:id="327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حفره اى كه در آن شير بود، چهار نفر واقع شدند و به افتراسِ آن هلاك شدند </w:t>
      </w:r>
      <w:bookmarkStart w:id="3279" w:name="pg10275_97040"/>
    </w:p>
    <w:p>
      <w:pPr>
        <w:pStyle w:val="BookText"/>
        <w:rPr/>
      </w:pPr>
      <w:bookmarkEnd w:id="3279"/>
      <w:r>
        <w:rPr>
          <w:rFonts w:ascii="IRNazanin" w:hAnsi="IRNazanin" w:eastAsia="IRNazanin"/>
          <w:color w:val="111111"/>
          <w:sz w:val="28"/>
          <w:sz w:val="28"/>
          <w:szCs w:val="28"/>
          <w:rtl w:val="true"/>
          <w:lang w:bidi="fa-IR"/>
        </w:rPr>
        <w:t xml:space="preserve">لكن به سبب تعلّق اولى به دوّمى و دوّمى به سوّمى و سوّمى به چهارمى، احوط تصالح اهل آنها است به آن چه در روايت مشهوره وارد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ديۀ اولى را كسى ضامن نيست، و اهل او ثلث ديه را براى دوّمى غرامت مى كنند، و اهل دوّمى براى سوّمى دو ثلث ديه را غرامت مى نمايند، و اهل سوّمى براى چهارمى كمال ديه را غرامت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مقتضاى قاعده، ضمان اولى براى دوّمى تمام ديه را، و ضمان اين دو نفر براى سوّمى تمام ديه را به مناصفه، و ضمان اين سه نفر براى چهارمى تمام ديه را به تثليث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ضمان حافر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مباشرت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ديه يا نصف آن را و عدم ضمان او بر حسب قاعده، تأمل است</w:t>
      </w:r>
      <w:r>
        <w:rPr>
          <w:rFonts w:eastAsia="IRNazanin" w:cs="IRNazanin"/>
          <w:color w:val="111111"/>
          <w:sz w:val="28"/>
          <w:szCs w:val="28"/>
          <w:rtl w:val="true"/>
          <w:lang w:bidi="fa-IR"/>
        </w:rPr>
        <w:t>.</w:t>
      </w:r>
    </w:p>
    <w:p>
      <w:pPr>
        <w:pStyle w:val="Heading4"/>
        <w:numPr>
          <w:ilvl w:val="3"/>
          <w:numId w:val="1"/>
        </w:numPr>
        <w:rPr/>
      </w:pPr>
      <w:bookmarkStart w:id="3280" w:name="__RefHeading___Toc3973769_1067777946"/>
      <w:bookmarkStart w:id="3281" w:name="_Toc1392"/>
      <w:bookmarkEnd w:id="3280"/>
      <w:r>
        <w:rPr>
          <w:rtl w:val="true"/>
        </w:rPr>
        <w:t>كشيدن كسى به طرف چاه و افتادن او و خود</w:t>
      </w:r>
      <w:bookmarkEnd w:id="3281"/>
    </w:p>
    <w:p>
      <w:pPr>
        <w:pStyle w:val="BookText"/>
        <w:rPr/>
      </w:pPr>
      <w:r>
        <w:rPr>
          <w:rFonts w:ascii="IRNazanin" w:hAnsi="IRNazanin" w:eastAsia="IRNazanin"/>
          <w:color w:val="111111"/>
          <w:sz w:val="28"/>
          <w:sz w:val="28"/>
          <w:szCs w:val="28"/>
          <w:rtl w:val="true"/>
          <w:lang w:bidi="fa-IR"/>
        </w:rPr>
        <w:t xml:space="preserve">اگر جذب كرد كسى را به طرف چاهى و او را القا كرد در آن و خودش هم افتاد؛ پس اگر جاذب هلاك شد، هَدَر است و بر كسى ديه او نيست؛ و اگر مجذوب هلاك شد بر جاذب است ديه او؛ و اگر متعمد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مفروض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قصاص است اگر سبب غالب بوده قتل با آن، يا مقصود بوده بنا بر احتمالى؛ و اگر هر دو هلاك شدند، مربوط به مجذوب است آن چه ذكر شد و مربوط به جاذب هم چنان كه معلوم شد</w:t>
      </w:r>
      <w:r>
        <w:rPr>
          <w:rFonts w:eastAsia="IRNazanin" w:cs="IRNazanin"/>
          <w:color w:val="111111"/>
          <w:sz w:val="28"/>
          <w:szCs w:val="28"/>
          <w:rtl w:val="true"/>
          <w:lang w:bidi="fa-IR"/>
        </w:rPr>
        <w:t>.</w:t>
      </w:r>
    </w:p>
    <w:p>
      <w:pPr>
        <w:pStyle w:val="Heading4"/>
        <w:numPr>
          <w:ilvl w:val="3"/>
          <w:numId w:val="1"/>
        </w:numPr>
        <w:rPr/>
      </w:pPr>
      <w:bookmarkStart w:id="3282" w:name="__RefHeading___Toc3973771_1067777946"/>
      <w:bookmarkStart w:id="3283" w:name="_Toc1393"/>
      <w:bookmarkEnd w:id="3282"/>
      <w:r>
        <w:rPr>
          <w:rtl w:val="true"/>
        </w:rPr>
        <w:t>تعدّد افراد در فرض مذكور</w:t>
      </w:r>
      <w:bookmarkEnd w:id="3283"/>
    </w:p>
    <w:p>
      <w:pPr>
        <w:pStyle w:val="BookText"/>
        <w:rPr/>
      </w:pPr>
      <w:r>
        <w:rPr>
          <w:rFonts w:ascii="IRNazanin" w:hAnsi="IRNazanin" w:eastAsia="IRNazanin"/>
          <w:color w:val="111111"/>
          <w:sz w:val="28"/>
          <w:sz w:val="28"/>
          <w:szCs w:val="28"/>
          <w:rtl w:val="true"/>
          <w:lang w:bidi="fa-IR"/>
        </w:rPr>
        <w:t>و اگر دوّمى سوّمى را جذب كرد و همه هلاك شدند؛ پس چون هلاك اول به سبب ثقل دوّم و سوّم بوده، و اوّلى فعل اول است و دوّمى فعل ثانى، فقط نصف ديه اوّلى بر دوّمى است؛ و دوّمى هلاك او به دو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اول او را و جذب او سوّمى را، پس نصف ديه او بر اوّلى است؛ و سوّمى تمام را به اهل او مى دهند، و اظهر اين است كه نصف آن بر اوّلى است و نصف آن بر دوّمى، چنان چه در نظيرش گذشت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فرض مذكور، سوّمى هم چهارمى را جذب كرد و هلاك شدند به نحو متقدم، دو ثلث ديه براى اولى است به واسطۀ آن كه هلاك به فعل خودش و فعل دوّم و </w:t>
      </w:r>
      <w:bookmarkStart w:id="3284" w:name="pg10275_97041"/>
    </w:p>
    <w:p>
      <w:pPr>
        <w:pStyle w:val="BookText"/>
        <w:rPr/>
      </w:pPr>
      <w:bookmarkEnd w:id="3284"/>
      <w:r>
        <w:rPr>
          <w:rFonts w:ascii="IRNazanin" w:hAnsi="IRNazanin" w:eastAsia="IRNazanin"/>
          <w:color w:val="111111"/>
          <w:sz w:val="28"/>
          <w:sz w:val="28"/>
          <w:szCs w:val="28"/>
          <w:rtl w:val="true"/>
          <w:lang w:bidi="fa-IR"/>
        </w:rPr>
        <w:t>سوّم واقع شده پس ثلث خودش ساقط، و دو ثلث ديه بر دوّمى و سوّمى است؛ و چهارمى مثل حافر با وجودِ مباشرِ متعمد، ضامن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بنا بر آن چه ذكر شد در نظير مقام از ضمان مباشر و سبب به شركت، اولى شريك مى شود با دوّمى كه جذب نموده سوّمى را در ثلث بر او، و با سوّمى در جذب چهارمى در ثلث ثابت بر او، چنان چه دوّمى شريك مى شود با سوّمى در ثلث ثابت بر او با قطع نظر از شركت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ترتيب متقدم، براى دوّمى دو ثلث ديه است چون كه به جذب اوّلى او را و به جذب خودش سوّمى را و به جذب سوّمى چهارمى را هلاك شده است، پس دو ثلث به مناصفه بر اوّلى و سوّمى است، و ثلث خودش در جذب سوّمى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بر حسب استظهار مذكور، ثلث اولى شريك ندارد و اولى در ثلث سوّمى شريك است، پس نصف آن ثلث بر اولى است، و اولى و دوّمى و سوّمى در ثلث سوّمى شريكند، ساقط مى شود آن چه قسمت دوّمى است، و بقيه ثابت است بر اولى و سوّمى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سوّمى تلف شده است به جذب او چهارمى را، و اولى و دوّمى در اين عمل با او شريكند و آن چه قسمت او است ساقط مى شود، و به جذب دوّمى او را، و اولى با دوّمى در اين جذب شريكند؛ پس نصف بر اولى و دوّمى است، و از نصف ديگر، ثلث مربوط به فعل سوّمى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چهارمى ديه كامله است بر سه نفر متقدم، نه خصوص سوّمى كه مباشر است بنا بر اظهر كه مذكور شد</w:t>
      </w:r>
      <w:r>
        <w:rPr>
          <w:rFonts w:eastAsia="IRNazanin" w:cs="IRNazanin"/>
          <w:color w:val="111111"/>
          <w:sz w:val="28"/>
          <w:szCs w:val="28"/>
          <w:rtl w:val="true"/>
          <w:lang w:bidi="fa-IR"/>
        </w:rPr>
        <w:t>.</w:t>
      </w:r>
    </w:p>
    <w:p>
      <w:pPr>
        <w:pStyle w:val="Heading4"/>
        <w:numPr>
          <w:ilvl w:val="3"/>
          <w:numId w:val="1"/>
        </w:numPr>
        <w:rPr/>
      </w:pPr>
      <w:bookmarkStart w:id="3285" w:name="__RefHeading___Toc3973773_1067777946"/>
      <w:bookmarkStart w:id="3286" w:name="_Toc1394"/>
      <w:bookmarkEnd w:id="3285"/>
      <w:r>
        <w:rPr>
          <w:rtl w:val="true"/>
        </w:rPr>
        <w:t>گرفتن كسى براى نجات خود و هلاك همه در چاه حفرشدۀ عدواناً</w:t>
      </w:r>
      <w:bookmarkEnd w:id="328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چاهى به عدوان حفر شده بود، و از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افتاد در آن و در حال افتادن گرفت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گرفت براى نجات خودش سوّمى را، محتمل است ضمان حافر نصف ديه را، و ضمان دوّمى ربع ديه را، و هدر است ربع ديه به </w:t>
      </w:r>
      <w:bookmarkStart w:id="3287" w:name="pg10275_97042"/>
    </w:p>
    <w:p>
      <w:pPr>
        <w:pStyle w:val="BookText"/>
        <w:rPr/>
      </w:pPr>
      <w:bookmarkEnd w:id="3287"/>
      <w:r>
        <w:rPr>
          <w:rFonts w:ascii="IRNazanin" w:hAnsi="IRNazanin" w:eastAsia="IRNazanin"/>
          <w:color w:val="111111"/>
          <w:sz w:val="28"/>
          <w:sz w:val="28"/>
          <w:szCs w:val="28"/>
          <w:rtl w:val="true"/>
          <w:lang w:bidi="fa-IR"/>
        </w:rPr>
        <w:t>واسطۀ ثقل دوّمى كه به جذب اختيارى اولى او را، تأثير كرده است، و بر سوّمى چيزى نيست؛ و اين محتمل، 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دوّمى، مداخله داشته در هلاك او حافر و جاذب و مجذوب، پس اگر جذب عدوانى نبوده بلكه احتمال سقوط مجذوب ضعيف بوده، محتمل است كه نصف ديه بر حافر كه سبب است باشد و ربع ديه بر اولى كه جاذب ثانى است باشد و ساقط باشد ربعى كه فعل دوّمى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جذب سوّمى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محتمل، 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جذب عدوان بوده، بر حافر چيزى نيست، و نصف ديه بر اولى است، و نصف ديگر در مقابل جذب دوّمى سوّمى را ساقط است بنا بر اظهر، و سوّمى تمام ديه را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اولى و دوّمى اگر متعدى در جذب بوده اند، و اگر متعدى نبوده اند، حافر هم بر او ثلث ديه است كه سبب و متعدى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عدوان اولى فقط، در سقوط قسمت دوّمى و ضمان اولى تمام ديه را و تقسيم بر هر دو،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فرض متقدم، وقوع بعض بر بعض نبود و به سبب بعض بود، پس ديه اولى بر حافر عدوانى، و ديه دوّمى بر حافر كه سبب است و اولى كه مباشر است، و ديه سوّمى بر حافر و اولى و ثانى است به تثليث، چنان كه در نظير مقام گذشت</w:t>
      </w:r>
      <w:r>
        <w:rPr>
          <w:rFonts w:eastAsia="IRNazanin" w:cs="IRNazanin"/>
          <w:color w:val="111111"/>
          <w:sz w:val="28"/>
          <w:szCs w:val="28"/>
          <w:rtl w:val="true"/>
          <w:lang w:bidi="fa-IR"/>
        </w:rPr>
        <w:t>.</w:t>
      </w:r>
    </w:p>
    <w:p>
      <w:pPr>
        <w:pStyle w:val="Heading4"/>
        <w:numPr>
          <w:ilvl w:val="3"/>
          <w:numId w:val="1"/>
        </w:numPr>
        <w:rPr/>
      </w:pPr>
      <w:bookmarkStart w:id="3288" w:name="__RefHeading___Toc3973775_1067777946"/>
      <w:bookmarkStart w:id="3289" w:name="_Toc1395"/>
      <w:bookmarkEnd w:id="3288"/>
      <w:r>
        <w:rPr>
          <w:rtl w:val="true"/>
        </w:rPr>
        <w:t>سقوط كسى در چاه بر ديگرى و هلاك اوّلى</w:t>
      </w:r>
      <w:bookmarkEnd w:id="3289"/>
    </w:p>
    <w:p>
      <w:pPr>
        <w:pStyle w:val="BookText"/>
        <w:rPr/>
      </w:pPr>
      <w:r>
        <w:rPr>
          <w:rFonts w:ascii="IRNazanin" w:hAnsi="IRNazanin" w:eastAsia="IRNazanin"/>
          <w:color w:val="111111"/>
          <w:sz w:val="28"/>
          <w:sz w:val="28"/>
          <w:szCs w:val="28"/>
          <w:rtl w:val="true"/>
          <w:lang w:bidi="fa-IR"/>
        </w:rPr>
        <w:t>اگر انسان واقع شد در چاهى، پس از آن واقع شد ديگرى بر آن بدون جذب، پس اولى هلاك شد، دوّمى ضامن نصف ديه است در موردى كه قصاص نيست، و نصف ديگر بر حافر است اگر متعدّى است؛ و اگر متعدى نيست، نصف آن ساقط است، و ثابت است نصف بر دوّمى</w:t>
      </w:r>
      <w:r>
        <w:rPr>
          <w:rFonts w:eastAsia="IRNazanin" w:cs="IRNazanin"/>
          <w:color w:val="111111"/>
          <w:sz w:val="28"/>
          <w:szCs w:val="28"/>
          <w:rtl w:val="true"/>
          <w:lang w:bidi="fa-IR"/>
        </w:rPr>
        <w:t>.</w:t>
      </w:r>
    </w:p>
    <w:p>
      <w:pPr>
        <w:pStyle w:val="Heading4"/>
        <w:numPr>
          <w:ilvl w:val="3"/>
          <w:numId w:val="1"/>
        </w:numPr>
        <w:rPr/>
      </w:pPr>
      <w:bookmarkStart w:id="3290" w:name="__RefHeading___Toc3973777_1067777946"/>
      <w:bookmarkStart w:id="3291" w:name="_Toc1396"/>
      <w:bookmarkEnd w:id="3290"/>
      <w:r>
        <w:rPr>
          <w:rtl w:val="true"/>
        </w:rPr>
        <w:t>فرض استناد تمام تأثير به وقوع دوّمى</w:t>
      </w:r>
      <w:bookmarkEnd w:id="329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وقوع بى اثر است و تمام تأثير راجع به وقوع دوّمى بر آن است، دوّمى ضامن </w:t>
      </w:r>
      <w:bookmarkStart w:id="3292" w:name="pg10275_97043"/>
    </w:p>
    <w:p>
      <w:pPr>
        <w:pStyle w:val="BookText"/>
        <w:rPr/>
      </w:pPr>
      <w:bookmarkEnd w:id="3292"/>
      <w:r>
        <w:rPr>
          <w:rFonts w:ascii="IRNazanin" w:hAnsi="IRNazanin" w:eastAsia="IRNazanin"/>
          <w:color w:val="111111"/>
          <w:sz w:val="28"/>
          <w:sz w:val="28"/>
          <w:szCs w:val="28"/>
          <w:rtl w:val="true"/>
          <w:lang w:bidi="fa-IR"/>
        </w:rPr>
        <w:t xml:space="preserve">تمام ديه اولى است اگر متعمد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قصاص مى شود اگر سبب، قاتل غالبى يا مقصود باشد بنا بر احتمالى 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كه بر عاقله است يا از خودش، موقوف بر خطأ محض يا شبيه عمد است</w:t>
      </w:r>
      <w:r>
        <w:rPr>
          <w:rFonts w:eastAsia="IRNazanin" w:cs="IRNazanin"/>
          <w:color w:val="111111"/>
          <w:sz w:val="28"/>
          <w:szCs w:val="28"/>
          <w:rtl w:val="true"/>
          <w:lang w:bidi="fa-IR"/>
        </w:rPr>
        <w:t>.</w:t>
      </w:r>
    </w:p>
    <w:p>
      <w:pPr>
        <w:pStyle w:val="Heading4"/>
        <w:numPr>
          <w:ilvl w:val="3"/>
          <w:numId w:val="1"/>
        </w:numPr>
        <w:rPr/>
      </w:pPr>
      <w:bookmarkStart w:id="3293" w:name="__RefHeading___Toc3973779_1067777946"/>
      <w:bookmarkStart w:id="3294" w:name="_Toc1397"/>
      <w:bookmarkEnd w:id="3293"/>
      <w:r>
        <w:rPr>
          <w:rtl w:val="true"/>
        </w:rPr>
        <w:t>ضمان بر دافع</w:t>
      </w:r>
      <w:bookmarkEnd w:id="3294"/>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دفع كرد كسى، ضمان بر دافع است</w:t>
      </w:r>
      <w:r>
        <w:rPr>
          <w:rFonts w:eastAsia="IRNazanin" w:cs="IRNazanin"/>
          <w:color w:val="111111"/>
          <w:sz w:val="28"/>
          <w:szCs w:val="28"/>
          <w:rtl w:val="true"/>
          <w:lang w:bidi="fa-IR"/>
        </w:rPr>
        <w:t>.</w:t>
      </w:r>
    </w:p>
    <w:p>
      <w:pPr>
        <w:pStyle w:val="Heading4"/>
        <w:numPr>
          <w:ilvl w:val="3"/>
          <w:numId w:val="1"/>
        </w:numPr>
        <w:rPr/>
      </w:pPr>
      <w:bookmarkStart w:id="3295" w:name="__RefHeading___Toc3973781_1067777946"/>
      <w:bookmarkStart w:id="3296" w:name="_Toc1398"/>
      <w:bookmarkEnd w:id="3295"/>
      <w:r>
        <w:rPr>
          <w:rtl w:val="true"/>
        </w:rPr>
        <w:t>چند فرض ديگر مسأله</w:t>
      </w:r>
      <w:bookmarkEnd w:id="3296"/>
    </w:p>
    <w:p>
      <w:pPr>
        <w:pStyle w:val="BookText"/>
        <w:rPr/>
      </w:pPr>
      <w:r>
        <w:rPr>
          <w:rFonts w:ascii="IRNazanin" w:hAnsi="IRNazanin" w:eastAsia="IRNazanin"/>
          <w:color w:val="111111"/>
          <w:sz w:val="28"/>
          <w:sz w:val="28"/>
          <w:szCs w:val="28"/>
          <w:rtl w:val="true"/>
          <w:lang w:bidi="fa-IR"/>
        </w:rPr>
        <w:t>و اگر دوّمى بدون دفع كسى واقع شد و چاه عدواناً حفر نشده بود، ضامن او هيچ كدام از حافر و واقع اولى غير متعمد نيست؛ و همچنين متعمد اگر عدوانى در وقوع نبوده و جايز بوده و فرقى بين وقوع و عدم آن نبوده در سبب هلاك دوّمى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دوّمى هلاك شد و متعمد در القا بوده يا آن كه حفر عدوانى نبوده و وقوع بر اولى بى تأثير بوده بلكه تأثير در وقوع در چاه بوده، كسى ضامن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حفر عدوانى بوده و وقوع عمدى نبوده و فرقى بين وقوع بر اولى يا در سطح چاه نبوده ضمان بر حافر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هلاك هر دو از بيان مذكور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سوّمى روى آن دو نفر افتاد و همه هلاك شدند، پس اگر افتادن اولى مهلك او نبود و ضميمه هم نبود و فقط هلاك او مستند به وقوع دوّمى بر روى او بود اگر چه مفروض در غير چاه مى شد، پس ديه اولى بر دوّمى و سوّمى يا عاقله آنها يا دافع آنها است به نحو مناسب از حيث وحدت دافع و تعدد؛ و حفر در هلاك اولى اثر نداشته پس تعدى آن بى اثر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وقوع مهلك بوده با ضميمه وقوع دو نفر، ضمان بين حافر متعدى و واقع ها به نحو تثليث است اگر شركت هم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سوّمى وقوع او در هلاك اولى مؤثر نبوده، تنصيف ديه بين حافر متعدى 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خطأ محض و شبيه </w:t>
      </w:r>
    </w:p>
    <w:p>
      <w:pPr>
        <w:pStyle w:val="BookText"/>
        <w:rPr/>
      </w:pPr>
      <w:r>
        <w:rPr>
          <w:rFonts w:ascii="IRNazanin" w:hAnsi="IRNazanin" w:eastAsia="IRNazanin"/>
          <w:color w:val="111111"/>
          <w:sz w:val="28"/>
          <w:sz w:val="28"/>
          <w:szCs w:val="28"/>
          <w:rtl w:val="true"/>
          <w:lang w:bidi="fa-IR"/>
        </w:rPr>
        <w:t xml:space="preserve">عمد متصوّر مى شود و ضامن در طرف او مختلف مى شود در صورتى كه اولى متعمد وقوع نباشد، وگرنه هَدَر است؛ يا آن كه دافع، او را دفع نكرده باشد وگرنه دافع هم ضامن است به نحو استقلال اگر نفس وقوع به دفع مهلك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شريك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ديۀ دوّمى بر سوّمى و حافر متعدى است به تنصيف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حافر غير متعدى است، نصف راجع به او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دافعى او را دفع كرده، با حافر، شريك در ضمان، يا نصف هدر است و نصف بر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سوّمى، ديه او بر حافر است اگر متعدى است، وگرنه هدر است؛ و اگر دافعى داشته بر دافع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جذب، واقع شدند در چاه و نفس وقوع، مهلك همه بود بدون ارتباط، هيچ كدام ضامن ديگرى نيست، و حافر ضامن همه است با 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العالم بحقائق الاحكام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3297" w:name="pg10275_97045"/>
    </w:p>
    <w:p>
      <w:pPr>
        <w:pStyle w:val="Heading3"/>
        <w:numPr>
          <w:ilvl w:val="2"/>
          <w:numId w:val="1"/>
        </w:numPr>
        <w:rPr/>
      </w:pPr>
      <w:bookmarkStart w:id="3298" w:name="__RefHeading___Toc3973783_1067777946"/>
      <w:bookmarkStart w:id="3299" w:name="_Toc1399"/>
      <w:bookmarkEnd w:id="3297"/>
      <w:bookmarkEnd w:id="3298"/>
      <w:r>
        <w:rPr>
          <w:rtl w:val="true"/>
        </w:rPr>
        <w:t>فصل چهارم ديه جنايت بر اطراف</w:t>
      </w:r>
      <w:bookmarkEnd w:id="3299"/>
    </w:p>
    <w:p>
      <w:pPr>
        <w:pStyle w:val="Heading4"/>
        <w:numPr>
          <w:ilvl w:val="3"/>
          <w:numId w:val="1"/>
        </w:numPr>
        <w:rPr/>
      </w:pPr>
      <w:bookmarkStart w:id="3300" w:name="__RefHeading___Toc3973785_1067777946"/>
      <w:bookmarkStart w:id="3301" w:name="_Toc1400"/>
      <w:bookmarkEnd w:id="3300"/>
      <w:r>
        <w:rPr>
          <w:rtl w:val="true"/>
        </w:rPr>
        <w:t>اشاره</w:t>
      </w:r>
      <w:bookmarkEnd w:id="3301"/>
    </w:p>
    <w:p>
      <w:pPr>
        <w:pStyle w:val="BookText"/>
        <w:rPr/>
      </w:pPr>
      <w:r>
        <w:rPr>
          <w:rFonts w:ascii="IRNazanin" w:hAnsi="IRNazanin" w:eastAsia="IRNazanin"/>
          <w:color w:val="111111"/>
          <w:sz w:val="28"/>
          <w:sz w:val="28"/>
          <w:szCs w:val="28"/>
          <w:rtl w:val="true"/>
          <w:lang w:bidi="fa-IR"/>
        </w:rPr>
        <w:t>و در آن مقاصدى است</w:t>
      </w:r>
      <w:r>
        <w:rPr>
          <w:rFonts w:eastAsia="IRNazanin" w:cs="IRNazanin"/>
          <w:color w:val="111111"/>
          <w:sz w:val="28"/>
          <w:szCs w:val="28"/>
          <w:rtl w:val="true"/>
          <w:lang w:bidi="fa-IR"/>
        </w:rPr>
        <w:t>:</w:t>
      </w:r>
    </w:p>
    <w:p>
      <w:pPr>
        <w:pStyle w:val="Heading4"/>
        <w:numPr>
          <w:ilvl w:val="3"/>
          <w:numId w:val="1"/>
        </w:numPr>
        <w:rPr/>
      </w:pPr>
      <w:bookmarkStart w:id="3302" w:name="__RefHeading___Toc3973787_1067777946"/>
      <w:bookmarkStart w:id="3303" w:name="_Toc1401"/>
      <w:bookmarkEnd w:id="3302"/>
      <w:r>
        <w:rPr/>
        <w:t>1</w:t>
      </w:r>
      <w:r>
        <w:rPr>
          <w:rtl w:val="true"/>
        </w:rPr>
        <w:t xml:space="preserve">. </w:t>
      </w:r>
      <w:r>
        <w:rPr>
          <w:rtl w:val="true"/>
        </w:rPr>
        <w:t>ديۀ اعضا</w:t>
      </w:r>
      <w:bookmarkEnd w:id="3303"/>
    </w:p>
    <w:p>
      <w:pPr>
        <w:pStyle w:val="Heading5"/>
        <w:numPr>
          <w:ilvl w:val="4"/>
          <w:numId w:val="1"/>
        </w:numPr>
        <w:rPr/>
      </w:pPr>
      <w:bookmarkStart w:id="3304" w:name="__RefHeading___Toc3973789_1067777946"/>
      <w:bookmarkStart w:id="3305" w:name="_Toc1402"/>
      <w:bookmarkEnd w:id="3304"/>
      <w:r>
        <w:rPr>
          <w:rtl w:val="true"/>
        </w:rPr>
        <w:t>اشاره</w:t>
      </w:r>
      <w:bookmarkEnd w:id="3305"/>
    </w:p>
    <w:p>
      <w:pPr>
        <w:pStyle w:val="BookText"/>
        <w:rPr/>
      </w:pPr>
      <w:r>
        <w:rPr>
          <w:rFonts w:ascii="IRNazanin" w:hAnsi="IRNazanin" w:eastAsia="IRNazanin"/>
          <w:color w:val="111111"/>
          <w:sz w:val="28"/>
          <w:sz w:val="28"/>
          <w:szCs w:val="28"/>
          <w:rtl w:val="true"/>
          <w:lang w:bidi="fa-IR"/>
        </w:rPr>
        <w:t>هرچه در آن تقديرى نباشد، در آن ارش و حكومت است و در آن، مملوك، اصل است براى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مقدّر، آزاد اصل است براى مملوك به ترتيبى كه ذكر مى شود إن شاء اللّٰه</w:t>
      </w:r>
      <w:r>
        <w:rPr>
          <w:rFonts w:eastAsia="IRNazanin" w:cs="IRNazanin"/>
          <w:color w:val="111111"/>
          <w:sz w:val="28"/>
          <w:szCs w:val="28"/>
          <w:rtl w:val="true"/>
          <w:lang w:bidi="fa-IR"/>
        </w:rPr>
        <w:t>.</w:t>
      </w:r>
    </w:p>
    <w:p>
      <w:pPr>
        <w:pStyle w:val="Heading5"/>
        <w:numPr>
          <w:ilvl w:val="4"/>
          <w:numId w:val="1"/>
        </w:numPr>
        <w:rPr/>
      </w:pPr>
      <w:bookmarkStart w:id="3306" w:name="__RefHeading___Toc3973791_1067777946"/>
      <w:bookmarkStart w:id="3307" w:name="_Toc1403"/>
      <w:bookmarkEnd w:id="3306"/>
      <w:r>
        <w:rPr>
          <w:rtl w:val="true"/>
        </w:rPr>
        <w:t>آن چه در آن ديه مقدّر شده است</w:t>
      </w:r>
      <w:bookmarkEnd w:id="3307"/>
    </w:p>
    <w:p>
      <w:pPr>
        <w:pStyle w:val="Heading6"/>
        <w:numPr>
          <w:ilvl w:val="5"/>
          <w:numId w:val="1"/>
        </w:numPr>
        <w:rPr/>
      </w:pPr>
      <w:bookmarkStart w:id="3308" w:name="__RefHeading___Toc3973793_1067777946"/>
      <w:bookmarkStart w:id="3309" w:name="_Toc1404"/>
      <w:bookmarkEnd w:id="3308"/>
      <w:r>
        <w:rPr>
          <w:rtl w:val="true"/>
        </w:rPr>
        <w:t>اشاره</w:t>
      </w:r>
      <w:bookmarkEnd w:id="330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از اعيان، در آنها تقدير، ثابت و مشهور است</w:t>
      </w:r>
      <w:r>
        <w:rPr>
          <w:rFonts w:eastAsia="IRNazanin" w:cs="IRNazanin"/>
          <w:color w:val="111111"/>
          <w:sz w:val="28"/>
          <w:szCs w:val="28"/>
          <w:rtl w:val="true"/>
          <w:lang w:bidi="fa-IR"/>
        </w:rPr>
        <w:t>:</w:t>
      </w:r>
    </w:p>
    <w:p>
      <w:pPr>
        <w:pStyle w:val="Heading6"/>
        <w:numPr>
          <w:ilvl w:val="5"/>
          <w:numId w:val="1"/>
        </w:numPr>
        <w:rPr/>
      </w:pPr>
      <w:bookmarkStart w:id="3310" w:name="__RefHeading___Toc3973795_1067777946"/>
      <w:bookmarkStart w:id="3311" w:name="_Toc1405"/>
      <w:bookmarkEnd w:id="3310"/>
      <w:r>
        <w:rPr/>
        <w:t>1</w:t>
      </w:r>
      <w:r>
        <w:rPr>
          <w:rtl w:val="true"/>
        </w:rPr>
        <w:t xml:space="preserve">. </w:t>
      </w:r>
      <w:r>
        <w:rPr>
          <w:rtl w:val="true"/>
        </w:rPr>
        <w:t>مو</w:t>
      </w:r>
      <w:bookmarkEnd w:id="3311"/>
    </w:p>
    <w:p>
      <w:pPr>
        <w:pStyle w:val="Heading6"/>
        <w:numPr>
          <w:ilvl w:val="5"/>
          <w:numId w:val="1"/>
        </w:numPr>
        <w:rPr/>
      </w:pPr>
      <w:bookmarkStart w:id="3312" w:name="__RefHeading___Toc3973797_1067777946"/>
      <w:bookmarkStart w:id="3313" w:name="_Toc1406"/>
      <w:bookmarkEnd w:id="3312"/>
      <w:r>
        <w:rPr>
          <w:rtl w:val="true"/>
        </w:rPr>
        <w:t>اشاره</w:t>
      </w:r>
      <w:bookmarkEnd w:id="331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ازاله موى سر از مرد، بزرگ يا كوچك، كثيف يا خفيف باشد، تمامِ ديه است اگر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ازالۀ موى لحيه تمام ديه است اگر نرويد</w:t>
      </w:r>
      <w:r>
        <w:rPr>
          <w:rFonts w:eastAsia="IRNazanin" w:cs="IRNazanin"/>
          <w:color w:val="111111"/>
          <w:sz w:val="28"/>
          <w:szCs w:val="28"/>
          <w:rtl w:val="true"/>
          <w:lang w:bidi="fa-IR"/>
        </w:rPr>
        <w:t>.</w:t>
      </w:r>
    </w:p>
    <w:p>
      <w:pPr>
        <w:pStyle w:val="Heading6"/>
        <w:numPr>
          <w:ilvl w:val="5"/>
          <w:numId w:val="1"/>
        </w:numPr>
        <w:rPr/>
      </w:pPr>
      <w:bookmarkStart w:id="3314" w:name="__RefHeading___Toc3973799_1067777946"/>
      <w:bookmarkStart w:id="3315" w:name="_Toc1407"/>
      <w:bookmarkEnd w:id="3314"/>
      <w:r>
        <w:rPr>
          <w:rtl w:val="true"/>
        </w:rPr>
        <w:t>روييدن تمام يا بعض مو</w:t>
      </w:r>
      <w:bookmarkEnd w:id="331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روييد موى لحيه، اظهر و احوط ثلث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موى سر اگر روييد، ضمانِ ارش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روييدن بعض، نسبت به ديه روييدنِ تمام، لحاظ مى شود در </w:t>
      </w:r>
      <w:bookmarkStart w:id="3316" w:name="pg10275_97046"/>
    </w:p>
    <w:p>
      <w:pPr>
        <w:pStyle w:val="BookText"/>
        <w:rPr/>
      </w:pPr>
      <w:bookmarkEnd w:id="3316"/>
      <w:r>
        <w:rPr>
          <w:rFonts w:ascii="IRNazanin" w:hAnsi="IRNazanin" w:eastAsia="IRNazanin"/>
          <w:color w:val="111111"/>
          <w:sz w:val="28"/>
          <w:sz w:val="28"/>
          <w:szCs w:val="28"/>
          <w:rtl w:val="true"/>
          <w:lang w:bidi="fa-IR"/>
        </w:rPr>
        <w:t>مقدّر، و در غير آن كه ارش ثابت است خودش بعض متعين به بعض متعين در تمام، پس در آن چه نرويد نسبت نروييدنِ تمام ملحوظ است، و در آن چه مى رويد نسبت روييدن تمام كه ثلث دارد در آن چه روييده است ملحوظ مى شود در لحيه؛ و در سر آن چه روييد ارش آن بعض ارش روييدن همه را دارد</w:t>
      </w:r>
      <w:r>
        <w:rPr>
          <w:rFonts w:eastAsia="IRNazanin" w:cs="IRNazanin"/>
          <w:color w:val="111111"/>
          <w:sz w:val="28"/>
          <w:szCs w:val="28"/>
          <w:rtl w:val="true"/>
          <w:lang w:bidi="fa-IR"/>
        </w:rPr>
        <w:t>.</w:t>
      </w:r>
    </w:p>
    <w:p>
      <w:pPr>
        <w:pStyle w:val="Heading6"/>
        <w:numPr>
          <w:ilvl w:val="5"/>
          <w:numId w:val="1"/>
        </w:numPr>
        <w:rPr/>
      </w:pPr>
      <w:bookmarkStart w:id="3317" w:name="__RefHeading___Toc3973801_1067777946"/>
      <w:bookmarkStart w:id="3318" w:name="_Toc1408"/>
      <w:bookmarkEnd w:id="3317"/>
      <w:r>
        <w:rPr>
          <w:rtl w:val="true"/>
        </w:rPr>
        <w:t>اعتبار به قول خبره در رويش مو</w:t>
      </w:r>
      <w:bookmarkEnd w:id="3318"/>
    </w:p>
    <w:p>
      <w:pPr>
        <w:pStyle w:val="BookText"/>
        <w:rPr/>
      </w:pPr>
      <w:r>
        <w:rPr>
          <w:rFonts w:ascii="IRNazanin" w:hAnsi="IRNazanin" w:eastAsia="IRNazanin"/>
          <w:color w:val="111111"/>
          <w:sz w:val="28"/>
          <w:sz w:val="28"/>
          <w:szCs w:val="28"/>
          <w:rtl w:val="true"/>
          <w:lang w:bidi="fa-IR"/>
        </w:rPr>
        <w:t>اظهر اعتبار قول اهل خبره است كه زايل عود مى كند يا نه؛ و كفايت تأخير تا ظهور حال يا تمام يك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يك سال يا قول اهل خبره، اگر روييد، اظهر استرداد زايد بر ارش است در روييدن تمام يا بعض نسبت به آن چه روييده است</w:t>
      </w:r>
      <w:r>
        <w:rPr>
          <w:rFonts w:eastAsia="IRNazanin" w:cs="IRNazanin"/>
          <w:color w:val="111111"/>
          <w:sz w:val="28"/>
          <w:szCs w:val="28"/>
          <w:rtl w:val="true"/>
          <w:lang w:bidi="fa-IR"/>
        </w:rPr>
        <w:t>.</w:t>
      </w:r>
    </w:p>
    <w:p>
      <w:pPr>
        <w:pStyle w:val="Heading6"/>
        <w:numPr>
          <w:ilvl w:val="5"/>
          <w:numId w:val="1"/>
        </w:numPr>
        <w:rPr/>
      </w:pPr>
      <w:bookmarkStart w:id="3319" w:name="__RefHeading___Toc3973803_1067777946"/>
      <w:bookmarkStart w:id="3320" w:name="_Toc1409"/>
      <w:bookmarkEnd w:id="3319"/>
      <w:r>
        <w:rPr>
          <w:rtl w:val="true"/>
        </w:rPr>
        <w:t>ديۀ موى سر زن</w:t>
      </w:r>
      <w:bookmarkEnd w:id="3320"/>
    </w:p>
    <w:p>
      <w:pPr>
        <w:pStyle w:val="BookText"/>
        <w:rPr/>
      </w:pPr>
      <w:r>
        <w:rPr>
          <w:rFonts w:ascii="IRNazanin" w:hAnsi="IRNazanin" w:eastAsia="IRNazanin"/>
          <w:color w:val="111111"/>
          <w:sz w:val="28"/>
          <w:sz w:val="28"/>
          <w:szCs w:val="28"/>
          <w:rtl w:val="true"/>
          <w:lang w:bidi="fa-IR"/>
        </w:rPr>
        <w:t>در موى سر زن تمام ديه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روييد مهر المثل ثابت است، اگر چه از مهر السنه زايد باشد مهر نساى زن، لكن از ديه زن، زايد ملغىٰ است</w:t>
      </w:r>
      <w:r>
        <w:rPr>
          <w:rFonts w:eastAsia="IRNazanin" w:cs="IRNazanin"/>
          <w:color w:val="111111"/>
          <w:sz w:val="28"/>
          <w:szCs w:val="28"/>
          <w:rtl w:val="true"/>
          <w:lang w:bidi="fa-IR"/>
        </w:rPr>
        <w:t>.</w:t>
      </w:r>
    </w:p>
    <w:p>
      <w:pPr>
        <w:pStyle w:val="Heading6"/>
        <w:numPr>
          <w:ilvl w:val="5"/>
          <w:numId w:val="1"/>
        </w:numPr>
        <w:rPr/>
      </w:pPr>
      <w:bookmarkStart w:id="3321" w:name="__RefHeading___Toc3973805_1067777946"/>
      <w:bookmarkStart w:id="3322" w:name="_Toc1410"/>
      <w:bookmarkEnd w:id="3321"/>
      <w:r>
        <w:rPr>
          <w:rtl w:val="true"/>
        </w:rPr>
        <w:t>ازالۀ موى ابرو</w:t>
      </w:r>
      <w:bookmarkEnd w:id="3322"/>
    </w:p>
    <w:p>
      <w:pPr>
        <w:pStyle w:val="BookText"/>
        <w:rPr/>
      </w:pPr>
      <w:r>
        <w:rPr>
          <w:rFonts w:ascii="IRNazanin" w:hAnsi="IRNazanin" w:eastAsia="IRNazanin"/>
          <w:color w:val="111111"/>
          <w:sz w:val="28"/>
          <w:sz w:val="28"/>
          <w:szCs w:val="28"/>
          <w:rtl w:val="true"/>
          <w:lang w:bidi="fa-IR"/>
        </w:rPr>
        <w:t xml:space="preserve">در ازاله موى دو ابرو با هم، نصف ديه است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باشد؛ و در هر يك از آنها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صورتى كه عود ننمايد، وگرنه ارش است، چنان چه در موى سر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ابرو نسبت به تمام از حيث مساحت تعيين مى شود از آن چه مقدّر در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 و لحيه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عود؛ و اگر عود كرد محل ارش است، و همان بعض كه روييد، ارش آن تعيين مى شود، و مساحت در اين صورت اعتبار ندارد؛ حتى اگر تمام ازاله نشد و بعض عود كرد، در اين بعض، مساحت معتبر نيست، بلكه تفاوت قيمت در خصوص اين بعض، ملحوظ مى شود</w:t>
      </w:r>
      <w:r>
        <w:rPr>
          <w:rFonts w:eastAsia="IRNazanin" w:cs="IRNazanin"/>
          <w:color w:val="111111"/>
          <w:sz w:val="28"/>
          <w:szCs w:val="28"/>
          <w:rtl w:val="true"/>
          <w:lang w:bidi="fa-IR"/>
        </w:rPr>
        <w:t>.</w:t>
      </w:r>
    </w:p>
    <w:p>
      <w:pPr>
        <w:pStyle w:val="Heading6"/>
        <w:numPr>
          <w:ilvl w:val="5"/>
          <w:numId w:val="1"/>
        </w:numPr>
        <w:rPr/>
      </w:pPr>
      <w:bookmarkStart w:id="3323" w:name="__RefHeading___Toc3973807_1067777946"/>
      <w:bookmarkStart w:id="3324" w:name="_Toc1411"/>
      <w:bookmarkEnd w:id="3323"/>
      <w:r>
        <w:rPr>
          <w:rtl w:val="true"/>
        </w:rPr>
        <w:t>ديۀ ازالۀ پلك چشم</w:t>
      </w:r>
      <w:bookmarkEnd w:id="332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موهاى پلك هاى چشم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ارش ثابت است نه تقدير بنا بر اظهر؛ </w:t>
      </w:r>
      <w:bookmarkStart w:id="3325" w:name="pg10275_97047"/>
    </w:p>
    <w:p>
      <w:pPr>
        <w:pStyle w:val="BookText"/>
        <w:rPr/>
      </w:pPr>
      <w:bookmarkEnd w:id="3325"/>
      <w:r>
        <w:rPr>
          <w:rFonts w:ascii="IRNazanin" w:hAnsi="IRNazanin" w:eastAsia="IRNazanin"/>
          <w:color w:val="111111"/>
          <w:sz w:val="28"/>
          <w:sz w:val="28"/>
          <w:szCs w:val="28"/>
          <w:rtl w:val="true"/>
          <w:lang w:bidi="fa-IR"/>
        </w:rPr>
        <w:t>و عود و عدم، در عدم تقدير فرق ندارد، اگر چه ارش ها در عود و عدم، و بعض و تمام،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اجتماع پلك و مو، براى مو كه تابع است حكمى نيست</w:t>
      </w:r>
      <w:r>
        <w:rPr>
          <w:rFonts w:eastAsia="IRNazanin" w:cs="IRNazanin"/>
          <w:color w:val="111111"/>
          <w:sz w:val="28"/>
          <w:szCs w:val="28"/>
          <w:rtl w:val="true"/>
          <w:lang w:bidi="fa-IR"/>
        </w:rPr>
        <w:t>.</w:t>
      </w:r>
    </w:p>
    <w:p>
      <w:pPr>
        <w:pStyle w:val="Heading6"/>
        <w:numPr>
          <w:ilvl w:val="5"/>
          <w:numId w:val="1"/>
        </w:numPr>
        <w:rPr/>
      </w:pPr>
      <w:bookmarkStart w:id="3326" w:name="__RefHeading___Toc3973809_1067777946"/>
      <w:bookmarkStart w:id="3327" w:name="_Toc1412"/>
      <w:bookmarkEnd w:id="3326"/>
      <w:r>
        <w:rPr>
          <w:rtl w:val="true"/>
        </w:rPr>
        <w:t>موى دست و بازو و ساق</w:t>
      </w:r>
      <w:bookmarkEnd w:id="3327"/>
    </w:p>
    <w:p>
      <w:pPr>
        <w:pStyle w:val="BookText"/>
        <w:rPr/>
      </w:pPr>
      <w:r>
        <w:rPr>
          <w:rFonts w:ascii="IRNazanin" w:hAnsi="IRNazanin" w:eastAsia="IRNazanin"/>
          <w:color w:val="111111"/>
          <w:sz w:val="28"/>
          <w:sz w:val="28"/>
          <w:szCs w:val="28"/>
          <w:rtl w:val="true"/>
          <w:lang w:bidi="fa-IR"/>
        </w:rPr>
        <w:t xml:space="preserve">و هم چنين موهاى ديگر غير مذكورات مثل موى دست و بازو و ساق در حال اجتماع، تابع خود آنها است يا تابع پوست آنها است، و در حال 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قلع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ارش ثابت است، عود بنمايد يا نه؛ و تقديرى در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لحيۀ خنثاى مشكل، ارش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آزاد هم خالى از وجه نيست</w:t>
      </w:r>
      <w:r>
        <w:rPr>
          <w:rFonts w:eastAsia="Amiri" w:cs="Amiri" w:ascii="Amiri" w:hAnsi="Amiri"/>
          <w:color w:val="111111"/>
          <w:sz w:val="28"/>
          <w:szCs w:val="28"/>
          <w:rtl w:val="true"/>
          <w:lang w:bidi="ar-SA"/>
        </w:rPr>
        <w:t>.</w:t>
      </w:r>
    </w:p>
    <w:p>
      <w:pPr>
        <w:pStyle w:val="Heading6"/>
        <w:numPr>
          <w:ilvl w:val="5"/>
          <w:numId w:val="1"/>
        </w:numPr>
        <w:rPr/>
      </w:pPr>
      <w:bookmarkStart w:id="3328" w:name="__RefHeading___Toc3973811_1067777946"/>
      <w:bookmarkStart w:id="3329" w:name="_Toc1413"/>
      <w:bookmarkEnd w:id="3328"/>
      <w:r>
        <w:rPr>
          <w:rtl w:val="true"/>
        </w:rPr>
        <w:t>لحيۀ خنثى و زن</w:t>
      </w:r>
      <w:bookmarkEnd w:id="3329"/>
    </w:p>
    <w:p>
      <w:pPr>
        <w:pStyle w:val="BookText"/>
        <w:rPr/>
      </w:pPr>
      <w:r>
        <w:rPr>
          <w:rFonts w:ascii="Amiri" w:hAnsi="Amiri" w:eastAsia="Amiri" w:cs="Amiri"/>
          <w:color w:val="111111"/>
          <w:sz w:val="28"/>
          <w:sz w:val="28"/>
          <w:szCs w:val="28"/>
          <w:rtl w:val="true"/>
          <w:lang w:bidi="ar-SA"/>
        </w:rPr>
        <w:t xml:space="preserve">و در لحيۀ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كنيز و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است به جهت بُعد نقص قيمت مملوك به ازالۀ آن از آنها، بلكه محتمل است زيادتى قيمت به ازالۀ آنها، و در اين صورت عدم ثبوت ارش اظهر است</w:t>
      </w:r>
      <w:r>
        <w:rPr>
          <w:rFonts w:eastAsia="Amiri" w:cs="Amiri" w:ascii="Amiri" w:hAnsi="Amiri"/>
          <w:color w:val="111111"/>
          <w:sz w:val="28"/>
          <w:szCs w:val="28"/>
          <w:rtl w:val="true"/>
          <w:lang w:bidi="ar-SA"/>
        </w:rPr>
        <w:t>.</w:t>
      </w:r>
    </w:p>
    <w:p>
      <w:pPr>
        <w:pStyle w:val="Heading6"/>
        <w:numPr>
          <w:ilvl w:val="5"/>
          <w:numId w:val="1"/>
        </w:numPr>
        <w:rPr/>
      </w:pPr>
      <w:bookmarkStart w:id="3330" w:name="__RefHeading___Toc3973813_1067777946"/>
      <w:bookmarkStart w:id="3331" w:name="_Toc1414"/>
      <w:bookmarkEnd w:id="3330"/>
      <w:r>
        <w:rPr>
          <w:rtl w:val="true"/>
        </w:rPr>
        <w:t>حلق عانه</w:t>
      </w:r>
      <w:bookmarkEnd w:id="3331"/>
    </w:p>
    <w:p>
      <w:pPr>
        <w:pStyle w:val="BookText"/>
        <w:rPr/>
      </w:pPr>
      <w:r>
        <w:rPr>
          <w:rFonts w:ascii="IRNazanin" w:hAnsi="IRNazanin" w:eastAsia="IRNazanin"/>
          <w:color w:val="111111"/>
          <w:sz w:val="28"/>
          <w:sz w:val="28"/>
          <w:szCs w:val="28"/>
          <w:rtl w:val="true"/>
          <w:lang w:bidi="fa-IR"/>
        </w:rPr>
        <w:t>و در حلق شعر عانه از زن آزاد يا مملوك، ارش است مگر آن كه سبب زيادتى قيمت يا عدم نقص قيمت باشد، كه ضامن نيست اگر چه نرويد، اگر چه ساير احكام عيب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حلق معتاد اگر چه راجع به سر و لحيه باشد و بعد برويد چيزى نيست، مگر با خصوصياتى كه بر تقدير مملوكيت، نقص قيمت در آن حاصل است كه مقدّر يا ارش ثابت است، يا آن كه ايذا باشد كه تكليفاً حرام است</w:t>
      </w:r>
      <w:r>
        <w:rPr>
          <w:rFonts w:eastAsia="IRNazanin" w:cs="IRNazanin"/>
          <w:color w:val="111111"/>
          <w:sz w:val="28"/>
          <w:szCs w:val="28"/>
          <w:rtl w:val="true"/>
          <w:lang w:bidi="fa-IR"/>
        </w:rPr>
        <w:t>.</w:t>
      </w:r>
    </w:p>
    <w:p>
      <w:pPr>
        <w:pStyle w:val="Heading6"/>
        <w:numPr>
          <w:ilvl w:val="5"/>
          <w:numId w:val="1"/>
        </w:numPr>
        <w:rPr/>
      </w:pPr>
      <w:bookmarkStart w:id="3332" w:name="__RefHeading___Toc3973815_1067777946"/>
      <w:bookmarkStart w:id="3333" w:name="_Toc1415"/>
      <w:bookmarkEnd w:id="3332"/>
      <w:r>
        <w:rPr/>
        <w:t>2</w:t>
      </w:r>
      <w:r>
        <w:rPr>
          <w:rtl w:val="true"/>
        </w:rPr>
        <w:t xml:space="preserve">. </w:t>
      </w:r>
      <w:r>
        <w:rPr>
          <w:rtl w:val="true"/>
        </w:rPr>
        <w:t>چشم</w:t>
      </w:r>
      <w:bookmarkEnd w:id="3333"/>
    </w:p>
    <w:p>
      <w:pPr>
        <w:pStyle w:val="Heading6"/>
        <w:numPr>
          <w:ilvl w:val="5"/>
          <w:numId w:val="1"/>
        </w:numPr>
        <w:rPr/>
      </w:pPr>
      <w:bookmarkStart w:id="3334" w:name="__RefHeading___Toc3973817_1067777946"/>
      <w:bookmarkStart w:id="3335" w:name="_Toc1416"/>
      <w:bookmarkEnd w:id="3334"/>
      <w:r>
        <w:rPr>
          <w:rtl w:val="true"/>
        </w:rPr>
        <w:t>اشاره</w:t>
      </w:r>
      <w:bookmarkEnd w:id="333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ها با هم تمام ديه است و در هر يك نصف ديه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چشم سالم و معيوب نيست مادام كه بينايى باقى است، وگرنه ثبوت ارش خالى از وجه نيست</w:t>
      </w:r>
      <w:r>
        <w:rPr>
          <w:rFonts w:eastAsia="IRNazanin" w:cs="IRNazanin"/>
          <w:color w:val="111111"/>
          <w:sz w:val="28"/>
          <w:szCs w:val="28"/>
          <w:rtl w:val="true"/>
          <w:lang w:bidi="fa-IR"/>
        </w:rPr>
        <w:t xml:space="preserve">. </w:t>
      </w:r>
      <w:bookmarkStart w:id="3336" w:name="pg10275_97048"/>
    </w:p>
    <w:p>
      <w:pPr>
        <w:pStyle w:val="Heading6"/>
        <w:numPr>
          <w:ilvl w:val="5"/>
          <w:numId w:val="1"/>
        </w:numPr>
        <w:rPr/>
      </w:pPr>
      <w:bookmarkStart w:id="3337" w:name="__RefHeading___Toc3973819_1067777946"/>
      <w:bookmarkStart w:id="3338" w:name="_Toc1417"/>
      <w:bookmarkEnd w:id="3336"/>
      <w:bookmarkEnd w:id="3337"/>
      <w:r>
        <w:rPr>
          <w:rtl w:val="true"/>
        </w:rPr>
        <w:t>ديۀ پلكها</w:t>
      </w:r>
      <w:bookmarkEnd w:id="3338"/>
    </w:p>
    <w:p>
      <w:pPr>
        <w:pStyle w:val="BookText"/>
        <w:rPr/>
      </w:pPr>
      <w:r>
        <w:rPr>
          <w:rFonts w:ascii="IRNazanin" w:hAnsi="IRNazanin" w:eastAsia="IRNazanin"/>
          <w:color w:val="111111"/>
          <w:sz w:val="28"/>
          <w:sz w:val="28"/>
          <w:szCs w:val="28"/>
          <w:rtl w:val="true"/>
          <w:lang w:bidi="fa-IR"/>
        </w:rPr>
        <w:t>در چهار پلك چشم ها تمام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ديۀ هر يك از چهار، خلاف است، توزيع تمام ديه على السويّة مقتضاى قاعده است؛ و لكن مشهور، اختلاف در توزيع است يعنى نصف در اسفل و ثلث در اعلى و ساقط مى شود سدس يعنى در جنايت دو نفر يا يكى به تعاقب و دفع ديۀ مقدّم؛ و مستند وارد در اشتر شدن است يعنى اصابت مخصوصه به كنار پلك چشم كه محل روييدن مژه است، و حكم ازاله جَفن را از آن فهميدن بى شائبۀ اشكال نيست؛ و ممكن است تعدّى از بى فايده بودن پلك، به ازالۀ آن نموده باشند، و اين تعدى موافق اولويّت است، چنان چه در اصل، اين حكم مشهور باشد تا ضعفى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صناعت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جبران شود، يا عمل به روايت شود در جهت مشهوره، يا شهرت، كاشفيت از مدرك خاص داشته باشد؛ و احوط صلح است در دو جَفن اعلى بين ثلث و نصف؛ و در جنايت بر بعض، به حساب ديۀ جميع، نسبت ديۀ بعض، معلوم مى شود</w:t>
      </w:r>
      <w:r>
        <w:rPr>
          <w:rFonts w:eastAsia="IRNazanin" w:cs="IRNazanin"/>
          <w:color w:val="111111"/>
          <w:sz w:val="28"/>
          <w:szCs w:val="28"/>
          <w:rtl w:val="true"/>
          <w:lang w:bidi="fa-IR"/>
        </w:rPr>
        <w:t>.</w:t>
      </w:r>
    </w:p>
    <w:p>
      <w:pPr>
        <w:pStyle w:val="Heading6"/>
        <w:numPr>
          <w:ilvl w:val="5"/>
          <w:numId w:val="1"/>
        </w:numPr>
        <w:rPr/>
      </w:pPr>
      <w:bookmarkStart w:id="3339" w:name="__RefHeading___Toc3973821_1067777946"/>
      <w:bookmarkStart w:id="3340" w:name="_Toc1418"/>
      <w:bookmarkEnd w:id="3339"/>
      <w:r>
        <w:rPr>
          <w:rtl w:val="true"/>
        </w:rPr>
        <w:t>عدم تداخل در كندن اجفان و چشم ها</w:t>
      </w:r>
      <w:bookmarkEnd w:id="3340"/>
    </w:p>
    <w:p>
      <w:pPr>
        <w:pStyle w:val="BookText"/>
        <w:rPr/>
      </w:pPr>
      <w:r>
        <w:rPr>
          <w:rFonts w:ascii="IRNazanin" w:hAnsi="IRNazanin" w:eastAsia="IRNazanin"/>
          <w:color w:val="111111"/>
          <w:sz w:val="28"/>
          <w:sz w:val="28"/>
          <w:szCs w:val="28"/>
          <w:rtl w:val="true"/>
          <w:lang w:bidi="fa-IR"/>
        </w:rPr>
        <w:t>و در صورتى كه اجفان و چشم ها قلع شوند، تداخل در ديه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اهداب در كمال ديۀ اجفان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ابصار هم شرط ديۀ اجفان نيست، پس در اعمى هم ديه دارد</w:t>
      </w:r>
      <w:r>
        <w:rPr>
          <w:rFonts w:eastAsia="IRNazanin" w:cs="IRNazanin"/>
          <w:color w:val="111111"/>
          <w:sz w:val="28"/>
          <w:szCs w:val="28"/>
          <w:rtl w:val="true"/>
          <w:lang w:bidi="fa-IR"/>
        </w:rPr>
        <w:t>.</w:t>
      </w:r>
    </w:p>
    <w:p>
      <w:pPr>
        <w:pStyle w:val="Heading6"/>
        <w:numPr>
          <w:ilvl w:val="5"/>
          <w:numId w:val="1"/>
        </w:numPr>
        <w:rPr/>
      </w:pPr>
      <w:bookmarkStart w:id="3341" w:name="__RefHeading___Toc3973823_1067777946"/>
      <w:bookmarkStart w:id="3342" w:name="_Toc1419"/>
      <w:bookmarkEnd w:id="3341"/>
      <w:r>
        <w:rPr>
          <w:rtl w:val="true"/>
        </w:rPr>
        <w:t>اجفان بى اثر</w:t>
      </w:r>
      <w:bookmarkEnd w:id="3342"/>
    </w:p>
    <w:p>
      <w:pPr>
        <w:pStyle w:val="BookText"/>
        <w:rPr/>
      </w:pPr>
      <w:r>
        <w:rPr>
          <w:rFonts w:ascii="IRNazanin" w:hAnsi="IRNazanin" w:eastAsia="IRNazanin"/>
          <w:color w:val="111111"/>
          <w:sz w:val="28"/>
          <w:sz w:val="28"/>
          <w:szCs w:val="28"/>
          <w:rtl w:val="true"/>
          <w:lang w:bidi="fa-IR"/>
        </w:rPr>
        <w:t>و محتمل است در اجفان مقلوبه يابسه كه بى فايده است در ستر چشم كه ارش ثابت باشد نه ديۀ مقدّره</w:t>
      </w:r>
      <w:r>
        <w:rPr>
          <w:rFonts w:eastAsia="IRNazanin" w:cs="IRNazanin"/>
          <w:color w:val="111111"/>
          <w:sz w:val="28"/>
          <w:szCs w:val="28"/>
          <w:rtl w:val="true"/>
          <w:lang w:bidi="fa-IR"/>
        </w:rPr>
        <w:t>.</w:t>
      </w:r>
    </w:p>
    <w:p>
      <w:pPr>
        <w:pStyle w:val="Heading6"/>
        <w:numPr>
          <w:ilvl w:val="5"/>
          <w:numId w:val="1"/>
        </w:numPr>
        <w:rPr/>
      </w:pPr>
      <w:bookmarkStart w:id="3343" w:name="__RefHeading___Toc3973825_1067777946"/>
      <w:bookmarkStart w:id="3344" w:name="_Toc1420"/>
      <w:bookmarkEnd w:id="3343"/>
      <w:r>
        <w:rPr>
          <w:rtl w:val="true"/>
        </w:rPr>
        <w:t>ديۀ چشم صحيح اعور</w:t>
      </w:r>
      <w:bookmarkEnd w:id="334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چشم صحيح اعور يك چشمى، تمام ديه است اگر چشم ديگر به حسب خلقت يا به سبب آفتى از غير مخلوق يا غير مضمونه، صحيح نباشد؛ پس اگر در قصاص قلع </w:t>
      </w:r>
      <w:bookmarkStart w:id="3345" w:name="pg10275_97049"/>
    </w:p>
    <w:p>
      <w:pPr>
        <w:pStyle w:val="BookText"/>
        <w:rPr/>
      </w:pPr>
      <w:bookmarkEnd w:id="3345"/>
      <w:r>
        <w:rPr>
          <w:rFonts w:ascii="IRNazanin" w:hAnsi="IRNazanin" w:eastAsia="IRNazanin"/>
          <w:color w:val="111111"/>
          <w:sz w:val="28"/>
          <w:sz w:val="28"/>
          <w:szCs w:val="28"/>
          <w:rtl w:val="true"/>
          <w:lang w:bidi="fa-IR"/>
        </w:rPr>
        <w:t>شده باشد يا فاسد شده باشد و يا مستحِقّ ديۀ آن شده باشد از ضامن چشم سالم يا غير او، پس در چشم سالم، نصف ديه است، مثل يك چشم از غير اعور</w:t>
      </w:r>
      <w:r>
        <w:rPr>
          <w:rFonts w:eastAsia="IRNazanin" w:cs="IRNazanin"/>
          <w:color w:val="111111"/>
          <w:sz w:val="28"/>
          <w:szCs w:val="28"/>
          <w:rtl w:val="true"/>
          <w:lang w:bidi="fa-IR"/>
        </w:rPr>
        <w:t>.</w:t>
      </w:r>
    </w:p>
    <w:p>
      <w:pPr>
        <w:pStyle w:val="Heading6"/>
        <w:numPr>
          <w:ilvl w:val="5"/>
          <w:numId w:val="1"/>
        </w:numPr>
        <w:rPr/>
      </w:pPr>
      <w:bookmarkStart w:id="3346" w:name="__RefHeading___Toc3973827_1067777946"/>
      <w:bookmarkStart w:id="3347" w:name="_Toc1421"/>
      <w:bookmarkEnd w:id="3346"/>
      <w:r>
        <w:rPr>
          <w:rtl w:val="true"/>
        </w:rPr>
        <w:t>ديۀ چشم فاسد اعور</w:t>
      </w:r>
      <w:bookmarkEnd w:id="3347"/>
    </w:p>
    <w:p>
      <w:pPr>
        <w:pStyle w:val="BookText"/>
        <w:rPr/>
      </w:pPr>
      <w:r>
        <w:rPr>
          <w:rFonts w:ascii="IRNazanin" w:hAnsi="IRNazanin" w:eastAsia="IRNazanin"/>
          <w:color w:val="111111"/>
          <w:sz w:val="28"/>
          <w:sz w:val="28"/>
          <w:szCs w:val="28"/>
          <w:rtl w:val="true"/>
          <w:lang w:bidi="fa-IR"/>
        </w:rPr>
        <w:t>و چشم فاسد اعور اگر منخسف شد به فعل كسى، در آن ثلث ديه چشم سالم است، چه آن كه عور خلقتى بوده يا به سبب آفت يا جنايتى ديگر؛ و اظهر عدم فرق بين خسف قائمه و قلع آن و نحو اينها است</w:t>
      </w:r>
      <w:r>
        <w:rPr>
          <w:rFonts w:eastAsia="IRNazanin" w:cs="IRNazanin"/>
          <w:color w:val="111111"/>
          <w:sz w:val="28"/>
          <w:szCs w:val="28"/>
          <w:rtl w:val="true"/>
          <w:lang w:bidi="fa-IR"/>
        </w:rPr>
        <w:t>.</w:t>
      </w:r>
    </w:p>
    <w:p>
      <w:pPr>
        <w:pStyle w:val="Heading6"/>
        <w:numPr>
          <w:ilvl w:val="5"/>
          <w:numId w:val="1"/>
        </w:numPr>
        <w:rPr/>
      </w:pPr>
      <w:bookmarkStart w:id="3348" w:name="__RefHeading___Toc3973829_1067777946"/>
      <w:bookmarkStart w:id="3349" w:name="_Toc1422"/>
      <w:bookmarkEnd w:id="3348"/>
      <w:r>
        <w:rPr/>
        <w:t>3</w:t>
      </w:r>
      <w:r>
        <w:rPr>
          <w:rtl w:val="true"/>
        </w:rPr>
        <w:t xml:space="preserve">. </w:t>
      </w:r>
      <w:r>
        <w:rPr>
          <w:rtl w:val="true"/>
        </w:rPr>
        <w:t>بينى</w:t>
      </w:r>
      <w:bookmarkEnd w:id="3349"/>
    </w:p>
    <w:p>
      <w:pPr>
        <w:pStyle w:val="Heading6"/>
        <w:numPr>
          <w:ilvl w:val="5"/>
          <w:numId w:val="1"/>
        </w:numPr>
        <w:rPr/>
      </w:pPr>
      <w:bookmarkStart w:id="3350" w:name="__RefHeading___Toc3973831_1067777946"/>
      <w:bookmarkStart w:id="3351" w:name="_Toc1423"/>
      <w:bookmarkEnd w:id="3350"/>
      <w:r>
        <w:rPr>
          <w:rtl w:val="true"/>
        </w:rPr>
        <w:t>اشاره</w:t>
      </w:r>
      <w:bookmarkEnd w:id="335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بينى ديه كامله است اگر تماماً ازاله شود، يا مارِن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منخرين و حاجز تا قصبه انف است، يعنى نرمى آن كه سر آن تا قصبه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قصبه آن اگر به جنايت ديگر ازاله شود ارش است</w:t>
      </w:r>
      <w:r>
        <w:rPr>
          <w:rFonts w:eastAsia="IRNazanin" w:cs="IRNazanin"/>
          <w:color w:val="111111"/>
          <w:sz w:val="28"/>
          <w:szCs w:val="28"/>
          <w:rtl w:val="true"/>
          <w:lang w:bidi="fa-IR"/>
        </w:rPr>
        <w:t>.</w:t>
      </w:r>
    </w:p>
    <w:p>
      <w:pPr>
        <w:pStyle w:val="Heading6"/>
        <w:numPr>
          <w:ilvl w:val="5"/>
          <w:numId w:val="1"/>
        </w:numPr>
        <w:rPr/>
      </w:pPr>
      <w:bookmarkStart w:id="3352" w:name="__RefHeading___Toc3973833_1067777946"/>
      <w:bookmarkStart w:id="3353" w:name="_Toc1424"/>
      <w:bookmarkEnd w:id="3352"/>
      <w:r>
        <w:rPr>
          <w:rtl w:val="true"/>
        </w:rPr>
        <w:t>شكسته شدن بينى</w:t>
      </w:r>
      <w:bookmarkEnd w:id="3353"/>
    </w:p>
    <w:p>
      <w:pPr>
        <w:pStyle w:val="BookText"/>
        <w:rPr/>
      </w:pPr>
      <w:r>
        <w:rPr>
          <w:rFonts w:ascii="IRNazanin" w:hAnsi="IRNazanin" w:eastAsia="IRNazanin"/>
          <w:color w:val="111111"/>
          <w:sz w:val="28"/>
          <w:sz w:val="28"/>
          <w:szCs w:val="28"/>
          <w:rtl w:val="true"/>
          <w:lang w:bidi="fa-IR"/>
        </w:rPr>
        <w:t>و مثل قطع است در حكم، اگر شكسته شد بينى تا حدّى كه فاسد و بى فايده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مجبور شد بينى شكسته شده بدون عيب، پس در آن صد دينار است بنا بر اظهر</w:t>
      </w:r>
      <w:r>
        <w:rPr>
          <w:rFonts w:eastAsia="IRNazanin" w:cs="IRNazanin"/>
          <w:color w:val="111111"/>
          <w:sz w:val="28"/>
          <w:szCs w:val="28"/>
          <w:rtl w:val="true"/>
          <w:lang w:bidi="fa-IR"/>
        </w:rPr>
        <w:t>.</w:t>
      </w:r>
    </w:p>
    <w:p>
      <w:pPr>
        <w:pStyle w:val="Heading6"/>
        <w:numPr>
          <w:ilvl w:val="5"/>
          <w:numId w:val="1"/>
        </w:numPr>
        <w:rPr/>
      </w:pPr>
      <w:bookmarkStart w:id="3354" w:name="__RefHeading___Toc3973835_1067777946"/>
      <w:bookmarkStart w:id="3355" w:name="_Toc1425"/>
      <w:bookmarkEnd w:id="3354"/>
      <w:r>
        <w:rPr>
          <w:rtl w:val="true"/>
        </w:rPr>
        <w:t>سوراخ كردن بينى</w:t>
      </w:r>
      <w:bookmarkEnd w:id="3355"/>
    </w:p>
    <w:p>
      <w:pPr>
        <w:pStyle w:val="BookText"/>
        <w:rPr/>
      </w:pPr>
      <w:r>
        <w:rPr>
          <w:rFonts w:ascii="IRNazanin" w:hAnsi="IRNazanin" w:eastAsia="IRNazanin"/>
          <w:color w:val="111111"/>
          <w:sz w:val="28"/>
          <w:sz w:val="28"/>
          <w:szCs w:val="28"/>
          <w:rtl w:val="true"/>
          <w:lang w:bidi="fa-IR"/>
        </w:rPr>
        <w:t>و در سوراخ كردن منخرين و حاجز با تيرى و مثل آن، ثلث ديۀ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خَرم آن كه عبارت از شقّ حاجز است و تقطيع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نفوذ و خَرم اگر مجبور شد بدون عيب، احوط اداى خمس ديۀ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دويست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6"/>
        <w:numPr>
          <w:ilvl w:val="5"/>
          <w:numId w:val="1"/>
        </w:numPr>
        <w:rPr/>
      </w:pPr>
      <w:bookmarkStart w:id="3356" w:name="__RefHeading___Toc3973837_1067777946"/>
      <w:bookmarkStart w:id="3357" w:name="_Toc1426"/>
      <w:bookmarkEnd w:id="3356"/>
      <w:r>
        <w:rPr>
          <w:rtl w:val="true"/>
        </w:rPr>
        <w:t>وارد شدن چاقو و امثال آن به نرمى بينى</w:t>
      </w:r>
      <w:bookmarkEnd w:id="335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نافذه نفوذ كرد در يكى از دو نرمى بينى، كه يكى از منخرين باشد تا حاجز، پس عُشر ديه كه صد دينار است در صورت مجبور شدن، و سدس ديه در صورت عدم صلاح فرموده شده؛ و پنجاه دينار روايت شده بدون تفصيل مذكور؛ و احوط اكثر از ارش و مذكور است با رعايت تفصيل</w:t>
      </w:r>
      <w:r>
        <w:rPr>
          <w:rFonts w:eastAsia="IRNazanin" w:cs="IRNazanin"/>
          <w:color w:val="111111"/>
          <w:sz w:val="28"/>
          <w:szCs w:val="28"/>
          <w:rtl w:val="true"/>
          <w:lang w:bidi="fa-IR"/>
        </w:rPr>
        <w:t xml:space="preserve">. </w:t>
      </w:r>
      <w:bookmarkStart w:id="3358" w:name="pg10275_97050"/>
    </w:p>
    <w:p>
      <w:pPr>
        <w:pStyle w:val="Heading6"/>
        <w:numPr>
          <w:ilvl w:val="5"/>
          <w:numId w:val="1"/>
        </w:numPr>
        <w:rPr/>
      </w:pPr>
      <w:bookmarkStart w:id="3359" w:name="__RefHeading___Toc3973839_1067777946"/>
      <w:bookmarkStart w:id="3360" w:name="_Toc1427"/>
      <w:bookmarkEnd w:id="3358"/>
      <w:bookmarkEnd w:id="3359"/>
      <w:r>
        <w:rPr>
          <w:rtl w:val="true"/>
        </w:rPr>
        <w:t>مشلول كردن بينى</w:t>
      </w:r>
      <w:bookmarkEnd w:id="3360"/>
    </w:p>
    <w:p>
      <w:pPr>
        <w:pStyle w:val="BookText"/>
        <w:rPr/>
      </w:pPr>
      <w:r>
        <w:rPr>
          <w:rFonts w:ascii="Amiri" w:hAnsi="Amiri" w:eastAsia="Amiri" w:cs="Amiri"/>
          <w:color w:val="111111"/>
          <w:sz w:val="28"/>
          <w:sz w:val="28"/>
          <w:szCs w:val="28"/>
          <w:rtl w:val="true"/>
          <w:lang w:bidi="ar-SA"/>
        </w:rPr>
        <w:t>در مشلول كردن بينى دو ثلث ديۀ بينى است</w:t>
      </w:r>
      <w:r>
        <w:rPr>
          <w:rFonts w:eastAsia="Amiri" w:cs="Amiri" w:ascii="Amiri" w:hAnsi="Amiri"/>
          <w:color w:val="111111"/>
          <w:sz w:val="28"/>
          <w:szCs w:val="28"/>
          <w:rtl w:val="true"/>
          <w:lang w:bidi="ar-SA"/>
        </w:rPr>
        <w:t>.</w:t>
      </w:r>
    </w:p>
    <w:p>
      <w:pPr>
        <w:pStyle w:val="Heading6"/>
        <w:numPr>
          <w:ilvl w:val="5"/>
          <w:numId w:val="1"/>
        </w:numPr>
        <w:rPr/>
      </w:pPr>
      <w:bookmarkStart w:id="3361" w:name="__RefHeading___Toc3973841_1067777946"/>
      <w:bookmarkStart w:id="3362" w:name="_Toc1428"/>
      <w:bookmarkEnd w:id="3361"/>
      <w:r>
        <w:rPr>
          <w:rtl w:val="true"/>
        </w:rPr>
        <w:t>استيصال روثه</w:t>
      </w:r>
      <w:bookmarkEnd w:id="3362"/>
    </w:p>
    <w:p>
      <w:pPr>
        <w:pStyle w:val="BookText"/>
        <w:rPr/>
      </w:pPr>
      <w:r>
        <w:rPr>
          <w:rFonts w:ascii="IRNazanin" w:hAnsi="IRNazanin" w:eastAsia="IRNazanin"/>
          <w:color w:val="111111"/>
          <w:sz w:val="28"/>
          <w:sz w:val="28"/>
          <w:szCs w:val="28"/>
          <w:rtl w:val="true"/>
          <w:lang w:bidi="fa-IR"/>
        </w:rPr>
        <w:t xml:space="preserve">در استيصال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ديه است، و در معنى آن خلاف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منسوب به اصحاب و لغويّين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حاجز بين دو منخر است يا سر مارن كه محل تقاطر رعاف از بينى است، و بيش از اين در هيچ كدام نقل نشده؛ احوط تأديۀ نصف است در هر كدام</w:t>
      </w:r>
      <w:r>
        <w:rPr>
          <w:rFonts w:eastAsia="IRNazanin" w:cs="IRNazanin"/>
          <w:color w:val="111111"/>
          <w:sz w:val="28"/>
          <w:szCs w:val="28"/>
          <w:rtl w:val="true"/>
          <w:lang w:bidi="fa-IR"/>
        </w:rPr>
        <w:t>.</w:t>
      </w:r>
    </w:p>
    <w:p>
      <w:pPr>
        <w:pStyle w:val="Heading6"/>
        <w:numPr>
          <w:ilvl w:val="5"/>
          <w:numId w:val="1"/>
        </w:numPr>
        <w:rPr/>
      </w:pPr>
      <w:bookmarkStart w:id="3363" w:name="__RefHeading___Toc3973843_1067777946"/>
      <w:bookmarkStart w:id="3364" w:name="_Toc1429"/>
      <w:bookmarkEnd w:id="3363"/>
      <w:r>
        <w:rPr>
          <w:rtl w:val="true"/>
        </w:rPr>
        <w:t>قطع منخر و حاجز</w:t>
      </w:r>
      <w:bookmarkEnd w:id="3364"/>
    </w:p>
    <w:p>
      <w:pPr>
        <w:pStyle w:val="BookText"/>
        <w:rPr/>
      </w:pPr>
      <w:r>
        <w:rPr>
          <w:rFonts w:ascii="IRNazanin" w:hAnsi="IRNazanin" w:eastAsia="IRNazanin"/>
          <w:color w:val="111111"/>
          <w:sz w:val="28"/>
          <w:sz w:val="28"/>
          <w:szCs w:val="28"/>
          <w:rtl w:val="true"/>
          <w:lang w:bidi="fa-IR"/>
        </w:rPr>
        <w:t xml:space="preserve">و در يكى از دو منخر ثلث ديه است بنا بر احوط به لحاظ اقتضاى جمع بين ديه چهار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منخرين و حاجز و ارنبه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بر ديۀ مجموع را؛ لذا مسأله از اشكال، و احتياط به رعايت مذكور در اجزا،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 يك منخر با حاجز، نصف براى حاجز و ثلث براى يك منخر موافق احتياط متقدم است؛ و اگر مستلزم جنايت ديگرى است زياد مى شود ديه آن، چنان چه مستلزم قطع ارنبه يعنى يك نصف آن مى شود؛ و در ايجاب نصف براى آن،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عدم صدق مگر به قطع ارنبه در هر دو طرف بينى، پس در قطع يك طرف، ارش است و اشكال و احتياط متقدّم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 بعض منخر يا بعض حاجز، جزئى مقيس به ديه تمام آن به حسب مساحت تعيين مى شود، مثل نصف ديه آن كه ثلث باشد</w:t>
      </w:r>
      <w:r>
        <w:rPr>
          <w:rFonts w:eastAsia="Amiri" w:cs="Amiri" w:ascii="Amiri" w:hAnsi="Amiri"/>
          <w:color w:val="111111"/>
          <w:sz w:val="28"/>
          <w:szCs w:val="28"/>
          <w:rtl w:val="true"/>
          <w:lang w:bidi="ar-SA"/>
        </w:rPr>
        <w:t>.</w:t>
      </w:r>
    </w:p>
    <w:p>
      <w:pPr>
        <w:pStyle w:val="Heading6"/>
        <w:numPr>
          <w:ilvl w:val="5"/>
          <w:numId w:val="1"/>
        </w:numPr>
        <w:rPr/>
      </w:pPr>
      <w:bookmarkStart w:id="3365" w:name="__RefHeading___Toc3973845_1067777946"/>
      <w:bookmarkStart w:id="3366" w:name="_Toc1430"/>
      <w:bookmarkEnd w:id="3365"/>
      <w:r>
        <w:rPr>
          <w:rtl w:val="true"/>
        </w:rPr>
        <w:t>وارد شدن ضربه به بينى</w:t>
      </w:r>
      <w:bookmarkEnd w:id="336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بينى را با ضرب و نحو آن متغيّر كرد يا از استقامت خارج شد بدون عيب ديگر، أرش آن تعيين مى شود كه با صلاح و سلامت بَعد و عدم آن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آن بعد از اعوجاج و قبل از سلامت، موجب ديه كامله است چه از جانى اول باشد يا غير </w:t>
      </w:r>
      <w:bookmarkStart w:id="3367" w:name="pg10275_97051"/>
    </w:p>
    <w:p>
      <w:pPr>
        <w:pStyle w:val="BookText"/>
        <w:rPr/>
      </w:pPr>
      <w:bookmarkEnd w:id="3367"/>
      <w:r>
        <w:rPr>
          <w:rFonts w:ascii="Amiri" w:hAnsi="Amiri" w:eastAsia="Amiri" w:cs="Amiri"/>
          <w:color w:val="111111"/>
          <w:sz w:val="28"/>
          <w:sz w:val="28"/>
          <w:szCs w:val="28"/>
          <w:rtl w:val="true"/>
          <w:lang w:bidi="ar-SA"/>
        </w:rPr>
        <w:t>او مثل صورتى كه به حسب خلقت معوج بوده است در ايجاب جنايت دوم تمام ديه را</w:t>
      </w:r>
      <w:r>
        <w:rPr>
          <w:rFonts w:eastAsia="Amiri" w:cs="Amiri" w:ascii="Amiri" w:hAnsi="Amiri"/>
          <w:color w:val="111111"/>
          <w:sz w:val="28"/>
          <w:szCs w:val="28"/>
          <w:rtl w:val="true"/>
          <w:lang w:bidi="ar-SA"/>
        </w:rPr>
        <w:t>.</w:t>
      </w:r>
    </w:p>
    <w:p>
      <w:pPr>
        <w:pStyle w:val="Heading6"/>
        <w:numPr>
          <w:ilvl w:val="5"/>
          <w:numId w:val="1"/>
        </w:numPr>
        <w:rPr/>
      </w:pPr>
      <w:bookmarkStart w:id="3368" w:name="__RefHeading___Toc3973847_1067777946"/>
      <w:bookmarkStart w:id="3369" w:name="_Toc1431"/>
      <w:bookmarkEnd w:id="3368"/>
      <w:r>
        <w:rPr>
          <w:rtl w:val="true"/>
        </w:rPr>
        <w:t>سوراخ نمودن بينى</w:t>
      </w:r>
      <w:bookmarkEnd w:id="3369"/>
    </w:p>
    <w:p>
      <w:pPr>
        <w:pStyle w:val="BookText"/>
        <w:rPr/>
      </w:pPr>
      <w:r>
        <w:rPr>
          <w:rFonts w:ascii="IRNazanin" w:hAnsi="IRNazanin" w:eastAsia="IRNazanin"/>
          <w:color w:val="111111"/>
          <w:sz w:val="28"/>
          <w:sz w:val="28"/>
          <w:szCs w:val="28"/>
          <w:rtl w:val="true"/>
          <w:lang w:bidi="fa-IR"/>
        </w:rPr>
        <w:t>اگر احداث فرجه بين دو منخر كرد ارش ثابت است، با تفاوت آن در صورت بقاى فرجه يا التيام و انسداد آن</w:t>
      </w:r>
      <w:r>
        <w:rPr>
          <w:rFonts w:eastAsia="IRNazanin" w:cs="IRNazanin"/>
          <w:color w:val="111111"/>
          <w:sz w:val="28"/>
          <w:szCs w:val="28"/>
          <w:rtl w:val="true"/>
          <w:lang w:bidi="fa-IR"/>
        </w:rPr>
        <w:t>.</w:t>
      </w:r>
    </w:p>
    <w:p>
      <w:pPr>
        <w:pStyle w:val="Heading6"/>
        <w:numPr>
          <w:ilvl w:val="5"/>
          <w:numId w:val="1"/>
        </w:numPr>
        <w:rPr/>
      </w:pPr>
      <w:bookmarkStart w:id="3370" w:name="__RefHeading___Toc3973849_1067777946"/>
      <w:bookmarkStart w:id="3371" w:name="_Toc1432"/>
      <w:bookmarkEnd w:id="3370"/>
      <w:r>
        <w:rPr>
          <w:rtl w:val="true"/>
        </w:rPr>
        <w:t>قطع بينى و باقى مانده پوست</w:t>
      </w:r>
      <w:bookmarkEnd w:id="3371"/>
    </w:p>
    <w:p>
      <w:pPr>
        <w:pStyle w:val="BookText"/>
        <w:rPr/>
      </w:pPr>
      <w:r>
        <w:rPr>
          <w:rFonts w:ascii="IRNazanin" w:hAnsi="IRNazanin" w:eastAsia="IRNazanin"/>
          <w:color w:val="111111"/>
          <w:sz w:val="28"/>
          <w:sz w:val="28"/>
          <w:szCs w:val="28"/>
          <w:rtl w:val="true"/>
          <w:lang w:bidi="fa-IR"/>
        </w:rPr>
        <w:t>اگر بينى را قطع كرد غير پوست آن را، پس اگر ممكن نبود وصل پوست به محل، ديه كامله براى مجموع از مباشرت و تسبيب يا تسبيب ها ثابت است؛ و اگر وصل كرد و ملتحم شد، امر داير بين ديه كامله و ارش است، و اول احوط است</w:t>
      </w:r>
      <w:r>
        <w:rPr>
          <w:rFonts w:eastAsia="IRNazanin" w:cs="IRNazanin"/>
          <w:color w:val="111111"/>
          <w:sz w:val="28"/>
          <w:szCs w:val="28"/>
          <w:rtl w:val="true"/>
          <w:lang w:bidi="fa-IR"/>
        </w:rPr>
        <w:t>.</w:t>
      </w:r>
    </w:p>
    <w:p>
      <w:pPr>
        <w:pStyle w:val="Heading6"/>
        <w:numPr>
          <w:ilvl w:val="5"/>
          <w:numId w:val="1"/>
        </w:numPr>
        <w:rPr/>
      </w:pPr>
      <w:bookmarkStart w:id="3372" w:name="__RefHeading___Toc3973851_1067777946"/>
      <w:bookmarkStart w:id="3373" w:name="_Toc1433"/>
      <w:bookmarkEnd w:id="3372"/>
      <w:r>
        <w:rPr/>
        <w:t>4</w:t>
      </w:r>
      <w:r>
        <w:rPr>
          <w:rtl w:val="true"/>
        </w:rPr>
        <w:t xml:space="preserve">. </w:t>
      </w:r>
      <w:r>
        <w:rPr>
          <w:rtl w:val="true"/>
        </w:rPr>
        <w:t>گوش</w:t>
      </w:r>
      <w:bookmarkEnd w:id="3373"/>
    </w:p>
    <w:p>
      <w:pPr>
        <w:pStyle w:val="Heading6"/>
        <w:numPr>
          <w:ilvl w:val="5"/>
          <w:numId w:val="1"/>
        </w:numPr>
        <w:rPr/>
      </w:pPr>
      <w:bookmarkStart w:id="3374" w:name="__RefHeading___Toc3973853_1067777946"/>
      <w:bookmarkStart w:id="3375" w:name="_Toc1434"/>
      <w:bookmarkEnd w:id="3374"/>
      <w:r>
        <w:rPr>
          <w:rtl w:val="true"/>
        </w:rPr>
        <w:t>اشاره</w:t>
      </w:r>
      <w:bookmarkEnd w:id="337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گوش اگر استيصال بشود، تمام ديه است؛ و در يكى از آنها نصف ديه است؛ و در بعض گوش به حساب مقدّر در تمام است؛ پس در قطع نصف يكى نصف ديۀ يكى است؛ و در خصوص شحمۀ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نرمى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ديه گوش است</w:t>
      </w:r>
      <w:r>
        <w:rPr>
          <w:rFonts w:eastAsia="IRNazanin" w:cs="IRNazanin"/>
          <w:color w:val="111111"/>
          <w:sz w:val="28"/>
          <w:szCs w:val="28"/>
          <w:rtl w:val="true"/>
          <w:lang w:bidi="fa-IR"/>
        </w:rPr>
        <w:t>.</w:t>
      </w:r>
    </w:p>
    <w:p>
      <w:pPr>
        <w:pStyle w:val="Heading6"/>
        <w:numPr>
          <w:ilvl w:val="5"/>
          <w:numId w:val="1"/>
        </w:numPr>
        <w:rPr/>
      </w:pPr>
      <w:bookmarkStart w:id="3376" w:name="__RefHeading___Toc3973855_1067777946"/>
      <w:bookmarkStart w:id="3377" w:name="_Toc1435"/>
      <w:bookmarkEnd w:id="3376"/>
      <w:r>
        <w:rPr>
          <w:rtl w:val="true"/>
        </w:rPr>
        <w:t>پاره نمودن گوش</w:t>
      </w:r>
      <w:bookmarkEnd w:id="3377"/>
    </w:p>
    <w:p>
      <w:pPr>
        <w:pStyle w:val="BookText"/>
        <w:rPr/>
      </w:pPr>
      <w:r>
        <w:rPr>
          <w:rFonts w:ascii="IRNazanin" w:hAnsi="IRNazanin" w:eastAsia="IRNazanin"/>
          <w:color w:val="111111"/>
          <w:sz w:val="28"/>
          <w:sz w:val="28"/>
          <w:szCs w:val="28"/>
          <w:rtl w:val="true"/>
          <w:lang w:bidi="fa-IR"/>
        </w:rPr>
        <w:t>و در شقّ گوش كه عبارت از خَرم آن است ثلث ديه گوش است؛ پس قطع نرمى با شكافتن گوش در ديه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شكافتن خصوص نرمى گوش اظهر ثبوت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خَرم گوش اگر منتهى به التيام و سلامت شد، در آن ارش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در ديۀ گوش بين گوش شنوا و غير او نيست</w:t>
      </w:r>
      <w:r>
        <w:rPr>
          <w:rFonts w:eastAsia="IRNazanin" w:cs="IRNazanin"/>
          <w:color w:val="111111"/>
          <w:sz w:val="28"/>
          <w:szCs w:val="28"/>
          <w:rtl w:val="true"/>
          <w:lang w:bidi="fa-IR"/>
        </w:rPr>
        <w:t>.</w:t>
      </w:r>
    </w:p>
    <w:p>
      <w:pPr>
        <w:pStyle w:val="Heading6"/>
        <w:numPr>
          <w:ilvl w:val="5"/>
          <w:numId w:val="1"/>
        </w:numPr>
        <w:rPr/>
      </w:pPr>
      <w:bookmarkStart w:id="3378" w:name="__RefHeading___Toc3973857_1067777946"/>
      <w:bookmarkStart w:id="3379" w:name="_Toc1436"/>
      <w:bookmarkEnd w:id="3378"/>
      <w:r>
        <w:rPr>
          <w:rtl w:val="true"/>
        </w:rPr>
        <w:t>پيدايش موضحه يا افساد پرده گوش</w:t>
      </w:r>
      <w:bookmarkEnd w:id="337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زدن و نحو آن، گوش خشك و منقبض شد پس در آن، دو ثلث ديه، مثل شَلَل </w:t>
      </w:r>
      <w:bookmarkStart w:id="3380" w:name="pg10275_97052"/>
    </w:p>
    <w:p>
      <w:pPr>
        <w:pStyle w:val="BookText"/>
        <w:rPr/>
      </w:pPr>
      <w:bookmarkEnd w:id="3380"/>
      <w:r>
        <w:rPr>
          <w:rFonts w:ascii="IRNazanin" w:hAnsi="IRNazanin" w:eastAsia="IRNazanin"/>
          <w:color w:val="111111"/>
          <w:sz w:val="28"/>
          <w:sz w:val="28"/>
          <w:szCs w:val="28"/>
          <w:rtl w:val="true"/>
          <w:lang w:bidi="fa-IR"/>
        </w:rPr>
        <w:t>عضو است در بى فايده بودن و حكم آن، در صورت عدم عود سلامت؛ وگرنه ارش است چنان چه گذشت در نظايرش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شلل و نحو آن مقطوع شد، در آن ثلث ديۀ يك گوش است</w:t>
      </w:r>
      <w:r>
        <w:rPr>
          <w:rFonts w:eastAsia="IRNazanin" w:cs="IRNazanin"/>
          <w:color w:val="111111"/>
          <w:sz w:val="28"/>
          <w:szCs w:val="28"/>
          <w:rtl w:val="true"/>
          <w:lang w:bidi="fa-IR"/>
        </w:rPr>
        <w:t>.</w:t>
      </w:r>
    </w:p>
    <w:p>
      <w:pPr>
        <w:pStyle w:val="Heading6"/>
        <w:numPr>
          <w:ilvl w:val="5"/>
          <w:numId w:val="1"/>
        </w:numPr>
        <w:rPr/>
      </w:pPr>
      <w:bookmarkStart w:id="3381" w:name="__RefHeading___Toc3973859_1067777946"/>
      <w:bookmarkStart w:id="3382" w:name="_Toc1437"/>
      <w:bookmarkEnd w:id="3381"/>
      <w:r>
        <w:rPr>
          <w:rtl w:val="true"/>
        </w:rPr>
        <w:t>خشك شدن گوش</w:t>
      </w:r>
      <w:bookmarkEnd w:id="3382"/>
    </w:p>
    <w:p>
      <w:pPr>
        <w:pStyle w:val="BookText"/>
        <w:rPr/>
      </w:pPr>
      <w:r>
        <w:rPr>
          <w:rFonts w:ascii="IRNazanin" w:hAnsi="IRNazanin" w:eastAsia="IRNazanin"/>
          <w:color w:val="111111"/>
          <w:sz w:val="28"/>
          <w:sz w:val="28"/>
          <w:szCs w:val="28"/>
          <w:rtl w:val="true"/>
          <w:lang w:bidi="fa-IR"/>
        </w:rPr>
        <w:t>اگر زيادتى بر قطع گوش، موضحه ظاهر شد، ديه موضحه افزوده مى شود بر ديه يك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زايد بر قطع گوش، افساد قرع سماع يا نقص آن حاصل شد، تداخل در ديه عين و منفعت نمى شود و براى هر كدام ديه مخصوصه آن ثابت است</w:t>
      </w:r>
      <w:r>
        <w:rPr>
          <w:rFonts w:eastAsia="IRNazanin" w:cs="IRNazanin"/>
          <w:color w:val="111111"/>
          <w:sz w:val="28"/>
          <w:szCs w:val="28"/>
          <w:rtl w:val="true"/>
          <w:lang w:bidi="fa-IR"/>
        </w:rPr>
        <w:t>.</w:t>
      </w:r>
    </w:p>
    <w:p>
      <w:pPr>
        <w:pStyle w:val="Heading6"/>
        <w:numPr>
          <w:ilvl w:val="5"/>
          <w:numId w:val="1"/>
        </w:numPr>
        <w:rPr/>
      </w:pPr>
      <w:bookmarkStart w:id="3383" w:name="__RefHeading___Toc3973861_1067777946"/>
      <w:bookmarkStart w:id="3384" w:name="_Toc1438"/>
      <w:bookmarkEnd w:id="3383"/>
      <w:r>
        <w:rPr/>
        <w:t>5</w:t>
      </w:r>
      <w:r>
        <w:rPr>
          <w:rtl w:val="true"/>
        </w:rPr>
        <w:t xml:space="preserve">. </w:t>
      </w:r>
      <w:r>
        <w:rPr>
          <w:rtl w:val="true"/>
        </w:rPr>
        <w:t>دو لب</w:t>
      </w:r>
      <w:bookmarkEnd w:id="3384"/>
    </w:p>
    <w:p>
      <w:pPr>
        <w:pStyle w:val="Heading6"/>
        <w:numPr>
          <w:ilvl w:val="5"/>
          <w:numId w:val="1"/>
        </w:numPr>
        <w:rPr/>
      </w:pPr>
      <w:bookmarkStart w:id="3385" w:name="__RefHeading___Toc3973863_1067777946"/>
      <w:bookmarkStart w:id="3386" w:name="_Toc1439"/>
      <w:bookmarkEnd w:id="3385"/>
      <w:r>
        <w:rPr>
          <w:rtl w:val="true"/>
        </w:rPr>
        <w:t>اشاره</w:t>
      </w:r>
      <w:bookmarkEnd w:id="338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لبها با هم، ديه كامله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يكى از دو لب خلاف است، احوط و موافق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لب بالا نصف ديه و در لب پايين دو ثلث ديه است؛ و زيادتى ديۀ ابعاض بر ديۀ مجموع در جنايتى ديگر بعد از اداى ديه اول يا جنايت شخص ديگر، با احتياط مذكور منافات ندارد، بلكه ممكن است كاشف از اختصاص تسويه به غير دو صورت مذكوره باشد</w:t>
      </w:r>
      <w:r>
        <w:rPr>
          <w:rFonts w:eastAsia="IRNazanin" w:cs="IRNazanin"/>
          <w:color w:val="111111"/>
          <w:sz w:val="28"/>
          <w:szCs w:val="28"/>
          <w:rtl w:val="true"/>
          <w:lang w:bidi="fa-IR"/>
        </w:rPr>
        <w:t>.</w:t>
      </w:r>
    </w:p>
    <w:p>
      <w:pPr>
        <w:pStyle w:val="Heading6"/>
        <w:numPr>
          <w:ilvl w:val="5"/>
          <w:numId w:val="1"/>
        </w:numPr>
        <w:rPr/>
      </w:pPr>
      <w:bookmarkStart w:id="3387" w:name="__RefHeading___Toc3973865_1067777946"/>
      <w:bookmarkStart w:id="3388" w:name="_Toc1440"/>
      <w:bookmarkEnd w:id="3387"/>
      <w:r>
        <w:rPr>
          <w:rtl w:val="true"/>
        </w:rPr>
        <w:t>ديۀ بعض لب</w:t>
      </w:r>
      <w:bookmarkEnd w:id="3388"/>
    </w:p>
    <w:p>
      <w:pPr>
        <w:pStyle w:val="BookText"/>
        <w:rPr/>
      </w:pPr>
      <w:r>
        <w:rPr>
          <w:rFonts w:ascii="IRNazanin" w:hAnsi="IRNazanin" w:eastAsia="IRNazanin"/>
          <w:color w:val="111111"/>
          <w:sz w:val="28"/>
          <w:sz w:val="28"/>
          <w:szCs w:val="28"/>
          <w:rtl w:val="true"/>
          <w:lang w:bidi="fa-IR"/>
        </w:rPr>
        <w:t>و ديه قطع بعض لب تعيين مى شود از نسبت مساحت مقطوع به مجموع لب؛ پس اگر نصف لب در طول و عرض باشد، نصف ديۀ لب را ضامن است؛ و اگر در طول نصف و در عرض ربع باشد، ربع را ضامن مى شود از ديه همان لب كه بالايى يا پايينى است</w:t>
      </w:r>
      <w:r>
        <w:rPr>
          <w:rFonts w:eastAsia="IRNazanin" w:cs="IRNazanin"/>
          <w:color w:val="111111"/>
          <w:sz w:val="28"/>
          <w:szCs w:val="28"/>
          <w:rtl w:val="true"/>
          <w:lang w:bidi="fa-IR"/>
        </w:rPr>
        <w:t>.</w:t>
      </w:r>
    </w:p>
    <w:p>
      <w:pPr>
        <w:pStyle w:val="Heading6"/>
        <w:numPr>
          <w:ilvl w:val="5"/>
          <w:numId w:val="1"/>
        </w:numPr>
        <w:rPr/>
      </w:pPr>
      <w:bookmarkStart w:id="3389" w:name="__RefHeading___Toc3973867_1067777946"/>
      <w:bookmarkStart w:id="3390" w:name="_Toc1441"/>
      <w:bookmarkEnd w:id="3389"/>
      <w:r>
        <w:rPr>
          <w:rtl w:val="true"/>
        </w:rPr>
        <w:t>تعيين حدّ لب</w:t>
      </w:r>
      <w:bookmarkEnd w:id="3390"/>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لب پايين 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لثه گذشته باشد در طول دهان؛ و لب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لثه بالا بگذرد و وصل به منخرين و حاجز باشد در طول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كناره دهان از دو طرف، از لب نيست</w:t>
      </w:r>
      <w:r>
        <w:rPr>
          <w:rFonts w:eastAsia="IRNazanin" w:cs="IRNazanin"/>
          <w:color w:val="111111"/>
          <w:sz w:val="28"/>
          <w:szCs w:val="28"/>
          <w:rtl w:val="true"/>
          <w:lang w:bidi="fa-IR"/>
        </w:rPr>
        <w:t xml:space="preserve">. </w:t>
      </w:r>
      <w:bookmarkStart w:id="3391" w:name="pg10275_97053"/>
    </w:p>
    <w:p>
      <w:pPr>
        <w:pStyle w:val="Heading6"/>
        <w:numPr>
          <w:ilvl w:val="5"/>
          <w:numId w:val="1"/>
        </w:numPr>
        <w:rPr/>
      </w:pPr>
      <w:bookmarkStart w:id="3392" w:name="__RefHeading___Toc3973869_1067777946"/>
      <w:bookmarkStart w:id="3393" w:name="_Toc1442"/>
      <w:bookmarkEnd w:id="3391"/>
      <w:bookmarkEnd w:id="3392"/>
      <w:r>
        <w:rPr>
          <w:rtl w:val="true"/>
        </w:rPr>
        <w:t>از فايده افتادن لب يا شلل آن</w:t>
      </w:r>
      <w:bookmarkEnd w:id="3393"/>
    </w:p>
    <w:p>
      <w:pPr>
        <w:pStyle w:val="BookText"/>
        <w:rPr/>
      </w:pPr>
      <w:r>
        <w:rPr>
          <w:rFonts w:ascii="IRNazanin" w:hAnsi="IRNazanin" w:eastAsia="IRNazanin"/>
          <w:color w:val="111111"/>
          <w:sz w:val="28"/>
          <w:sz w:val="28"/>
          <w:szCs w:val="28"/>
          <w:rtl w:val="true"/>
          <w:lang w:bidi="fa-IR"/>
        </w:rPr>
        <w:t>اگر به سبب جنايت، متقلص و منقبض و يابس شد و از فايده خود كه انطباق بر دندان ها است افتاد پس اگر خصوصيت شلل دارد، دو ثلث ديه عضو را دارد؛ وگرنه ارش را ايجاب مى كند؛ و اگر يبس آن تام نباشد،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 يابس است، نسبت به تمام، مقيس و منسوب مى شود در تقدير، و در ارش حساب نسبت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سبب استرخاى شلل مقطوع شد، دو ثلث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قطع آن بعد از شلل، ثلث است</w:t>
      </w:r>
      <w:r>
        <w:rPr>
          <w:rFonts w:eastAsia="IRNazanin" w:cs="IRNazanin"/>
          <w:color w:val="111111"/>
          <w:sz w:val="28"/>
          <w:szCs w:val="28"/>
          <w:rtl w:val="true"/>
          <w:lang w:bidi="fa-IR"/>
        </w:rPr>
        <w:t>.</w:t>
      </w:r>
    </w:p>
    <w:p>
      <w:pPr>
        <w:pStyle w:val="Heading6"/>
        <w:numPr>
          <w:ilvl w:val="5"/>
          <w:numId w:val="1"/>
        </w:numPr>
        <w:rPr/>
      </w:pPr>
      <w:bookmarkStart w:id="3394" w:name="__RefHeading___Toc3973871_1067777946"/>
      <w:bookmarkStart w:id="3395" w:name="_Toc1443"/>
      <w:bookmarkEnd w:id="3394"/>
      <w:r>
        <w:rPr>
          <w:rtl w:val="true"/>
        </w:rPr>
        <w:t>شكافته شدن لب</w:t>
      </w:r>
      <w:bookmarkEnd w:id="3395"/>
    </w:p>
    <w:p>
      <w:pPr>
        <w:pStyle w:val="BookText"/>
        <w:rPr/>
      </w:pPr>
      <w:r>
        <w:rPr>
          <w:rFonts w:ascii="IRNazanin" w:hAnsi="IRNazanin" w:eastAsia="IRNazanin"/>
          <w:color w:val="111111"/>
          <w:sz w:val="28"/>
          <w:sz w:val="28"/>
          <w:szCs w:val="28"/>
          <w:rtl w:val="true"/>
          <w:lang w:bidi="fa-IR"/>
        </w:rPr>
        <w:t>اگر شكافت هر دو را كه دندان ها آشكار شدند و جدا نكرد چيزى را، ثلث ديه در آن است اگر ملتئم نشد، وگرنه خمس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يك لب اين قطع حاصل شد ثلث يا خمس ديه همان لب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اين كه در صورت التيام، ارش ثابت باشد مثل حكم در نظاير و تطبيق بر خمس بر حسب معلوم در متعارف بوده باشد، قائم است</w:t>
      </w:r>
      <w:r>
        <w:rPr>
          <w:rFonts w:eastAsia="IRNazanin" w:cs="IRNazanin"/>
          <w:color w:val="111111"/>
          <w:sz w:val="28"/>
          <w:szCs w:val="28"/>
          <w:rtl w:val="true"/>
          <w:lang w:bidi="fa-IR"/>
        </w:rPr>
        <w:t>.</w:t>
      </w:r>
    </w:p>
    <w:p>
      <w:pPr>
        <w:pStyle w:val="Heading6"/>
        <w:numPr>
          <w:ilvl w:val="5"/>
          <w:numId w:val="1"/>
        </w:numPr>
        <w:rPr/>
      </w:pPr>
      <w:bookmarkStart w:id="3396" w:name="__RefHeading___Toc3973873_1067777946"/>
      <w:bookmarkStart w:id="3397" w:name="_Toc1444"/>
      <w:bookmarkEnd w:id="3396"/>
      <w:r>
        <w:rPr/>
        <w:t>6</w:t>
      </w:r>
      <w:r>
        <w:rPr>
          <w:rtl w:val="true"/>
        </w:rPr>
        <w:t xml:space="preserve">. </w:t>
      </w:r>
      <w:r>
        <w:rPr>
          <w:rtl w:val="true"/>
        </w:rPr>
        <w:t>زبان</w:t>
      </w:r>
      <w:bookmarkEnd w:id="3397"/>
    </w:p>
    <w:p>
      <w:pPr>
        <w:pStyle w:val="Heading6"/>
        <w:numPr>
          <w:ilvl w:val="5"/>
          <w:numId w:val="1"/>
        </w:numPr>
        <w:rPr/>
      </w:pPr>
      <w:bookmarkStart w:id="3398" w:name="__RefHeading___Toc3973875_1067777946"/>
      <w:bookmarkStart w:id="3399" w:name="_Toc1445"/>
      <w:bookmarkEnd w:id="3398"/>
      <w:r>
        <w:rPr>
          <w:rtl w:val="true"/>
        </w:rPr>
        <w:t>اشاره</w:t>
      </w:r>
      <w:bookmarkEnd w:id="3399"/>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استيصال زبان از حيث جسميت و نطق با آن، تمام ديه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زبان اخرس ثلث ديه است</w:t>
      </w:r>
      <w:r>
        <w:rPr>
          <w:rFonts w:eastAsia="Amiri" w:cs="Amiri" w:ascii="Amiri" w:hAnsi="Amiri"/>
          <w:color w:val="111111"/>
          <w:sz w:val="28"/>
          <w:szCs w:val="28"/>
          <w:rtl w:val="true"/>
          <w:lang w:bidi="ar-SA"/>
        </w:rPr>
        <w:t>.</w:t>
      </w:r>
    </w:p>
    <w:p>
      <w:pPr>
        <w:pStyle w:val="Heading6"/>
        <w:numPr>
          <w:ilvl w:val="5"/>
          <w:numId w:val="1"/>
        </w:numPr>
        <w:rPr/>
      </w:pPr>
      <w:bookmarkStart w:id="3400" w:name="__RefHeading___Toc3973877_1067777946"/>
      <w:bookmarkStart w:id="3401" w:name="_Toc1446"/>
      <w:bookmarkEnd w:id="3400"/>
      <w:r>
        <w:rPr>
          <w:rtl w:val="true"/>
        </w:rPr>
        <w:t>قطع بعض زبان لال</w:t>
      </w:r>
      <w:bookmarkEnd w:id="3401"/>
    </w:p>
    <w:p>
      <w:pPr>
        <w:pStyle w:val="BookText"/>
        <w:rPr/>
      </w:pPr>
      <w:r>
        <w:rPr>
          <w:rFonts w:ascii="IRNazanin" w:hAnsi="IRNazanin" w:eastAsia="IRNazanin"/>
          <w:color w:val="111111"/>
          <w:sz w:val="28"/>
          <w:sz w:val="28"/>
          <w:szCs w:val="28"/>
          <w:rtl w:val="true"/>
          <w:lang w:bidi="fa-IR"/>
        </w:rPr>
        <w:t>و در قطع بعض زبان اخرس، نسبت مقطوع با مجموعى كه در آن ثلث است ثابت است با تمكن از تعيين مساحت، وگرنه ارش ثابت است بنا بر اظهر</w:t>
      </w:r>
      <w:r>
        <w:rPr>
          <w:rFonts w:eastAsia="IRNazanin" w:cs="IRNazanin"/>
          <w:color w:val="111111"/>
          <w:sz w:val="28"/>
          <w:szCs w:val="28"/>
          <w:rtl w:val="true"/>
          <w:lang w:bidi="fa-IR"/>
        </w:rPr>
        <w:t>.</w:t>
      </w:r>
    </w:p>
    <w:p>
      <w:pPr>
        <w:pStyle w:val="Heading6"/>
        <w:numPr>
          <w:ilvl w:val="5"/>
          <w:numId w:val="1"/>
        </w:numPr>
        <w:rPr/>
      </w:pPr>
      <w:bookmarkStart w:id="3402" w:name="__RefHeading___Toc3973879_1067777946"/>
      <w:bookmarkStart w:id="3403" w:name="_Toc1447"/>
      <w:bookmarkEnd w:id="3402"/>
      <w:r>
        <w:rPr>
          <w:rtl w:val="true"/>
        </w:rPr>
        <w:t>ادّعاى ابكم بودن توسط جانى</w:t>
      </w:r>
      <w:bookmarkEnd w:id="340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تقديم قول جانى اگر ادّعاى ابكم بودن نمود و بيّنه بر نطق نبود، تأمل است، بلكه قول مجنى عليه موافق با اصل سلامت است و تقديم آن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تقديم </w:t>
      </w:r>
      <w:bookmarkStart w:id="3404" w:name="pg10275_97054"/>
    </w:p>
    <w:p>
      <w:pPr>
        <w:pStyle w:val="BookText"/>
        <w:rPr/>
      </w:pPr>
      <w:bookmarkEnd w:id="3404"/>
      <w:r>
        <w:rPr>
          <w:rFonts w:ascii="IRNazanin" w:hAnsi="IRNazanin" w:eastAsia="IRNazanin"/>
          <w:color w:val="111111"/>
          <w:sz w:val="28"/>
          <w:sz w:val="28"/>
          <w:szCs w:val="28"/>
          <w:rtl w:val="true"/>
          <w:lang w:bidi="fa-IR"/>
        </w:rPr>
        <w:t>بى اشكال است اگر مدّعىٰ حدوث آن باشد بعد از سبق ناطق بودن بر حسب اعتراف يا بيّنه</w:t>
      </w:r>
      <w:r>
        <w:rPr>
          <w:rFonts w:eastAsia="IRNazanin" w:cs="IRNazanin"/>
          <w:color w:val="111111"/>
          <w:sz w:val="28"/>
          <w:szCs w:val="28"/>
          <w:rtl w:val="true"/>
          <w:lang w:bidi="fa-IR"/>
        </w:rPr>
        <w:t>.</w:t>
      </w:r>
    </w:p>
    <w:p>
      <w:pPr>
        <w:pStyle w:val="Heading6"/>
        <w:numPr>
          <w:ilvl w:val="5"/>
          <w:numId w:val="1"/>
        </w:numPr>
        <w:rPr/>
      </w:pPr>
      <w:bookmarkStart w:id="3405" w:name="__RefHeading___Toc3973881_1067777946"/>
      <w:bookmarkStart w:id="3406" w:name="_Toc1448"/>
      <w:bookmarkEnd w:id="3405"/>
      <w:r>
        <w:rPr>
          <w:rtl w:val="true"/>
        </w:rPr>
        <w:t>قطع بعض زبان سالم</w:t>
      </w:r>
      <w:bookmarkEnd w:id="3406"/>
    </w:p>
    <w:p>
      <w:pPr>
        <w:pStyle w:val="BookText"/>
        <w:rPr/>
      </w:pPr>
      <w:r>
        <w:rPr>
          <w:rFonts w:ascii="IRNazanin" w:hAnsi="IRNazanin" w:eastAsia="IRNazanin"/>
          <w:color w:val="111111"/>
          <w:sz w:val="28"/>
          <w:sz w:val="28"/>
          <w:szCs w:val="28"/>
          <w:rtl w:val="true"/>
          <w:lang w:bidi="fa-IR"/>
        </w:rPr>
        <w:t xml:space="preserve">در قطع بعض زبان سالم، نسبت غير منطوق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ديۀ زبان تقسيم بر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همۀ حروف منطوق است پس با تمكن از مساحت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قياس طرف مقطوع به طرف غير مقطوع، يا وقوع قطع در اواسط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آن بى وجه نيست؛ و اگر ممكن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معلوم نبودن مساحتِ اصل در حال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 ثابت است بنا بر اظهر</w:t>
      </w:r>
      <w:r>
        <w:rPr>
          <w:rFonts w:eastAsia="IRNazanin" w:cs="IRNazanin"/>
          <w:color w:val="111111"/>
          <w:sz w:val="28"/>
          <w:szCs w:val="28"/>
          <w:rtl w:val="true"/>
          <w:lang w:bidi="fa-IR"/>
        </w:rPr>
        <w:t>.</w:t>
      </w:r>
    </w:p>
    <w:p>
      <w:pPr>
        <w:pStyle w:val="Heading6"/>
        <w:numPr>
          <w:ilvl w:val="5"/>
          <w:numId w:val="1"/>
        </w:numPr>
        <w:rPr/>
      </w:pPr>
      <w:bookmarkStart w:id="3407" w:name="__RefHeading___Toc3973883_1067777946"/>
      <w:bookmarkStart w:id="3408" w:name="_Toc1449"/>
      <w:bookmarkEnd w:id="3407"/>
      <w:r>
        <w:rPr>
          <w:rtl w:val="true"/>
        </w:rPr>
        <w:t>تعداد حروف معجم و تقسيم ديه بر آن</w:t>
      </w:r>
      <w:bookmarkEnd w:id="3408"/>
    </w:p>
    <w:p>
      <w:pPr>
        <w:pStyle w:val="BookText"/>
        <w:rPr/>
      </w:pPr>
      <w:r>
        <w:rPr>
          <w:rFonts w:ascii="IRNazanin" w:hAnsi="IRNazanin" w:eastAsia="IRNazanin"/>
          <w:color w:val="111111"/>
          <w:sz w:val="28"/>
          <w:sz w:val="28"/>
          <w:szCs w:val="28"/>
          <w:rtl w:val="true"/>
          <w:lang w:bidi="fa-IR"/>
        </w:rPr>
        <w:t xml:space="preserve">و حروف 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ذكر شد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مى باشند، و نقل شده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 آنها؛ و شايد به واسطۀ ملازمه عاديه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امكان نطق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ديه شده است كه بر حسب عادت همزۀ مفتوحه و الف در امكان نطق ملازمت دارند، و فارق دقيق و فرق در امكان نطق،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اسماى حروف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مناسبت واقعيت تعدد مذكور، و مناسب در ديه لحاظ ملازمت عاديه است، چنان چه ذكر شد، و اين غير فرق به اختلاف در نطق نه در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تخلف ممكن كه غير متعارف است، محقق شد، امر داير است بين تأديه يك جزء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توزيع يك جزء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حرف متلازم غالبى در امكان نطق و بين ارش، و احوط اداى اكثر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 حرف است چون ممكن نيست اداى الف به تنهايى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تقسيم ديه بر اين حروف معجم، به نحو تساوى است، چنان چه ذكر 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تمام حروف غير منطوق بود تمام ديه لازم است چه آن كه تمام يا بعض زبان قطع بشود يا همه آن باقى باشد</w:t>
      </w:r>
      <w:r>
        <w:rPr>
          <w:rFonts w:eastAsia="IRNazanin" w:cs="IRNazanin"/>
          <w:color w:val="111111"/>
          <w:sz w:val="28"/>
          <w:szCs w:val="28"/>
          <w:rtl w:val="true"/>
          <w:lang w:bidi="fa-IR"/>
        </w:rPr>
        <w:t xml:space="preserve">. </w:t>
      </w:r>
      <w:bookmarkStart w:id="3409" w:name="pg10275_97055"/>
    </w:p>
    <w:p>
      <w:pPr>
        <w:pStyle w:val="Heading6"/>
        <w:numPr>
          <w:ilvl w:val="5"/>
          <w:numId w:val="1"/>
        </w:numPr>
        <w:rPr/>
      </w:pPr>
      <w:bookmarkStart w:id="3410" w:name="__RefHeading___Toc3973885_1067777946"/>
      <w:bookmarkStart w:id="3411" w:name="_Toc1450"/>
      <w:bookmarkEnd w:id="3409"/>
      <w:bookmarkEnd w:id="3410"/>
      <w:r>
        <w:rPr>
          <w:rtl w:val="true"/>
        </w:rPr>
        <w:t>سرعت نطق</w:t>
      </w:r>
      <w:bookmarkEnd w:id="3411"/>
    </w:p>
    <w:p>
      <w:pPr>
        <w:pStyle w:val="BookText"/>
        <w:rPr/>
      </w:pPr>
      <w:r>
        <w:rPr>
          <w:rFonts w:ascii="Amiri" w:hAnsi="Amiri" w:eastAsia="Amiri" w:cs="Amiri"/>
          <w:color w:val="111111"/>
          <w:sz w:val="28"/>
          <w:sz w:val="28"/>
          <w:szCs w:val="28"/>
          <w:rtl w:val="true"/>
          <w:lang w:bidi="ar-SA"/>
        </w:rPr>
        <w:t xml:space="preserve">و در سرعت نطق به نحوى كه عيب بشود يا زيادتى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ثقل موجب بطء تأديه به نحو موجب عيب يا زيادتى عيب، در آنها ارش است</w:t>
      </w:r>
      <w:r>
        <w:rPr>
          <w:rFonts w:eastAsia="Amiri" w:cs="Amiri" w:ascii="Amiri" w:hAnsi="Amiri"/>
          <w:color w:val="111111"/>
          <w:sz w:val="28"/>
          <w:szCs w:val="28"/>
          <w:rtl w:val="true"/>
          <w:lang w:bidi="ar-SA"/>
        </w:rPr>
        <w:t>.</w:t>
      </w:r>
    </w:p>
    <w:p>
      <w:pPr>
        <w:pStyle w:val="Heading6"/>
        <w:numPr>
          <w:ilvl w:val="5"/>
          <w:numId w:val="1"/>
        </w:numPr>
        <w:rPr/>
      </w:pPr>
      <w:bookmarkStart w:id="3412" w:name="__RefHeading___Toc3973887_1067777946"/>
      <w:bookmarkStart w:id="3413" w:name="_Toc1451"/>
      <w:bookmarkEnd w:id="3412"/>
      <w:r>
        <w:rPr>
          <w:rtl w:val="true"/>
        </w:rPr>
        <w:t>نقص يا سختى تكلّم</w:t>
      </w:r>
      <w:bookmarkEnd w:id="3413"/>
    </w:p>
    <w:p>
      <w:pPr>
        <w:pStyle w:val="BookText"/>
        <w:rPr/>
      </w:pPr>
      <w:r>
        <w:rPr>
          <w:rFonts w:ascii="IRNazanin" w:hAnsi="IRNazanin" w:eastAsia="IRNazanin"/>
          <w:color w:val="111111"/>
          <w:sz w:val="28"/>
          <w:sz w:val="28"/>
          <w:szCs w:val="28"/>
          <w:rtl w:val="true"/>
          <w:lang w:bidi="fa-IR"/>
        </w:rPr>
        <w:t>و هم چنين صورت نقص آن چه ادا مى شود مثل تغيير تمام به نقص يا تشبيه حرفى به ديگرى اگر تغيير كند به همان ديگرى يا تنزل از افصح به غير، ارش ثابت است اگر عيب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عسر در تأديۀ حرف كه كاشف از عيب 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ديه صحيح در بعض مذكور، قائم است در صورت بقاى نقص كه مصداق حرف، محقق نشود</w:t>
      </w:r>
      <w:r>
        <w:rPr>
          <w:rFonts w:eastAsia="IRNazanin" w:cs="IRNazanin"/>
          <w:color w:val="111111"/>
          <w:sz w:val="28"/>
          <w:szCs w:val="28"/>
          <w:rtl w:val="true"/>
          <w:lang w:bidi="fa-IR"/>
        </w:rPr>
        <w:t>.</w:t>
      </w:r>
    </w:p>
    <w:p>
      <w:pPr>
        <w:pStyle w:val="Heading6"/>
        <w:numPr>
          <w:ilvl w:val="5"/>
          <w:numId w:val="1"/>
        </w:numPr>
        <w:rPr/>
      </w:pPr>
      <w:bookmarkStart w:id="3414" w:name="__RefHeading___Toc3973889_1067777946"/>
      <w:bookmarkStart w:id="3415" w:name="_Toc1452"/>
      <w:bookmarkEnd w:id="3414"/>
      <w:r>
        <w:rPr>
          <w:rtl w:val="true"/>
        </w:rPr>
        <w:t>عدم اعتبار به مساحت با تعيّن ديۀ حرف</w:t>
      </w:r>
      <w:bookmarkEnd w:id="3415"/>
    </w:p>
    <w:p>
      <w:pPr>
        <w:pStyle w:val="BookText"/>
        <w:rPr/>
      </w:pPr>
      <w:r>
        <w:rPr>
          <w:rFonts w:ascii="IRNazanin" w:hAnsi="IRNazanin" w:eastAsia="IRNazanin"/>
          <w:color w:val="111111"/>
          <w:sz w:val="28"/>
          <w:sz w:val="28"/>
          <w:szCs w:val="28"/>
          <w:rtl w:val="true"/>
          <w:lang w:bidi="fa-IR"/>
        </w:rPr>
        <w:t>و در صورت تعيّن ديۀ حرف، اعتبار به مساحت مقطوع نيست چنان چه گذشت</w:t>
      </w:r>
      <w:r>
        <w:rPr>
          <w:rFonts w:eastAsia="IRNazanin" w:cs="IRNazanin"/>
          <w:color w:val="111111"/>
          <w:sz w:val="28"/>
          <w:szCs w:val="28"/>
          <w:rtl w:val="true"/>
          <w:lang w:bidi="fa-IR"/>
        </w:rPr>
        <w:t>.</w:t>
      </w:r>
    </w:p>
    <w:p>
      <w:pPr>
        <w:pStyle w:val="Heading6"/>
        <w:numPr>
          <w:ilvl w:val="5"/>
          <w:numId w:val="1"/>
        </w:numPr>
        <w:rPr/>
      </w:pPr>
      <w:bookmarkStart w:id="3416" w:name="__RefHeading___Toc3973891_1067777946"/>
      <w:bookmarkStart w:id="3417" w:name="_Toc1453"/>
      <w:bookmarkEnd w:id="3416"/>
      <w:r>
        <w:rPr>
          <w:rtl w:val="true"/>
        </w:rPr>
        <w:t>اعتبار در اختلاف قطع و ذهاب حروف</w:t>
      </w:r>
      <w:bookmarkEnd w:id="3417"/>
    </w:p>
    <w:p>
      <w:pPr>
        <w:pStyle w:val="BookText"/>
        <w:rPr/>
      </w:pPr>
      <w:r>
        <w:rPr>
          <w:rFonts w:ascii="IRNazanin" w:hAnsi="IRNazanin" w:eastAsia="IRNazanin"/>
          <w:color w:val="111111"/>
          <w:sz w:val="28"/>
          <w:sz w:val="28"/>
          <w:szCs w:val="28"/>
          <w:rtl w:val="true"/>
          <w:lang w:bidi="fa-IR"/>
        </w:rPr>
        <w:t>و اعتبار در اختلاف قطع، و ذهاب حروف، به دوّمى است، پس با قطع ربع زبان و ذهاب نصف حروف، نصف ديه ثابت است، و در عكس، ربع آن، بر حسب آن چه مذكور شد</w:t>
      </w:r>
      <w:r>
        <w:rPr>
          <w:rFonts w:eastAsia="IRNazanin" w:cs="IRNazanin"/>
          <w:color w:val="111111"/>
          <w:sz w:val="28"/>
          <w:szCs w:val="28"/>
          <w:rtl w:val="true"/>
          <w:lang w:bidi="fa-IR"/>
        </w:rPr>
        <w:t>.</w:t>
      </w:r>
    </w:p>
    <w:p>
      <w:pPr>
        <w:pStyle w:val="Heading6"/>
        <w:numPr>
          <w:ilvl w:val="5"/>
          <w:numId w:val="1"/>
        </w:numPr>
        <w:rPr/>
      </w:pPr>
      <w:bookmarkStart w:id="3418" w:name="__RefHeading___Toc3973893_1067777946"/>
      <w:bookmarkStart w:id="3419" w:name="_Toc1454"/>
      <w:bookmarkEnd w:id="3418"/>
      <w:r>
        <w:rPr>
          <w:rtl w:val="true"/>
        </w:rPr>
        <w:t>حكم جنايت لاحقه بر اُولى</w:t>
      </w:r>
      <w:bookmarkEnd w:id="3419"/>
    </w:p>
    <w:p>
      <w:pPr>
        <w:pStyle w:val="BookText"/>
        <w:rPr/>
      </w:pPr>
      <w:r>
        <w:rPr>
          <w:rFonts w:ascii="IRNazanin" w:hAnsi="IRNazanin" w:eastAsia="IRNazanin"/>
          <w:color w:val="111111"/>
          <w:sz w:val="28"/>
          <w:sz w:val="28"/>
          <w:szCs w:val="28"/>
          <w:rtl w:val="true"/>
          <w:lang w:bidi="fa-IR"/>
        </w:rPr>
        <w:t xml:space="preserve">اگر به جنايتى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حروف، غير منطوق بود و به جنايتى ديگر، نصف باقى غير منطوق شد، واجب است براى دوّمى ربع، چنان چه واجب بوده نصف براى اوّلى؛ پس اعتبار در تعين ديه جنايت لاحقه، به باقى مانده از حروف بعد از جنايت سابقه، يكى يا متعدد است</w:t>
      </w:r>
      <w:r>
        <w:rPr>
          <w:rFonts w:eastAsia="IRNazanin" w:cs="IRNazanin"/>
          <w:color w:val="111111"/>
          <w:sz w:val="28"/>
          <w:szCs w:val="28"/>
          <w:rtl w:val="true"/>
          <w:lang w:bidi="fa-IR"/>
        </w:rPr>
        <w:t>.</w:t>
      </w:r>
    </w:p>
    <w:p>
      <w:pPr>
        <w:pStyle w:val="Heading6"/>
        <w:numPr>
          <w:ilvl w:val="5"/>
          <w:numId w:val="1"/>
        </w:numPr>
        <w:rPr/>
      </w:pPr>
      <w:bookmarkStart w:id="3420" w:name="__RefHeading___Toc3973895_1067777946"/>
      <w:bookmarkStart w:id="3421" w:name="_Toc1455"/>
      <w:bookmarkEnd w:id="3420"/>
      <w:r>
        <w:rPr>
          <w:rtl w:val="true"/>
        </w:rPr>
        <w:t>اعتبار به نطق در اثبات تمام ديه</w:t>
      </w:r>
      <w:bookmarkEnd w:id="342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به سبب جنايت، تمام كلام را غير منطوق كرد، تمام ديه بر او است، اگر چه </w:t>
      </w:r>
      <w:bookmarkStart w:id="3422" w:name="pg10275_97056"/>
    </w:p>
    <w:p>
      <w:pPr>
        <w:pStyle w:val="BookText"/>
        <w:rPr/>
      </w:pPr>
      <w:bookmarkEnd w:id="3422"/>
      <w:r>
        <w:rPr>
          <w:rFonts w:ascii="IRNazanin" w:hAnsi="IRNazanin" w:eastAsia="IRNazanin"/>
          <w:color w:val="111111"/>
          <w:sz w:val="28"/>
          <w:sz w:val="28"/>
          <w:szCs w:val="28"/>
          <w:rtl w:val="true"/>
          <w:lang w:bidi="fa-IR"/>
        </w:rPr>
        <w:t xml:space="preserve">هيچ از زبان قطع نشود اگر چه فوايد غير نطق در آن باقى باشد؛ پس از آن اگر يكى قطع زبان كرد ثلث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زبان 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w:t>
      </w:r>
      <w:r>
        <w:rPr>
          <w:rFonts w:eastAsia="IRNazanin" w:cs="IRNazanin"/>
          <w:color w:val="111111"/>
          <w:sz w:val="28"/>
          <w:szCs w:val="28"/>
          <w:rtl w:val="true"/>
          <w:lang w:bidi="fa-IR"/>
        </w:rPr>
        <w:t>.</w:t>
      </w:r>
    </w:p>
    <w:p>
      <w:pPr>
        <w:pStyle w:val="Heading6"/>
        <w:numPr>
          <w:ilvl w:val="5"/>
          <w:numId w:val="1"/>
        </w:numPr>
        <w:rPr/>
      </w:pPr>
      <w:bookmarkStart w:id="3423" w:name="__RefHeading___Toc3973897_1067777946"/>
      <w:bookmarkStart w:id="3424" w:name="_Toc1456"/>
      <w:bookmarkEnd w:id="3423"/>
      <w:r>
        <w:rPr>
          <w:rtl w:val="true"/>
        </w:rPr>
        <w:t>حروف شفويه و حلقيّه</w:t>
      </w:r>
      <w:bookmarkEnd w:id="3424"/>
    </w:p>
    <w:p>
      <w:pPr>
        <w:pStyle w:val="BookText"/>
        <w:rPr/>
      </w:pPr>
      <w:r>
        <w:rPr>
          <w:rFonts w:ascii="Amiri" w:hAnsi="Amiri" w:eastAsia="Amiri" w:cs="Amiri"/>
          <w:color w:val="111111"/>
          <w:sz w:val="28"/>
          <w:sz w:val="28"/>
          <w:szCs w:val="28"/>
          <w:rtl w:val="true"/>
          <w:lang w:bidi="ar-SA"/>
        </w:rPr>
        <w:t>و حروف شفويّه و حلقيه در توزيع ديه داخل هستند؛ بلكه با نطق به آنها به نحو متعارف، ذهاب تمام حروف و ديه تمام، ثابت نيست بنا بر اظهر</w:t>
      </w:r>
      <w:r>
        <w:rPr>
          <w:rFonts w:eastAsia="Amiri" w:cs="Amiri" w:ascii="Amiri" w:hAnsi="Amiri"/>
          <w:color w:val="111111"/>
          <w:sz w:val="28"/>
          <w:szCs w:val="28"/>
          <w:rtl w:val="true"/>
          <w:lang w:bidi="ar-SA"/>
        </w:rPr>
        <w:t>.</w:t>
      </w:r>
    </w:p>
    <w:p>
      <w:pPr>
        <w:pStyle w:val="Heading6"/>
        <w:numPr>
          <w:ilvl w:val="5"/>
          <w:numId w:val="1"/>
        </w:numPr>
        <w:rPr/>
      </w:pPr>
      <w:bookmarkStart w:id="3425" w:name="__RefHeading___Toc3973899_1067777946"/>
      <w:bookmarkStart w:id="3426" w:name="_Toc1457"/>
      <w:bookmarkEnd w:id="3425"/>
      <w:r>
        <w:rPr>
          <w:rtl w:val="true"/>
        </w:rPr>
        <w:t>كسى كه از اول نقص تكلم داشته باشد</w:t>
      </w:r>
      <w:bookmarkEnd w:id="3426"/>
    </w:p>
    <w:p>
      <w:pPr>
        <w:pStyle w:val="BookText"/>
        <w:rPr/>
      </w:pPr>
      <w:r>
        <w:rPr>
          <w:rFonts w:ascii="IRNazanin" w:hAnsi="IRNazanin" w:eastAsia="IRNazanin"/>
          <w:color w:val="111111"/>
          <w:sz w:val="28"/>
          <w:sz w:val="28"/>
          <w:szCs w:val="28"/>
          <w:rtl w:val="true"/>
          <w:lang w:bidi="fa-IR"/>
        </w:rPr>
        <w:t>و اگر از اوّل بعض حروف غير منطوق بود اگر چه به سبب آفتى بود يا به حسب خلقت او بوده، بعد از جنايت، بعض ديگر يا تمام ديگر، غير منطوق بشود اظهر توزيع ديه است بر مجموع حروف، اعم از غير منطوق قبل از جنايت؛ و قياس بر چشم يك چشمى نمى شود</w:t>
      </w:r>
      <w:r>
        <w:rPr>
          <w:rFonts w:eastAsia="IRNazanin" w:cs="IRNazanin"/>
          <w:color w:val="111111"/>
          <w:sz w:val="28"/>
          <w:szCs w:val="28"/>
          <w:rtl w:val="true"/>
          <w:lang w:bidi="fa-IR"/>
        </w:rPr>
        <w:t>.</w:t>
      </w:r>
    </w:p>
    <w:p>
      <w:pPr>
        <w:pStyle w:val="Heading6"/>
        <w:numPr>
          <w:ilvl w:val="5"/>
          <w:numId w:val="1"/>
        </w:numPr>
        <w:rPr/>
      </w:pPr>
      <w:bookmarkStart w:id="3427" w:name="__RefHeading___Toc3973901_1067777946"/>
      <w:bookmarkStart w:id="3428" w:name="_Toc1458"/>
      <w:bookmarkEnd w:id="3427"/>
      <w:r>
        <w:rPr>
          <w:rtl w:val="true"/>
        </w:rPr>
        <w:t>زبان طفل</w:t>
      </w:r>
      <w:bookmarkEnd w:id="3428"/>
    </w:p>
    <w:p>
      <w:pPr>
        <w:pStyle w:val="BookText"/>
        <w:rPr/>
      </w:pPr>
      <w:r>
        <w:rPr>
          <w:rFonts w:ascii="IRNazanin" w:hAnsi="IRNazanin" w:eastAsia="IRNazanin"/>
          <w:color w:val="111111"/>
          <w:sz w:val="28"/>
          <w:sz w:val="28"/>
          <w:szCs w:val="28"/>
          <w:rtl w:val="true"/>
          <w:lang w:bidi="fa-IR"/>
        </w:rPr>
        <w:t>زبان طفل، قطع آن موجب تمام ديه است به جهت اصل سلامت تا آن كه امارۀ عدم نطق بعدى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رسيد به حدّ نطقِ امثال و نطق نكرد، در آن ثلث 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اماره تخلف نمود، اعتبار به حروف مى شود، پس از آن با زيادتى، بر ديه كه داده است تكميل مى شود؛ و با نقص، از آن ديه كه داده استرجاع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قطع بعض، نسبت رعايت مى شود اگر ممكن باشد تعيين مساحت، وگرنه ارش متعين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زبان اخرس، يا ناطق اگر قطع شد بعض آن و هيچ حرفى غير منطوق نبود</w:t>
      </w:r>
      <w:r>
        <w:rPr>
          <w:rFonts w:eastAsia="IRNazanin" w:cs="IRNazanin"/>
          <w:color w:val="111111"/>
          <w:sz w:val="28"/>
          <w:szCs w:val="28"/>
          <w:rtl w:val="true"/>
          <w:lang w:bidi="fa-IR"/>
        </w:rPr>
        <w:t>).</w:t>
      </w:r>
    </w:p>
    <w:p>
      <w:pPr>
        <w:pStyle w:val="Heading6"/>
        <w:numPr>
          <w:ilvl w:val="5"/>
          <w:numId w:val="1"/>
        </w:numPr>
        <w:rPr/>
      </w:pPr>
      <w:bookmarkStart w:id="3429" w:name="__RefHeading___Toc3973903_1067777946"/>
      <w:bookmarkStart w:id="3430" w:name="_Toc1459"/>
      <w:bookmarkEnd w:id="3429"/>
      <w:r>
        <w:rPr>
          <w:rtl w:val="true"/>
        </w:rPr>
        <w:t>اختلاف مجنىّ عليه و جانى</w:t>
      </w:r>
      <w:bookmarkEnd w:id="343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 كرد صحيح، ذهاب نطقش را به سبب جنايت در همان وقت در تمام حروف يا بعض آن، و جانى انكار نمود، پس با شواهد و امارات و غلبۀ اين تأثير در مثل جنايت مفروضه تصديق مى شود؛ و با عدم امارات پس آيا تصديق مى شود با قسامه </w:t>
      </w:r>
      <w:bookmarkStart w:id="3431" w:name="pg10275_97057"/>
    </w:p>
    <w:p>
      <w:pPr>
        <w:pStyle w:val="BookText"/>
        <w:rPr/>
      </w:pPr>
      <w:bookmarkEnd w:id="3431"/>
      <w:r>
        <w:rPr>
          <w:rFonts w:ascii="IRNazanin" w:hAnsi="IRNazanin" w:eastAsia="IRNazanin"/>
          <w:color w:val="111111"/>
          <w:sz w:val="28"/>
          <w:sz w:val="28"/>
          <w:szCs w:val="28"/>
          <w:rtl w:val="true"/>
          <w:lang w:bidi="fa-IR"/>
        </w:rPr>
        <w:t xml:space="preserve">اگر چه با اشاره باشد در صورت احتياج به آن به تمام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دعواى تمام حروف يا نصف آن در دعواى ذهاب نصف و هكذا؟ يا اختبار مى شود با فرو بردن سوزن در زبان پس اگر خون سياه آمد تصديق مى شود و اگر خون سرخ آمد تصديق نمى شود چنان چه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احوط تأخير واقعه و تفحص در استعلام به سبب امارات علميه يا ظنّيه است تا حاكم ميزان حكم را بفهمد؛ و اگر نفهميد يا آن كه در تأخير، ابطال حق باشد، جمع كند بين دو ميزان متقدم؛ و در صورت اختلاف آنها در لازم، مصالحه نمايند بنا بر احوط</w:t>
      </w:r>
      <w:r>
        <w:rPr>
          <w:rFonts w:eastAsia="IRNazanin" w:cs="IRNazanin"/>
          <w:color w:val="111111"/>
          <w:sz w:val="28"/>
          <w:szCs w:val="28"/>
          <w:rtl w:val="true"/>
          <w:lang w:bidi="fa-IR"/>
        </w:rPr>
        <w:t>.</w:t>
      </w:r>
    </w:p>
    <w:p>
      <w:pPr>
        <w:pStyle w:val="Heading6"/>
        <w:numPr>
          <w:ilvl w:val="5"/>
          <w:numId w:val="1"/>
        </w:numPr>
        <w:rPr/>
      </w:pPr>
      <w:bookmarkStart w:id="3432" w:name="__RefHeading___Toc3973905_1067777946"/>
      <w:bookmarkStart w:id="3433" w:name="_Toc1460"/>
      <w:bookmarkEnd w:id="3432"/>
      <w:r>
        <w:rPr>
          <w:rtl w:val="true"/>
        </w:rPr>
        <w:t>زايل شدن كلام يا بعض آن به جنايت به غير قطع زبان و عود آن</w:t>
      </w:r>
      <w:bookmarkEnd w:id="3433"/>
    </w:p>
    <w:p>
      <w:pPr>
        <w:pStyle w:val="BookText"/>
        <w:rPr/>
      </w:pPr>
      <w:r>
        <w:rPr>
          <w:rFonts w:ascii="IRNazanin" w:hAnsi="IRNazanin" w:eastAsia="IRNazanin"/>
          <w:color w:val="111111"/>
          <w:sz w:val="28"/>
          <w:sz w:val="28"/>
          <w:szCs w:val="28"/>
          <w:rtl w:val="true"/>
          <w:lang w:bidi="fa-IR"/>
        </w:rPr>
        <w:t xml:space="preserve">اگر جنايت به غير قطع زبان، موجب ذهاب كلام يا بعض آن بود و ديه آن مأخوذ شد پس از آن عود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كرد مطلقاً يا به بعض، زيادتى مأخوذ از ديه عايد، استرجاع مى شود؛ و اگر همه عود كرد، زايد بر ارش، استرجاع مى شود بنا بر اظهر</w:t>
      </w:r>
      <w:r>
        <w:rPr>
          <w:rFonts w:eastAsia="IRNazanin" w:cs="IRNazanin"/>
          <w:color w:val="111111"/>
          <w:sz w:val="28"/>
          <w:szCs w:val="28"/>
          <w:rtl w:val="true"/>
          <w:lang w:bidi="fa-IR"/>
        </w:rPr>
        <w:t>.</w:t>
      </w:r>
    </w:p>
    <w:p>
      <w:pPr>
        <w:pStyle w:val="Heading6"/>
        <w:numPr>
          <w:ilvl w:val="5"/>
          <w:numId w:val="1"/>
        </w:numPr>
        <w:rPr/>
      </w:pPr>
      <w:bookmarkStart w:id="3434" w:name="__RefHeading___Toc3973907_1067777946"/>
      <w:bookmarkStart w:id="3435" w:name="_Toc1461"/>
      <w:bookmarkEnd w:id="3434"/>
      <w:r>
        <w:rPr>
          <w:rtl w:val="true"/>
        </w:rPr>
        <w:t>عود نطق در قطع زبان</w:t>
      </w:r>
      <w:bookmarkEnd w:id="3435"/>
    </w:p>
    <w:p>
      <w:pPr>
        <w:pStyle w:val="BookText"/>
        <w:rPr/>
      </w:pPr>
      <w:r>
        <w:rPr>
          <w:rFonts w:ascii="IRNazanin" w:hAnsi="IRNazanin" w:eastAsia="IRNazanin"/>
          <w:color w:val="111111"/>
          <w:sz w:val="28"/>
          <w:sz w:val="28"/>
          <w:szCs w:val="28"/>
          <w:rtl w:val="true"/>
          <w:lang w:bidi="fa-IR"/>
        </w:rPr>
        <w:t xml:space="preserve">و اگر اين مطلب در جنايت به قطع بعض زبان حاصل بود، پس با عود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كاشف است از اين كه ديه معين با مساحت مى شود نه با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اى كه مقتضاى مساحت است تأديه مى شود و مقابل آن استعاده نمى شود؛ و هم چنين ارش ذهاب نطق تا مدتى، تأديه مى شود و مقابل آن استعاده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روييد آن چه مقطوع بود، زايد بر ارش، استرجاع مى شود، مگر آن كه معلوم شود عود نيست، بلكه به سبب غير متعارف، هبۀ جديده است، و اللّٰه العالم</w:t>
      </w:r>
      <w:r>
        <w:rPr>
          <w:rFonts w:eastAsia="IRNazanin" w:cs="IRNazanin"/>
          <w:color w:val="111111"/>
          <w:sz w:val="28"/>
          <w:szCs w:val="28"/>
          <w:rtl w:val="true"/>
          <w:lang w:bidi="fa-IR"/>
        </w:rPr>
        <w:t>.</w:t>
      </w:r>
    </w:p>
    <w:p>
      <w:pPr>
        <w:pStyle w:val="Heading6"/>
        <w:numPr>
          <w:ilvl w:val="5"/>
          <w:numId w:val="1"/>
        </w:numPr>
        <w:rPr/>
      </w:pPr>
      <w:bookmarkStart w:id="3436" w:name="__RefHeading___Toc3973909_1067777946"/>
      <w:bookmarkStart w:id="3437" w:name="_Toc1462"/>
      <w:bookmarkEnd w:id="3436"/>
      <w:r>
        <w:rPr>
          <w:rtl w:val="true"/>
        </w:rPr>
        <w:t>عدم استعاده ديه در روييدن دندان</w:t>
      </w:r>
      <w:bookmarkEnd w:id="3437"/>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اشباه فرع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كند دندان كسى را كه دندان شير او ريخته و دندان درآورده، پس از آن روييد دندان جديد، استعادۀ ديه نمى شود چون نابت، هبۀ جديده است به حسب عادت متعارف</w:t>
      </w:r>
      <w:r>
        <w:rPr>
          <w:rFonts w:eastAsia="IRNazanin" w:cs="IRNazanin"/>
          <w:color w:val="111111"/>
          <w:sz w:val="28"/>
          <w:szCs w:val="28"/>
          <w:rtl w:val="true"/>
          <w:lang w:bidi="fa-IR"/>
        </w:rPr>
        <w:t xml:space="preserve">. </w:t>
      </w:r>
      <w:bookmarkStart w:id="3438" w:name="pg10275_97058"/>
    </w:p>
    <w:p>
      <w:pPr>
        <w:pStyle w:val="BookText"/>
        <w:rPr/>
      </w:pPr>
      <w:bookmarkEnd w:id="3438"/>
      <w:r>
        <w:rPr>
          <w:rFonts w:ascii="IRNazanin" w:hAnsi="IRNazanin" w:eastAsia="IRNazanin"/>
          <w:color w:val="111111"/>
          <w:sz w:val="28"/>
          <w:sz w:val="28"/>
          <w:szCs w:val="28"/>
          <w:rtl w:val="true"/>
          <w:lang w:bidi="fa-IR"/>
        </w:rPr>
        <w:t>و هم چنين در قطع زبان اگر روييد به هيئت سابقه بر خلاف عادت متعارفه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تشخيص عود و عدم، مربوط به اهل خبره است در هر دو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استعادۀ ديه در دو فرع تا اطمينان حاصل از اخبار اهل اطلاع و معرفت، خالى از وجه نيست، و احتياط مناسب است براى طرفين</w:t>
      </w:r>
      <w:r>
        <w:rPr>
          <w:rFonts w:eastAsia="Amiri" w:cs="Amiri" w:ascii="Amiri" w:hAnsi="Amiri"/>
          <w:color w:val="111111"/>
          <w:sz w:val="28"/>
          <w:szCs w:val="28"/>
          <w:rtl w:val="true"/>
          <w:lang w:bidi="ar-SA"/>
        </w:rPr>
        <w:t>.</w:t>
      </w:r>
    </w:p>
    <w:p>
      <w:pPr>
        <w:pStyle w:val="Heading6"/>
        <w:numPr>
          <w:ilvl w:val="5"/>
          <w:numId w:val="1"/>
        </w:numPr>
        <w:rPr/>
      </w:pPr>
      <w:bookmarkStart w:id="3439" w:name="__RefHeading___Toc3973911_1067777946"/>
      <w:bookmarkStart w:id="3440" w:name="_Toc1463"/>
      <w:bookmarkEnd w:id="3439"/>
      <w:r>
        <w:rPr>
          <w:rtl w:val="true"/>
        </w:rPr>
        <w:t>قطع يك طرف زبان با قدرت كامل طرف ديگر</w:t>
      </w:r>
      <w:bookmarkEnd w:id="3440"/>
    </w:p>
    <w:p>
      <w:pPr>
        <w:pStyle w:val="BookText"/>
        <w:rPr/>
      </w:pPr>
      <w:r>
        <w:rPr>
          <w:rFonts w:ascii="IRNazanin" w:hAnsi="IRNazanin" w:eastAsia="IRNazanin"/>
          <w:color w:val="111111"/>
          <w:sz w:val="28"/>
          <w:sz w:val="28"/>
          <w:szCs w:val="28"/>
          <w:rtl w:val="true"/>
          <w:lang w:bidi="fa-IR"/>
        </w:rPr>
        <w:t>اگر زبان دو طرف داشت و هر طرفى كار ديگر را مى كرد، پس با قطع يك طرف هيچ كدام از حروف تغيير نكرد، ارش مقطوع با عدم تمكن از مساحت و نسبتش به مجموع با وضع مجموع قبل از جنايت، ثابت است؛ و با تمكن، ديه تأديه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 حروف به واسطۀ اختصاص به يكى از دو طرف زبان دو سر، غير منطوق بود، ديه ذاهب از حروف بعد از توزيع، بر او است چنان كه گذشت</w:t>
      </w:r>
      <w:r>
        <w:rPr>
          <w:rFonts w:eastAsia="IRNazanin" w:cs="IRNazanin"/>
          <w:color w:val="111111"/>
          <w:sz w:val="28"/>
          <w:szCs w:val="28"/>
          <w:rtl w:val="true"/>
          <w:lang w:bidi="fa-IR"/>
        </w:rPr>
        <w:t>.</w:t>
      </w:r>
    </w:p>
    <w:p>
      <w:pPr>
        <w:pStyle w:val="Heading6"/>
        <w:numPr>
          <w:ilvl w:val="5"/>
          <w:numId w:val="1"/>
        </w:numPr>
        <w:rPr/>
      </w:pPr>
      <w:bookmarkStart w:id="3441" w:name="__RefHeading___Toc3973913_1067777946"/>
      <w:bookmarkStart w:id="3442" w:name="_Toc1464"/>
      <w:bookmarkEnd w:id="3441"/>
      <w:r>
        <w:rPr>
          <w:rtl w:val="true"/>
        </w:rPr>
        <w:t>اگر كمى از حروف، منطوق باشد</w:t>
      </w:r>
      <w:bookmarkEnd w:id="3442"/>
    </w:p>
    <w:p>
      <w:pPr>
        <w:pStyle w:val="BookText"/>
        <w:rPr/>
      </w:pPr>
      <w:r>
        <w:rPr>
          <w:rFonts w:ascii="IRNazanin" w:hAnsi="IRNazanin" w:eastAsia="IRNazanin"/>
          <w:color w:val="111111"/>
          <w:sz w:val="28"/>
          <w:sz w:val="28"/>
          <w:szCs w:val="28"/>
          <w:rtl w:val="true"/>
          <w:lang w:bidi="fa-IR"/>
        </w:rPr>
        <w:t>اگر كمى از حروف، منطوق باشد به طورى كه قابل استفاده به كلام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ديۀ آن چه غير منطوق است ثابت است، و عدم استفاده كلام، سبب كمال ديه نيست بنا بر اظهر</w:t>
      </w:r>
      <w:r>
        <w:rPr>
          <w:rFonts w:eastAsia="IRNazanin" w:cs="IRNazanin"/>
          <w:color w:val="111111"/>
          <w:sz w:val="28"/>
          <w:szCs w:val="28"/>
          <w:rtl w:val="true"/>
          <w:lang w:bidi="fa-IR"/>
        </w:rPr>
        <w:t>.</w:t>
      </w:r>
    </w:p>
    <w:p>
      <w:pPr>
        <w:pStyle w:val="Heading6"/>
        <w:numPr>
          <w:ilvl w:val="5"/>
          <w:numId w:val="1"/>
        </w:numPr>
        <w:rPr/>
      </w:pPr>
      <w:bookmarkStart w:id="3443" w:name="__RefHeading___Toc3973915_1067777946"/>
      <w:bookmarkStart w:id="3444" w:name="_Toc1465"/>
      <w:bookmarkEnd w:id="3443"/>
      <w:r>
        <w:rPr>
          <w:rtl w:val="true"/>
        </w:rPr>
        <w:t>تبديل حرفى به حرف ديگر</w:t>
      </w:r>
      <w:bookmarkEnd w:id="3444"/>
    </w:p>
    <w:p>
      <w:pPr>
        <w:pStyle w:val="BookText"/>
        <w:rPr/>
      </w:pPr>
      <w:r>
        <w:rPr>
          <w:rFonts w:ascii="IRNazanin" w:hAnsi="IRNazanin" w:eastAsia="IRNazanin"/>
          <w:color w:val="111111"/>
          <w:sz w:val="28"/>
          <w:sz w:val="28"/>
          <w:szCs w:val="28"/>
          <w:rtl w:val="true"/>
          <w:lang w:bidi="fa-IR"/>
        </w:rPr>
        <w:t>اگر به سبب جنايت، حرفى به حرف ديگرى تبديل شد، حرف فائت مضمون به ديۀ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ديگرى جنايتى وارد كرد كه بدل بود، فقط بدل را ضامن است كه اصلى بوده؛ و اگر خارج از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بيست ونه گانه بدل شده بود، به سبب جنايت دوّم ضامن ديه نيست، بلكه ضامن ارش است اگر تفاوت در قيمت مملوك بياورد</w:t>
      </w:r>
      <w:r>
        <w:rPr>
          <w:rFonts w:eastAsia="IRNazanin" w:cs="IRNazanin"/>
          <w:color w:val="111111"/>
          <w:sz w:val="28"/>
          <w:szCs w:val="28"/>
          <w:rtl w:val="true"/>
          <w:lang w:bidi="fa-IR"/>
        </w:rPr>
        <w:t>.</w:t>
      </w:r>
    </w:p>
    <w:p>
      <w:pPr>
        <w:pStyle w:val="Heading6"/>
        <w:numPr>
          <w:ilvl w:val="5"/>
          <w:numId w:val="1"/>
        </w:numPr>
        <w:rPr/>
      </w:pPr>
      <w:bookmarkStart w:id="3445" w:name="__RefHeading___Toc3973917_1067777946"/>
      <w:bookmarkStart w:id="3446" w:name="_Toc1466"/>
      <w:bookmarkEnd w:id="3445"/>
      <w:r>
        <w:rPr>
          <w:rtl w:val="true"/>
        </w:rPr>
        <w:t>ازاله فصاحت در بعض حروف</w:t>
      </w:r>
      <w:bookmarkEnd w:id="344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فصاحت در بعض حروف يا تمام آن نبود لكن تمكّن از تأديه بدون ابدال داشت، پس به سبب جنايتى نطقش زايل شد، بر او است ديه كامله در صورتى كه بر حسب </w:t>
      </w:r>
      <w:bookmarkStart w:id="3447" w:name="pg10275_97059"/>
    </w:p>
    <w:p>
      <w:pPr>
        <w:pStyle w:val="BookText"/>
        <w:rPr/>
      </w:pPr>
      <w:bookmarkEnd w:id="3447"/>
      <w:r>
        <w:rPr>
          <w:rFonts w:ascii="IRNazanin" w:hAnsi="IRNazanin" w:eastAsia="IRNazanin"/>
          <w:color w:val="111111"/>
          <w:sz w:val="28"/>
          <w:sz w:val="28"/>
          <w:szCs w:val="28"/>
          <w:rtl w:val="true"/>
          <w:lang w:bidi="fa-IR"/>
        </w:rPr>
        <w:t>خلقت يا آفتى از خوش كلامى خارج بوده؛ و اگر به سبب جنايتى در سابق چنين شده بود پس محتمل است اسقاط ارش آن از ديه كامله ثابته جنايت دوّم، و احوط براى طرفين، صلح در استثناى ارش است</w:t>
      </w:r>
      <w:r>
        <w:rPr>
          <w:rFonts w:eastAsia="IRNazanin" w:cs="IRNazanin"/>
          <w:color w:val="111111"/>
          <w:sz w:val="28"/>
          <w:szCs w:val="28"/>
          <w:rtl w:val="true"/>
          <w:lang w:bidi="fa-IR"/>
        </w:rPr>
        <w:t>.</w:t>
      </w:r>
    </w:p>
    <w:p>
      <w:pPr>
        <w:pStyle w:val="Heading6"/>
        <w:numPr>
          <w:ilvl w:val="5"/>
          <w:numId w:val="1"/>
        </w:numPr>
        <w:rPr/>
      </w:pPr>
      <w:bookmarkStart w:id="3448" w:name="__RefHeading___Toc3973919_1067777946"/>
      <w:bookmarkStart w:id="3449" w:name="_Toc1467"/>
      <w:bookmarkEnd w:id="3448"/>
      <w:r>
        <w:rPr>
          <w:rtl w:val="true"/>
        </w:rPr>
        <w:t>ازاله فصاحت در بعض حروف</w:t>
      </w:r>
      <w:bookmarkEnd w:id="3449"/>
    </w:p>
    <w:p>
      <w:pPr>
        <w:pStyle w:val="BookText"/>
        <w:rPr/>
      </w:pPr>
      <w:r>
        <w:rPr>
          <w:rFonts w:ascii="IRNazanin" w:hAnsi="IRNazanin" w:eastAsia="IRNazanin"/>
          <w:color w:val="111111"/>
          <w:sz w:val="28"/>
          <w:sz w:val="28"/>
          <w:szCs w:val="28"/>
          <w:rtl w:val="true"/>
          <w:lang w:bidi="fa-IR"/>
        </w:rPr>
        <w:t xml:space="preserve">اگر خلل سابق بر جنايت، اسقاط حروف يا ابدال آنها يا بعض آنها بوده،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ألثغ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سبب جنايتى زايل شد نطق، ضامن ديه حروفى است كه تكلم به آنها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حسب عادت، خلل سابق مرجوّ الزّوال بوده پس در ضمان تمام ديه به سبب جنايت مطلقاً يا استثناى ارش اگر به جنايت سابقه اى حاصل شده بوده تأمل است، و احوط صلح است</w:t>
      </w:r>
      <w:r>
        <w:rPr>
          <w:rFonts w:eastAsia="IRNazanin" w:cs="IRNazanin"/>
          <w:color w:val="111111"/>
          <w:sz w:val="28"/>
          <w:szCs w:val="28"/>
          <w:rtl w:val="true"/>
          <w:lang w:bidi="fa-IR"/>
        </w:rPr>
        <w:t>.</w:t>
      </w:r>
    </w:p>
    <w:p>
      <w:pPr>
        <w:pStyle w:val="Heading6"/>
        <w:numPr>
          <w:ilvl w:val="5"/>
          <w:numId w:val="1"/>
        </w:numPr>
        <w:rPr/>
      </w:pPr>
      <w:bookmarkStart w:id="3450" w:name="__RefHeading___Toc3973921_1067777946"/>
      <w:bookmarkStart w:id="3451" w:name="_Toc1468"/>
      <w:bookmarkEnd w:id="3450"/>
      <w:r>
        <w:rPr>
          <w:rtl w:val="true"/>
        </w:rPr>
        <w:t>نقص بعض حروف به وسيله جنايت بر غير زبان</w:t>
      </w:r>
      <w:bookmarkEnd w:id="3451"/>
    </w:p>
    <w:p>
      <w:pPr>
        <w:pStyle w:val="BookText"/>
        <w:rPr/>
      </w:pPr>
      <w:r>
        <w:rPr>
          <w:rFonts w:ascii="IRNazanin" w:hAnsi="IRNazanin" w:eastAsia="IRNazanin"/>
          <w:color w:val="111111"/>
          <w:sz w:val="28"/>
          <w:sz w:val="28"/>
          <w:szCs w:val="28"/>
          <w:rtl w:val="true"/>
          <w:lang w:bidi="fa-IR"/>
        </w:rPr>
        <w:t xml:space="preserve">اگر بعض حروف اذهاب شد به جنايتى غير جنايت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زدن بر لب كه مزيل حروف شفويه باشد، يا زدن گردن محاذى حلق كه مزيل حروف حلقيه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توزيع ديه بر حروف ذاهبه مى شود، يا آن كه ارش ثابت است‌؟ خالى از تأمل نيست، و اظهر با عدم جنايت بر زبان حتى به حسب توليد جنايت بر عضو ديگر، ثبوت ارش است</w:t>
      </w:r>
      <w:r>
        <w:rPr>
          <w:rFonts w:eastAsia="IRNazanin" w:cs="IRNazanin"/>
          <w:color w:val="111111"/>
          <w:sz w:val="28"/>
          <w:szCs w:val="28"/>
          <w:rtl w:val="true"/>
          <w:lang w:bidi="fa-IR"/>
        </w:rPr>
        <w:t>.</w:t>
      </w:r>
    </w:p>
    <w:p>
      <w:pPr>
        <w:pStyle w:val="Heading6"/>
        <w:numPr>
          <w:ilvl w:val="5"/>
          <w:numId w:val="1"/>
        </w:numPr>
        <w:rPr/>
      </w:pPr>
      <w:bookmarkStart w:id="3452" w:name="__RefHeading___Toc3973923_1067777946"/>
      <w:bookmarkStart w:id="3453" w:name="_Toc1469"/>
      <w:bookmarkEnd w:id="3452"/>
      <w:r>
        <w:rPr/>
        <w:t>7</w:t>
      </w:r>
      <w:r>
        <w:rPr>
          <w:rtl w:val="true"/>
        </w:rPr>
        <w:t xml:space="preserve">. </w:t>
      </w:r>
      <w:r>
        <w:rPr>
          <w:rtl w:val="true"/>
        </w:rPr>
        <w:t>دندان ها</w:t>
      </w:r>
      <w:bookmarkEnd w:id="3453"/>
    </w:p>
    <w:p>
      <w:pPr>
        <w:pStyle w:val="Heading6"/>
        <w:numPr>
          <w:ilvl w:val="5"/>
          <w:numId w:val="1"/>
        </w:numPr>
        <w:rPr/>
      </w:pPr>
      <w:bookmarkStart w:id="3454" w:name="__RefHeading___Toc3973925_1067777946"/>
      <w:bookmarkStart w:id="3455" w:name="_Toc1470"/>
      <w:bookmarkEnd w:id="3454"/>
      <w:r>
        <w:rPr>
          <w:rtl w:val="true"/>
        </w:rPr>
        <w:t>اشاره</w:t>
      </w:r>
      <w:bookmarkEnd w:id="345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ازالۀ مجموع دندان ها ديه كامله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آنها توزيع ديه كامله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 تفاوت است، پس در مقاديم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بالا و پايين كه عبارت از ثنايا و رباعيات و انياب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پنجاه دينار، و در مجموع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است؛ و در مآخير از بالا و پايين متصل به مقاديم،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 در هر يك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است، و در مجموع آنها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 و مجموع هزار دينار ديه كامله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كمتر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bookmarkStart w:id="3456" w:name="pg10275_97060"/>
    </w:p>
    <w:p>
      <w:pPr>
        <w:pStyle w:val="Heading6"/>
        <w:numPr>
          <w:ilvl w:val="5"/>
          <w:numId w:val="1"/>
        </w:numPr>
        <w:rPr/>
      </w:pPr>
      <w:bookmarkStart w:id="3457" w:name="__RefHeading___Toc3973927_1067777946"/>
      <w:bookmarkStart w:id="3458" w:name="_Toc1471"/>
      <w:bookmarkEnd w:id="3456"/>
      <w:bookmarkEnd w:id="3457"/>
      <w:r>
        <w:rPr>
          <w:rtl w:val="true"/>
        </w:rPr>
        <w:t>مورد ثبوت ارش در دندان</w:t>
      </w:r>
      <w:bookmarkEnd w:id="3458"/>
    </w:p>
    <w:p>
      <w:pPr>
        <w:pStyle w:val="BookText"/>
        <w:rPr/>
      </w:pPr>
      <w:r>
        <w:rPr>
          <w:rFonts w:ascii="IRNazanin" w:hAnsi="IRNazanin" w:eastAsia="IRNazanin"/>
          <w:color w:val="111111"/>
          <w:sz w:val="28"/>
          <w:sz w:val="28"/>
          <w:szCs w:val="28"/>
          <w:rtl w:val="true"/>
          <w:lang w:bidi="fa-IR"/>
        </w:rPr>
        <w:t>و در زايد بر اين عدد، ارش است در صورت تمييز زايد، مثل واقع بعد از تمام عدد در هر طرف از بالا و پايين، و مثل نابت در خارج از سمت دندانهاى اصلى؛ و با عدم تمييز، مورد احتياط به مصالحه است، اگر چه ثبوت ارش در مطلق زيادتى بر عدد كه معلوم است اجمالاً با زيادتى عدد، خالى از وجه نيست</w:t>
      </w:r>
      <w:r>
        <w:rPr>
          <w:rFonts w:eastAsia="IRNazanin" w:cs="IRNazanin"/>
          <w:color w:val="111111"/>
          <w:sz w:val="28"/>
          <w:szCs w:val="28"/>
          <w:rtl w:val="true"/>
          <w:lang w:bidi="fa-IR"/>
        </w:rPr>
        <w:t>.</w:t>
      </w:r>
    </w:p>
    <w:p>
      <w:pPr>
        <w:pStyle w:val="Heading6"/>
        <w:numPr>
          <w:ilvl w:val="5"/>
          <w:numId w:val="1"/>
        </w:numPr>
        <w:rPr/>
      </w:pPr>
      <w:bookmarkStart w:id="3459" w:name="__RefHeading___Toc3973929_1067777946"/>
      <w:bookmarkStart w:id="3460" w:name="_Toc1472"/>
      <w:bookmarkEnd w:id="3459"/>
      <w:r>
        <w:rPr>
          <w:rtl w:val="true"/>
        </w:rPr>
        <w:t>ساقط شدن دندان و معلوم نشدن اصالت آن</w:t>
      </w:r>
      <w:bookmarkEnd w:id="3460"/>
    </w:p>
    <w:p>
      <w:pPr>
        <w:pStyle w:val="BookText"/>
        <w:rPr/>
      </w:pPr>
      <w:r>
        <w:rPr>
          <w:rFonts w:ascii="IRNazanin" w:hAnsi="IRNazanin" w:eastAsia="IRNazanin"/>
          <w:color w:val="111111"/>
          <w:sz w:val="28"/>
          <w:sz w:val="28"/>
          <w:szCs w:val="28"/>
          <w:rtl w:val="true"/>
          <w:lang w:bidi="fa-IR"/>
        </w:rPr>
        <w:t>و اگر ساقط شد دندانى و معلوم نشد اصالت آن، با علم اجمالى به زايد، و اختبار ممكن نشد به واسطۀ موت مجنىّ عليه يا غير آن، اظهر ثبوت اقل الامرين از ديه و ارش است؛ و اگر علم به وجود زايد نبود، پس در اعتبار غلبه زيادتى محتمله در صورت موافقت با غالب، تأمل است، و احوط اكثر از ارش و ديه يا صلح است، و وجوب اقل الامرين فقط محتمل است</w:t>
      </w:r>
      <w:r>
        <w:rPr>
          <w:rFonts w:eastAsia="IRNazanin" w:cs="IRNazanin"/>
          <w:color w:val="111111"/>
          <w:sz w:val="28"/>
          <w:szCs w:val="28"/>
          <w:rtl w:val="true"/>
          <w:lang w:bidi="fa-IR"/>
        </w:rPr>
        <w:t>.</w:t>
      </w:r>
    </w:p>
    <w:p>
      <w:pPr>
        <w:pStyle w:val="Heading6"/>
        <w:numPr>
          <w:ilvl w:val="5"/>
          <w:numId w:val="1"/>
        </w:numPr>
        <w:rPr/>
      </w:pPr>
      <w:bookmarkStart w:id="3461" w:name="__RefHeading___Toc3973931_1067777946"/>
      <w:bookmarkStart w:id="3462" w:name="_Toc1473"/>
      <w:bookmarkEnd w:id="3461"/>
      <w:r>
        <w:rPr>
          <w:rtl w:val="true"/>
        </w:rPr>
        <w:t xml:space="preserve">اگر دندانها از </w:t>
      </w:r>
      <w:r>
        <w:rPr/>
        <w:t>28</w:t>
      </w:r>
      <w:r>
        <w:rPr>
          <w:rtl w:val="true"/>
        </w:rPr>
        <w:t xml:space="preserve"> </w:t>
      </w:r>
      <w:r>
        <w:rPr>
          <w:rtl w:val="true"/>
        </w:rPr>
        <w:t>كمتر يا بيشتر باشد</w:t>
      </w:r>
      <w:bookmarkEnd w:id="3462"/>
    </w:p>
    <w:p>
      <w:pPr>
        <w:pStyle w:val="BookText"/>
        <w:rPr/>
      </w:pPr>
      <w:r>
        <w:rPr>
          <w:rFonts w:ascii="Amiri" w:hAnsi="Amiri" w:eastAsia="Amiri" w:cs="Amiri"/>
          <w:color w:val="111111"/>
          <w:sz w:val="28"/>
          <w:sz w:val="28"/>
          <w:szCs w:val="28"/>
          <w:rtl w:val="true"/>
          <w:lang w:bidi="ar-SA"/>
        </w:rPr>
        <w:t xml:space="preserve">و در صورت نقصان دندانها از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خلقت يا آفتى يا جنايتى، به قدر عدد ناقص، از ديه كامله استثنا مى شود در صورت اذهاب بقيه كه موجود بوده قبل از جنايت اخيره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زايد از معتاد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اذهاب جميع شد، ديه كامله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ارش در زايد خالى از وجه نيست</w:t>
      </w:r>
      <w:r>
        <w:rPr>
          <w:rFonts w:eastAsia="IRNazanin" w:cs="IRNazanin"/>
          <w:color w:val="111111"/>
          <w:sz w:val="28"/>
          <w:szCs w:val="28"/>
          <w:rtl w:val="true"/>
          <w:lang w:bidi="fa-IR"/>
        </w:rPr>
        <w:t>.</w:t>
      </w:r>
    </w:p>
    <w:p>
      <w:pPr>
        <w:pStyle w:val="Heading6"/>
        <w:numPr>
          <w:ilvl w:val="5"/>
          <w:numId w:val="1"/>
        </w:numPr>
        <w:rPr/>
      </w:pPr>
      <w:bookmarkStart w:id="3463" w:name="__RefHeading___Toc3973933_1067777946"/>
      <w:bookmarkStart w:id="3464" w:name="_Toc1474"/>
      <w:bookmarkEnd w:id="3463"/>
      <w:r>
        <w:rPr>
          <w:rtl w:val="true"/>
        </w:rPr>
        <w:t>اختلاف رنگ دندان، و تغيير رنگ</w:t>
      </w:r>
      <w:bookmarkEnd w:id="3464"/>
    </w:p>
    <w:p>
      <w:pPr>
        <w:pStyle w:val="BookText"/>
        <w:rPr/>
      </w:pPr>
      <w:r>
        <w:rPr>
          <w:rFonts w:ascii="IRNazanin" w:hAnsi="IRNazanin" w:eastAsia="IRNazanin"/>
          <w:color w:val="111111"/>
          <w:sz w:val="28"/>
          <w:sz w:val="28"/>
          <w:szCs w:val="28"/>
          <w:rtl w:val="true"/>
          <w:lang w:bidi="fa-IR"/>
        </w:rPr>
        <w:t>اختلاف رنگ دندان در صورتى كه به حسب خلقت باشد، تأثيرى در ديه ندارد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دندان قلع نشد بلكه تغيير لونى در آن حاصل شد پس در تغيير به سبزى و زردى، با ذهاب بعض منافع يا عدم ذهاب آن، در آن ارش است؛ و اگر تغيير به سياهى باشد بدون عود به لون اصلى، در آن دو ثلث ديۀ آن است؛ و اگر در خضرة و صفرة </w:t>
      </w:r>
      <w:bookmarkStart w:id="3465" w:name="pg10275_97061"/>
    </w:p>
    <w:p>
      <w:pPr>
        <w:pStyle w:val="BookText"/>
        <w:rPr/>
      </w:pPr>
      <w:bookmarkEnd w:id="3465"/>
      <w:r>
        <w:rPr>
          <w:rFonts w:ascii="IRNazanin" w:hAnsi="IRNazanin" w:eastAsia="IRNazanin"/>
          <w:color w:val="111111"/>
          <w:sz w:val="28"/>
          <w:sz w:val="28"/>
          <w:szCs w:val="28"/>
          <w:rtl w:val="true"/>
          <w:lang w:bidi="fa-IR"/>
        </w:rPr>
        <w:t>ذهاب تمام منافع شد، الحاق آن به شلل در ثبوت دو ثلث متّجه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فرض انفكاك سياه شدن از ذهاب تمام منافع تأمل است،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تحقق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صلح است نسبت به زايد از دو ثلث ديۀ يك دندان سياه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بعد از سياهى به سبب جنايت، قلع شد به سبب جنايتى ديگر، در آن ثلث است</w:t>
      </w:r>
      <w:r>
        <w:rPr>
          <w:rFonts w:eastAsia="IRNazanin" w:cs="IRNazanin"/>
          <w:color w:val="111111"/>
          <w:sz w:val="28"/>
          <w:szCs w:val="28"/>
          <w:rtl w:val="true"/>
          <w:lang w:bidi="fa-IR"/>
        </w:rPr>
        <w:t>.</w:t>
      </w:r>
    </w:p>
    <w:p>
      <w:pPr>
        <w:pStyle w:val="Heading6"/>
        <w:numPr>
          <w:ilvl w:val="5"/>
          <w:numId w:val="1"/>
        </w:numPr>
        <w:rPr/>
      </w:pPr>
      <w:bookmarkStart w:id="3466" w:name="__RefHeading___Toc3973935_1067777946"/>
      <w:bookmarkStart w:id="3467" w:name="_Toc1475"/>
      <w:bookmarkEnd w:id="3466"/>
      <w:r>
        <w:rPr>
          <w:rtl w:val="true"/>
        </w:rPr>
        <w:t>شكاف دار شدن دندان يا شكسته شدن جاى ديگر</w:t>
      </w:r>
      <w:bookmarkEnd w:id="3467"/>
    </w:p>
    <w:p>
      <w:pPr>
        <w:pStyle w:val="BookText"/>
        <w:rPr/>
      </w:pPr>
      <w:r>
        <w:rPr>
          <w:rFonts w:ascii="Amiri" w:hAnsi="Amiri" w:eastAsia="Amiri" w:cs="Amiri"/>
          <w:color w:val="111111"/>
          <w:sz w:val="28"/>
          <w:sz w:val="28"/>
          <w:szCs w:val="28"/>
          <w:rtl w:val="true"/>
          <w:lang w:bidi="ar-SA"/>
        </w:rPr>
        <w:t>در انصداع و شكافته شدن دندان بدون سقوط و سياهى، دو ثلث ديه آن است بنا بر اظهر، و اكثر الامرين از دو ثلث و حكومت است بنا بر 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دندانِ مقلوع، ديۀ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شكستن آن چه از آن از لثه بارز است بدون كندن سنخ كه داخل لثه است، تأمل است، احوط ديه است در صورت اكثريّت آن از ارش، يا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قلع سنخ بعد از جنايت ديگر در شكستن بارز از لثه حكومت است</w:t>
      </w:r>
      <w:r>
        <w:rPr>
          <w:rFonts w:eastAsia="IRNazanin" w:cs="IRNazanin"/>
          <w:color w:val="111111"/>
          <w:sz w:val="28"/>
          <w:szCs w:val="28"/>
          <w:rtl w:val="true"/>
          <w:lang w:bidi="fa-IR"/>
        </w:rPr>
        <w:t>.</w:t>
      </w:r>
    </w:p>
    <w:p>
      <w:pPr>
        <w:pStyle w:val="Heading6"/>
        <w:numPr>
          <w:ilvl w:val="5"/>
          <w:numId w:val="1"/>
        </w:numPr>
        <w:rPr/>
      </w:pPr>
      <w:bookmarkStart w:id="3468" w:name="__RefHeading___Toc3973937_1067777946"/>
      <w:bookmarkStart w:id="3469" w:name="_Toc1476"/>
      <w:bookmarkEnd w:id="3468"/>
      <w:r>
        <w:rPr>
          <w:rtl w:val="true"/>
        </w:rPr>
        <w:t>صبر تا يك سال براى روييدن دندان</w:t>
      </w:r>
      <w:bookmarkEnd w:id="3469"/>
    </w:p>
    <w:p>
      <w:pPr>
        <w:pStyle w:val="BookText"/>
        <w:rPr/>
      </w:pPr>
      <w:r>
        <w:rPr>
          <w:rFonts w:ascii="IRNazanin" w:hAnsi="IRNazanin" w:eastAsia="IRNazanin"/>
          <w:color w:val="111111"/>
          <w:sz w:val="28"/>
          <w:sz w:val="28"/>
          <w:szCs w:val="28"/>
          <w:rtl w:val="true"/>
          <w:lang w:bidi="fa-IR"/>
        </w:rPr>
        <w:t>براى كندن يا شكستن دندان طفل، تا يك سال صبر مى نمايند، اگر به جاى كنده شده يا شكسته شده روييد، ارش ثابت است؛ وگرنه ديۀ دندان كسى كه دندان شير او افتاده است ثابت است به نحوى كه در قلع و كسر گذشت</w:t>
      </w:r>
      <w:r>
        <w:rPr>
          <w:rFonts w:eastAsia="IRNazanin" w:cs="IRNazanin"/>
          <w:color w:val="111111"/>
          <w:sz w:val="28"/>
          <w:szCs w:val="28"/>
          <w:rtl w:val="true"/>
          <w:lang w:bidi="fa-IR"/>
        </w:rPr>
        <w:t>.</w:t>
      </w:r>
    </w:p>
    <w:p>
      <w:pPr>
        <w:pStyle w:val="Heading6"/>
        <w:numPr>
          <w:ilvl w:val="5"/>
          <w:numId w:val="1"/>
        </w:numPr>
        <w:rPr/>
      </w:pPr>
      <w:bookmarkStart w:id="3470" w:name="__RefHeading___Toc3973939_1067777946"/>
      <w:bookmarkStart w:id="3471" w:name="_Toc1477"/>
      <w:bookmarkEnd w:id="3470"/>
      <w:r>
        <w:rPr>
          <w:rtl w:val="true"/>
        </w:rPr>
        <w:t>اگر دندان دوباره نصب شد يا روييد يا ترميم شد</w:t>
      </w:r>
      <w:bookmarkEnd w:id="347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دندان در آمده يا شكسته شده را دو دفعه به جاى خود ثابت كردند، يا روييد، يا مجبور شد به مثل خودش، يا متصل شد بعد از انفصال، پس از آن قلع يا كسر شد، اظهر وجوب ديه آن است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اولى كه عود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است يا ديه است‌؟ تأمل است، و اوّلى اقرب است</w:t>
      </w:r>
      <w:r>
        <w:rPr>
          <w:rFonts w:eastAsia="IRNazanin" w:cs="IRNazanin"/>
          <w:color w:val="111111"/>
          <w:sz w:val="28"/>
          <w:szCs w:val="28"/>
          <w:rtl w:val="true"/>
          <w:lang w:bidi="fa-IR"/>
        </w:rPr>
        <w:t xml:space="preserve">. </w:t>
      </w:r>
      <w:bookmarkStart w:id="3472" w:name="pg10275_97062"/>
    </w:p>
    <w:p>
      <w:pPr>
        <w:pStyle w:val="Heading6"/>
        <w:numPr>
          <w:ilvl w:val="5"/>
          <w:numId w:val="1"/>
        </w:numPr>
        <w:rPr/>
      </w:pPr>
      <w:bookmarkStart w:id="3473" w:name="__RefHeading___Toc3973941_1067777946"/>
      <w:bookmarkStart w:id="3474" w:name="_Toc1478"/>
      <w:bookmarkEnd w:id="3472"/>
      <w:bookmarkEnd w:id="3473"/>
      <w:r>
        <w:rPr>
          <w:rtl w:val="true"/>
        </w:rPr>
        <w:t>عدم تأثير كوتاهى و بلندى دندان در ديه</w:t>
      </w:r>
      <w:bookmarkEnd w:id="3474"/>
    </w:p>
    <w:p>
      <w:pPr>
        <w:pStyle w:val="BookText"/>
        <w:rPr/>
      </w:pPr>
      <w:r>
        <w:rPr>
          <w:rFonts w:ascii="IRNazanin" w:hAnsi="IRNazanin" w:eastAsia="IRNazanin"/>
          <w:color w:val="111111"/>
          <w:sz w:val="28"/>
          <w:sz w:val="28"/>
          <w:szCs w:val="28"/>
          <w:rtl w:val="true"/>
          <w:lang w:bidi="fa-IR"/>
        </w:rPr>
        <w:t>طول و قصر دندان اگر چه به اضافه به دندانهاى ديگر شخص باشد اگر چه به حدّى كه موجب عيب است باشد تأثيرى در ديه ندارد بنا بر اظهر</w:t>
      </w:r>
      <w:r>
        <w:rPr>
          <w:rFonts w:eastAsia="IRNazanin" w:cs="IRNazanin"/>
          <w:color w:val="111111"/>
          <w:sz w:val="28"/>
          <w:szCs w:val="28"/>
          <w:rtl w:val="true"/>
          <w:lang w:bidi="fa-IR"/>
        </w:rPr>
        <w:t>.</w:t>
      </w:r>
    </w:p>
    <w:p>
      <w:pPr>
        <w:pStyle w:val="Heading6"/>
        <w:numPr>
          <w:ilvl w:val="5"/>
          <w:numId w:val="1"/>
        </w:numPr>
        <w:rPr/>
      </w:pPr>
      <w:bookmarkStart w:id="3475" w:name="__RefHeading___Toc3973943_1067777946"/>
      <w:bookmarkStart w:id="3476" w:name="_Toc1479"/>
      <w:bookmarkEnd w:id="3475"/>
      <w:r>
        <w:rPr>
          <w:rtl w:val="true"/>
        </w:rPr>
        <w:t>كنده شدن دندان معيوب</w:t>
      </w:r>
      <w:bookmarkEnd w:id="3476"/>
    </w:p>
    <w:p>
      <w:pPr>
        <w:pStyle w:val="BookText"/>
        <w:rPr/>
      </w:pPr>
      <w:r>
        <w:rPr>
          <w:rFonts w:ascii="IRNazanin" w:hAnsi="IRNazanin" w:eastAsia="IRNazanin"/>
          <w:color w:val="111111"/>
          <w:sz w:val="28"/>
          <w:sz w:val="28"/>
          <w:szCs w:val="28"/>
          <w:rtl w:val="true"/>
          <w:lang w:bidi="fa-IR"/>
        </w:rPr>
        <w:t xml:space="preserve">اگر اضطرابى در دندان به واسطۀ مرض يا كِبَر سنّ پيدا شد، پس به جنايت، قلع يا كسر شد بعد از وصل با چيزى يا قبل از آن، پس الحاق آن به شلل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عموم حكم به ثلث، به حاصل به غير جنايت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بالكليه منافع آن ساقط بود پس حكومت در قلع آن متّجه است</w:t>
      </w:r>
      <w:r>
        <w:rPr>
          <w:rFonts w:eastAsia="IRNazanin" w:cs="IRNazanin"/>
          <w:color w:val="111111"/>
          <w:sz w:val="28"/>
          <w:szCs w:val="28"/>
          <w:rtl w:val="true"/>
          <w:lang w:bidi="fa-IR"/>
        </w:rPr>
        <w:t>.</w:t>
      </w:r>
    </w:p>
    <w:p>
      <w:pPr>
        <w:pStyle w:val="Heading6"/>
        <w:numPr>
          <w:ilvl w:val="5"/>
          <w:numId w:val="1"/>
        </w:numPr>
        <w:rPr/>
      </w:pPr>
      <w:bookmarkStart w:id="3477" w:name="__RefHeading___Toc3973945_1067777946"/>
      <w:bookmarkStart w:id="3478" w:name="_Toc1480"/>
      <w:bookmarkEnd w:id="3477"/>
      <w:r>
        <w:rPr>
          <w:rtl w:val="true"/>
        </w:rPr>
        <w:t>از بين رفتن بعض دندان ناقص</w:t>
      </w:r>
      <w:bookmarkEnd w:id="3478"/>
    </w:p>
    <w:p>
      <w:pPr>
        <w:pStyle w:val="BookText"/>
        <w:rPr/>
      </w:pPr>
      <w:r>
        <w:rPr>
          <w:rFonts w:ascii="IRNazanin" w:hAnsi="IRNazanin" w:eastAsia="IRNazanin"/>
          <w:color w:val="111111"/>
          <w:sz w:val="28"/>
          <w:sz w:val="28"/>
          <w:szCs w:val="28"/>
          <w:rtl w:val="true"/>
          <w:lang w:bidi="fa-IR"/>
        </w:rPr>
        <w:t xml:space="preserve">اگر بعض دندان به سببى از بين رفت، در جنايت به بعض ديگر، بعض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حسب مساحت تعيين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در مساحت، آن چه ظاهر است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جانى شكست طرفى از دندان را؛ پس اگر مكسور، نصف ظاهر است، نصف ديه در آن ثابت است با لحاظ احتياطى كه در كسر، مذكور شد</w:t>
      </w:r>
      <w:r>
        <w:rPr>
          <w:rFonts w:eastAsia="IRNazanin" w:cs="IRNazanin"/>
          <w:color w:val="111111"/>
          <w:sz w:val="28"/>
          <w:szCs w:val="28"/>
          <w:rtl w:val="true"/>
          <w:lang w:bidi="fa-IR"/>
        </w:rPr>
        <w:t>.</w:t>
      </w:r>
    </w:p>
    <w:p>
      <w:pPr>
        <w:pStyle w:val="Heading6"/>
        <w:numPr>
          <w:ilvl w:val="5"/>
          <w:numId w:val="1"/>
        </w:numPr>
        <w:rPr/>
      </w:pPr>
      <w:bookmarkStart w:id="3479" w:name="__RefHeading___Toc3973947_1067777946"/>
      <w:bookmarkStart w:id="3480" w:name="_Toc1481"/>
      <w:bookmarkEnd w:id="3479"/>
      <w:r>
        <w:rPr>
          <w:rtl w:val="true"/>
        </w:rPr>
        <w:t>اختلاف در قدر شكسته شده</w:t>
      </w:r>
      <w:bookmarkEnd w:id="3480"/>
    </w:p>
    <w:p>
      <w:pPr>
        <w:pStyle w:val="BookText"/>
        <w:rPr/>
      </w:pPr>
      <w:r>
        <w:rPr>
          <w:rFonts w:ascii="IRNazanin" w:hAnsi="IRNazanin" w:eastAsia="IRNazanin"/>
          <w:color w:val="111111"/>
          <w:sz w:val="28"/>
          <w:sz w:val="28"/>
          <w:szCs w:val="28"/>
          <w:rtl w:val="true"/>
          <w:lang w:bidi="fa-IR"/>
        </w:rPr>
        <w:t>اگر بعضى از دندان كه داخل لثه بود ظاهر شد و از اين جهت اختلاف در قدر مكسور شد، و از مقايسه با دندانهاى پهلوى آن، و از قول اهل اطلاع و خبره چيزى ظاهر نشد، تقديم قول جانى كه موافق اصل است خالى از وجه نيست</w:t>
      </w:r>
      <w:r>
        <w:rPr>
          <w:rFonts w:eastAsia="IRNazanin" w:cs="IRNazanin"/>
          <w:color w:val="111111"/>
          <w:sz w:val="28"/>
          <w:szCs w:val="28"/>
          <w:rtl w:val="true"/>
          <w:lang w:bidi="fa-IR"/>
        </w:rPr>
        <w:t>.</w:t>
      </w:r>
    </w:p>
    <w:p>
      <w:pPr>
        <w:pStyle w:val="Heading6"/>
        <w:numPr>
          <w:ilvl w:val="5"/>
          <w:numId w:val="1"/>
        </w:numPr>
        <w:rPr/>
      </w:pPr>
      <w:bookmarkStart w:id="3481" w:name="__RefHeading___Toc3973949_1067777946"/>
      <w:bookmarkStart w:id="3482" w:name="_Toc1482"/>
      <w:bookmarkEnd w:id="3481"/>
      <w:r>
        <w:rPr>
          <w:rtl w:val="true"/>
        </w:rPr>
        <w:t>كندن دندان شكسته شدۀ توسط كسى</w:t>
      </w:r>
      <w:bookmarkEnd w:id="348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بعض دندان را شكست، و به جنايتى ديگر بقيّه قلع شد با اصل كه داخل لثه بوده، پس چه آن كه كسر از عرض دندان بوده، اوّلى ضامن ديه مكسور است به نحو متقدم و دوّمى به نحو تعيّن ضامن ديه است، و تعيين قدر در هر دو با مساحت ظاهر مى شود و </w:t>
      </w:r>
      <w:bookmarkStart w:id="3483" w:name="pg10275_97063"/>
    </w:p>
    <w:p>
      <w:pPr>
        <w:pStyle w:val="BookText"/>
        <w:rPr/>
      </w:pPr>
      <w:bookmarkEnd w:id="3483"/>
      <w:r>
        <w:rPr>
          <w:rFonts w:ascii="IRNazanin" w:hAnsi="IRNazanin" w:eastAsia="IRNazanin"/>
          <w:color w:val="111111"/>
          <w:sz w:val="28"/>
          <w:sz w:val="28"/>
          <w:szCs w:val="28"/>
          <w:rtl w:val="true"/>
          <w:lang w:bidi="fa-IR"/>
        </w:rPr>
        <w:t>اصل مضمون نيست، يا آن كه كسر اول از طول بوده بدون اصل، در جنايت دوّم اصل تابع است و چيزى در آن نيست بنا بر اظهر، و اللّٰه العالم</w:t>
      </w:r>
      <w:r>
        <w:rPr>
          <w:rFonts w:eastAsia="IRNazanin" w:cs="IRNazanin"/>
          <w:color w:val="111111"/>
          <w:sz w:val="28"/>
          <w:szCs w:val="28"/>
          <w:rtl w:val="true"/>
          <w:lang w:bidi="fa-IR"/>
        </w:rPr>
        <w:t>.</w:t>
      </w:r>
    </w:p>
    <w:p>
      <w:pPr>
        <w:pStyle w:val="Heading6"/>
        <w:numPr>
          <w:ilvl w:val="5"/>
          <w:numId w:val="1"/>
        </w:numPr>
        <w:rPr/>
      </w:pPr>
      <w:bookmarkStart w:id="3484" w:name="__RefHeading___Toc3973951_1067777946"/>
      <w:bookmarkStart w:id="3485" w:name="_Toc1483"/>
      <w:bookmarkEnd w:id="3484"/>
      <w:r>
        <w:rPr/>
        <w:t>8</w:t>
      </w:r>
      <w:r>
        <w:rPr>
          <w:rtl w:val="true"/>
        </w:rPr>
        <w:t xml:space="preserve">. </w:t>
      </w:r>
      <w:r>
        <w:rPr>
          <w:rtl w:val="true"/>
        </w:rPr>
        <w:t>گردن</w:t>
      </w:r>
      <w:bookmarkEnd w:id="3485"/>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شكستن يا كوبيدن گردن تا حدّى كه منحرف به يك طرف شود و نتواند آن را به طرف ديگر برگرداند، تمام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جنايت بر گردن تا حدّى كه نتواند ازدراد مأكول نمايد، اكثر از ديه و 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نفى و اثبات اكثريّت احتماليۀ ارش از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جنايت در دو صورت متقدّمه زايل شد و به اصل برگشت، در آن ارش است</w:t>
      </w:r>
      <w:r>
        <w:rPr>
          <w:rFonts w:eastAsia="IRNazanin" w:cs="IRNazanin"/>
          <w:color w:val="111111"/>
          <w:sz w:val="28"/>
          <w:szCs w:val="28"/>
          <w:rtl w:val="true"/>
          <w:lang w:bidi="fa-IR"/>
        </w:rPr>
        <w:t>.</w:t>
      </w:r>
    </w:p>
    <w:p>
      <w:pPr>
        <w:pStyle w:val="Heading6"/>
        <w:numPr>
          <w:ilvl w:val="5"/>
          <w:numId w:val="1"/>
        </w:numPr>
        <w:rPr/>
      </w:pPr>
      <w:bookmarkStart w:id="3486" w:name="__RefHeading___Toc3973953_1067777946"/>
      <w:bookmarkStart w:id="3487" w:name="_Toc1484"/>
      <w:bookmarkEnd w:id="3486"/>
      <w:r>
        <w:rPr/>
        <w:t>9</w:t>
      </w:r>
      <w:r>
        <w:rPr>
          <w:rtl w:val="true"/>
        </w:rPr>
        <w:t xml:space="preserve">. </w:t>
      </w:r>
      <w:r>
        <w:rPr>
          <w:rtl w:val="true"/>
        </w:rPr>
        <w:t>چانه</w:t>
      </w:r>
      <w:bookmarkEnd w:id="3487"/>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استخوانها كه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كدام يك طرف آن متصل به گوش و يك طرف آن در ذقن يا استخوان ديگر التقا مى نمايد، در قلع هر دو تمام ديه و در قلع يا قطع يكى از آنها نصف ديه است در صورتى كه مستلزم قلع دندانها نباشد، وگرنه براى دندان ها ديه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جنايت بر اين استخوان ها موجب منع از مضغ طعام بود بدون قلع و قطع آنها، بلكه موجب عسر تحريك آنها بود، در آن ارش است</w:t>
      </w:r>
      <w:r>
        <w:rPr>
          <w:rFonts w:eastAsia="IRNazanin" w:cs="IRNazanin"/>
          <w:color w:val="111111"/>
          <w:sz w:val="28"/>
          <w:szCs w:val="28"/>
          <w:rtl w:val="true"/>
          <w:lang w:bidi="fa-IR"/>
        </w:rPr>
        <w:t>.</w:t>
      </w:r>
    </w:p>
    <w:p>
      <w:pPr>
        <w:pStyle w:val="Heading6"/>
        <w:numPr>
          <w:ilvl w:val="5"/>
          <w:numId w:val="1"/>
        </w:numPr>
        <w:rPr/>
      </w:pPr>
      <w:bookmarkStart w:id="3488" w:name="__RefHeading___Toc3973955_1067777946"/>
      <w:bookmarkStart w:id="3489" w:name="_Toc1485"/>
      <w:bookmarkEnd w:id="3488"/>
      <w:r>
        <w:rPr/>
        <w:t>10</w:t>
      </w:r>
      <w:r>
        <w:rPr>
          <w:rtl w:val="true"/>
        </w:rPr>
        <w:t xml:space="preserve">. </w:t>
      </w:r>
      <w:r>
        <w:rPr>
          <w:rtl w:val="true"/>
        </w:rPr>
        <w:t>دست</w:t>
      </w:r>
      <w:bookmarkEnd w:id="3489"/>
    </w:p>
    <w:p>
      <w:pPr>
        <w:pStyle w:val="Heading6"/>
        <w:numPr>
          <w:ilvl w:val="5"/>
          <w:numId w:val="1"/>
        </w:numPr>
        <w:rPr/>
      </w:pPr>
      <w:bookmarkStart w:id="3490" w:name="__RefHeading___Toc3973957_1067777946"/>
      <w:bookmarkStart w:id="3491" w:name="_Toc1486"/>
      <w:bookmarkEnd w:id="3490"/>
      <w:r>
        <w:rPr>
          <w:rtl w:val="true"/>
        </w:rPr>
        <w:t>اشاره</w:t>
      </w:r>
      <w:bookmarkEnd w:id="3491"/>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ها با هم تمام ديه، و در يك دست نصف ديه است؛ و فرقى بين راست و چپ و صاحب يك دست و دو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فاصل بين كف و ذراع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6"/>
        <w:numPr>
          <w:ilvl w:val="5"/>
          <w:numId w:val="1"/>
        </w:numPr>
        <w:rPr/>
      </w:pPr>
      <w:bookmarkStart w:id="3492" w:name="__RefHeading___Toc3973959_1067777946"/>
      <w:bookmarkStart w:id="3493" w:name="_Toc1487"/>
      <w:bookmarkEnd w:id="3492"/>
      <w:r>
        <w:rPr>
          <w:rtl w:val="true"/>
        </w:rPr>
        <w:t>قطع دست با انگشت يا فقط انگشت</w:t>
      </w:r>
      <w:bookmarkEnd w:id="3493"/>
    </w:p>
    <w:p>
      <w:pPr>
        <w:pStyle w:val="BookText"/>
        <w:rPr/>
      </w:pPr>
      <w:r>
        <w:rPr>
          <w:rFonts w:ascii="IRNazanin" w:hAnsi="IRNazanin" w:eastAsia="IRNazanin"/>
          <w:color w:val="111111"/>
          <w:sz w:val="28"/>
          <w:sz w:val="28"/>
          <w:szCs w:val="28"/>
          <w:rtl w:val="true"/>
          <w:lang w:bidi="fa-IR"/>
        </w:rPr>
        <w:t xml:space="preserve">اگر انگشتها با دست بريده شدند، غير از ديه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فقط انگشتها قطع شد، در ده انگشت دست ها تمام ديه است؛ و در هر يكى عُشر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ده انگشت پاها</w:t>
      </w:r>
      <w:r>
        <w:rPr>
          <w:rFonts w:eastAsia="IRNazanin" w:cs="IRNazanin"/>
          <w:color w:val="111111"/>
          <w:sz w:val="28"/>
          <w:szCs w:val="28"/>
          <w:rtl w:val="true"/>
          <w:lang w:bidi="fa-IR"/>
        </w:rPr>
        <w:t xml:space="preserve">. </w:t>
      </w:r>
      <w:bookmarkStart w:id="3494" w:name="pg10275_97064"/>
    </w:p>
    <w:p>
      <w:pPr>
        <w:pStyle w:val="Heading6"/>
        <w:numPr>
          <w:ilvl w:val="5"/>
          <w:numId w:val="1"/>
        </w:numPr>
        <w:rPr/>
      </w:pPr>
      <w:bookmarkStart w:id="3495" w:name="__RefHeading___Toc3973961_1067777946"/>
      <w:bookmarkStart w:id="3496" w:name="_Toc1488"/>
      <w:bookmarkEnd w:id="3494"/>
      <w:bookmarkEnd w:id="3495"/>
      <w:r>
        <w:rPr>
          <w:rtl w:val="true"/>
        </w:rPr>
        <w:t>قطع كف بدون انگشت</w:t>
      </w:r>
      <w:bookmarkEnd w:id="3496"/>
    </w:p>
    <w:p>
      <w:pPr>
        <w:pStyle w:val="BookText"/>
        <w:rPr/>
      </w:pPr>
      <w:r>
        <w:rPr>
          <w:rFonts w:ascii="IRNazanin" w:hAnsi="IRNazanin" w:eastAsia="IRNazanin"/>
          <w:color w:val="111111"/>
          <w:sz w:val="28"/>
          <w:sz w:val="28"/>
          <w:szCs w:val="28"/>
          <w:rtl w:val="true"/>
          <w:lang w:bidi="fa-IR"/>
        </w:rPr>
        <w:t>اگر به جنايت ديگرى، كف بدون انگشتها قطع شد، ارش در قطع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كفى كه انگشت نداشته به حسب خلقت يا آفت</w:t>
      </w:r>
      <w:r>
        <w:rPr>
          <w:rFonts w:eastAsia="IRNazanin" w:cs="IRNazanin"/>
          <w:color w:val="111111"/>
          <w:sz w:val="28"/>
          <w:szCs w:val="28"/>
          <w:rtl w:val="true"/>
          <w:lang w:bidi="fa-IR"/>
        </w:rPr>
        <w:t>.</w:t>
      </w:r>
    </w:p>
    <w:p>
      <w:pPr>
        <w:pStyle w:val="Heading6"/>
        <w:numPr>
          <w:ilvl w:val="5"/>
          <w:numId w:val="1"/>
        </w:numPr>
        <w:rPr/>
      </w:pPr>
      <w:bookmarkStart w:id="3497" w:name="__RefHeading___Toc3973963_1067777946"/>
      <w:bookmarkStart w:id="3498" w:name="_Toc1489"/>
      <w:bookmarkEnd w:id="3497"/>
      <w:r>
        <w:rPr>
          <w:rtl w:val="true"/>
        </w:rPr>
        <w:t>قطع شدن چيزى از زند يا مرفق با دست</w:t>
      </w:r>
      <w:bookmarkEnd w:id="3498"/>
    </w:p>
    <w:p>
      <w:pPr>
        <w:pStyle w:val="BookText"/>
        <w:rPr/>
      </w:pPr>
      <w:r>
        <w:rPr>
          <w:rFonts w:ascii="IRNazanin" w:hAnsi="IRNazanin" w:eastAsia="IRNazanin"/>
          <w:color w:val="111111"/>
          <w:sz w:val="28"/>
          <w:sz w:val="28"/>
          <w:szCs w:val="28"/>
          <w:rtl w:val="true"/>
          <w:lang w:bidi="fa-IR"/>
        </w:rPr>
        <w:t xml:space="preserve">اگر با دست، چيزى از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مفصل كف و ذراع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در دست ديه آن و در زايد ارش است چنان چه موصوف به اشهريت است؛ لكن احوط در آن چه بعض ذراع است، اعتبار تعيين ديۀ ذراع با مساحت و اخذ اكثر از نسبت ديه مقدّر در تمام و ارش است به عنوان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احتياط مذكور در قطع تمام ذراع از مرفق، يا تمام عضد از منكب، جداگانه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قطع از مفصل به پايين، كه مشتمل بر سه مفصل است اگر از منكب باشد، و بر دو مفصل است اگر از مرفق باشد، اظهر ثبوت يك ديۀ يد است براى مجموع</w:t>
      </w:r>
      <w:r>
        <w:rPr>
          <w:rFonts w:eastAsia="IRNazanin" w:cs="IRNazanin"/>
          <w:color w:val="111111"/>
          <w:sz w:val="28"/>
          <w:szCs w:val="28"/>
          <w:rtl w:val="true"/>
          <w:lang w:bidi="fa-IR"/>
        </w:rPr>
        <w:t>.</w:t>
      </w:r>
    </w:p>
    <w:p>
      <w:pPr>
        <w:pStyle w:val="Heading6"/>
        <w:numPr>
          <w:ilvl w:val="5"/>
          <w:numId w:val="1"/>
        </w:numPr>
        <w:rPr/>
      </w:pPr>
      <w:bookmarkStart w:id="3499" w:name="__RefHeading___Toc3973965_1067777946"/>
      <w:bookmarkStart w:id="3500" w:name="_Toc1490"/>
      <w:bookmarkEnd w:id="3499"/>
      <w:r>
        <w:rPr>
          <w:rtl w:val="true"/>
        </w:rPr>
        <w:t>حكم قطع دست اضافى</w:t>
      </w:r>
      <w:bookmarkEnd w:id="3500"/>
    </w:p>
    <w:p>
      <w:pPr>
        <w:pStyle w:val="BookText"/>
        <w:rPr/>
      </w:pPr>
      <w:r>
        <w:rPr>
          <w:rFonts w:ascii="IRNazanin" w:hAnsi="IRNazanin" w:eastAsia="IRNazanin"/>
          <w:color w:val="111111"/>
          <w:sz w:val="28"/>
          <w:sz w:val="28"/>
          <w:szCs w:val="28"/>
          <w:rtl w:val="true"/>
          <w:lang w:bidi="fa-IR"/>
        </w:rPr>
        <w:t>دو دست براى يك زند، يكى اصلى و در آن ديه است، و دوّمى زايد و در آن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تميز اصلى به قوّت و اقوائيّت، و عدم خروج از سمت و قياس در قدر و شكل، به دست اصلى ديگر مى 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علامتى تمييز داده نشدند، در قطع يكى بيش از حكومت متيقن نيست، در صورتى كه از اكثر كه نصف ديه است زايد نباشد؛ و در قطع هر دو، ديه يك دست و حكومت براى ديگر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دست قطع شد، از قاطع واحد، پس براى اوّلى كه تأديۀ حكومت كرده اگر متعقب به قطع ديگرى شد، لازم است تأديۀ ديه يك دست كه لازم براى يك اصلى معلوم بالاجمال است؛ و اگر قاطع، دو نفر است بر هر كدام بيش از حكومت براى قطع يكى به حسب ظاهر نيست، و علم اجمالى به نقص مؤدى يكى از وظيفۀ واقعيّه، مؤثر در حق هيچ كدام نيست</w:t>
      </w:r>
      <w:r>
        <w:rPr>
          <w:rFonts w:eastAsia="IRNazanin" w:cs="IRNazanin"/>
          <w:color w:val="111111"/>
          <w:sz w:val="28"/>
          <w:szCs w:val="28"/>
          <w:rtl w:val="true"/>
          <w:lang w:bidi="fa-IR"/>
        </w:rPr>
        <w:t xml:space="preserve">. </w:t>
      </w:r>
      <w:bookmarkStart w:id="3501" w:name="pg10275_97065"/>
    </w:p>
    <w:p>
      <w:pPr>
        <w:pStyle w:val="Heading6"/>
        <w:numPr>
          <w:ilvl w:val="5"/>
          <w:numId w:val="1"/>
        </w:numPr>
        <w:rPr/>
      </w:pPr>
      <w:bookmarkStart w:id="3502" w:name="__RefHeading___Toc3973967_1067777946"/>
      <w:bookmarkStart w:id="3503" w:name="_Toc1491"/>
      <w:bookmarkEnd w:id="3501"/>
      <w:bookmarkEnd w:id="3502"/>
      <w:r>
        <w:rPr>
          <w:rtl w:val="true"/>
        </w:rPr>
        <w:t>ذراع بى كف، عضد بى ذراع، كف بدون انگشت</w:t>
      </w:r>
      <w:bookmarkEnd w:id="3503"/>
    </w:p>
    <w:p>
      <w:pPr>
        <w:pStyle w:val="BookText"/>
        <w:rPr/>
      </w:pPr>
      <w:r>
        <w:rPr>
          <w:rFonts w:ascii="IRNazanin" w:hAnsi="IRNazanin" w:eastAsia="IRNazanin"/>
          <w:color w:val="111111"/>
          <w:sz w:val="28"/>
          <w:sz w:val="28"/>
          <w:szCs w:val="28"/>
          <w:rtl w:val="true"/>
          <w:lang w:bidi="fa-IR"/>
        </w:rPr>
        <w:t>اظهر در ذراع بى كف اگر چه از مرفق قطع شود، و عضد بى ذراع كه از منكب قطع شود، نصف ديه يد است نه حكومت، و استثناى حكومت دست بى كف از ديه يك دست محتمل است و مورد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قطع كف بدون اصبع، يعنى در ثبوت ديه دست با استثناى حكومت دست بى انگشت، اگر اجماع نباشد بر ثبوت حكومت در فرض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حكومت اگر يك انگشت داشته پس از آن كف قطع شده، ديه يك انگشت و حكومت كفى كه چهار انگشت نداشته بر او است</w:t>
      </w:r>
      <w:r>
        <w:rPr>
          <w:rFonts w:eastAsia="IRNazanin" w:cs="IRNazanin"/>
          <w:color w:val="111111"/>
          <w:sz w:val="28"/>
          <w:szCs w:val="28"/>
          <w:rtl w:val="true"/>
          <w:lang w:bidi="fa-IR"/>
        </w:rPr>
        <w:t>.</w:t>
      </w:r>
    </w:p>
    <w:p>
      <w:pPr>
        <w:pStyle w:val="Heading6"/>
        <w:numPr>
          <w:ilvl w:val="5"/>
          <w:numId w:val="1"/>
        </w:numPr>
        <w:rPr/>
      </w:pPr>
      <w:bookmarkStart w:id="3504" w:name="__RefHeading___Toc3973969_1067777946"/>
      <w:bookmarkStart w:id="3505" w:name="_Toc1492"/>
      <w:bookmarkEnd w:id="3504"/>
      <w:r>
        <w:rPr/>
        <w:t>11</w:t>
      </w:r>
      <w:r>
        <w:rPr>
          <w:rtl w:val="true"/>
        </w:rPr>
        <w:t xml:space="preserve">. </w:t>
      </w:r>
      <w:r>
        <w:rPr>
          <w:rtl w:val="true"/>
        </w:rPr>
        <w:t>انگشتهاى دست و پا</w:t>
      </w:r>
      <w:bookmarkEnd w:id="3505"/>
    </w:p>
    <w:p>
      <w:pPr>
        <w:pStyle w:val="Heading6"/>
        <w:numPr>
          <w:ilvl w:val="5"/>
          <w:numId w:val="1"/>
        </w:numPr>
        <w:rPr/>
      </w:pPr>
      <w:bookmarkStart w:id="3506" w:name="__RefHeading___Toc3973971_1067777946"/>
      <w:bookmarkStart w:id="3507" w:name="_Toc1493"/>
      <w:bookmarkEnd w:id="3506"/>
      <w:r>
        <w:rPr>
          <w:rtl w:val="true"/>
        </w:rPr>
        <w:t>اشاره</w:t>
      </w:r>
      <w:bookmarkEnd w:id="3507"/>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انگشتهاى دهگانۀ دست، ديه كامله است؛ و هم چنين در انگشتهاى دهگانۀ پا؛ پس در هر انگشتى از انگشتهاى دست، عُشر ديه است، و هم چنين در هر انگشتى از انگشتهاى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ديه هر انگشتى تقسيم مى شود به سه انمله كه سه بند است، مگر ابهام كه دو بند دارد</w:t>
      </w:r>
      <w:r>
        <w:rPr>
          <w:rFonts w:eastAsia="IRNazanin" w:cs="IRNazanin"/>
          <w:color w:val="111111"/>
          <w:sz w:val="28"/>
          <w:szCs w:val="28"/>
          <w:rtl w:val="true"/>
          <w:lang w:bidi="fa-IR"/>
        </w:rPr>
        <w:t>.</w:t>
      </w:r>
    </w:p>
    <w:p>
      <w:pPr>
        <w:pStyle w:val="Heading6"/>
        <w:numPr>
          <w:ilvl w:val="5"/>
          <w:numId w:val="1"/>
        </w:numPr>
        <w:rPr/>
      </w:pPr>
      <w:bookmarkStart w:id="3508" w:name="__RefHeading___Toc3973973_1067777946"/>
      <w:bookmarkStart w:id="3509" w:name="_Toc1494"/>
      <w:bookmarkEnd w:id="3508"/>
      <w:r>
        <w:rPr>
          <w:rtl w:val="true"/>
        </w:rPr>
        <w:t>انگشت كم يا اضافه</w:t>
      </w:r>
      <w:bookmarkEnd w:id="3509"/>
    </w:p>
    <w:p>
      <w:pPr>
        <w:pStyle w:val="BookText"/>
        <w:rPr/>
      </w:pPr>
      <w:r>
        <w:rPr>
          <w:rFonts w:ascii="IRNazanin" w:hAnsi="IRNazanin" w:eastAsia="IRNazanin"/>
          <w:color w:val="111111"/>
          <w:sz w:val="28"/>
          <w:sz w:val="28"/>
          <w:szCs w:val="28"/>
          <w:rtl w:val="true"/>
          <w:lang w:bidi="fa-IR"/>
        </w:rPr>
        <w:t xml:space="preserve">اگر به حسب اتفاق، انگشت، مشتمل بر چهار انمله باشد با تساوى اصابع در طول و تساوى انامل، بلكه اگر در يك اصبع چهار انمله و در بقيّه سه انمله باشد با تساوى اصابع در طول، پس تقسيم خصوص همان يك انگشت، يعنى ديۀ آن بر چهار، خالى از وجهِ موافق با تعليل در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ابهام،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انگشت زايد كه متميّز از اصلى باشد، ثلث ديه اصبع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انمله اگر معلوم باشد زيادتى آن به علامتى، در آن ثلث ديۀ انملۀ اصليه است</w:t>
      </w:r>
      <w:r>
        <w:rPr>
          <w:rFonts w:eastAsia="IRNazanin" w:cs="IRNazanin"/>
          <w:color w:val="111111"/>
          <w:sz w:val="28"/>
          <w:szCs w:val="28"/>
          <w:rtl w:val="true"/>
          <w:lang w:bidi="fa-IR"/>
        </w:rPr>
        <w:t>.</w:t>
      </w:r>
    </w:p>
    <w:p>
      <w:pPr>
        <w:pStyle w:val="Heading6"/>
        <w:numPr>
          <w:ilvl w:val="5"/>
          <w:numId w:val="1"/>
        </w:numPr>
        <w:rPr/>
      </w:pPr>
      <w:bookmarkStart w:id="3510" w:name="__RefHeading___Toc3973975_1067777946"/>
      <w:bookmarkStart w:id="3511" w:name="_Toc1495"/>
      <w:bookmarkEnd w:id="3510"/>
      <w:r>
        <w:rPr>
          <w:rtl w:val="true"/>
        </w:rPr>
        <w:t>انگشت شلل دار</w:t>
      </w:r>
      <w:bookmarkEnd w:id="351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شلل هر اصبع، دو ثلث ديۀ اصبع سالم است؛ و در قطع آن بعد از شلل، ثلث ديۀ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هر عضوى كه در آن شلل تصوير شود و مقدّرى براى سالم آن </w:t>
      </w:r>
      <w:bookmarkStart w:id="3512" w:name="pg10275_97066"/>
    </w:p>
    <w:p>
      <w:pPr>
        <w:pStyle w:val="BookText"/>
        <w:rPr/>
      </w:pPr>
      <w:bookmarkEnd w:id="3512"/>
      <w:r>
        <w:rPr>
          <w:rFonts w:ascii="IRNazanin" w:hAnsi="IRNazanin" w:eastAsia="IRNazanin"/>
          <w:color w:val="111111"/>
          <w:sz w:val="28"/>
          <w:sz w:val="28"/>
          <w:szCs w:val="28"/>
          <w:rtl w:val="true"/>
          <w:lang w:bidi="fa-IR"/>
        </w:rPr>
        <w:t>باشد بنا بر اظهر، چه آن كه شلل خلقتى باشد يا به سبب آفت يا جنايت</w:t>
      </w:r>
      <w:r>
        <w:rPr>
          <w:rFonts w:eastAsia="IRNazanin" w:cs="IRNazanin"/>
          <w:color w:val="111111"/>
          <w:sz w:val="28"/>
          <w:szCs w:val="28"/>
          <w:rtl w:val="true"/>
          <w:lang w:bidi="fa-IR"/>
        </w:rPr>
        <w:t>.</w:t>
      </w:r>
    </w:p>
    <w:p>
      <w:pPr>
        <w:pStyle w:val="Heading6"/>
        <w:numPr>
          <w:ilvl w:val="5"/>
          <w:numId w:val="1"/>
        </w:numPr>
        <w:rPr/>
      </w:pPr>
      <w:bookmarkStart w:id="3513" w:name="__RefHeading___Toc3973977_1067777946"/>
      <w:bookmarkStart w:id="3514" w:name="_Toc1496"/>
      <w:bookmarkEnd w:id="3513"/>
      <w:r>
        <w:rPr>
          <w:rtl w:val="true"/>
        </w:rPr>
        <w:t>ناخن</w:t>
      </w:r>
      <w:bookmarkEnd w:id="3514"/>
    </w:p>
    <w:p>
      <w:pPr>
        <w:pStyle w:val="BookText"/>
        <w:rPr/>
      </w:pPr>
      <w:r>
        <w:rPr>
          <w:rFonts w:ascii="IRNazanin" w:hAnsi="IRNazanin" w:eastAsia="IRNazanin"/>
          <w:color w:val="111111"/>
          <w:sz w:val="28"/>
          <w:sz w:val="28"/>
          <w:szCs w:val="28"/>
          <w:rtl w:val="true"/>
          <w:lang w:bidi="fa-IR"/>
        </w:rPr>
        <w:t>در ناخن اگر ازاله شود پس به جاى خودش نرويد يا آن كه سياه برويَد ده دينار است، و اگر سفيد برويَد پنج دينار است بنا بر اظهر</w:t>
      </w:r>
      <w:r>
        <w:rPr>
          <w:rFonts w:eastAsia="IRNazanin" w:cs="IRNazanin"/>
          <w:color w:val="111111"/>
          <w:sz w:val="28"/>
          <w:szCs w:val="28"/>
          <w:rtl w:val="true"/>
          <w:lang w:bidi="fa-IR"/>
        </w:rPr>
        <w:t>.</w:t>
      </w:r>
    </w:p>
    <w:p>
      <w:pPr>
        <w:pStyle w:val="Heading6"/>
        <w:numPr>
          <w:ilvl w:val="5"/>
          <w:numId w:val="1"/>
        </w:numPr>
        <w:rPr/>
      </w:pPr>
      <w:bookmarkStart w:id="3515" w:name="__RefHeading___Toc3973979_1067777946"/>
      <w:bookmarkStart w:id="3516" w:name="_Toc1497"/>
      <w:bookmarkEnd w:id="3515"/>
      <w:r>
        <w:rPr/>
        <w:t>12</w:t>
      </w:r>
      <w:r>
        <w:rPr>
          <w:rtl w:val="true"/>
        </w:rPr>
        <w:t xml:space="preserve">. </w:t>
      </w:r>
      <w:r>
        <w:rPr>
          <w:rtl w:val="true"/>
        </w:rPr>
        <w:t>استخوانهاى پشت</w:t>
      </w:r>
      <w:bookmarkEnd w:id="3516"/>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استخوانهاى پشت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شود يا در اثر جنايت، منحنى شود به حدّى كه قادر بر نشستن نباشد يا آن كه منافع آن زايل شود، در آن ديه كامله است؛ و اگر به سلامت عود كرد بعد از جنايت، پس احوط در آن ازيد از حكومت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 و احتياط ندبى در رعايت ازيد از ثلث ديه و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استخوان شكسته شد و در اثر آن در دو پا شلل پيدا شد، ديه كامله براى ظَهر و دو ثلث ديه براى شلل پاها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دو ديه به نحو مذكور ثابت است اگر ظَهر را شكست و مشى و جماع در اثر آن زايل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استخوان پشت نشكست لكن به جهت اصابت بر آن، مشى زايل شد، فقط ديه شلل پاها ثابت است بنا بر اظهر، مگر آن كه ذهاب منافع استخوان پشت هم بشود كه دو ديه به نحو مذكور ثابت است</w:t>
      </w:r>
      <w:r>
        <w:rPr>
          <w:rFonts w:eastAsia="IRNazanin" w:cs="IRNazanin"/>
          <w:color w:val="111111"/>
          <w:sz w:val="28"/>
          <w:szCs w:val="28"/>
          <w:rtl w:val="true"/>
          <w:lang w:bidi="fa-IR"/>
        </w:rPr>
        <w:t>.</w:t>
      </w:r>
    </w:p>
    <w:p>
      <w:pPr>
        <w:pStyle w:val="Heading6"/>
        <w:numPr>
          <w:ilvl w:val="5"/>
          <w:numId w:val="1"/>
        </w:numPr>
        <w:rPr/>
      </w:pPr>
      <w:bookmarkStart w:id="3517" w:name="__RefHeading___Toc3973981_1067777946"/>
      <w:bookmarkStart w:id="3518" w:name="_Toc1498"/>
      <w:bookmarkEnd w:id="3517"/>
      <w:r>
        <w:rPr/>
        <w:t>13</w:t>
      </w:r>
      <w:r>
        <w:rPr>
          <w:rtl w:val="true"/>
        </w:rPr>
        <w:t xml:space="preserve">. </w:t>
      </w:r>
      <w:r>
        <w:rPr>
          <w:rtl w:val="true"/>
        </w:rPr>
        <w:t>نخاع</w:t>
      </w:r>
      <w:bookmarkEnd w:id="3518"/>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نخاع كه مغز سفيد مهره پشت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نامندش، در ازالۀ آن، تمام ديه است اگر چه بعد صاحبش زندگى نمايد؛ و در بعض آن به حساب مساحت، تعيين ديه مى شود</w:t>
      </w:r>
      <w:r>
        <w:rPr>
          <w:rFonts w:eastAsia="IRNazanin" w:cs="IRNazanin"/>
          <w:color w:val="111111"/>
          <w:sz w:val="28"/>
          <w:szCs w:val="28"/>
          <w:rtl w:val="true"/>
          <w:lang w:bidi="fa-IR"/>
        </w:rPr>
        <w:t>.</w:t>
      </w:r>
    </w:p>
    <w:p>
      <w:pPr>
        <w:pStyle w:val="Heading6"/>
        <w:numPr>
          <w:ilvl w:val="5"/>
          <w:numId w:val="1"/>
        </w:numPr>
        <w:rPr/>
      </w:pPr>
      <w:bookmarkStart w:id="3519" w:name="__RefHeading___Toc3973983_1067777946"/>
      <w:bookmarkStart w:id="3520" w:name="_Toc1499"/>
      <w:bookmarkEnd w:id="3519"/>
      <w:r>
        <w:rPr/>
        <w:t>14</w:t>
      </w:r>
      <w:r>
        <w:rPr>
          <w:rtl w:val="true"/>
        </w:rPr>
        <w:t xml:space="preserve">. </w:t>
      </w:r>
      <w:r>
        <w:rPr>
          <w:rtl w:val="true"/>
        </w:rPr>
        <w:t>پستان</w:t>
      </w:r>
      <w:bookmarkEnd w:id="3520"/>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پستان زن تمام ديه و در هر يك نصف ديه است اگر ازاله يا قطع </w:t>
      </w:r>
      <w:bookmarkStart w:id="3521" w:name="pg10275_97067"/>
    </w:p>
    <w:p>
      <w:pPr>
        <w:pStyle w:val="BookText"/>
        <w:rPr/>
      </w:pPr>
      <w:bookmarkEnd w:id="352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متعذر شد نزول شير از آن به سبب جنايت، حكومت در آن ثابت است در وقتى كه مترقب است نزول لبن از حامل يا واضع حمل به حسب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پستان را با بعضى از پوست سينه قطع كرد، در دو پستان ديه است و در بقيه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اجافه كرد سينه را، لازم است با ديۀ پستانها و حكومت، ديۀ جائفه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 پستانها را قطع كرد پس در ثبوت حكومت يا ديه تأمل است و مورد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مذكور ثابت است در سر پستانهاى مرد ايضاً</w:t>
      </w:r>
      <w:r>
        <w:rPr>
          <w:rFonts w:eastAsia="IRNazanin" w:cs="IRNazanin"/>
          <w:color w:val="111111"/>
          <w:sz w:val="28"/>
          <w:szCs w:val="28"/>
          <w:rtl w:val="true"/>
          <w:lang w:bidi="fa-IR"/>
        </w:rPr>
        <w:t>.</w:t>
      </w:r>
    </w:p>
    <w:p>
      <w:pPr>
        <w:pStyle w:val="Heading6"/>
        <w:numPr>
          <w:ilvl w:val="5"/>
          <w:numId w:val="1"/>
        </w:numPr>
        <w:rPr/>
      </w:pPr>
      <w:bookmarkStart w:id="3522" w:name="__RefHeading___Toc3973985_1067777946"/>
      <w:bookmarkStart w:id="3523" w:name="_Toc1500"/>
      <w:bookmarkEnd w:id="3522"/>
      <w:r>
        <w:rPr/>
        <w:t>15</w:t>
      </w:r>
      <w:r>
        <w:rPr>
          <w:rtl w:val="true"/>
        </w:rPr>
        <w:t xml:space="preserve">. </w:t>
      </w:r>
      <w:r>
        <w:rPr>
          <w:rtl w:val="true"/>
        </w:rPr>
        <w:t>حشفه و زايد بر آن</w:t>
      </w:r>
      <w:bookmarkEnd w:id="3523"/>
    </w:p>
    <w:p>
      <w:pPr>
        <w:pStyle w:val="Heading6"/>
        <w:numPr>
          <w:ilvl w:val="5"/>
          <w:numId w:val="1"/>
        </w:numPr>
        <w:rPr/>
      </w:pPr>
      <w:bookmarkStart w:id="3524" w:name="__RefHeading___Toc3973987_1067777946"/>
      <w:bookmarkStart w:id="3525" w:name="_Toc1501"/>
      <w:bookmarkEnd w:id="3524"/>
      <w:r>
        <w:rPr>
          <w:rtl w:val="true"/>
        </w:rPr>
        <w:t>اشاره</w:t>
      </w:r>
      <w:bookmarkEnd w:id="3525"/>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حشفه و زايد بر آن اگر چه به استيصال منتهى شود، تمام ديه است، تمام آن قطع شود يا بعض آن، اگر حشفه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در حكم مذكور، بين پير و جوان و طفل غير بالغ و مسلول الخصيتين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شلل در نفس آلت رجوليت نرسيده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خنثاى مشكل يا محكوم به انوثيت، ثابت نيست</w:t>
      </w:r>
      <w:r>
        <w:rPr>
          <w:rFonts w:eastAsia="IRNazanin" w:cs="IRNazanin"/>
          <w:color w:val="111111"/>
          <w:sz w:val="28"/>
          <w:szCs w:val="28"/>
          <w:rtl w:val="true"/>
          <w:lang w:bidi="fa-IR"/>
        </w:rPr>
        <w:t>.</w:t>
      </w:r>
    </w:p>
    <w:p>
      <w:pPr>
        <w:pStyle w:val="Heading6"/>
        <w:numPr>
          <w:ilvl w:val="5"/>
          <w:numId w:val="1"/>
        </w:numPr>
        <w:rPr/>
      </w:pPr>
      <w:bookmarkStart w:id="3526" w:name="__RefHeading___Toc3973989_1067777946"/>
      <w:bookmarkStart w:id="3527" w:name="_Toc1502"/>
      <w:bookmarkEnd w:id="3526"/>
      <w:r>
        <w:rPr>
          <w:rtl w:val="true"/>
        </w:rPr>
        <w:t>بعض حشفه</w:t>
      </w:r>
      <w:bookmarkEnd w:id="3527"/>
    </w:p>
    <w:p>
      <w:pPr>
        <w:pStyle w:val="BookText"/>
        <w:rPr/>
      </w:pPr>
      <w:r>
        <w:rPr>
          <w:rFonts w:ascii="IRNazanin" w:hAnsi="IRNazanin" w:eastAsia="IRNazanin"/>
          <w:color w:val="111111"/>
          <w:sz w:val="28"/>
          <w:sz w:val="28"/>
          <w:szCs w:val="28"/>
          <w:rtl w:val="true"/>
          <w:lang w:bidi="fa-IR"/>
        </w:rPr>
        <w:t xml:space="preserve">اگر بعض حشفه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 آن سر آن تا موضع 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ديه آن با مساحت تمام حشفه تعيين مى شود نه مساحت تمام آلت رجوليت</w:t>
      </w:r>
      <w:r>
        <w:rPr>
          <w:rFonts w:eastAsia="IRNazanin" w:cs="IRNazanin"/>
          <w:color w:val="111111"/>
          <w:sz w:val="28"/>
          <w:szCs w:val="28"/>
          <w:rtl w:val="true"/>
          <w:lang w:bidi="fa-IR"/>
        </w:rPr>
        <w:t>.</w:t>
      </w:r>
    </w:p>
    <w:p>
      <w:pPr>
        <w:pStyle w:val="Heading6"/>
        <w:numPr>
          <w:ilvl w:val="5"/>
          <w:numId w:val="1"/>
        </w:numPr>
        <w:rPr/>
      </w:pPr>
      <w:bookmarkStart w:id="3528" w:name="__RefHeading___Toc3973991_1067777946"/>
      <w:bookmarkStart w:id="3529" w:name="_Toc1503"/>
      <w:bookmarkEnd w:id="3528"/>
      <w:r>
        <w:rPr>
          <w:rtl w:val="true"/>
        </w:rPr>
        <w:t>خرابى در مجراى بول</w:t>
      </w:r>
      <w:bookmarkEnd w:id="3529"/>
    </w:p>
    <w:p>
      <w:pPr>
        <w:pStyle w:val="BookText"/>
        <w:rPr/>
      </w:pPr>
      <w:r>
        <w:rPr>
          <w:rFonts w:ascii="IRNazanin" w:hAnsi="IRNazanin" w:eastAsia="IRNazanin"/>
          <w:color w:val="111111"/>
          <w:sz w:val="28"/>
          <w:sz w:val="28"/>
          <w:szCs w:val="28"/>
          <w:rtl w:val="true"/>
          <w:lang w:bidi="fa-IR"/>
        </w:rPr>
        <w:t>اگر انخرام در مجراى بول حاصل شد به واسطۀ قطع بعض حشفه، قسط مقطوع ثابت است و ارش هم براى رخنه در مجرى ثابت است، و جمع بين هر دو در مقابل اكتفا به اكثر از آنها احوط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قطع كرد حشفه را، در آن ديه كامله است؛ پس اگر به جنايت ديگرى بقيه قطع شد، در آن بقيه حكومت است</w:t>
      </w:r>
      <w:r>
        <w:rPr>
          <w:rFonts w:eastAsia="IRNazanin" w:cs="IRNazanin"/>
          <w:color w:val="111111"/>
          <w:sz w:val="28"/>
          <w:szCs w:val="28"/>
          <w:rtl w:val="true"/>
          <w:lang w:bidi="fa-IR"/>
        </w:rPr>
        <w:t xml:space="preserve">. </w:t>
      </w:r>
      <w:bookmarkStart w:id="3530" w:name="pg10275_97068"/>
    </w:p>
    <w:p>
      <w:pPr>
        <w:pStyle w:val="Heading6"/>
        <w:numPr>
          <w:ilvl w:val="5"/>
          <w:numId w:val="1"/>
        </w:numPr>
        <w:rPr/>
      </w:pPr>
      <w:bookmarkStart w:id="3531" w:name="__RefHeading___Toc3973993_1067777946"/>
      <w:bookmarkStart w:id="3532" w:name="_Toc1504"/>
      <w:bookmarkEnd w:id="3530"/>
      <w:bookmarkEnd w:id="3531"/>
      <w:r>
        <w:rPr>
          <w:rtl w:val="true"/>
        </w:rPr>
        <w:t>آلت عنّين</w:t>
      </w:r>
      <w:bookmarkEnd w:id="3532"/>
    </w:p>
    <w:p>
      <w:pPr>
        <w:pStyle w:val="BookText"/>
        <w:rPr/>
      </w:pPr>
      <w:r>
        <w:rPr>
          <w:rFonts w:ascii="IRNazanin" w:hAnsi="IRNazanin" w:eastAsia="IRNazanin"/>
          <w:color w:val="111111"/>
          <w:sz w:val="28"/>
          <w:sz w:val="28"/>
          <w:szCs w:val="28"/>
          <w:rtl w:val="true"/>
          <w:lang w:bidi="fa-IR"/>
        </w:rPr>
        <w:t>در آلت رجوليت از عنّين، ثلث ديۀ سالم است؛ پس اگر به واسطۀ جنايتى عنّين شد دو ثلث ديه بر جانى است</w:t>
      </w:r>
      <w:r>
        <w:rPr>
          <w:rFonts w:eastAsia="IRNazanin" w:cs="IRNazanin"/>
          <w:color w:val="111111"/>
          <w:sz w:val="28"/>
          <w:szCs w:val="28"/>
          <w:rtl w:val="true"/>
          <w:lang w:bidi="fa-IR"/>
        </w:rPr>
        <w:t>.</w:t>
      </w:r>
    </w:p>
    <w:p>
      <w:pPr>
        <w:pStyle w:val="Heading6"/>
        <w:numPr>
          <w:ilvl w:val="5"/>
          <w:numId w:val="1"/>
        </w:numPr>
        <w:rPr/>
      </w:pPr>
      <w:bookmarkStart w:id="3533" w:name="__RefHeading___Toc3973995_1067777946"/>
      <w:bookmarkStart w:id="3534" w:name="_Toc1505"/>
      <w:bookmarkEnd w:id="3533"/>
      <w:r>
        <w:rPr>
          <w:rtl w:val="true"/>
        </w:rPr>
        <w:t>مبتلا به شلل</w:t>
      </w:r>
      <w:bookmarkEnd w:id="3534"/>
    </w:p>
    <w:p>
      <w:pPr>
        <w:pStyle w:val="BookText"/>
        <w:rPr/>
      </w:pPr>
      <w:r>
        <w:rPr>
          <w:rFonts w:ascii="IRNazanin" w:hAnsi="IRNazanin" w:eastAsia="IRNazanin"/>
          <w:color w:val="111111"/>
          <w:sz w:val="28"/>
          <w:sz w:val="28"/>
          <w:szCs w:val="28"/>
          <w:rtl w:val="true"/>
          <w:lang w:bidi="fa-IR"/>
        </w:rPr>
        <w:t xml:space="preserve">و همچنين در مبتلىٰ به شلل در اين عضو اگر قطع شد، ثلث ديه در آن است؛ پس اگر به جنايتى صاحب شلل شد دو ثلث ديه بر 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شلل در اين عضو حاصل مى شود به انقباض دائم يا انبساط دائم اگر چه التذاذ و امنا به مثل مساحقه حاصل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قطع بعض آلت از عنّين يا اشلّ‌، به حساب تقدير مذكور در مجموع آلت نه در خصوص حشفه، تعيين ديه مى شود</w:t>
      </w:r>
      <w:r>
        <w:rPr>
          <w:rFonts w:eastAsia="Amiri" w:cs="Amiri" w:ascii="Amiri" w:hAnsi="Amiri"/>
          <w:color w:val="111111"/>
          <w:sz w:val="28"/>
          <w:szCs w:val="28"/>
          <w:rtl w:val="true"/>
          <w:lang w:bidi="ar-SA"/>
        </w:rPr>
        <w:t>.</w:t>
      </w:r>
    </w:p>
    <w:p>
      <w:pPr>
        <w:pStyle w:val="Heading6"/>
        <w:numPr>
          <w:ilvl w:val="5"/>
          <w:numId w:val="1"/>
        </w:numPr>
        <w:rPr/>
      </w:pPr>
      <w:bookmarkStart w:id="3535" w:name="__RefHeading___Toc3973997_1067777946"/>
      <w:bookmarkStart w:id="3536" w:name="_Toc1506"/>
      <w:bookmarkEnd w:id="3535"/>
      <w:r>
        <w:rPr>
          <w:rtl w:val="true"/>
        </w:rPr>
        <w:t>قطع نصف در طول</w:t>
      </w:r>
      <w:bookmarkEnd w:id="3536"/>
    </w:p>
    <w:p>
      <w:pPr>
        <w:pStyle w:val="BookText"/>
        <w:rPr/>
      </w:pPr>
      <w:r>
        <w:rPr>
          <w:rFonts w:ascii="IRNazanin" w:hAnsi="IRNazanin" w:eastAsia="IRNazanin"/>
          <w:color w:val="111111"/>
          <w:sz w:val="28"/>
          <w:sz w:val="28"/>
          <w:szCs w:val="28"/>
          <w:rtl w:val="true"/>
          <w:lang w:bidi="fa-IR"/>
        </w:rPr>
        <w:t xml:space="preserve">اگر نصف آلت را در طول قطع كرد و در بقيّه نقصانى از كيفيت حاصل نشد نصف ديه بر او است؛ و اگر در بقيه شلل حادث شد افزوده مى شود بر نصف ديۀ مقطوع، دو ثلث ديۀ مشلول در حال سلامت، و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ديه مى شود</w:t>
      </w:r>
      <w:r>
        <w:rPr>
          <w:rFonts w:eastAsia="IRNazanin" w:cs="IRNazanin"/>
          <w:color w:val="111111"/>
          <w:sz w:val="28"/>
          <w:szCs w:val="28"/>
          <w:rtl w:val="true"/>
          <w:lang w:bidi="fa-IR"/>
        </w:rPr>
        <w:t>.</w:t>
      </w:r>
    </w:p>
    <w:p>
      <w:pPr>
        <w:pStyle w:val="Heading6"/>
        <w:numPr>
          <w:ilvl w:val="5"/>
          <w:numId w:val="1"/>
        </w:numPr>
        <w:rPr/>
      </w:pPr>
      <w:bookmarkStart w:id="3537" w:name="__RefHeading___Toc3973999_1067777946"/>
      <w:bookmarkStart w:id="3538" w:name="_Toc1507"/>
      <w:bookmarkEnd w:id="3537"/>
      <w:r>
        <w:rPr>
          <w:rtl w:val="true"/>
        </w:rPr>
        <w:t>قطع آلت خنثىٰ‌</w:t>
      </w:r>
      <w:bookmarkEnd w:id="3538"/>
    </w:p>
    <w:p>
      <w:pPr>
        <w:pStyle w:val="BookText"/>
        <w:rPr/>
      </w:pPr>
      <w:r>
        <w:rPr>
          <w:rFonts w:ascii="IRNazanin" w:hAnsi="IRNazanin" w:eastAsia="IRNazanin"/>
          <w:color w:val="111111"/>
          <w:sz w:val="28"/>
          <w:sz w:val="28"/>
          <w:szCs w:val="28"/>
          <w:rtl w:val="true"/>
          <w:lang w:bidi="fa-IR"/>
        </w:rPr>
        <w:t>در قطع آلت خنثى، در صورت زن بودن يا مشكل بودن او حكومت است، و اگر معلوم شود مرد بودنِ او ديۀ آلت و ديۀ خصيتين ثابت است</w:t>
      </w:r>
      <w:r>
        <w:rPr>
          <w:rFonts w:eastAsia="IRNazanin" w:cs="IRNazanin"/>
          <w:color w:val="111111"/>
          <w:sz w:val="28"/>
          <w:szCs w:val="28"/>
          <w:rtl w:val="true"/>
          <w:lang w:bidi="fa-IR"/>
        </w:rPr>
        <w:t>.</w:t>
      </w:r>
    </w:p>
    <w:p>
      <w:pPr>
        <w:pStyle w:val="Heading6"/>
        <w:numPr>
          <w:ilvl w:val="5"/>
          <w:numId w:val="1"/>
        </w:numPr>
        <w:rPr/>
      </w:pPr>
      <w:bookmarkStart w:id="3539" w:name="__RefHeading___Toc3974001_1067777946"/>
      <w:bookmarkStart w:id="3540" w:name="_Toc1508"/>
      <w:bookmarkEnd w:id="3539"/>
      <w:r>
        <w:rPr>
          <w:rtl w:val="true"/>
        </w:rPr>
        <w:t>خصيتين</w:t>
      </w:r>
      <w:bookmarkEnd w:id="354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خصيتين با هم ديه كامله است؛ و در قطع يا ازاله يكى، دو ثلث در واقع در طرف چپ، و يك ثلث در واقع در طرف راست ثابت است بنا بر اظهر؛ و فرقى بين پير و جوان در تفصيل مذكور نيست؛ و هم چنين مقطوع بودن آلت رجوليت يا شلل در آن، </w:t>
      </w:r>
      <w:bookmarkStart w:id="3541" w:name="pg10275_97069"/>
    </w:p>
    <w:p>
      <w:pPr>
        <w:pStyle w:val="BookText"/>
        <w:rPr/>
      </w:pPr>
      <w:bookmarkEnd w:id="3541"/>
      <w:r>
        <w:rPr>
          <w:rFonts w:ascii="Amiri" w:hAnsi="Amiri" w:eastAsia="Amiri" w:cs="Amiri"/>
          <w:color w:val="111111"/>
          <w:sz w:val="28"/>
          <w:sz w:val="28"/>
          <w:szCs w:val="28"/>
          <w:rtl w:val="true"/>
          <w:lang w:bidi="ar-SA"/>
        </w:rPr>
        <w:t>تأثيرى در تفصيل مذكور در خصيتين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انتفاخ هر دو خصيه، چهار صد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است كه هر دينار يك مثقال شرعى از طلاى خالص مسكوك است، و اگر سبب عدم قدرت بر مشى مفيد باشد ديه آن هشتصد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w:t>
      </w:r>
      <w:r>
        <w:rPr>
          <w:rFonts w:eastAsia="IRNazanin" w:cs="IRNazanin"/>
          <w:color w:val="111111"/>
          <w:sz w:val="28"/>
          <w:szCs w:val="28"/>
          <w:rtl w:val="true"/>
          <w:lang w:bidi="fa-IR"/>
        </w:rPr>
        <w:t>.</w:t>
      </w:r>
    </w:p>
    <w:p>
      <w:pPr>
        <w:pStyle w:val="Heading6"/>
        <w:numPr>
          <w:ilvl w:val="5"/>
          <w:numId w:val="1"/>
        </w:numPr>
        <w:rPr/>
      </w:pPr>
      <w:bookmarkStart w:id="3542" w:name="__RefHeading___Toc3974003_1067777946"/>
      <w:bookmarkStart w:id="3543" w:name="_Toc1509"/>
      <w:bookmarkEnd w:id="3542"/>
      <w:r>
        <w:rPr/>
        <w:t>16</w:t>
      </w:r>
      <w:r>
        <w:rPr>
          <w:rtl w:val="true"/>
        </w:rPr>
        <w:t xml:space="preserve">. </w:t>
      </w:r>
      <w:r>
        <w:rPr>
          <w:rtl w:val="true"/>
        </w:rPr>
        <w:t>شفران</w:t>
      </w:r>
      <w:bookmarkEnd w:id="3543"/>
    </w:p>
    <w:p>
      <w:pPr>
        <w:pStyle w:val="Heading6"/>
        <w:numPr>
          <w:ilvl w:val="5"/>
          <w:numId w:val="1"/>
        </w:numPr>
        <w:rPr/>
      </w:pPr>
      <w:bookmarkStart w:id="3544" w:name="__RefHeading___Toc3974005_1067777946"/>
      <w:bookmarkStart w:id="3545" w:name="_Toc1510"/>
      <w:bookmarkEnd w:id="3544"/>
      <w:r>
        <w:rPr>
          <w:rtl w:val="true"/>
        </w:rPr>
        <w:t>اشاره</w:t>
      </w:r>
      <w:bookmarkEnd w:id="3545"/>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گوشتهاى كنار فرج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منزله پلك هاى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شود يا ازاله شود، تمام ديۀ او است؛ و در ازاله يكى از آن دو، نصف ديۀ او است؛ و سلامت فرج و عدم سلامت آن، فرقى در اين ديه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سبب جنايت يا خلقت يا آفت، شللى در آنها بود ثلث ديه در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قطع مبتلا به شلل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آن كه در احداث اين شلل بدون قطع، دو ثلث 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ركب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جاى عانۀ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عانه مرد، حكومت است چه آن كه به نحو استقلال قطع بشود يا به نحو تبعيت قطع فرج يا آلت رجوليت</w:t>
      </w:r>
      <w:r>
        <w:rPr>
          <w:rFonts w:eastAsia="IRNazanin" w:cs="IRNazanin"/>
          <w:color w:val="111111"/>
          <w:sz w:val="28"/>
          <w:szCs w:val="28"/>
          <w:rtl w:val="true"/>
          <w:lang w:bidi="fa-IR"/>
        </w:rPr>
        <w:t>.</w:t>
      </w:r>
    </w:p>
    <w:p>
      <w:pPr>
        <w:pStyle w:val="Heading6"/>
        <w:numPr>
          <w:ilvl w:val="5"/>
          <w:numId w:val="1"/>
        </w:numPr>
        <w:rPr/>
      </w:pPr>
      <w:bookmarkStart w:id="3546" w:name="__RefHeading___Toc3974007_1067777946"/>
      <w:bookmarkStart w:id="3547" w:name="_Toc1511"/>
      <w:bookmarkEnd w:id="3546"/>
      <w:r>
        <w:rPr>
          <w:rtl w:val="true"/>
        </w:rPr>
        <w:t>ديۀ افضا</w:t>
      </w:r>
      <w:bookmarkEnd w:id="3547"/>
    </w:p>
    <w:p>
      <w:pPr>
        <w:pStyle w:val="BookText"/>
        <w:rPr/>
      </w:pPr>
      <w:r>
        <w:rPr>
          <w:rFonts w:ascii="IRNazanin" w:hAnsi="IRNazanin" w:eastAsia="IRNazanin"/>
          <w:color w:val="111111"/>
          <w:sz w:val="28"/>
          <w:sz w:val="28"/>
          <w:szCs w:val="28"/>
          <w:rtl w:val="true"/>
          <w:lang w:bidi="fa-IR"/>
        </w:rPr>
        <w:t xml:space="preserve">در افضاى زن آزاد با عدم اندمال به نحو صحيح تمام ديۀ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نكاح مذكور است، و هم چنين ثبوت ارش يا ديه در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 حسب مذكور در كتاب نكاح، ساقط مى شود ديه از زوج اگر افضا به سبب وطى او باشد و بعد از بلوغ زن باشد؛ و اگر قبل از بلوغ باشد، ضامن است مهر و ديۀ او را اگر به سبب جماع افضا شده يا به غير آن با عدم موجب تنصيف مهر، و بايد انفاق نمايد بر زوجه تا وفات يكى از زوجين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زوج نبوده و با اكراه اين عمل را انجام داده، مهر و ديه براى او ثابت است؛ و اگر آزاد بوده و مكرَهه نبوده فقط ديه را مستحِقّه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استحقاق مهر المثل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بود پس در استحقاق ارش </w:t>
      </w:r>
      <w:bookmarkStart w:id="3548" w:name="pg10275_97070"/>
    </w:p>
    <w:p>
      <w:pPr>
        <w:pStyle w:val="BookText"/>
        <w:rPr/>
      </w:pPr>
      <w:bookmarkEnd w:id="3548"/>
      <w:r>
        <w:rPr>
          <w:rFonts w:ascii="Amiri" w:hAnsi="Amiri" w:eastAsia="Amiri" w:cs="Amiri"/>
          <w:color w:val="111111"/>
          <w:sz w:val="28"/>
          <w:sz w:val="28"/>
          <w:szCs w:val="28"/>
          <w:rtl w:val="true"/>
          <w:lang w:bidi="ar-SA"/>
        </w:rPr>
        <w:t xml:space="preserve">بكارت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زايد بر مهر المثل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است و اظهر تداخل در مهر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مطاوِعه مهر نيست و در ثبوت ارش بكارت براى او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ارش بكارت در كنيز چه مطاوِعه باشد يا با اكراه بكارت او ازاله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ديۀ افضا مثل مهر و ارش بنا بر ثبوت آن، از مال مفضى است در عمد محض و در شبه عمد از خطأ، و بر عاقله است در خطأ محض كه در افضاى تصوير مى شود</w:t>
      </w:r>
      <w:r>
        <w:rPr>
          <w:rFonts w:eastAsia="Amiri" w:cs="Amiri" w:ascii="Amiri" w:hAnsi="Amiri"/>
          <w:color w:val="111111"/>
          <w:sz w:val="28"/>
          <w:szCs w:val="28"/>
          <w:rtl w:val="true"/>
          <w:lang w:bidi="ar-SA"/>
        </w:rPr>
        <w:t>.</w:t>
      </w:r>
    </w:p>
    <w:p>
      <w:pPr>
        <w:pStyle w:val="Heading6"/>
        <w:numPr>
          <w:ilvl w:val="5"/>
          <w:numId w:val="1"/>
        </w:numPr>
        <w:rPr/>
      </w:pPr>
      <w:bookmarkStart w:id="3549" w:name="__RefHeading___Toc3974009_1067777946"/>
      <w:bookmarkStart w:id="3550" w:name="_Toc1512"/>
      <w:bookmarkEnd w:id="3549"/>
      <w:r>
        <w:rPr/>
        <w:t>17</w:t>
      </w:r>
      <w:r>
        <w:rPr>
          <w:rtl w:val="true"/>
        </w:rPr>
        <w:t xml:space="preserve">. </w:t>
      </w:r>
      <w:r>
        <w:rPr>
          <w:rtl w:val="true"/>
        </w:rPr>
        <w:t>اليتين</w:t>
      </w:r>
      <w:bookmarkEnd w:id="3550"/>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يا ازالۀ اليتين ديه كامله؛ و در يكى از آن دو، نصف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برآمدگى گوشت بين پشت و 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تسويۀ همه، ازالۀ اليه است</w:t>
      </w:r>
      <w:r>
        <w:rPr>
          <w:rFonts w:eastAsia="IRNazanin" w:cs="IRNazanin"/>
          <w:color w:val="111111"/>
          <w:sz w:val="28"/>
          <w:szCs w:val="28"/>
          <w:rtl w:val="true"/>
          <w:lang w:bidi="fa-IR"/>
        </w:rPr>
        <w:t>.</w:t>
      </w:r>
    </w:p>
    <w:p>
      <w:pPr>
        <w:pStyle w:val="Heading6"/>
        <w:numPr>
          <w:ilvl w:val="5"/>
          <w:numId w:val="1"/>
        </w:numPr>
        <w:rPr/>
      </w:pPr>
      <w:bookmarkStart w:id="3551" w:name="__RefHeading___Toc3974011_1067777946"/>
      <w:bookmarkStart w:id="3552" w:name="_Toc1513"/>
      <w:bookmarkEnd w:id="3551"/>
      <w:r>
        <w:rPr/>
        <w:t>18</w:t>
      </w:r>
      <w:r>
        <w:rPr>
          <w:rtl w:val="true"/>
        </w:rPr>
        <w:t xml:space="preserve">. </w:t>
      </w:r>
      <w:r>
        <w:rPr>
          <w:rtl w:val="true"/>
        </w:rPr>
        <w:t>پا</w:t>
      </w:r>
      <w:bookmarkEnd w:id="3552"/>
    </w:p>
    <w:p>
      <w:pPr>
        <w:pStyle w:val="Heading6"/>
        <w:numPr>
          <w:ilvl w:val="5"/>
          <w:numId w:val="1"/>
        </w:numPr>
        <w:rPr/>
      </w:pPr>
      <w:bookmarkStart w:id="3553" w:name="__RefHeading___Toc3974013_1067777946"/>
      <w:bookmarkStart w:id="3554" w:name="_Toc1514"/>
      <w:bookmarkEnd w:id="3553"/>
      <w:r>
        <w:rPr>
          <w:rtl w:val="true"/>
        </w:rPr>
        <w:t>اشاره</w:t>
      </w:r>
      <w:bookmarkEnd w:id="3554"/>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دو پا تمام ديه است؛ و در يكى نصف ديه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 آنها مفصل ساق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قطع بعضى از مفصل و ازيد، جارى است آن چه در قطع بعض زند و زايد، در كف، مذكور شد با تفصيل آن</w:t>
      </w:r>
      <w:r>
        <w:rPr>
          <w:rFonts w:eastAsia="IRNazanin" w:cs="IRNazanin"/>
          <w:color w:val="111111"/>
          <w:sz w:val="28"/>
          <w:szCs w:val="28"/>
          <w:rtl w:val="true"/>
          <w:lang w:bidi="fa-IR"/>
        </w:rPr>
        <w:t>.</w:t>
      </w:r>
    </w:p>
    <w:p>
      <w:pPr>
        <w:pStyle w:val="Heading6"/>
        <w:numPr>
          <w:ilvl w:val="5"/>
          <w:numId w:val="1"/>
        </w:numPr>
        <w:rPr/>
      </w:pPr>
      <w:bookmarkStart w:id="3555" w:name="__RefHeading___Toc3974015_1067777946"/>
      <w:bookmarkStart w:id="3556" w:name="_Toc1515"/>
      <w:bookmarkEnd w:id="3555"/>
      <w:r>
        <w:rPr>
          <w:rtl w:val="true"/>
        </w:rPr>
        <w:t>قطع انگشتان پا</w:t>
      </w:r>
      <w:bookmarkEnd w:id="3556"/>
    </w:p>
    <w:p>
      <w:pPr>
        <w:pStyle w:val="BookText"/>
        <w:rPr/>
      </w:pPr>
      <w:r>
        <w:rPr>
          <w:rFonts w:ascii="IRNazanin" w:hAnsi="IRNazanin" w:eastAsia="IRNazanin"/>
          <w:color w:val="111111"/>
          <w:sz w:val="28"/>
          <w:sz w:val="28"/>
          <w:szCs w:val="28"/>
          <w:rtl w:val="true"/>
          <w:lang w:bidi="fa-IR"/>
        </w:rPr>
        <w:t>در قطع تمام اصابع جدا از كف پاها تمام ديه است؛ و در هر انگشتى عُشر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تساوى ابهام با غير، جارى است خلاف ثابت در دستها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انگشتى مقسوم بر سه بند است، مگر ابهام كه مقسوم بر دو بند است</w:t>
      </w:r>
      <w:r>
        <w:rPr>
          <w:rFonts w:eastAsia="IRNazanin" w:cs="IRNazanin"/>
          <w:color w:val="111111"/>
          <w:sz w:val="28"/>
          <w:szCs w:val="28"/>
          <w:rtl w:val="true"/>
          <w:lang w:bidi="fa-IR"/>
        </w:rPr>
        <w:t>.</w:t>
      </w:r>
    </w:p>
    <w:p>
      <w:pPr>
        <w:pStyle w:val="Heading6"/>
        <w:numPr>
          <w:ilvl w:val="5"/>
          <w:numId w:val="1"/>
        </w:numPr>
        <w:rPr/>
      </w:pPr>
      <w:bookmarkStart w:id="3557" w:name="__RefHeading___Toc3974017_1067777946"/>
      <w:bookmarkStart w:id="3558" w:name="_Toc1516"/>
      <w:bookmarkEnd w:id="3557"/>
      <w:r>
        <w:rPr>
          <w:rtl w:val="true"/>
        </w:rPr>
        <w:t>پاى زايد</w:t>
      </w:r>
      <w:bookmarkEnd w:id="3558"/>
    </w:p>
    <w:p>
      <w:pPr>
        <w:pStyle w:val="BookText"/>
        <w:rPr/>
      </w:pPr>
      <w:r>
        <w:rPr>
          <w:rFonts w:ascii="IRNazanin" w:hAnsi="IRNazanin" w:eastAsia="IRNazanin"/>
          <w:color w:val="111111"/>
          <w:sz w:val="28"/>
          <w:sz w:val="28"/>
          <w:szCs w:val="28"/>
          <w:rtl w:val="true"/>
          <w:lang w:bidi="fa-IR"/>
        </w:rPr>
        <w:t xml:space="preserve">و پاى زايد حكم دست زايد را دارد، و تفصيل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بين دست زايد و پاى زايد قابل منع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ساقين و فخذين ديه كامله، و در نصف هر كدام از آنها نصف ديه است، به ترتيبى كه در يدين و ذراعين و عضدين گذشت از حيث آن كه مستقل در قطع يا ضميمه باشند</w:t>
      </w:r>
      <w:r>
        <w:rPr>
          <w:rFonts w:eastAsia="IRNazanin" w:cs="IRNazanin"/>
          <w:color w:val="111111"/>
          <w:sz w:val="28"/>
          <w:szCs w:val="28"/>
          <w:rtl w:val="true"/>
          <w:lang w:bidi="fa-IR"/>
        </w:rPr>
        <w:t xml:space="preserve">. </w:t>
      </w:r>
      <w:bookmarkStart w:id="3559" w:name="pg10275_97071"/>
    </w:p>
    <w:p>
      <w:pPr>
        <w:pStyle w:val="Heading5"/>
        <w:numPr>
          <w:ilvl w:val="4"/>
          <w:numId w:val="1"/>
        </w:numPr>
        <w:rPr/>
      </w:pPr>
      <w:bookmarkStart w:id="3560" w:name="__RefHeading___Toc3974019_1067777946"/>
      <w:bookmarkStart w:id="3561" w:name="_Toc1517"/>
      <w:bookmarkEnd w:id="3559"/>
      <w:bookmarkEnd w:id="3560"/>
      <w:r>
        <w:rPr>
          <w:rtl w:val="true"/>
        </w:rPr>
        <w:t>چند مسأله</w:t>
      </w:r>
      <w:bookmarkEnd w:id="3561"/>
    </w:p>
    <w:p>
      <w:pPr>
        <w:pStyle w:val="Heading6"/>
        <w:numPr>
          <w:ilvl w:val="5"/>
          <w:numId w:val="1"/>
        </w:numPr>
        <w:rPr/>
      </w:pPr>
      <w:bookmarkStart w:id="3562" w:name="__RefHeading___Toc3974021_1067777946"/>
      <w:bookmarkStart w:id="3563" w:name="_Toc1518"/>
      <w:bookmarkEnd w:id="3562"/>
      <w:r>
        <w:rPr>
          <w:rtl w:val="true"/>
        </w:rPr>
        <w:t>استخوانهاى نزديك قلب</w:t>
      </w:r>
      <w:bookmarkEnd w:id="3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اضلاع، آن چه در نزديكى قلب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است، و آن چه در نزديكى بازوها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 كه در نص و فتوى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مخالطۀ قلب و قرب بازوها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شائبه اجمال نيست لذا در غير متيقن، احتياط مناسب است</w:t>
      </w:r>
      <w:r>
        <w:rPr>
          <w:rFonts w:eastAsia="IRNazanin" w:cs="IRNazanin"/>
          <w:color w:val="111111"/>
          <w:sz w:val="28"/>
          <w:szCs w:val="28"/>
          <w:rtl w:val="true"/>
          <w:lang w:bidi="fa-IR"/>
        </w:rPr>
        <w:t>.</w:t>
      </w:r>
    </w:p>
    <w:p>
      <w:pPr>
        <w:pStyle w:val="Heading6"/>
        <w:numPr>
          <w:ilvl w:val="5"/>
          <w:numId w:val="1"/>
        </w:numPr>
        <w:rPr/>
      </w:pPr>
      <w:bookmarkStart w:id="3564" w:name="__RefHeading___Toc3974023_1067777946"/>
      <w:bookmarkStart w:id="3565" w:name="_Toc1519"/>
      <w:bookmarkEnd w:id="3564"/>
      <w:r>
        <w:rPr>
          <w:rtl w:val="true"/>
        </w:rPr>
        <w:t>شكسته شدن استخوان نشيمن گاه</w:t>
      </w:r>
      <w:bookmarkEnd w:id="35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شكست استخوان نشيمن گاه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مالك اخراج غايط نباشد، يا آن كه زد عجان را كه ما بين خصيتين و فقحه است به حدّى كه مالك بول و غايط نباشد، در هر كدام از اين دو، ديه كامله است</w:t>
      </w:r>
      <w:r>
        <w:rPr>
          <w:rFonts w:eastAsia="IRNazanin" w:cs="IRNazanin"/>
          <w:color w:val="111111"/>
          <w:sz w:val="28"/>
          <w:szCs w:val="28"/>
          <w:rtl w:val="true"/>
          <w:lang w:bidi="fa-IR"/>
        </w:rPr>
        <w:t>.</w:t>
      </w:r>
    </w:p>
    <w:p>
      <w:pPr>
        <w:pStyle w:val="Heading6"/>
        <w:numPr>
          <w:ilvl w:val="5"/>
          <w:numId w:val="1"/>
        </w:numPr>
        <w:rPr/>
      </w:pPr>
      <w:bookmarkStart w:id="3566" w:name="__RefHeading___Toc3974025_1067777946"/>
      <w:bookmarkStart w:id="3567" w:name="_Toc1520"/>
      <w:bookmarkEnd w:id="3566"/>
      <w:r>
        <w:rPr>
          <w:rtl w:val="true"/>
        </w:rPr>
        <w:t>ديه شكستن استخوان هر عضوى</w:t>
      </w:r>
      <w:bookmarkEnd w:id="3567"/>
    </w:p>
    <w:p>
      <w:pPr>
        <w:pStyle w:val="Heading6"/>
        <w:numPr>
          <w:ilvl w:val="5"/>
          <w:numId w:val="1"/>
        </w:numPr>
        <w:rPr/>
      </w:pPr>
      <w:bookmarkStart w:id="3568" w:name="__RefHeading___Toc3974027_1067777946"/>
      <w:bookmarkStart w:id="3569" w:name="_Toc1521"/>
      <w:bookmarkEnd w:id="3568"/>
      <w:r>
        <w:rPr>
          <w:rtl w:val="true"/>
        </w:rPr>
        <w:t>اشاره</w:t>
      </w:r>
      <w:bookmarkEnd w:id="35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شكستن استخوان از هر عضوى كه مقدّرى دارد، خمس ديۀ آن عضو است؛ و اگر به سلامت عود كرد بدون عيب در آن چهار خمس ديۀ كسر آن است بنا 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صلح است در اوّلى، و با ملاحظه اكثر از اين مقدار و ارش در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احوط صلح است بر آن چه مشهور است كه ربع ديۀ كسر هر عضوى در موضحۀ آن عضو است</w:t>
      </w:r>
      <w:r>
        <w:rPr>
          <w:rFonts w:eastAsia="IRNazanin" w:cs="IRNazanin"/>
          <w:color w:val="111111"/>
          <w:sz w:val="28"/>
          <w:szCs w:val="28"/>
          <w:rtl w:val="true"/>
          <w:lang w:bidi="fa-IR"/>
        </w:rPr>
        <w:t>.</w:t>
      </w:r>
    </w:p>
    <w:p>
      <w:pPr>
        <w:pStyle w:val="Heading6"/>
        <w:numPr>
          <w:ilvl w:val="5"/>
          <w:numId w:val="1"/>
        </w:numPr>
        <w:rPr/>
      </w:pPr>
      <w:bookmarkStart w:id="3570" w:name="__RefHeading___Toc3974029_1067777946"/>
      <w:bookmarkStart w:id="3571" w:name="_Toc1522"/>
      <w:bookmarkEnd w:id="3570"/>
      <w:r>
        <w:rPr>
          <w:rtl w:val="true"/>
        </w:rPr>
        <w:t>كوبيده شدن هر عضوى</w:t>
      </w:r>
      <w:bookmarkEnd w:id="357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رضّ هر عضوى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كوبيدن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ديه آن عضو است اگر برء حاصل نشد يا حاصل شد با عيب؛ و اگر بدون عيب، برء حاصل شد پس در آن چهار خمس ديه رضّ است بنا بر مشهور؛ و احوط صلح است در هر دو صورت، با ملاحظه اكثر از ارش و اين مقدار در دوّمى</w:t>
      </w:r>
      <w:r>
        <w:rPr>
          <w:rFonts w:eastAsia="IRNazanin" w:cs="IRNazanin"/>
          <w:color w:val="111111"/>
          <w:sz w:val="28"/>
          <w:szCs w:val="28"/>
          <w:rtl w:val="true"/>
          <w:lang w:bidi="fa-IR"/>
        </w:rPr>
        <w:t xml:space="preserve">. </w:t>
      </w:r>
      <w:bookmarkStart w:id="3572" w:name="pg10275_97072"/>
    </w:p>
    <w:p>
      <w:pPr>
        <w:pStyle w:val="Heading6"/>
        <w:numPr>
          <w:ilvl w:val="5"/>
          <w:numId w:val="1"/>
        </w:numPr>
        <w:rPr/>
      </w:pPr>
      <w:bookmarkStart w:id="3573" w:name="__RefHeading___Toc3974031_1067777946"/>
      <w:bookmarkStart w:id="3574" w:name="_Toc1523"/>
      <w:bookmarkEnd w:id="3572"/>
      <w:bookmarkEnd w:id="3573"/>
      <w:r>
        <w:rPr>
          <w:rtl w:val="true"/>
        </w:rPr>
        <w:t>كندن و جدا شدن استخوان</w:t>
      </w:r>
      <w:bookmarkEnd w:id="3574"/>
    </w:p>
    <w:p>
      <w:pPr>
        <w:pStyle w:val="BookText"/>
        <w:rPr/>
      </w:pPr>
      <w:r>
        <w:rPr>
          <w:rFonts w:ascii="IRNazanin" w:hAnsi="IRNazanin" w:eastAsia="IRNazanin"/>
          <w:color w:val="111111"/>
          <w:sz w:val="28"/>
          <w:sz w:val="28"/>
          <w:szCs w:val="28"/>
          <w:rtl w:val="true"/>
          <w:lang w:bidi="fa-IR"/>
        </w:rPr>
        <w:t>در فكّ و فصل استخوان از عضوى به نحوى كه موجب تعطيل آن باشد، دو ثلث ديۀ همان عضو است، مثل شلل؛ پس اگر به سلامت عود كرد بدون عيب و عثم</w:t>
      </w:r>
      <w:r>
        <w:rPr>
          <w:rStyle w:val="FootnoteAnchor"/>
          <w:rtl w:val="true"/>
        </w:rPr>
        <w:footnoteReference w:id="23"/>
      </w:r>
      <w:r>
        <w:rPr>
          <w:rFonts w:ascii="IRNazanin" w:hAnsi="IRNazanin" w:eastAsia="IRNazanin"/>
          <w:color w:val="111111"/>
          <w:sz w:val="28"/>
          <w:sz w:val="28"/>
          <w:szCs w:val="28"/>
          <w:rtl w:val="true"/>
          <w:lang w:bidi="fa-IR"/>
        </w:rPr>
        <w:t>چهار خمس ديۀ فكّ آن ثابت است</w:t>
      </w:r>
      <w:r>
        <w:rPr>
          <w:rFonts w:eastAsia="IRNazanin" w:cs="IRNazanin"/>
          <w:color w:val="111111"/>
          <w:sz w:val="28"/>
          <w:szCs w:val="28"/>
          <w:rtl w:val="true"/>
          <w:lang w:bidi="fa-IR"/>
        </w:rPr>
        <w:t>.</w:t>
      </w:r>
    </w:p>
    <w:p>
      <w:pPr>
        <w:pStyle w:val="Heading6"/>
        <w:numPr>
          <w:ilvl w:val="5"/>
          <w:numId w:val="1"/>
        </w:numPr>
        <w:rPr/>
      </w:pPr>
      <w:bookmarkStart w:id="3575" w:name="__RefHeading___Toc3974033_1067777946"/>
      <w:bookmarkStart w:id="3576" w:name="_Toc1524"/>
      <w:bookmarkEnd w:id="3575"/>
      <w:r>
        <w:rPr>
          <w:rtl w:val="true"/>
        </w:rPr>
        <w:t>استخوانهاى ترقوه</w:t>
      </w:r>
      <w:bookmarkEnd w:id="3576"/>
    </w:p>
    <w:p>
      <w:pPr>
        <w:pStyle w:val="Heading6"/>
        <w:numPr>
          <w:ilvl w:val="5"/>
          <w:numId w:val="1"/>
        </w:numPr>
        <w:rPr/>
      </w:pPr>
      <w:bookmarkStart w:id="3577" w:name="__RefHeading___Toc3974035_1067777946"/>
      <w:bookmarkStart w:id="3578" w:name="_Toc1525"/>
      <w:bookmarkEnd w:id="3577"/>
      <w:r>
        <w:rPr>
          <w:rtl w:val="true"/>
        </w:rPr>
        <w:t>اشاره</w:t>
      </w:r>
      <w:bookmarkEnd w:id="35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استخوانهاى دو طرف فرورفتگى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التيام و صلاح بدون عيب، احوط ازيد از ارش و چهل دينار است كه با مصالحه تأديه شود؛ و در صورت عدم التيام بدون عيب، احوط مصالحه به ديه در هر دو، و نصف آن در يكى، با ارش نقص است، يعنى با مصالحه در اكثر و نحو آن تأديه شود؛ و ديه و نصف آن، منقول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جمعى از متأخرين آن را اختيار نموده اند</w:t>
      </w:r>
      <w:r>
        <w:rPr>
          <w:rFonts w:eastAsia="IRNazanin" w:cs="IRNazanin"/>
          <w:color w:val="111111"/>
          <w:sz w:val="28"/>
          <w:szCs w:val="28"/>
          <w:rtl w:val="true"/>
          <w:lang w:bidi="fa-IR"/>
        </w:rPr>
        <w:t>.</w:t>
      </w:r>
    </w:p>
    <w:p>
      <w:pPr>
        <w:pStyle w:val="Heading6"/>
        <w:numPr>
          <w:ilvl w:val="5"/>
          <w:numId w:val="1"/>
        </w:numPr>
        <w:rPr/>
      </w:pPr>
      <w:bookmarkStart w:id="3579" w:name="__RefHeading___Toc3974037_1067777946"/>
      <w:bookmarkStart w:id="3580" w:name="_Toc1526"/>
      <w:bookmarkEnd w:id="3579"/>
      <w:r>
        <w:rPr>
          <w:rtl w:val="true"/>
        </w:rPr>
        <w:t>شكافتن، ادخال موضحه، نقل استخوان و سوراخ نمودن آن</w:t>
      </w:r>
      <w:bookmarkEnd w:id="3580"/>
    </w:p>
    <w:p>
      <w:pPr>
        <w:pStyle w:val="BookText"/>
        <w:rPr/>
      </w:pPr>
      <w:r>
        <w:rPr>
          <w:rFonts w:ascii="IRNazanin" w:hAnsi="IRNazanin" w:eastAsia="IRNazanin"/>
          <w:color w:val="111111"/>
          <w:sz w:val="28"/>
          <w:sz w:val="28"/>
          <w:szCs w:val="28"/>
          <w:rtl w:val="true"/>
          <w:lang w:bidi="fa-IR"/>
        </w:rPr>
        <w:t xml:space="preserve">و در شكافتن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يا چهار خمس ديه شكستن آن است به نحو صلح متقدم احتياطى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موضحۀ آن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يا ارش به نحو متقدم؛ و در نقل استخوانها نصف ديۀ شكستن كه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است يا حكومت به نحو متقدم؛ و در نقب آن و سوراخ كردن آن ربع ديۀ شكستن آن كه ده دينار است يا حكومت به نحو متقدم احتياطى است</w:t>
      </w:r>
      <w:r>
        <w:rPr>
          <w:rFonts w:eastAsia="Amiri" w:cs="Amiri" w:ascii="Amiri" w:hAnsi="Amiri"/>
          <w:color w:val="111111"/>
          <w:sz w:val="28"/>
          <w:szCs w:val="28"/>
          <w:rtl w:val="true"/>
          <w:lang w:bidi="ar-SA"/>
        </w:rPr>
        <w:t>.</w:t>
      </w:r>
    </w:p>
    <w:p>
      <w:pPr>
        <w:pStyle w:val="Heading6"/>
        <w:numPr>
          <w:ilvl w:val="5"/>
          <w:numId w:val="1"/>
        </w:numPr>
        <w:rPr/>
      </w:pPr>
      <w:bookmarkStart w:id="3581" w:name="__RefHeading___Toc3974039_1067777946"/>
      <w:bookmarkStart w:id="3582" w:name="_Toc1527"/>
      <w:bookmarkEnd w:id="3581"/>
      <w:r>
        <w:rPr>
          <w:rtl w:val="true"/>
        </w:rPr>
        <w:t>كوبيدن به شكم و خارج شدن غير اختيارى بول يا غايط از آن</w:t>
      </w:r>
      <w:bookmarkEnd w:id="35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كوبيد به شكم شخصى تا آن كه حدثى از بول يا غايط از او بدون اختيار خارج شد احوط در آن صلح به ثلث ديه يا ارش است</w:t>
      </w:r>
      <w:r>
        <w:rPr>
          <w:rFonts w:eastAsia="Amiri" w:cs="Amiri" w:ascii="Amiri" w:hAnsi="Amiri"/>
          <w:color w:val="111111"/>
          <w:sz w:val="28"/>
          <w:szCs w:val="28"/>
          <w:rtl w:val="true"/>
          <w:lang w:bidi="ar-SA"/>
        </w:rPr>
        <w:t>.</w:t>
      </w:r>
      <w:bookmarkStart w:id="3583" w:name="pg10275_97073"/>
    </w:p>
    <w:p>
      <w:pPr>
        <w:pStyle w:val="Heading6"/>
        <w:numPr>
          <w:ilvl w:val="5"/>
          <w:numId w:val="1"/>
        </w:numPr>
        <w:rPr/>
      </w:pPr>
      <w:bookmarkStart w:id="3584" w:name="__RefHeading___Toc3974041_1067777946"/>
      <w:bookmarkStart w:id="3585" w:name="_Toc1528"/>
      <w:bookmarkEnd w:id="3583"/>
      <w:bookmarkEnd w:id="3584"/>
      <w:r>
        <w:rPr>
          <w:rtl w:val="true"/>
        </w:rPr>
        <w:t>ازالۀ بكارت با انگشت</w:t>
      </w:r>
      <w:bookmarkEnd w:id="358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ازاله بكارت زنى با انگشت خود كرد به نحوى كه مثانه او را پاره كرد و مالك بول خودش نشد مشهور در آن تمام ديه است، و ثلث ديه هم مروى است، و احوط صلح است؛ و مهر المثل هم ثابت است</w:t>
      </w:r>
      <w:r>
        <w:rPr>
          <w:rFonts w:eastAsia="IRNazanin" w:cs="IRNazanin"/>
          <w:color w:val="111111"/>
          <w:sz w:val="28"/>
          <w:szCs w:val="28"/>
          <w:rtl w:val="true"/>
          <w:lang w:bidi="fa-IR"/>
        </w:rPr>
        <w:t>.</w:t>
      </w:r>
    </w:p>
    <w:p>
      <w:pPr>
        <w:pStyle w:val="Heading4"/>
        <w:numPr>
          <w:ilvl w:val="3"/>
          <w:numId w:val="1"/>
        </w:numPr>
        <w:rPr/>
      </w:pPr>
      <w:bookmarkStart w:id="3586" w:name="__RefHeading___Toc3974043_1067777946"/>
      <w:bookmarkStart w:id="3587" w:name="_Toc1529"/>
      <w:bookmarkEnd w:id="3586"/>
      <w:r>
        <w:rPr/>
        <w:t>2</w:t>
      </w:r>
      <w:r>
        <w:rPr>
          <w:rtl w:val="true"/>
        </w:rPr>
        <w:t xml:space="preserve">. </w:t>
      </w:r>
      <w:r>
        <w:rPr>
          <w:rtl w:val="true"/>
        </w:rPr>
        <w:t>جنايت بر منافع</w:t>
      </w:r>
      <w:bookmarkEnd w:id="3587"/>
    </w:p>
    <w:p>
      <w:pPr>
        <w:pStyle w:val="Heading5"/>
        <w:numPr>
          <w:ilvl w:val="4"/>
          <w:numId w:val="1"/>
        </w:numPr>
        <w:rPr/>
      </w:pPr>
      <w:bookmarkStart w:id="3588" w:name="__RefHeading___Toc3974045_1067777946"/>
      <w:bookmarkStart w:id="3589" w:name="_Toc1530"/>
      <w:bookmarkEnd w:id="3588"/>
      <w:r>
        <w:rPr>
          <w:rtl w:val="true"/>
        </w:rPr>
        <w:t>اشاره</w:t>
      </w:r>
      <w:bookmarkEnd w:id="3589"/>
    </w:p>
    <w:p>
      <w:pPr>
        <w:pStyle w:val="BookText"/>
        <w:rPr/>
      </w:pPr>
      <w:r>
        <w:rPr>
          <w:rFonts w:ascii="Amiri" w:hAnsi="Amiri" w:eastAsia="Amiri" w:cs="Amiri"/>
          <w:color w:val="111111"/>
          <w:sz w:val="28"/>
          <w:sz w:val="28"/>
          <w:szCs w:val="28"/>
          <w:rtl w:val="true"/>
          <w:lang w:bidi="ar-SA"/>
        </w:rPr>
        <w:t>و هفت قسم از آن مذكور مى شود</w:t>
      </w:r>
      <w:r>
        <w:rPr>
          <w:rFonts w:eastAsia="Amiri" w:cs="Amiri" w:ascii="Amiri" w:hAnsi="Amiri"/>
          <w:color w:val="111111"/>
          <w:sz w:val="28"/>
          <w:szCs w:val="28"/>
          <w:rtl w:val="true"/>
          <w:lang w:bidi="ar-SA"/>
        </w:rPr>
        <w:t>:</w:t>
      </w:r>
    </w:p>
    <w:p>
      <w:pPr>
        <w:pStyle w:val="Heading5"/>
        <w:numPr>
          <w:ilvl w:val="4"/>
          <w:numId w:val="1"/>
        </w:numPr>
        <w:rPr/>
      </w:pPr>
      <w:bookmarkStart w:id="3590" w:name="__RefHeading___Toc3974047_1067777946"/>
      <w:bookmarkStart w:id="3591" w:name="_Toc1531"/>
      <w:bookmarkEnd w:id="3590"/>
      <w:r>
        <w:rPr/>
        <w:t>1</w:t>
      </w:r>
      <w:r>
        <w:rPr>
          <w:rtl w:val="true"/>
        </w:rPr>
        <w:t xml:space="preserve">. </w:t>
      </w:r>
      <w:r>
        <w:rPr>
          <w:rtl w:val="true"/>
        </w:rPr>
        <w:t>ديۀ ازالۀ عقل</w:t>
      </w:r>
      <w:bookmarkEnd w:id="3591"/>
    </w:p>
    <w:p>
      <w:pPr>
        <w:pStyle w:val="Heading6"/>
        <w:numPr>
          <w:ilvl w:val="5"/>
          <w:numId w:val="1"/>
        </w:numPr>
        <w:rPr/>
      </w:pPr>
      <w:bookmarkStart w:id="3592" w:name="__RefHeading___Toc3974049_1067777946"/>
      <w:bookmarkStart w:id="3593" w:name="_Toc1532"/>
      <w:bookmarkEnd w:id="3592"/>
      <w:r>
        <w:rPr>
          <w:rtl w:val="true"/>
        </w:rPr>
        <w:t>اشاره</w:t>
      </w:r>
      <w:bookmarkEnd w:id="359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ازالۀ عقل كسى به سبب عملى غير جايز، تمام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نقص آن حكومت است در صورتى كه نقص در مرتبه ادراك باشد به نحوى كه مقدّر نشود؛ و اگر تقدير شد به مثل اين كه يك روز جنون داشت و يك روز افاقه حاصل شد به نحو مطرد، اقرب معاملۀ ذهاب نصف عقل است نه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مدهوش شد به طورى كه از انفراد مستوحش شد فوق العاده، يا خوف او در حوادث از متعارف بيش شد، پس در معامله نقص عقل با آن تأمل است، بلكه مرضى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احداث آن حكومت است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إذهاب عقل يا نقص آن، مورد قصاص نيست</w:t>
      </w:r>
      <w:r>
        <w:rPr>
          <w:rFonts w:eastAsia="Amiri" w:cs="Amiri" w:ascii="Amiri" w:hAnsi="Amiri"/>
          <w:color w:val="111111"/>
          <w:sz w:val="28"/>
          <w:szCs w:val="28"/>
          <w:rtl w:val="true"/>
          <w:lang w:bidi="ar-SA"/>
        </w:rPr>
        <w:t>.</w:t>
      </w:r>
    </w:p>
    <w:p>
      <w:pPr>
        <w:pStyle w:val="Heading6"/>
        <w:numPr>
          <w:ilvl w:val="5"/>
          <w:numId w:val="1"/>
        </w:numPr>
        <w:rPr/>
      </w:pPr>
      <w:bookmarkStart w:id="3594" w:name="__RefHeading___Toc3974051_1067777946"/>
      <w:bookmarkStart w:id="3595" w:name="_Toc1533"/>
      <w:bookmarkEnd w:id="3594"/>
      <w:r>
        <w:rPr>
          <w:rtl w:val="true"/>
        </w:rPr>
        <w:t>اجتماع قطع بعض بدن و ازالۀ عقل</w:t>
      </w:r>
      <w:bookmarkEnd w:id="3595"/>
    </w:p>
    <w:p>
      <w:pPr>
        <w:pStyle w:val="BookText"/>
        <w:rPr/>
      </w:pPr>
      <w:r>
        <w:rPr>
          <w:rFonts w:ascii="IRNazanin" w:hAnsi="IRNazanin" w:eastAsia="IRNazanin"/>
          <w:color w:val="111111"/>
          <w:sz w:val="28"/>
          <w:sz w:val="28"/>
          <w:szCs w:val="28"/>
          <w:rtl w:val="true"/>
          <w:lang w:bidi="fa-IR"/>
        </w:rPr>
        <w:t>اگر به سبب جنايتى قطع بعض بدن شد مثلاً و اذهاب عقل هم شد با يك ضربه، اظهر تداخل است و اكثر دو ديه ثابت است؛ و اگر با ضربه هايى جناياتى وارد شد كه هر كدام مستند به يكى از آنها بود، اظهر عدم تداخل است و همه ديات ثابت است؛ و در صورت مجهوليت حال در همه يا بعض احوط صلح است در غير معلوم</w:t>
      </w:r>
      <w:r>
        <w:rPr>
          <w:rFonts w:eastAsia="IRNazanin" w:cs="IRNazanin"/>
          <w:color w:val="111111"/>
          <w:sz w:val="28"/>
          <w:szCs w:val="28"/>
          <w:rtl w:val="true"/>
          <w:lang w:bidi="fa-IR"/>
        </w:rPr>
        <w:t>.</w:t>
      </w:r>
    </w:p>
    <w:p>
      <w:pPr>
        <w:pStyle w:val="Heading6"/>
        <w:numPr>
          <w:ilvl w:val="5"/>
          <w:numId w:val="1"/>
        </w:numPr>
        <w:rPr/>
      </w:pPr>
      <w:bookmarkStart w:id="3596" w:name="__RefHeading___Toc3974053_1067777946"/>
      <w:bookmarkStart w:id="3597" w:name="_Toc1534"/>
      <w:bookmarkEnd w:id="3596"/>
      <w:r>
        <w:rPr>
          <w:rtl w:val="true"/>
        </w:rPr>
        <w:t>لزوم صبر تا يك سال براى كسى كه عقلش زايل شده</w:t>
      </w:r>
      <w:bookmarkEnd w:id="359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زد سر كسى را مثلاً پس عقلش زايل شد، تا يك سال انتظار لازم است، اگر در سال </w:t>
      </w:r>
      <w:bookmarkStart w:id="3598" w:name="pg10275_97074"/>
    </w:p>
    <w:p>
      <w:pPr>
        <w:pStyle w:val="BookText"/>
        <w:rPr/>
      </w:pPr>
      <w:bookmarkEnd w:id="3598"/>
      <w:r>
        <w:rPr>
          <w:rFonts w:ascii="IRNazanin" w:hAnsi="IRNazanin" w:eastAsia="IRNazanin"/>
          <w:color w:val="111111"/>
          <w:sz w:val="28"/>
          <w:sz w:val="28"/>
          <w:szCs w:val="28"/>
          <w:rtl w:val="true"/>
          <w:lang w:bidi="fa-IR"/>
        </w:rPr>
        <w:t>وفات كرد، قصاص ثابت است، وگرنه ديه ثابت است؛ و اظهر عدم اطلاق حكم است به صورت معلوميت عدم استناد موت به جنايت خاصه، يا استناد موت بعد از سال به همان جنايت خاصه</w:t>
      </w:r>
      <w:r>
        <w:rPr>
          <w:rFonts w:eastAsia="IRNazanin" w:cs="IRNazanin"/>
          <w:color w:val="111111"/>
          <w:sz w:val="28"/>
          <w:szCs w:val="28"/>
          <w:rtl w:val="true"/>
          <w:lang w:bidi="fa-IR"/>
        </w:rPr>
        <w:t>.</w:t>
      </w:r>
    </w:p>
    <w:p>
      <w:pPr>
        <w:pStyle w:val="Heading6"/>
        <w:numPr>
          <w:ilvl w:val="5"/>
          <w:numId w:val="1"/>
        </w:numPr>
        <w:rPr/>
      </w:pPr>
      <w:bookmarkStart w:id="3599" w:name="__RefHeading___Toc3974055_1067777946"/>
      <w:bookmarkStart w:id="3600" w:name="_Toc1535"/>
      <w:bookmarkEnd w:id="3599"/>
      <w:r>
        <w:rPr>
          <w:rtl w:val="true"/>
        </w:rPr>
        <w:t>عود و زوال عقل</w:t>
      </w:r>
      <w:bookmarkEnd w:id="3600"/>
    </w:p>
    <w:p>
      <w:pPr>
        <w:pStyle w:val="BookText"/>
        <w:rPr/>
      </w:pPr>
      <w:r>
        <w:rPr>
          <w:rFonts w:ascii="IRNazanin" w:hAnsi="IRNazanin" w:eastAsia="IRNazanin"/>
          <w:color w:val="111111"/>
          <w:sz w:val="28"/>
          <w:sz w:val="28"/>
          <w:szCs w:val="28"/>
          <w:rtl w:val="true"/>
          <w:lang w:bidi="fa-IR"/>
        </w:rPr>
        <w:t xml:space="preserve">اگر به سبب جنايت، عقل كسى زايل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عود كرد، ارش ثابت است؛ و اگر به حكم اهل خبره يا علم، ديه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از مدتى رجوع كرد و خطأ حدس سابق ظاهر شد به طورى كه معلوم شد عدم زوال آن رأساً در سابق، احوط صلح است در زايد بر ارش؛ و اگر محتمل شد كه عود، خرق عادت است احوط عدم استرجاع چيزى از ديه است</w:t>
      </w:r>
      <w:r>
        <w:rPr>
          <w:rFonts w:eastAsia="IRNazanin" w:cs="IRNazanin"/>
          <w:color w:val="111111"/>
          <w:sz w:val="28"/>
          <w:szCs w:val="28"/>
          <w:rtl w:val="true"/>
          <w:lang w:bidi="fa-IR"/>
        </w:rPr>
        <w:t>.</w:t>
      </w:r>
    </w:p>
    <w:p>
      <w:pPr>
        <w:pStyle w:val="Heading6"/>
        <w:numPr>
          <w:ilvl w:val="5"/>
          <w:numId w:val="1"/>
        </w:numPr>
        <w:rPr/>
      </w:pPr>
      <w:bookmarkStart w:id="3601" w:name="__RefHeading___Toc3974057_1067777946"/>
      <w:bookmarkStart w:id="3602" w:name="_Toc1536"/>
      <w:bookmarkEnd w:id="3601"/>
      <w:r>
        <w:rPr>
          <w:rtl w:val="true"/>
        </w:rPr>
        <w:t>اختلاف بين جانى و مجنىّ عليه در زوال عقل</w:t>
      </w:r>
      <w:bookmarkEnd w:id="3602"/>
    </w:p>
    <w:p>
      <w:pPr>
        <w:pStyle w:val="BookText"/>
        <w:rPr/>
      </w:pPr>
      <w:r>
        <w:rPr>
          <w:rFonts w:ascii="IRNazanin" w:hAnsi="IRNazanin" w:eastAsia="IRNazanin"/>
          <w:color w:val="111111"/>
          <w:sz w:val="28"/>
          <w:sz w:val="28"/>
          <w:szCs w:val="28"/>
          <w:rtl w:val="true"/>
          <w:lang w:bidi="fa-IR"/>
        </w:rPr>
        <w:t>اگر اختلاف شد بين جانى و مجنى عليه در زوال عقل، اختبار مى شود در احوال غفلت؛ پس اگر ظاهر شد اختلال و عدم نظم افعال و اقوال به نحو معتاد و متعارف عقلاء، حكم به آن مى شود، و بر مجنون يا ولىّ او يمين نيست؛ وگرنه تصديق مى شود قول جانى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اختبار ممكن نشد به واسطۀ موت و نحو آن، مگر در موارد ثبوت لوث كه وظيفۀ آن اجرا مى شود</w:t>
      </w:r>
      <w:r>
        <w:rPr>
          <w:rFonts w:eastAsia="IRNazanin" w:cs="IRNazanin"/>
          <w:color w:val="111111"/>
          <w:sz w:val="28"/>
          <w:szCs w:val="28"/>
          <w:rtl w:val="true"/>
          <w:lang w:bidi="fa-IR"/>
        </w:rPr>
        <w:t>.</w:t>
      </w:r>
    </w:p>
    <w:p>
      <w:pPr>
        <w:pStyle w:val="Heading5"/>
        <w:numPr>
          <w:ilvl w:val="4"/>
          <w:numId w:val="1"/>
        </w:numPr>
        <w:rPr/>
      </w:pPr>
      <w:bookmarkStart w:id="3603" w:name="__RefHeading___Toc3974059_1067777946"/>
      <w:bookmarkStart w:id="3604" w:name="_Toc1537"/>
      <w:bookmarkEnd w:id="3603"/>
      <w:r>
        <w:rPr/>
        <w:t>2</w:t>
      </w:r>
      <w:r>
        <w:rPr>
          <w:rtl w:val="true"/>
        </w:rPr>
        <w:t xml:space="preserve">. </w:t>
      </w:r>
      <w:r>
        <w:rPr>
          <w:rtl w:val="true"/>
        </w:rPr>
        <w:t>از بين رفتن شنوايى</w:t>
      </w:r>
      <w:bookmarkEnd w:id="3604"/>
    </w:p>
    <w:p>
      <w:pPr>
        <w:pStyle w:val="Heading6"/>
        <w:numPr>
          <w:ilvl w:val="5"/>
          <w:numId w:val="1"/>
        </w:numPr>
        <w:rPr/>
      </w:pPr>
      <w:bookmarkStart w:id="3605" w:name="__RefHeading___Toc3974061_1067777946"/>
      <w:bookmarkStart w:id="3606" w:name="_Toc1538"/>
      <w:bookmarkEnd w:id="3605"/>
      <w:r>
        <w:rPr>
          <w:rtl w:val="true"/>
        </w:rPr>
        <w:t>اشاره</w:t>
      </w:r>
      <w:bookmarkEnd w:id="360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اذهاب شنوايى گوش ها به تمام مراتب سماع، تمام ديه است اگر اهل اطلاع شهادت بر يأس دادند؛ و اگر اميدوار بود مهلت مى دهند تا زمان يأس يا عود، و اگر عود نكرد تمام ديه استقرار پيدا مى نمايد، و اگر عود كرد ارش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اخبار به عود تا زمانى، وفات كرد قبل از آن زمان، اظهر ثبوت ارش است و احوط صلح با وارث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اختلاف شد امتحان بشود در حال غفلت، با صيحه و صوت قوىّ‌، پس اگر محقق شد ديه را مستحق است، وگرنه حكم لوث و قسامه ثابت است</w:t>
      </w:r>
      <w:r>
        <w:rPr>
          <w:rFonts w:eastAsia="IRNazanin" w:cs="IRNazanin"/>
          <w:color w:val="111111"/>
          <w:sz w:val="28"/>
          <w:szCs w:val="28"/>
          <w:rtl w:val="true"/>
          <w:lang w:bidi="fa-IR"/>
        </w:rPr>
        <w:t xml:space="preserve">. </w:t>
      </w:r>
      <w:bookmarkStart w:id="3607" w:name="pg10275_97075"/>
    </w:p>
    <w:p>
      <w:pPr>
        <w:pStyle w:val="Heading6"/>
        <w:numPr>
          <w:ilvl w:val="5"/>
          <w:numId w:val="1"/>
        </w:numPr>
        <w:rPr/>
      </w:pPr>
      <w:bookmarkStart w:id="3608" w:name="__RefHeading___Toc3974063_1067777946"/>
      <w:bookmarkStart w:id="3609" w:name="_Toc1539"/>
      <w:bookmarkEnd w:id="3607"/>
      <w:bookmarkEnd w:id="3608"/>
      <w:r>
        <w:rPr>
          <w:rtl w:val="true"/>
        </w:rPr>
        <w:t>از بين رفتن شنوايى يك گوش</w:t>
      </w:r>
      <w:bookmarkEnd w:id="3609"/>
    </w:p>
    <w:p>
      <w:pPr>
        <w:pStyle w:val="BookText"/>
        <w:rPr/>
      </w:pPr>
      <w:r>
        <w:rPr>
          <w:rFonts w:ascii="IRNazanin" w:hAnsi="IRNazanin" w:eastAsia="IRNazanin"/>
          <w:color w:val="111111"/>
          <w:sz w:val="28"/>
          <w:sz w:val="28"/>
          <w:szCs w:val="28"/>
          <w:rtl w:val="true"/>
          <w:lang w:bidi="fa-IR"/>
        </w:rPr>
        <w:t>اگر شنيدن يك گوش زايل شد، در آن نصف ديه است چه آن كه مختلف بوده شنيدن آن دو يا نه، بلكه اگر فقط همان يك گوش مى شنيد و گوش ديگر به سبب آفتى يا جنايتى بى شنوايى بوده</w:t>
      </w:r>
      <w:r>
        <w:rPr>
          <w:rFonts w:eastAsia="IRNazanin" w:cs="IRNazanin"/>
          <w:color w:val="111111"/>
          <w:sz w:val="28"/>
          <w:szCs w:val="28"/>
          <w:rtl w:val="true"/>
          <w:lang w:bidi="fa-IR"/>
        </w:rPr>
        <w:t>.</w:t>
      </w:r>
    </w:p>
    <w:p>
      <w:pPr>
        <w:pStyle w:val="Heading6"/>
        <w:numPr>
          <w:ilvl w:val="5"/>
          <w:numId w:val="1"/>
        </w:numPr>
        <w:rPr/>
      </w:pPr>
      <w:bookmarkStart w:id="3610" w:name="__RefHeading___Toc3974065_1067777946"/>
      <w:bookmarkStart w:id="3611" w:name="_Toc1540"/>
      <w:bookmarkEnd w:id="3610"/>
      <w:r>
        <w:rPr>
          <w:rtl w:val="true"/>
        </w:rPr>
        <w:t>نحوۀ امتحان شنوايى</w:t>
      </w:r>
      <w:bookmarkEnd w:id="3611"/>
    </w:p>
    <w:p>
      <w:pPr>
        <w:pStyle w:val="BookText"/>
        <w:rPr/>
      </w:pPr>
      <w:r>
        <w:rPr>
          <w:rFonts w:ascii="IRNazanin" w:hAnsi="IRNazanin" w:eastAsia="IRNazanin"/>
          <w:color w:val="111111"/>
          <w:sz w:val="28"/>
          <w:sz w:val="28"/>
          <w:szCs w:val="28"/>
          <w:rtl w:val="true"/>
          <w:lang w:bidi="fa-IR"/>
        </w:rPr>
        <w:t>و اگر ادّعاى نقص شنوايى يك گوش كرد، استعلام مى شود در هواى معتدل ساكن و در امكنۀ معتدله از حيث ارتفاع و انخفاض، با اصوات مختلفه در بُعد به حسب مساحت، بعد از سدّ ناقصه تا معلوم شود مرتبۀ سماع صحيحه، پس از آن سدّ صحيحه مى شود و استعلام مى شود مرتبۀ شنوايى ناقصه، و تكرار مى شود اين عمل تا يقين، پس تفاوت سماع دو گوش به حسب مساحت تعيين مى شود و به همان نسبت از مجموع شنوايى صحيحه، ديۀ ناقصه تعيين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از شنيدن صوت به وسيلۀ هر يك از جهات اربعه به نحو مساوات، تصديق مى شود و تعيين مى شود تفاوت؛ و تأديۀ تفاوت با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احتمال اختلاف قبل از جنايت، بين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ادّعاى نقص شنوايى از دو گوش نمايد، با امتحان از جوانب اربعه و مقايسۀ با امثال و اقران و قسامه در ادّعا، مقدار نقص، استعلام و عمل مى شود و تصديق مى شود و تأديۀ تفاوت مى شود از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ذهاب شنوايى به قطع هر دو گوش دو ديه است بدون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شنوايى از هر دو گوش به سبب قطع يك گوش زايل شد يك ديه و نصف ديه ثابت است</w:t>
      </w:r>
      <w:r>
        <w:rPr>
          <w:rFonts w:eastAsia="IRNazanin" w:cs="IRNazanin"/>
          <w:color w:val="111111"/>
          <w:sz w:val="28"/>
          <w:szCs w:val="28"/>
          <w:rtl w:val="true"/>
          <w:lang w:bidi="fa-IR"/>
        </w:rPr>
        <w:t>.</w:t>
      </w:r>
    </w:p>
    <w:p>
      <w:pPr>
        <w:pStyle w:val="Heading6"/>
        <w:numPr>
          <w:ilvl w:val="5"/>
          <w:numId w:val="1"/>
        </w:numPr>
        <w:rPr/>
      </w:pPr>
      <w:bookmarkStart w:id="3612" w:name="__RefHeading___Toc3974067_1067777946"/>
      <w:bookmarkStart w:id="3613" w:name="_Toc1541"/>
      <w:bookmarkEnd w:id="3612"/>
      <w:r>
        <w:rPr>
          <w:rtl w:val="true"/>
        </w:rPr>
        <w:t>از بين رفتن شنوايى و در نتيجه تكلّم طفل</w:t>
      </w:r>
      <w:bookmarkEnd w:id="361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سبب جنايت، شنوايى طفل رفت و به اين سبب، تكلم او تعطيل شد پس دو ديه است بنا بر اظهر كه جريان تعطيل مجراى زوال است مى باشد</w:t>
      </w:r>
      <w:r>
        <w:rPr>
          <w:rFonts w:eastAsia="IRNazanin" w:cs="IRNazanin"/>
          <w:color w:val="111111"/>
          <w:sz w:val="28"/>
          <w:szCs w:val="28"/>
          <w:rtl w:val="true"/>
          <w:lang w:bidi="fa-IR"/>
        </w:rPr>
        <w:t xml:space="preserve">. </w:t>
      </w:r>
      <w:bookmarkStart w:id="3614" w:name="pg10275_97076"/>
    </w:p>
    <w:p>
      <w:pPr>
        <w:pStyle w:val="Heading6"/>
        <w:numPr>
          <w:ilvl w:val="5"/>
          <w:numId w:val="1"/>
        </w:numPr>
        <w:rPr/>
      </w:pPr>
      <w:bookmarkStart w:id="3615" w:name="__RefHeading___Toc3974069_1067777946"/>
      <w:bookmarkStart w:id="3616" w:name="_Toc1542"/>
      <w:bookmarkEnd w:id="3614"/>
      <w:bookmarkEnd w:id="3615"/>
      <w:r>
        <w:rPr>
          <w:rtl w:val="true"/>
        </w:rPr>
        <w:t>از بين رفتن روشنايى چشم</w:t>
      </w:r>
      <w:bookmarkEnd w:id="3616"/>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روشنايى دو چشم اگر به سبب جنايتى ازالۀ آن نمايد، تمام ديه است؛ و فرقى بين چشم ضعيف و قوى در بينايى، يا آن كه در شب ضعيف است و غير آن، و كسى كه سفيدى در چشم او است كه مانع از بينايى نيست و غير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نقصى در چشم معلوم شد و تقدير شد، از ديه، مقدار آن ناقص مى شود؛ و اگر تقدير آن ممكن نشد حكومت است در استثناى آن</w:t>
      </w:r>
      <w:r>
        <w:rPr>
          <w:rFonts w:eastAsia="IRNazanin" w:cs="IRNazanin"/>
          <w:color w:val="111111"/>
          <w:sz w:val="28"/>
          <w:szCs w:val="28"/>
          <w:rtl w:val="true"/>
          <w:lang w:bidi="fa-IR"/>
        </w:rPr>
        <w:t>.</w:t>
      </w:r>
    </w:p>
    <w:p>
      <w:pPr>
        <w:pStyle w:val="Heading6"/>
        <w:numPr>
          <w:ilvl w:val="5"/>
          <w:numId w:val="1"/>
        </w:numPr>
        <w:rPr/>
      </w:pPr>
      <w:bookmarkStart w:id="3617" w:name="__RefHeading___Toc3974071_1067777946"/>
      <w:bookmarkStart w:id="3618" w:name="_Toc1543"/>
      <w:bookmarkEnd w:id="3617"/>
      <w:r>
        <w:rPr>
          <w:rtl w:val="true"/>
        </w:rPr>
        <w:t>حدقۀ چشم</w:t>
      </w:r>
      <w:bookmarkEnd w:id="3618"/>
    </w:p>
    <w:p>
      <w:pPr>
        <w:pStyle w:val="BookText"/>
        <w:rPr/>
      </w:pPr>
      <w:r>
        <w:rPr>
          <w:rFonts w:ascii="IRNazanin" w:hAnsi="IRNazanin" w:eastAsia="IRNazanin"/>
          <w:color w:val="111111"/>
          <w:sz w:val="28"/>
          <w:sz w:val="28"/>
          <w:szCs w:val="28"/>
          <w:rtl w:val="true"/>
          <w:lang w:bidi="fa-IR"/>
        </w:rPr>
        <w:t>اگر حدقۀ چشم را كَند يك ديه دارد و منفعت تابع عين است در اينجا، به خلاف گوش و ازاله شنوايى</w:t>
      </w:r>
      <w:r>
        <w:rPr>
          <w:rFonts w:eastAsia="IRNazanin" w:cs="IRNazanin"/>
          <w:color w:val="111111"/>
          <w:sz w:val="28"/>
          <w:szCs w:val="28"/>
          <w:rtl w:val="true"/>
          <w:lang w:bidi="fa-IR"/>
        </w:rPr>
        <w:t>.</w:t>
      </w:r>
    </w:p>
    <w:p>
      <w:pPr>
        <w:pStyle w:val="Heading6"/>
        <w:numPr>
          <w:ilvl w:val="5"/>
          <w:numId w:val="1"/>
        </w:numPr>
        <w:rPr/>
      </w:pPr>
      <w:bookmarkStart w:id="3619" w:name="__RefHeading___Toc3974073_1067777946"/>
      <w:bookmarkStart w:id="3620" w:name="_Toc1544"/>
      <w:bookmarkEnd w:id="3619"/>
      <w:r>
        <w:rPr>
          <w:rtl w:val="true"/>
        </w:rPr>
        <w:t>جنايت بر روشنايى چشم</w:t>
      </w:r>
      <w:bookmarkEnd w:id="3620"/>
    </w:p>
    <w:p>
      <w:pPr>
        <w:pStyle w:val="BookText"/>
        <w:rPr/>
      </w:pPr>
      <w:r>
        <w:rPr>
          <w:rFonts w:ascii="IRNazanin" w:hAnsi="IRNazanin" w:eastAsia="IRNazanin"/>
          <w:color w:val="111111"/>
          <w:sz w:val="28"/>
          <w:sz w:val="28"/>
          <w:szCs w:val="28"/>
          <w:rtl w:val="true"/>
          <w:lang w:bidi="fa-IR"/>
        </w:rPr>
        <w:t xml:space="preserve">اگر ادّعا كرد مجنىّ عليه ذهاب روشنايى چشم را به سبب جنايت، و جانى انكار كرد، و بيّنه از اهل خبره و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عادل، يا يك مرد و دو زن از اهل عدالت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به مدّعىٰ‌، ثابت مى شود قصاص در عمد به شهادت دو عادل، و ديه در شبيه عمد و خطأ محض به مطلق بيّنه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عود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عود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تقدير مدت، ديه مستقر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 معيّنه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عود نكرد در آن وقت، مستقر مى شود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مستقر مى شود ديه اگر ممكن نشد اختبار، به واسطه موت قبل از مدت يا جنايت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 چشم، لكن اگر اهل اطلاع اعلام عود كرده بودند پس در ثبوت ارش يا ديه تأمل است و احوط صلح است</w:t>
      </w:r>
      <w:r>
        <w:rPr>
          <w:rFonts w:eastAsia="IRNazanin" w:cs="IRNazanin"/>
          <w:color w:val="111111"/>
          <w:sz w:val="28"/>
          <w:szCs w:val="28"/>
          <w:rtl w:val="true"/>
          <w:lang w:bidi="fa-IR"/>
        </w:rPr>
        <w:t>.</w:t>
      </w:r>
    </w:p>
    <w:p>
      <w:pPr>
        <w:pStyle w:val="Heading6"/>
        <w:numPr>
          <w:ilvl w:val="5"/>
          <w:numId w:val="1"/>
        </w:numPr>
        <w:rPr/>
      </w:pPr>
      <w:bookmarkStart w:id="3621" w:name="__RefHeading___Toc3974075_1067777946"/>
      <w:bookmarkStart w:id="3622" w:name="_Toc1545"/>
      <w:bookmarkEnd w:id="3621"/>
      <w:r>
        <w:rPr>
          <w:rtl w:val="true"/>
        </w:rPr>
        <w:t>عود روشنايى و اختلاف در آن</w:t>
      </w:r>
      <w:bookmarkEnd w:id="3622"/>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عود كرد در مدت، ارش در آن ثابت است؛ و بعد از مدت معينه و در صورت عدم </w:t>
      </w:r>
      <w:bookmarkStart w:id="3623" w:name="pg10275_97077"/>
    </w:p>
    <w:p>
      <w:pPr>
        <w:pStyle w:val="BookText"/>
        <w:rPr/>
      </w:pPr>
      <w:bookmarkEnd w:id="3623"/>
      <w:r>
        <w:rPr>
          <w:rFonts w:ascii="IRNazanin" w:hAnsi="IRNazanin" w:eastAsia="IRNazanin"/>
          <w:color w:val="111111"/>
          <w:sz w:val="28"/>
          <w:sz w:val="28"/>
          <w:szCs w:val="28"/>
          <w:rtl w:val="true"/>
          <w:lang w:bidi="fa-IR"/>
        </w:rPr>
        <w:t>تعيين مدت از اهل خبره اگر عود، معلوم يا ثابت شود، اظهر ثبوت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بعد از يأس از عود اگر خطأ ظاهر شد اظهر استعادۀ زايد بر ارش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صورت احتمال تجدّد نعمت، مورد احتياط و مصالحه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اختلاف در عود شد و استعلام ممكن نشد و بيّنه اى بر احد طرفين نبود، قول مجنى عليه مقدم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موت او و اختلاف ولىّ او با جانى در عود قبل از موت و نبودن بيّنه، قول ولىّ با يمين او مقدم است</w:t>
      </w:r>
      <w:r>
        <w:rPr>
          <w:rFonts w:eastAsia="IRNazanin" w:cs="IRNazanin"/>
          <w:color w:val="111111"/>
          <w:sz w:val="28"/>
          <w:szCs w:val="28"/>
          <w:rtl w:val="true"/>
          <w:lang w:bidi="fa-IR"/>
        </w:rPr>
        <w:t>.</w:t>
      </w:r>
    </w:p>
    <w:p>
      <w:pPr>
        <w:pStyle w:val="Heading6"/>
        <w:numPr>
          <w:ilvl w:val="5"/>
          <w:numId w:val="1"/>
        </w:numPr>
        <w:rPr/>
      </w:pPr>
      <w:bookmarkStart w:id="3624" w:name="__RefHeading___Toc3974077_1067777946"/>
      <w:bookmarkStart w:id="3625" w:name="_Toc1546"/>
      <w:bookmarkEnd w:id="3624"/>
      <w:r>
        <w:rPr>
          <w:rtl w:val="true"/>
        </w:rPr>
        <w:t>ادّعاى از بين رفتن روشنايى با سلامت ظاهرى چشم</w:t>
      </w:r>
      <w:bookmarkEnd w:id="3625"/>
    </w:p>
    <w:p>
      <w:pPr>
        <w:pStyle w:val="BookText"/>
        <w:rPr/>
      </w:pPr>
      <w:r>
        <w:rPr>
          <w:rFonts w:ascii="IRNazanin" w:hAnsi="IRNazanin" w:eastAsia="IRNazanin"/>
          <w:color w:val="111111"/>
          <w:sz w:val="28"/>
          <w:sz w:val="28"/>
          <w:szCs w:val="28"/>
          <w:rtl w:val="true"/>
          <w:lang w:bidi="fa-IR"/>
        </w:rPr>
        <w:t>اگر ادّعاى ذهاب روشنايى چشم بود و چشم در جاى خود سالم بود، پس با عدم امكان استعلام به نحوى كه مفيد علم يا اطمينان براى حاكم باشد، با قسامه تصديق مى شود در صورت عدم بيّنه؛ و ممكن است براى حاكم، از طريق مقابله با آفتاب و بازماندن يا پوشيدن چشم، براى حاكم، علم يا اطمينان حاصل بشود به صدق يا كذب مدّعى</w:t>
      </w:r>
      <w:r>
        <w:rPr>
          <w:rFonts w:eastAsia="IRNazanin" w:cs="IRNazanin"/>
          <w:color w:val="111111"/>
          <w:sz w:val="28"/>
          <w:szCs w:val="28"/>
          <w:rtl w:val="true"/>
          <w:lang w:bidi="fa-IR"/>
        </w:rPr>
        <w:t>.</w:t>
      </w:r>
    </w:p>
    <w:p>
      <w:pPr>
        <w:pStyle w:val="Heading6"/>
        <w:numPr>
          <w:ilvl w:val="5"/>
          <w:numId w:val="1"/>
        </w:numPr>
        <w:rPr/>
      </w:pPr>
      <w:bookmarkStart w:id="3626" w:name="__RefHeading___Toc3974079_1067777946"/>
      <w:bookmarkStart w:id="3627" w:name="_Toc1547"/>
      <w:bookmarkEnd w:id="3626"/>
      <w:r>
        <w:rPr>
          <w:rtl w:val="true"/>
        </w:rPr>
        <w:t>از بين بردن روشنايى چشم توسط شخصى و كندن آن توسط ديگرى</w:t>
      </w:r>
      <w:bookmarkEnd w:id="3627"/>
    </w:p>
    <w:p>
      <w:pPr>
        <w:pStyle w:val="BookText"/>
        <w:rPr/>
      </w:pPr>
      <w:r>
        <w:rPr>
          <w:rFonts w:ascii="IRNazanin" w:hAnsi="IRNazanin" w:eastAsia="IRNazanin"/>
          <w:color w:val="111111"/>
          <w:sz w:val="28"/>
          <w:sz w:val="28"/>
          <w:szCs w:val="28"/>
          <w:rtl w:val="true"/>
          <w:lang w:bidi="fa-IR"/>
        </w:rPr>
        <w:t>اگر به سبب جنايت، روشنايى چشم رفت و اهل خبره اخبار به عود آن تا مدت معلومه كردند و قبل از مدت، ديگرى كَند آن چشم را، پس با اتفاق بر عدم عود، اظهر ثبوت ارش است بر اولى و ثبوت ديه كامله است بر دوّمى؛ و اگر اتّفاق بر عود روشنايى كردند، ثابت است ديه بر دوّمى و حكومت بر اولى، در حكم ظاهرى بدون اشكال، و در حكم واقعى اگر معلوم همه باشد عود آن</w:t>
      </w:r>
      <w:r>
        <w:rPr>
          <w:rFonts w:eastAsia="IRNazanin" w:cs="IRNazanin"/>
          <w:color w:val="111111"/>
          <w:sz w:val="28"/>
          <w:szCs w:val="28"/>
          <w:rtl w:val="true"/>
          <w:lang w:bidi="fa-IR"/>
        </w:rPr>
        <w:t>.</w:t>
      </w:r>
    </w:p>
    <w:p>
      <w:pPr>
        <w:pStyle w:val="Heading6"/>
        <w:numPr>
          <w:ilvl w:val="5"/>
          <w:numId w:val="1"/>
        </w:numPr>
        <w:rPr/>
      </w:pPr>
      <w:bookmarkStart w:id="3628" w:name="__RefHeading___Toc3974081_1067777946"/>
      <w:bookmarkStart w:id="3629" w:name="_Toc1548"/>
      <w:bookmarkEnd w:id="3628"/>
      <w:r>
        <w:rPr>
          <w:rtl w:val="true"/>
        </w:rPr>
        <w:t>اختلاف در مفروض مسأله</w:t>
      </w:r>
      <w:bookmarkEnd w:id="3629"/>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اختلاف كردند پس جانى اولى ادّعاى عود روشنايى كرد براى نفى زايد بر حكومت و جانى دوّمى ادّعا كرد عدم عود را تا آن كه بر او زايد بر ثلث ديه صحيحه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كه در صورت ثبوت آن، همين قدر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مجنىّ عليه </w:t>
      </w:r>
      <w:bookmarkStart w:id="3630" w:name="pg10275_97078"/>
    </w:p>
    <w:p>
      <w:pPr>
        <w:pStyle w:val="BookText"/>
        <w:rPr/>
      </w:pPr>
      <w:bookmarkEnd w:id="3630"/>
      <w:r>
        <w:rPr>
          <w:rFonts w:ascii="IRNazanin" w:hAnsi="IRNazanin" w:eastAsia="IRNazanin"/>
          <w:color w:val="111111"/>
          <w:sz w:val="28"/>
          <w:sz w:val="28"/>
          <w:szCs w:val="28"/>
          <w:rtl w:val="true"/>
          <w:lang w:bidi="fa-IR"/>
        </w:rPr>
        <w:t>تصديق كرد اولى را، بر او بيش از ارش نيست و ادّعاى او بر دوّمى كه قولش موافق اصل است قبول نيست؛ و اگر تكذيب كرد مجنىّ عليه، اولى را پس قول مجنىّ عليه مقدم است چون موافق اصل است، و با حلفش مطالبه ديه مى نمايد و از دوّمى مطالبه حكومت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فرض اختلاف ذكر شده مخالف است فى الجمله با آن چه ذكر شد و اختيار شد، و بايد تعيين حكم به نحو موافق با مذكور در دو فرع سابق بشود</w:t>
      </w:r>
      <w:r>
        <w:rPr>
          <w:rFonts w:eastAsia="IRNazanin" w:cs="IRNazanin"/>
          <w:color w:val="111111"/>
          <w:sz w:val="28"/>
          <w:szCs w:val="28"/>
          <w:rtl w:val="true"/>
          <w:lang w:bidi="fa-IR"/>
        </w:rPr>
        <w:t>.</w:t>
      </w:r>
    </w:p>
    <w:p>
      <w:pPr>
        <w:pStyle w:val="Heading6"/>
        <w:numPr>
          <w:ilvl w:val="5"/>
          <w:numId w:val="1"/>
        </w:numPr>
        <w:rPr/>
      </w:pPr>
      <w:bookmarkStart w:id="3631" w:name="__RefHeading___Toc3974083_1067777946"/>
      <w:bookmarkStart w:id="3632" w:name="_Toc1549"/>
      <w:bookmarkEnd w:id="3631"/>
      <w:r>
        <w:rPr>
          <w:rtl w:val="true"/>
        </w:rPr>
        <w:t>امتحان در فرض ادّعاى نقصان</w:t>
      </w:r>
      <w:bookmarkEnd w:id="3632"/>
    </w:p>
    <w:p>
      <w:pPr>
        <w:pStyle w:val="BookText"/>
        <w:rPr/>
      </w:pPr>
      <w:r>
        <w:rPr>
          <w:rFonts w:ascii="IRNazanin" w:hAnsi="IRNazanin" w:eastAsia="IRNazanin"/>
          <w:color w:val="111111"/>
          <w:sz w:val="28"/>
          <w:sz w:val="28"/>
          <w:szCs w:val="28"/>
          <w:rtl w:val="true"/>
          <w:lang w:bidi="fa-IR"/>
        </w:rPr>
        <w:t>و در صورت ادّعاى نقصان در بينايى يكى، قياس و امتحان با ديگرى مى شود به نظير آن چه در سمع گذشت با توافق به تساوى دو چشم قبل از جنايت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ادّعاى نقص در هر دو چشم باشد بالسويّه قبل از جنايت و بعد از آن، از مقايسۀ با امثال و اقران تعيين مى شود نقص و قدر ناقص، و تعيين ارش يا نسبت به ديۀ ذهاب بالكليه مى شود، با استظهار احتياطى با اَيمان قسامه از مدّعِىِ اكثر در تفاوت يا نسبت، و دوّمى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توافق بر جنايت و تأثير آن و معلوم شدن مقدار نقص با نظير امتحانات كه در سمع گذشت، اظهر عدم حاجت به قسامه است مگر آن كه جز ظنّ تحصيل نشود و ممكن نباشد امتحانات مفيدۀ علم يا اطمينان</w:t>
      </w:r>
      <w:r>
        <w:rPr>
          <w:rFonts w:eastAsia="IRNazanin" w:cs="IRNazanin"/>
          <w:color w:val="111111"/>
          <w:sz w:val="28"/>
          <w:szCs w:val="28"/>
          <w:rtl w:val="true"/>
          <w:lang w:bidi="fa-IR"/>
        </w:rPr>
        <w:t>.</w:t>
      </w:r>
    </w:p>
    <w:p>
      <w:pPr>
        <w:pStyle w:val="Heading6"/>
        <w:numPr>
          <w:ilvl w:val="5"/>
          <w:numId w:val="1"/>
        </w:numPr>
        <w:rPr/>
      </w:pPr>
      <w:bookmarkStart w:id="3633" w:name="__RefHeading___Toc3974085_1067777946"/>
      <w:bookmarkStart w:id="3634" w:name="_Toc1550"/>
      <w:bookmarkEnd w:id="3633"/>
      <w:r>
        <w:rPr>
          <w:rtl w:val="true"/>
        </w:rPr>
        <w:t>بعض شرايط امتحان چشم</w:t>
      </w:r>
      <w:bookmarkEnd w:id="3634"/>
    </w:p>
    <w:p>
      <w:pPr>
        <w:pStyle w:val="BookText"/>
        <w:rPr/>
      </w:pPr>
      <w:r>
        <w:rPr>
          <w:rFonts w:ascii="IRNazanin" w:hAnsi="IRNazanin" w:eastAsia="IRNazanin"/>
          <w:color w:val="111111"/>
          <w:sz w:val="28"/>
          <w:sz w:val="28"/>
          <w:szCs w:val="28"/>
          <w:rtl w:val="true"/>
          <w:lang w:bidi="fa-IR"/>
        </w:rPr>
        <w:t>و قياس و امتحان چشم در روز ابرى و در مكان مختلف از حيث علوّ و هبوط، واقع و مفيد نخواهد بود در حصول علم يا اطمينان براى حاكم؛ و امتحان، اختصاص به بعض طرق ندارد و جارى است در هر طريقى كه مفيد علم يا اطمينان باشد</w:t>
      </w:r>
      <w:r>
        <w:rPr>
          <w:rFonts w:eastAsia="IRNazanin" w:cs="IRNazanin"/>
          <w:color w:val="111111"/>
          <w:sz w:val="28"/>
          <w:szCs w:val="28"/>
          <w:rtl w:val="true"/>
          <w:lang w:bidi="fa-IR"/>
        </w:rPr>
        <w:t>.</w:t>
      </w:r>
    </w:p>
    <w:p>
      <w:pPr>
        <w:pStyle w:val="Heading6"/>
        <w:numPr>
          <w:ilvl w:val="5"/>
          <w:numId w:val="1"/>
        </w:numPr>
        <w:rPr/>
      </w:pPr>
      <w:bookmarkStart w:id="3635" w:name="__RefHeading___Toc3974087_1067777946"/>
      <w:bookmarkStart w:id="3636" w:name="_Toc1551"/>
      <w:bookmarkEnd w:id="3635"/>
      <w:r>
        <w:rPr>
          <w:rtl w:val="true"/>
        </w:rPr>
        <w:t>نديدن چشم در شب يا روز</w:t>
      </w:r>
      <w:bookmarkEnd w:id="363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سبب جنايت، چشم در شب نديد و اعشىٰ شد يا در روز نديد و اجهر شد، </w:t>
      </w:r>
      <w:bookmarkStart w:id="3637" w:name="pg10275_97079"/>
    </w:p>
    <w:p>
      <w:pPr>
        <w:pStyle w:val="BookText"/>
        <w:rPr/>
      </w:pPr>
      <w:bookmarkEnd w:id="3637"/>
      <w:r>
        <w:rPr>
          <w:rFonts w:ascii="IRNazanin" w:hAnsi="IRNazanin" w:eastAsia="IRNazanin"/>
          <w:color w:val="111111"/>
          <w:sz w:val="28"/>
          <w:sz w:val="28"/>
          <w:szCs w:val="28"/>
          <w:rtl w:val="true"/>
          <w:lang w:bidi="fa-IR"/>
        </w:rPr>
        <w:t>ارش متعيّن است به نظر اهل اطلاع، چون نسبت تعيين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قلع عين كرد و اختلاف در ابصار آن بود، قول مجنى عليه كه مدعى ابصار است مقدم است، مگر در صورت اعتراف به سبق عدم ابصار بر جنايت كه اظهر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اصل است كه جانى است</w:t>
      </w:r>
      <w:r>
        <w:rPr>
          <w:rFonts w:eastAsia="IRNazanin" w:cs="IRNazanin"/>
          <w:color w:val="111111"/>
          <w:sz w:val="28"/>
          <w:szCs w:val="28"/>
          <w:rtl w:val="true"/>
          <w:lang w:bidi="fa-IR"/>
        </w:rPr>
        <w:t>.</w:t>
      </w:r>
    </w:p>
    <w:p>
      <w:pPr>
        <w:pStyle w:val="Heading5"/>
        <w:numPr>
          <w:ilvl w:val="4"/>
          <w:numId w:val="1"/>
        </w:numPr>
        <w:rPr/>
      </w:pPr>
      <w:bookmarkStart w:id="3638" w:name="__RefHeading___Toc3974089_1067777946"/>
      <w:bookmarkStart w:id="3639" w:name="_Toc1552"/>
      <w:bookmarkEnd w:id="3638"/>
      <w:r>
        <w:rPr/>
        <w:t>4</w:t>
      </w:r>
      <w:r>
        <w:rPr>
          <w:rtl w:val="true"/>
        </w:rPr>
        <w:t xml:space="preserve">. </w:t>
      </w:r>
      <w:r>
        <w:rPr>
          <w:rtl w:val="true"/>
        </w:rPr>
        <w:t>از بين رفتن حس بويايى</w:t>
      </w:r>
      <w:bookmarkEnd w:id="3639"/>
    </w:p>
    <w:p>
      <w:pPr>
        <w:pStyle w:val="Heading6"/>
        <w:numPr>
          <w:ilvl w:val="5"/>
          <w:numId w:val="1"/>
        </w:numPr>
        <w:rPr/>
      </w:pPr>
      <w:bookmarkStart w:id="3640" w:name="__RefHeading___Toc3974091_1067777946"/>
      <w:bookmarkStart w:id="3641" w:name="_Toc1553"/>
      <w:bookmarkEnd w:id="3640"/>
      <w:r>
        <w:rPr>
          <w:rtl w:val="true"/>
        </w:rPr>
        <w:t>اشاره</w:t>
      </w:r>
      <w:bookmarkEnd w:id="364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اذهاب شمّ و بوييدن از منخرين كرد تمام ديه در آن است؛ و از يكى نصف ديه است</w:t>
      </w:r>
      <w:r>
        <w:rPr>
          <w:rFonts w:eastAsia="IRNazanin" w:cs="IRNazanin"/>
          <w:color w:val="111111"/>
          <w:sz w:val="28"/>
          <w:szCs w:val="28"/>
          <w:rtl w:val="true"/>
          <w:lang w:bidi="fa-IR"/>
        </w:rPr>
        <w:t>.</w:t>
      </w:r>
    </w:p>
    <w:p>
      <w:pPr>
        <w:pStyle w:val="Heading6"/>
        <w:numPr>
          <w:ilvl w:val="5"/>
          <w:numId w:val="1"/>
        </w:numPr>
        <w:rPr/>
      </w:pPr>
      <w:bookmarkStart w:id="3642" w:name="__RefHeading___Toc3974093_1067777946"/>
      <w:bookmarkStart w:id="3643" w:name="_Toc1554"/>
      <w:bookmarkEnd w:id="3642"/>
      <w:r>
        <w:rPr>
          <w:rtl w:val="true"/>
        </w:rPr>
        <w:t>امتحان بويايى</w:t>
      </w:r>
      <w:bookmarkEnd w:id="3643"/>
    </w:p>
    <w:p>
      <w:pPr>
        <w:pStyle w:val="BookText"/>
        <w:rPr/>
      </w:pPr>
      <w:r>
        <w:rPr>
          <w:rFonts w:ascii="IRNazanin" w:hAnsi="IRNazanin" w:eastAsia="IRNazanin"/>
          <w:color w:val="111111"/>
          <w:sz w:val="28"/>
          <w:sz w:val="28"/>
          <w:szCs w:val="28"/>
          <w:rtl w:val="true"/>
          <w:lang w:bidi="fa-IR"/>
        </w:rPr>
        <w:t xml:space="preserve">و اگر معلوم نباشد و ادّعا بشود، بوسيله 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چقماق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امتحان مى شود، اگر منتهى به علم يا اطمينان شد قضاوت براى او مى شود؛ و اگر مفيد نشد يا ممكن نبود، با قسامه تقديم ادّعاى زوال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مدعى نقص در بوييدن شد اگر وسيلۀ استعلام و امتحان باشد، عمل به آن مى شود، وگرنه مصالحه مى شود بنا بر احوط</w:t>
      </w:r>
      <w:r>
        <w:rPr>
          <w:rFonts w:eastAsia="IRNazanin" w:cs="IRNazanin"/>
          <w:color w:val="111111"/>
          <w:sz w:val="28"/>
          <w:szCs w:val="28"/>
          <w:rtl w:val="true"/>
          <w:lang w:bidi="fa-IR"/>
        </w:rPr>
        <w:t>.</w:t>
      </w:r>
    </w:p>
    <w:p>
      <w:pPr>
        <w:pStyle w:val="Heading6"/>
        <w:numPr>
          <w:ilvl w:val="5"/>
          <w:numId w:val="1"/>
        </w:numPr>
        <w:rPr/>
      </w:pPr>
      <w:bookmarkStart w:id="3644" w:name="__RefHeading___Toc3974095_1067777946"/>
      <w:bookmarkStart w:id="3645" w:name="_Toc1555"/>
      <w:bookmarkEnd w:id="3644"/>
      <w:r>
        <w:rPr>
          <w:rtl w:val="true"/>
        </w:rPr>
        <w:t>عود بويايى بعد از گرفتن ديه يا زمان موقّت</w:t>
      </w:r>
      <w:bookmarkEnd w:id="3645"/>
    </w:p>
    <w:p>
      <w:pPr>
        <w:pStyle w:val="BookText"/>
        <w:rPr/>
      </w:pPr>
      <w:r>
        <w:rPr>
          <w:rFonts w:ascii="IRNazanin" w:hAnsi="IRNazanin" w:eastAsia="IRNazanin"/>
          <w:color w:val="111111"/>
          <w:sz w:val="28"/>
          <w:sz w:val="28"/>
          <w:szCs w:val="28"/>
          <w:rtl w:val="true"/>
          <w:lang w:bidi="fa-IR"/>
        </w:rPr>
        <w:t>اگر ديه بوييدن را گرفت پس از آن عود كرد، استرجاع مى شود مگر با علم به تجدّد نعمت يا ظاهر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حكم اهل خبره به عود تا مدتى، پس عود كرد قبل از انقضاى آن مدت پس ارش است؛ و اگر قبل از گذشتن آن مدت وفات كرد ديه، ثابت است بر حسب آن چه مذكور شد در نظير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قطع كرد بينى را پس زايل شد بوييدن، دو ديه ثابت است بدون تداخل در تقدير عدم استلزام استيصال، زوال استشمام را</w:t>
      </w:r>
      <w:r>
        <w:rPr>
          <w:rFonts w:eastAsia="IRNazanin" w:cs="IRNazanin"/>
          <w:color w:val="111111"/>
          <w:sz w:val="28"/>
          <w:szCs w:val="28"/>
          <w:rtl w:val="true"/>
          <w:lang w:bidi="fa-IR"/>
        </w:rPr>
        <w:t>.</w:t>
      </w:r>
    </w:p>
    <w:p>
      <w:pPr>
        <w:pStyle w:val="Heading5"/>
        <w:numPr>
          <w:ilvl w:val="4"/>
          <w:numId w:val="1"/>
        </w:numPr>
        <w:rPr/>
      </w:pPr>
      <w:bookmarkStart w:id="3646" w:name="__RefHeading___Toc3974097_1067777946"/>
      <w:bookmarkStart w:id="3647" w:name="_Toc1556"/>
      <w:bookmarkEnd w:id="3646"/>
      <w:r>
        <w:rPr/>
        <w:t>5</w:t>
      </w:r>
      <w:r>
        <w:rPr>
          <w:rtl w:val="true"/>
        </w:rPr>
        <w:t xml:space="preserve">. </w:t>
      </w:r>
      <w:r>
        <w:rPr>
          <w:rtl w:val="true"/>
        </w:rPr>
        <w:t>از بين رفتن حس چشايى</w:t>
      </w:r>
      <w:bookmarkEnd w:id="364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چشيدن طعم مطعومات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ديه يا ارش است و احوط </w:t>
      </w:r>
      <w:bookmarkStart w:id="3648" w:name="pg10275_97080"/>
    </w:p>
    <w:p>
      <w:pPr>
        <w:pStyle w:val="BookText"/>
        <w:rPr/>
      </w:pPr>
      <w:bookmarkEnd w:id="3648"/>
      <w:r>
        <w:rPr>
          <w:rFonts w:ascii="IRNazanin" w:hAnsi="IRNazanin" w:eastAsia="IRNazanin"/>
          <w:color w:val="111111"/>
          <w:sz w:val="28"/>
          <w:sz w:val="28"/>
          <w:szCs w:val="28"/>
          <w:rtl w:val="true"/>
          <w:lang w:bidi="fa-IR"/>
        </w:rPr>
        <w:t>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ادّعاى آن به سبب جنايت، استعلام به امتحان مى شود، و اگر مفيد علم يا اطمينان نشد يا ميسور نبوده احوط مصالحه است؛ و هم چنين در ادّعاى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جنايتى بر جاى موى روى صدمه وارد شد كه مانع از مضغ طعام شد، ارش در آن ثابت است يا ديه براى مجموع‌؟ احوط صلح است</w:t>
      </w:r>
      <w:r>
        <w:rPr>
          <w:rFonts w:eastAsia="IRNazanin" w:cs="IRNazanin"/>
          <w:color w:val="111111"/>
          <w:sz w:val="28"/>
          <w:szCs w:val="28"/>
          <w:rtl w:val="true"/>
          <w:lang w:bidi="fa-IR"/>
        </w:rPr>
        <w:t>.</w:t>
      </w:r>
    </w:p>
    <w:p>
      <w:pPr>
        <w:pStyle w:val="Heading5"/>
        <w:numPr>
          <w:ilvl w:val="4"/>
          <w:numId w:val="1"/>
        </w:numPr>
        <w:rPr/>
      </w:pPr>
      <w:bookmarkStart w:id="3649" w:name="__RefHeading___Toc3974099_1067777946"/>
      <w:bookmarkStart w:id="3650" w:name="_Toc1557"/>
      <w:bookmarkEnd w:id="3649"/>
      <w:r>
        <w:rPr/>
        <w:t>6</w:t>
      </w:r>
      <w:r>
        <w:rPr>
          <w:rtl w:val="true"/>
        </w:rPr>
        <w:t xml:space="preserve">. </w:t>
      </w:r>
      <w:r>
        <w:rPr>
          <w:rtl w:val="true"/>
        </w:rPr>
        <w:t>تعذّر انزال يا قطع نسل يا عدم بلعيدن به وسيلۀ جنايت</w:t>
      </w:r>
      <w:bookmarkEnd w:id="3650"/>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جنايتى انزال در حال جماع متعذر شد پس در آن ديه ثابت است، و احوط صلح است اگر به غير شكستن پشت باشد، به جهت احتمال ثبوت ارش يا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انزال بشود و احبال نشود و از او قطع نسل بشود، و همچنين اگر امنا بشود و ارضاع كه خصوصيت تأثير منى در خون و شير است نشود، در احتياط به صلح مذكور، و هم چنين ذهاب التذاذ به طعام يا جماع در احتياط مذكور، يا آن كه به واسطۀ زدن بر گردن كسى انزال طعام از حلق بر او متعذر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مدتى صاحب حيات مستقره بود و ديگرى قطع كرد رقبه او را، بر دوّمى قصاص يا ديه است</w:t>
      </w:r>
      <w:r>
        <w:rPr>
          <w:rFonts w:eastAsia="IRNazanin" w:cs="IRNazanin"/>
          <w:color w:val="111111"/>
          <w:sz w:val="28"/>
          <w:szCs w:val="28"/>
          <w:rtl w:val="true"/>
          <w:lang w:bidi="fa-IR"/>
        </w:rPr>
        <w:t>.</w:t>
      </w:r>
    </w:p>
    <w:p>
      <w:pPr>
        <w:pStyle w:val="Heading5"/>
        <w:numPr>
          <w:ilvl w:val="4"/>
          <w:numId w:val="1"/>
        </w:numPr>
        <w:rPr/>
      </w:pPr>
      <w:bookmarkStart w:id="3651" w:name="__RefHeading___Toc3974101_1067777946"/>
      <w:bookmarkStart w:id="3652" w:name="_Toc1558"/>
      <w:bookmarkEnd w:id="3651"/>
      <w:r>
        <w:rPr/>
        <w:t>7</w:t>
      </w:r>
      <w:r>
        <w:rPr>
          <w:rtl w:val="true"/>
        </w:rPr>
        <w:t xml:space="preserve">. </w:t>
      </w:r>
      <w:r>
        <w:rPr>
          <w:rtl w:val="true"/>
        </w:rPr>
        <w:t>ابتلا به سلس بول</w:t>
      </w:r>
      <w:bookmarkEnd w:id="3652"/>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جنايت، مبتلا به سلس البول شد و بول او منقطع نشد، تمام ديه در آن است اگر روزها تا شب استمرار داشته باشد، و دو ثلث آن اگر تا ظهر دوام داشته باشد، و يك ثلث آن است اگر تا بلندى آفتاب دوام داشته باشد بنا بر اظهر، اگر چه احوط صلح است با رعايت احتمال موافق ظاهر و احتمال ارش در جميع صور ثلاثه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استمرار بول از يكى از حدود سه گانه تجاوز نمود و به حدّ ديگر نرسد، در خصوص مقدار زيادتى احوط صلح است با رعايت احتمال ارش و نسبت به مقدم و استثناى از حدّ مؤخر؛ و در خصوص زايد بر دخول شب، احتمال عدم اعتبار، و در غير مقدر از منافع زايله به سبب جنايت و غير معلوم از حكم مقدر كه در آنها ارش محتمل است، احتياط كلى در صلح است به مناسبت احتمالات خاصه در هر كدام</w:t>
      </w:r>
      <w:r>
        <w:rPr>
          <w:rFonts w:eastAsia="IRNazanin" w:cs="IRNazanin"/>
          <w:color w:val="111111"/>
          <w:sz w:val="28"/>
          <w:szCs w:val="28"/>
          <w:rtl w:val="true"/>
          <w:lang w:bidi="fa-IR"/>
        </w:rPr>
        <w:t xml:space="preserve">. </w:t>
      </w:r>
      <w:bookmarkStart w:id="3653" w:name="pg10275_97081"/>
    </w:p>
    <w:p>
      <w:pPr>
        <w:pStyle w:val="Heading5"/>
        <w:numPr>
          <w:ilvl w:val="4"/>
          <w:numId w:val="1"/>
        </w:numPr>
        <w:rPr/>
      </w:pPr>
      <w:bookmarkStart w:id="3654" w:name="__RefHeading___Toc3974103_1067777946"/>
      <w:bookmarkStart w:id="3655" w:name="_Toc1559"/>
      <w:bookmarkEnd w:id="3653"/>
      <w:bookmarkEnd w:id="3654"/>
      <w:r>
        <w:rPr>
          <w:rtl w:val="true"/>
        </w:rPr>
        <w:t>تتمه ديه ازالۀ صوت</w:t>
      </w:r>
      <w:bookmarkEnd w:id="3655"/>
    </w:p>
    <w:p>
      <w:pPr>
        <w:pStyle w:val="BookText"/>
        <w:rPr/>
      </w:pPr>
      <w:r>
        <w:rPr>
          <w:rFonts w:ascii="IRNazanin" w:hAnsi="IRNazanin" w:eastAsia="IRNazanin"/>
          <w:color w:val="111111"/>
          <w:sz w:val="28"/>
          <w:sz w:val="28"/>
          <w:szCs w:val="28"/>
          <w:rtl w:val="true"/>
          <w:lang w:bidi="fa-IR"/>
        </w:rPr>
        <w:t>و در ازاله صوت، تمام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موجب ذهاب نطق باشد دو ديه دارد بدون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ذهاب نطق جهرى در صوت، ديه، و در كيفيت نطق، ارش است بنا بر اظهر</w:t>
      </w:r>
      <w:r>
        <w:rPr>
          <w:rFonts w:eastAsia="IRNazanin" w:cs="IRNazanin"/>
          <w:color w:val="111111"/>
          <w:sz w:val="28"/>
          <w:szCs w:val="28"/>
          <w:rtl w:val="true"/>
          <w:lang w:bidi="fa-IR"/>
        </w:rPr>
        <w:t>.</w:t>
      </w:r>
    </w:p>
    <w:p>
      <w:pPr>
        <w:pStyle w:val="Heading4"/>
        <w:numPr>
          <w:ilvl w:val="3"/>
          <w:numId w:val="1"/>
        </w:numPr>
        <w:rPr/>
      </w:pPr>
      <w:bookmarkStart w:id="3656" w:name="__RefHeading___Toc3974105_1067777946"/>
      <w:bookmarkStart w:id="3657" w:name="_Toc1560"/>
      <w:bookmarkEnd w:id="3656"/>
      <w:r>
        <w:rPr/>
        <w:t>3</w:t>
      </w:r>
      <w:r>
        <w:rPr>
          <w:rtl w:val="true"/>
        </w:rPr>
        <w:t xml:space="preserve">. </w:t>
      </w:r>
      <w:r>
        <w:rPr>
          <w:rtl w:val="true"/>
        </w:rPr>
        <w:t>ديات شجاج و جراح</w:t>
      </w:r>
      <w:bookmarkEnd w:id="3657"/>
    </w:p>
    <w:p>
      <w:pPr>
        <w:pStyle w:val="Heading5"/>
        <w:numPr>
          <w:ilvl w:val="4"/>
          <w:numId w:val="1"/>
        </w:numPr>
        <w:rPr/>
      </w:pPr>
      <w:bookmarkStart w:id="3658" w:name="__RefHeading___Toc3974107_1067777946"/>
      <w:bookmarkStart w:id="3659" w:name="_Toc1561"/>
      <w:bookmarkEnd w:id="3658"/>
      <w:r>
        <w:rPr>
          <w:rtl w:val="true"/>
        </w:rPr>
        <w:t>اشاره</w:t>
      </w:r>
      <w:bookmarkEnd w:id="3659"/>
    </w:p>
    <w:p>
      <w:pPr>
        <w:pStyle w:val="BookText"/>
        <w:rPr/>
      </w:pPr>
      <w:r>
        <w:rPr>
          <w:rFonts w:ascii="IRNazanin" w:hAnsi="IRNazanin" w:eastAsia="IRNazanin"/>
          <w:color w:val="111111"/>
          <w:sz w:val="28"/>
          <w:sz w:val="28"/>
          <w:szCs w:val="28"/>
          <w:rtl w:val="true"/>
          <w:lang w:bidi="fa-IR"/>
        </w:rPr>
        <w:t xml:space="preserve">اوّلى خاص به جراحت در سر و روى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سر شكستگى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660" w:name="__RefHeading___Toc3974109_1067777946"/>
      <w:bookmarkStart w:id="3661" w:name="_Toc1562"/>
      <w:bookmarkEnd w:id="3660"/>
      <w:r>
        <w:rPr>
          <w:rtl w:val="true"/>
        </w:rPr>
        <w:t>پاره شدن پوست بدون خارج شدن خون</w:t>
      </w:r>
      <w:bookmarkEnd w:id="3661"/>
    </w:p>
    <w:p>
      <w:pPr>
        <w:pStyle w:val="BookText"/>
        <w:rPr/>
      </w:pPr>
      <w:r>
        <w:rPr>
          <w:rFonts w:ascii="IRNazanin" w:hAnsi="IRNazanin" w:eastAsia="IRNazanin"/>
          <w:color w:val="111111"/>
          <w:sz w:val="28"/>
          <w:sz w:val="28"/>
          <w:szCs w:val="28"/>
          <w:rtl w:val="true"/>
          <w:lang w:bidi="fa-IR"/>
        </w:rPr>
        <w:t xml:space="preserve">و در شجّه اى كه خدش موجب پاره شدن پوست است بدون خارج شدن خون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مرد و زن در تقدير اين ديه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مملوك پس اظهر ثبوت مثل نسبت تقدير در حرّ نسبت به ديه او، در مملوك است پس در او عُشر عُشر تمام قيمت او است كه ديه او است در صورت عدم تجاوز از ديه حرّ</w:t>
      </w:r>
      <w:r>
        <w:rPr>
          <w:rFonts w:eastAsia="IRNazanin" w:cs="IRNazanin"/>
          <w:color w:val="111111"/>
          <w:sz w:val="28"/>
          <w:szCs w:val="28"/>
          <w:rtl w:val="true"/>
          <w:lang w:bidi="fa-IR"/>
        </w:rPr>
        <w:t>.</w:t>
      </w:r>
    </w:p>
    <w:p>
      <w:pPr>
        <w:pStyle w:val="Heading5"/>
        <w:numPr>
          <w:ilvl w:val="4"/>
          <w:numId w:val="1"/>
        </w:numPr>
        <w:rPr/>
      </w:pPr>
      <w:bookmarkStart w:id="3662" w:name="__RefHeading___Toc3974111_1067777946"/>
      <w:bookmarkStart w:id="3663" w:name="_Toc1563"/>
      <w:bookmarkEnd w:id="3662"/>
      <w:r>
        <w:rPr>
          <w:rtl w:val="true"/>
        </w:rPr>
        <w:t>ديۀ زخم داخل گوشت</w:t>
      </w:r>
      <w:bookmarkEnd w:id="366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اظهر مغايرت آن است با حارصه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دخول جرح در گوشت به قدرى كه داخل در مرتبه لاحقه نشود، خواه جريان و سيلان هم داشته باشد يا نه، نقطه اى از خون خارج بشود يا نه، دو شتر است</w:t>
      </w:r>
      <w:r>
        <w:rPr>
          <w:rFonts w:eastAsia="IRNazanin" w:cs="IRNazanin"/>
          <w:color w:val="111111"/>
          <w:sz w:val="28"/>
          <w:szCs w:val="28"/>
          <w:rtl w:val="true"/>
          <w:lang w:bidi="fa-IR"/>
        </w:rPr>
        <w:t>.</w:t>
      </w:r>
    </w:p>
    <w:p>
      <w:pPr>
        <w:pStyle w:val="Heading5"/>
        <w:numPr>
          <w:ilvl w:val="4"/>
          <w:numId w:val="1"/>
        </w:numPr>
        <w:rPr/>
      </w:pPr>
      <w:bookmarkStart w:id="3664" w:name="__RefHeading___Toc3974113_1067777946"/>
      <w:bookmarkStart w:id="3665" w:name="_Toc1564"/>
      <w:bookmarkEnd w:id="3664"/>
      <w:r>
        <w:rPr>
          <w:rtl w:val="true"/>
        </w:rPr>
        <w:t>زخمى كه عمق آن زياد باشد</w:t>
      </w:r>
      <w:bookmarkEnd w:id="3665"/>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دخول آن در گوشت زياد است و لكن بحدّى كه داخل در مرتبه لاحقه نباشد، سه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ناميده شدن به اين اسم به جهت التيام سريع در آن بالاضافه به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66" w:name="pg10275_97082"/>
    </w:p>
    <w:p>
      <w:pPr>
        <w:pStyle w:val="Heading5"/>
        <w:numPr>
          <w:ilvl w:val="4"/>
          <w:numId w:val="1"/>
        </w:numPr>
        <w:rPr/>
      </w:pPr>
      <w:bookmarkStart w:id="3667" w:name="__RefHeading___Toc3974115_1067777946"/>
      <w:bookmarkStart w:id="3668" w:name="_Toc1565"/>
      <w:bookmarkEnd w:id="3666"/>
      <w:bookmarkEnd w:id="3667"/>
      <w:r>
        <w:rPr>
          <w:rtl w:val="true"/>
        </w:rPr>
        <w:t>زخمى كه پوست نازك روى استخوان ظاهر شود</w:t>
      </w:r>
      <w:bookmarkEnd w:id="366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جرح مى رسد تا آن كه ظاهر شود پوست نازك روى استخوان و از همۀ گوشت فاصل بگذرد، چهار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جراحت نمى رسد به آشكارى خود استخوان در سر يا روى</w:t>
      </w:r>
      <w:r>
        <w:rPr>
          <w:rFonts w:eastAsia="IRNazanin" w:cs="IRNazanin"/>
          <w:color w:val="111111"/>
          <w:sz w:val="28"/>
          <w:szCs w:val="28"/>
          <w:rtl w:val="true"/>
          <w:lang w:bidi="fa-IR"/>
        </w:rPr>
        <w:t>.</w:t>
      </w:r>
    </w:p>
    <w:p>
      <w:pPr>
        <w:pStyle w:val="Heading5"/>
        <w:numPr>
          <w:ilvl w:val="4"/>
          <w:numId w:val="1"/>
        </w:numPr>
        <w:rPr/>
      </w:pPr>
      <w:bookmarkStart w:id="3669" w:name="__RefHeading___Toc3974117_1067777946"/>
      <w:bookmarkStart w:id="3670" w:name="_Toc1566"/>
      <w:bookmarkEnd w:id="3669"/>
      <w:r>
        <w:rPr>
          <w:rtl w:val="true"/>
        </w:rPr>
        <w:t>زخمى كه استخوان سر يا روى معلوم شود</w:t>
      </w:r>
      <w:bookmarkEnd w:id="367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آشكار مى كند استخوان سر يا روى را، پنج شتر است</w:t>
      </w:r>
      <w:r>
        <w:rPr>
          <w:rFonts w:eastAsia="IRNazanin" w:cs="IRNazanin"/>
          <w:color w:val="111111"/>
          <w:sz w:val="28"/>
          <w:szCs w:val="28"/>
          <w:rtl w:val="true"/>
          <w:lang w:bidi="fa-IR"/>
        </w:rPr>
        <w:t>.</w:t>
      </w:r>
    </w:p>
    <w:p>
      <w:pPr>
        <w:pStyle w:val="Heading5"/>
        <w:numPr>
          <w:ilvl w:val="4"/>
          <w:numId w:val="1"/>
        </w:numPr>
        <w:rPr/>
      </w:pPr>
      <w:bookmarkStart w:id="3671" w:name="__RefHeading___Toc3974119_1067777946"/>
      <w:bookmarkStart w:id="3672" w:name="_Toc1567"/>
      <w:bookmarkEnd w:id="3671"/>
      <w:r>
        <w:rPr>
          <w:rtl w:val="true"/>
        </w:rPr>
        <w:t>اعتبار در تعدّد ديه به عمق جراحت است نه عرض و طول</w:t>
      </w:r>
      <w:bookmarkEnd w:id="3672"/>
    </w:p>
    <w:p>
      <w:pPr>
        <w:pStyle w:val="BookText"/>
        <w:rPr/>
      </w:pPr>
      <w:r>
        <w:rPr>
          <w:rFonts w:ascii="IRNazanin" w:hAnsi="IRNazanin" w:eastAsia="IRNazanin"/>
          <w:color w:val="111111"/>
          <w:sz w:val="28"/>
          <w:sz w:val="28"/>
          <w:szCs w:val="28"/>
          <w:rtl w:val="true"/>
          <w:lang w:bidi="fa-IR"/>
        </w:rPr>
        <w:t>اعتبار در تعدد ديه، به عمق جراحت است نه به عرض و طول؛ پس اگر دو موضحه جدا باشد دو ديه دارد؛ و اگر يكى به ديگرى متّصل شد به سبب سرايت، يك ديه دارد؛ و اگر وصل كرد جانى بين آن دو، پس در تعدد و وحدت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مورد تأمل است تقديم قول جانى در اختلاف در اين كه واصل او بوده يا سرايت جنايت او و قول مجنى عليه كه واصل غير جانى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اختلاف جانى و ولىّ در موت مجنى عليه كه مسبوق به جنايت به قطع دست ها و پاها بوده، كه آيا به سرايت ممكنه، موت واقع شد، پس يك ديه بر او است يا بعد از اندمال ممكن، موت واقع شده، پس دو ديه بر او است‌؟ در تقديم قول ولىّ با يمين او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غير جانى وصل كرد به جنايت سوم، تعدد خالى از وجه نيست يعنى سه ديه دارد؛ و اگر مجنى عليه متّصل كرد دو ديه بر اولى است و سوّمى هدر است</w:t>
      </w:r>
      <w:r>
        <w:rPr>
          <w:rFonts w:eastAsia="IRNazanin" w:cs="IRNazanin"/>
          <w:color w:val="111111"/>
          <w:sz w:val="28"/>
          <w:szCs w:val="28"/>
          <w:rtl w:val="true"/>
          <w:lang w:bidi="fa-IR"/>
        </w:rPr>
        <w:t>.</w:t>
      </w:r>
    </w:p>
    <w:p>
      <w:pPr>
        <w:pStyle w:val="Heading5"/>
        <w:numPr>
          <w:ilvl w:val="4"/>
          <w:numId w:val="1"/>
        </w:numPr>
        <w:rPr/>
      </w:pPr>
      <w:bookmarkStart w:id="3673" w:name="__RefHeading___Toc3974121_1067777946"/>
      <w:bookmarkStart w:id="3674" w:name="_Toc1568"/>
      <w:bookmarkEnd w:id="3673"/>
      <w:r>
        <w:rPr>
          <w:rtl w:val="true"/>
        </w:rPr>
        <w:t>تعدّد موضحه</w:t>
      </w:r>
      <w:bookmarkEnd w:id="3674"/>
    </w:p>
    <w:p>
      <w:pPr>
        <w:pStyle w:val="BookText"/>
        <w:rPr/>
      </w:pPr>
      <w:r>
        <w:rPr>
          <w:rFonts w:ascii="IRNazanin" w:hAnsi="IRNazanin" w:eastAsia="IRNazanin"/>
          <w:color w:val="111111"/>
          <w:sz w:val="28"/>
          <w:sz w:val="28"/>
          <w:szCs w:val="28"/>
          <w:rtl w:val="true"/>
          <w:lang w:bidi="fa-IR"/>
        </w:rPr>
        <w:t>اگر به جنايت شخصى موضحه هاى متعدده مثلاً حاصل شد، بين آنها فواصل بود، براى هر موضحه پنج شتر است اگر چه مجموع ازيد از ديه نفس 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 محل دو موضحه مثلاً وارد شد با فصل اندمال، از يك جانى يا متعدد، دو ديه موضحه ثابت است</w:t>
      </w:r>
      <w:r>
        <w:rPr>
          <w:rFonts w:eastAsia="IRNazanin" w:cs="IRNazanin"/>
          <w:color w:val="111111"/>
          <w:sz w:val="28"/>
          <w:szCs w:val="28"/>
          <w:rtl w:val="true"/>
          <w:lang w:bidi="fa-IR"/>
        </w:rPr>
        <w:t xml:space="preserve">. </w:t>
      </w:r>
      <w:bookmarkStart w:id="3675" w:name="pg10275_97083"/>
    </w:p>
    <w:p>
      <w:pPr>
        <w:pStyle w:val="BookText"/>
        <w:rPr/>
      </w:pPr>
      <w:bookmarkEnd w:id="3675"/>
      <w:r>
        <w:rPr>
          <w:rFonts w:ascii="IRNazanin" w:hAnsi="IRNazanin" w:eastAsia="IRNazanin"/>
          <w:color w:val="111111"/>
          <w:sz w:val="28"/>
          <w:sz w:val="28"/>
          <w:szCs w:val="28"/>
          <w:rtl w:val="true"/>
          <w:lang w:bidi="fa-IR"/>
        </w:rPr>
        <w:t>اگر موضحه وارد شد، پس از مدتى برء حاصل شد، اظهر لزوم دفع ديه آن است چه اثرى از آن بماند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موضحه در سر وارد شد پس از آن حاجز بين آن دو از باطن رفع شد و در باطن متصل شدند نه در ظاهر، اظهر تعدد ديه است؛ و اگر ما بين آنها در ظاهر متصل شد نه در باطن، دو موضحه در دو طرف و يك غير موضحه در وسط است، مگر آن كه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عملى شد كه اتحاد موضحه خالى از وجه نيست</w:t>
      </w:r>
      <w:r>
        <w:rPr>
          <w:rFonts w:eastAsia="IRNazanin" w:cs="IRNazanin"/>
          <w:color w:val="111111"/>
          <w:sz w:val="28"/>
          <w:szCs w:val="28"/>
          <w:rtl w:val="true"/>
          <w:lang w:bidi="fa-IR"/>
        </w:rPr>
        <w:t>.</w:t>
      </w:r>
    </w:p>
    <w:p>
      <w:pPr>
        <w:pStyle w:val="Heading5"/>
        <w:numPr>
          <w:ilvl w:val="4"/>
          <w:numId w:val="1"/>
        </w:numPr>
        <w:rPr/>
      </w:pPr>
      <w:bookmarkStart w:id="3676" w:name="__RefHeading___Toc3974123_1067777946"/>
      <w:bookmarkStart w:id="3677" w:name="_Toc1569"/>
      <w:bookmarkEnd w:id="3676"/>
      <w:r>
        <w:rPr>
          <w:rtl w:val="true"/>
        </w:rPr>
        <w:t>اختلاف مقادير عميقۀ يك زخم</w:t>
      </w:r>
      <w:bookmarkEnd w:id="3677"/>
    </w:p>
    <w:p>
      <w:pPr>
        <w:pStyle w:val="BookText"/>
        <w:rPr/>
      </w:pPr>
      <w:r>
        <w:rPr>
          <w:rFonts w:ascii="IRNazanin" w:hAnsi="IRNazanin" w:eastAsia="IRNazanin"/>
          <w:color w:val="111111"/>
          <w:sz w:val="28"/>
          <w:sz w:val="28"/>
          <w:szCs w:val="28"/>
          <w:rtl w:val="true"/>
          <w:lang w:bidi="fa-IR"/>
        </w:rPr>
        <w:t>و از اينجا ظاهر مى شود كه اگر يك جراحت، مختلف باشد مقادير عمقيۀ آن، عبرت به بالغ تر به عمق محل است، مگر آن كه در دو عضو باشد كه ديه متعدد به تعدّد اسامى است اگر چه با يك ضرب عملى شود</w:t>
      </w:r>
      <w:r>
        <w:rPr>
          <w:rFonts w:eastAsia="IRNazanin" w:cs="IRNazanin"/>
          <w:color w:val="111111"/>
          <w:sz w:val="28"/>
          <w:szCs w:val="28"/>
          <w:rtl w:val="true"/>
          <w:lang w:bidi="fa-IR"/>
        </w:rPr>
        <w:t>.</w:t>
      </w:r>
    </w:p>
    <w:p>
      <w:pPr>
        <w:pStyle w:val="Heading5"/>
        <w:numPr>
          <w:ilvl w:val="4"/>
          <w:numId w:val="1"/>
        </w:numPr>
        <w:rPr/>
      </w:pPr>
      <w:bookmarkStart w:id="3678" w:name="__RefHeading___Toc3974125_1067777946"/>
      <w:bookmarkStart w:id="3679" w:name="_Toc1570"/>
      <w:bookmarkEnd w:id="3678"/>
      <w:r>
        <w:rPr>
          <w:rtl w:val="true"/>
        </w:rPr>
        <w:t xml:space="preserve">جراحت با شكسته شدن استخوان </w:t>
      </w:r>
      <w:r>
        <w:rPr>
          <w:rtl w:val="true"/>
        </w:rPr>
        <w:t>(</w:t>
      </w:r>
      <w:r>
        <w:rPr>
          <w:rtl w:val="true"/>
        </w:rPr>
        <w:t>هاشمه</w:t>
      </w:r>
      <w:r>
        <w:rPr>
          <w:rtl w:val="true"/>
        </w:rPr>
        <w:t>)</w:t>
      </w:r>
      <w:bookmarkEnd w:id="367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جراحت به شكسته شدن استخوان مى رسد، ده شتر است، با توزيع ديه كامله در خطأ محض بر چهار قسم يعنى دو بنت مخاض و دو ابن لبون و سه بنت لبون و سه حِقّه، و در شبه عمد بر سه قسم يعنى سه بنت لبون و سه حِقّه و چهار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قصاص در اين شجّه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حكم در اين قسم كسر است اگر چه عنوان، شجّه است، پس اگر كسر محقق شد بدون جرح، حكم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هاشمه قصاص نيست بر حسب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هر كدام از دو موضحه، هشم و شكستگى استخوان حاصل شد و در باطن متصل شد هشم، اتحاد هشم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اتصال در ظاهر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رجحان نيست</w:t>
      </w:r>
      <w:r>
        <w:rPr>
          <w:rFonts w:eastAsia="IRNazanin" w:cs="IRNazanin"/>
          <w:color w:val="111111"/>
          <w:sz w:val="28"/>
          <w:szCs w:val="28"/>
          <w:rtl w:val="true"/>
          <w:lang w:bidi="fa-IR"/>
        </w:rPr>
        <w:t>.</w:t>
      </w:r>
    </w:p>
    <w:p>
      <w:pPr>
        <w:pStyle w:val="Heading5"/>
        <w:numPr>
          <w:ilvl w:val="4"/>
          <w:numId w:val="1"/>
        </w:numPr>
        <w:rPr/>
      </w:pPr>
      <w:bookmarkStart w:id="3680" w:name="__RefHeading___Toc3974127_1067777946"/>
      <w:bookmarkStart w:id="3681" w:name="_Toc1571"/>
      <w:bookmarkEnd w:id="3680"/>
      <w:r>
        <w:rPr>
          <w:rtl w:val="true"/>
        </w:rPr>
        <w:t xml:space="preserve">جراحت موجب نقل استخوانهاى زير </w:t>
      </w:r>
      <w:r>
        <w:rPr>
          <w:rtl w:val="true"/>
        </w:rPr>
        <w:t>(</w:t>
      </w:r>
      <w:r>
        <w:rPr>
          <w:rtl w:val="true"/>
        </w:rPr>
        <w:t>منقّله</w:t>
      </w:r>
      <w:r>
        <w:rPr>
          <w:rtl w:val="true"/>
        </w:rPr>
        <w:t>)</w:t>
      </w:r>
      <w:bookmarkEnd w:id="368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نقل استخوان هاى ريز از جاى خود است، پانزده شتر است؛ و </w:t>
      </w:r>
      <w:bookmarkStart w:id="3682" w:name="pg10275_97084"/>
    </w:p>
    <w:p>
      <w:pPr>
        <w:pStyle w:val="BookText"/>
        <w:rPr/>
      </w:pPr>
      <w:bookmarkEnd w:id="3682"/>
      <w:r>
        <w:rPr>
          <w:rFonts w:ascii="Amiri" w:hAnsi="Amiri" w:eastAsia="Amiri" w:cs="Amiri"/>
          <w:color w:val="111111"/>
          <w:sz w:val="28"/>
          <w:sz w:val="28"/>
          <w:szCs w:val="28"/>
          <w:rtl w:val="true"/>
          <w:lang w:bidi="ar-SA"/>
        </w:rPr>
        <w:t>ممكن است انفكاك از 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حسب مذكور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قسم قصاص نيست به سبب تغرير؛ و محتمل است كه براى مجنى عليه باشد قصاص در قدر موضحه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تنقيل با ايضاح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ديۀ زايد كه ده شتر است، و ترجيح يك احتمال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Heading5"/>
        <w:numPr>
          <w:ilvl w:val="4"/>
          <w:numId w:val="1"/>
        </w:numPr>
        <w:rPr/>
      </w:pPr>
      <w:bookmarkStart w:id="3683" w:name="__RefHeading___Toc3974129_1067777946"/>
      <w:bookmarkStart w:id="3684" w:name="_Toc1572"/>
      <w:bookmarkEnd w:id="3683"/>
      <w:r>
        <w:rPr>
          <w:rtl w:val="true"/>
        </w:rPr>
        <w:t>جراحتى كه به كيسۀ دماغ برسد</w:t>
      </w:r>
      <w:bookmarkEnd w:id="3684"/>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جرح رسيده باشد به كيسۀ دماغ، ثلث ديه است كه در شتر با اضافۀ يك ثلث تكميل مى شود</w:t>
      </w:r>
      <w:r>
        <w:rPr>
          <w:rFonts w:eastAsia="Amiri" w:cs="Amiri" w:ascii="Amiri" w:hAnsi="Amiri"/>
          <w:color w:val="111111"/>
          <w:sz w:val="28"/>
          <w:szCs w:val="28"/>
          <w:rtl w:val="true"/>
          <w:lang w:bidi="ar-SA"/>
        </w:rPr>
        <w:t>.</w:t>
      </w:r>
    </w:p>
    <w:p>
      <w:pPr>
        <w:pStyle w:val="Heading5"/>
        <w:numPr>
          <w:ilvl w:val="4"/>
          <w:numId w:val="1"/>
        </w:numPr>
        <w:rPr/>
      </w:pPr>
      <w:bookmarkStart w:id="3685" w:name="__RefHeading___Toc3974131_1067777946"/>
      <w:bookmarkStart w:id="3686" w:name="_Toc1573"/>
      <w:bookmarkEnd w:id="3685"/>
      <w:r>
        <w:rPr>
          <w:rtl w:val="true"/>
        </w:rPr>
        <w:t>شكافته شدن كيسه دماغ</w:t>
      </w:r>
      <w:bookmarkEnd w:id="368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شكافد كيسه دماغ را، در آن ديه مأمومه است با زيادتى حكومت؛ و در صورت تلف با آن، قصاص در آن است؛ و در صورت سلامت بعيده، ديه است به نحو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ثبوت قصاص در موضحه و زايد بر آن از ديه و ارش، مذكور شد در مراتب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مراتب مذكوره ثمانيه از شجاج، از هشت نفر، به ترتيبِ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آيا بر هر كدام تمام ديه عمل خودش كه به اسم مخصوص ناميده است ثابت است يا تفاوت ما بين دو جنايت از دوّمى يا هشتمى ثابت است‌؟ احوط ثبوت اول است</w:t>
      </w:r>
      <w:r>
        <w:rPr>
          <w:rFonts w:eastAsia="IRNazanin" w:cs="IRNazanin"/>
          <w:color w:val="111111"/>
          <w:sz w:val="28"/>
          <w:szCs w:val="28"/>
          <w:rtl w:val="true"/>
          <w:lang w:bidi="fa-IR"/>
        </w:rPr>
        <w:t>.</w:t>
      </w:r>
    </w:p>
    <w:p>
      <w:pPr>
        <w:pStyle w:val="Heading5"/>
        <w:numPr>
          <w:ilvl w:val="4"/>
          <w:numId w:val="1"/>
        </w:numPr>
        <w:rPr/>
      </w:pPr>
      <w:bookmarkStart w:id="3687" w:name="__RefHeading___Toc3974133_1067777946"/>
      <w:bookmarkStart w:id="3688" w:name="_Toc1574"/>
      <w:bookmarkEnd w:id="3687"/>
      <w:r>
        <w:rPr>
          <w:rtl w:val="true"/>
        </w:rPr>
        <w:t>چند مسأله</w:t>
      </w:r>
      <w:bookmarkEnd w:id="3688"/>
    </w:p>
    <w:p>
      <w:pPr>
        <w:pStyle w:val="Heading6"/>
        <w:numPr>
          <w:ilvl w:val="5"/>
          <w:numId w:val="1"/>
        </w:numPr>
        <w:rPr/>
      </w:pPr>
      <w:bookmarkStart w:id="3689" w:name="__RefHeading___Toc3974135_1067777946"/>
      <w:bookmarkStart w:id="3690" w:name="_Toc1575"/>
      <w:bookmarkEnd w:id="3689"/>
      <w:r>
        <w:rPr>
          <w:rtl w:val="true"/>
        </w:rPr>
        <w:t>اشاره به دو مسأله اى كه گذشت</w:t>
      </w:r>
      <w:bookmarkEnd w:id="3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در ديۀ بينى ديۀ جرح نافذ در آن در صورت صلاح آن و عدم صلاح آن، و ديه نافذ در يكى از نرمى هاى آن تا حاجز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 در ديۀ لبها ديۀ شكافتن آنها تا آن كه دندان ها ظاهر بشود در صورت برء و عدم، و نافذ در يكى از آنها در صورت برء و عدم</w:t>
      </w:r>
      <w:r>
        <w:rPr>
          <w:rFonts w:eastAsia="IRNazanin" w:cs="IRNazanin"/>
          <w:color w:val="111111"/>
          <w:sz w:val="28"/>
          <w:szCs w:val="28"/>
          <w:rtl w:val="true"/>
          <w:lang w:bidi="fa-IR"/>
        </w:rPr>
        <w:t xml:space="preserve">. </w:t>
      </w:r>
      <w:bookmarkStart w:id="3691" w:name="pg10275_97085"/>
    </w:p>
    <w:p>
      <w:pPr>
        <w:pStyle w:val="Heading6"/>
        <w:numPr>
          <w:ilvl w:val="5"/>
          <w:numId w:val="1"/>
        </w:numPr>
        <w:rPr/>
      </w:pPr>
      <w:bookmarkStart w:id="3692" w:name="__RefHeading___Toc3974137_1067777946"/>
      <w:bookmarkStart w:id="3693" w:name="_Toc1576"/>
      <w:bookmarkEnd w:id="3691"/>
      <w:bookmarkEnd w:id="3692"/>
      <w:r>
        <w:rPr>
          <w:rtl w:val="true"/>
        </w:rPr>
        <w:t xml:space="preserve">جراحت جائفه </w:t>
      </w:r>
      <w:r>
        <w:rPr>
          <w:rtl w:val="true"/>
        </w:rPr>
        <w:t>(</w:t>
      </w:r>
      <w:r>
        <w:rPr>
          <w:rtl w:val="true"/>
        </w:rPr>
        <w:t>به درون رسيده</w:t>
      </w:r>
      <w:r>
        <w:rPr>
          <w:rtl w:val="true"/>
        </w:rPr>
        <w:t>)</w:t>
      </w:r>
      <w:bookmarkEnd w:id="3693"/>
    </w:p>
    <w:p>
      <w:pPr>
        <w:pStyle w:val="Heading6"/>
        <w:numPr>
          <w:ilvl w:val="5"/>
          <w:numId w:val="1"/>
        </w:numPr>
        <w:rPr/>
      </w:pPr>
      <w:bookmarkStart w:id="3694" w:name="__RefHeading___Toc3974139_1067777946"/>
      <w:bookmarkStart w:id="3695" w:name="_Toc1577"/>
      <w:bookmarkEnd w:id="3694"/>
      <w:r>
        <w:rPr>
          <w:rtl w:val="true"/>
        </w:rPr>
        <w:t>اشاره</w:t>
      </w:r>
      <w:bookmarkEnd w:id="36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جراحت جائفه كه به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از هر جهتى باشد و در هر جايى از بدن باشد غير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دامغه گذشت ديه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ديۀ نفس است، و اين جرح، خارج از شجاج كه مختص به سر و روى است مى باشد اگر چه فى الجمله اشتراك در ديه دارند</w:t>
      </w:r>
      <w:r>
        <w:rPr>
          <w:rFonts w:eastAsia="IRNazanin" w:cs="IRNazanin"/>
          <w:color w:val="111111"/>
          <w:sz w:val="28"/>
          <w:szCs w:val="28"/>
          <w:rtl w:val="true"/>
          <w:lang w:bidi="fa-IR"/>
        </w:rPr>
        <w:t>.</w:t>
      </w:r>
    </w:p>
    <w:p>
      <w:pPr>
        <w:pStyle w:val="Heading6"/>
        <w:numPr>
          <w:ilvl w:val="5"/>
          <w:numId w:val="1"/>
        </w:numPr>
        <w:rPr/>
      </w:pPr>
      <w:bookmarkStart w:id="3696" w:name="__RefHeading___Toc3974141_1067777946"/>
      <w:bookmarkStart w:id="3697" w:name="_Toc1578"/>
      <w:bookmarkEnd w:id="3696"/>
      <w:r>
        <w:rPr>
          <w:rtl w:val="true"/>
        </w:rPr>
        <w:t>جرح در موضعى كه خودش مستقلاً ديه داشت</w:t>
      </w:r>
      <w:bookmarkEnd w:id="3697"/>
    </w:p>
    <w:p>
      <w:pPr>
        <w:pStyle w:val="BookText"/>
        <w:rPr/>
      </w:pPr>
      <w:r>
        <w:rPr>
          <w:rFonts w:ascii="IRNazanin" w:hAnsi="IRNazanin" w:eastAsia="IRNazanin"/>
          <w:color w:val="111111"/>
          <w:sz w:val="28"/>
          <w:sz w:val="28"/>
          <w:szCs w:val="28"/>
          <w:rtl w:val="true"/>
          <w:lang w:bidi="fa-IR"/>
        </w:rPr>
        <w:t>اگر جرح كرد در موضعى كه خودش مستقلاً ديه داشت پس شكافت موضع را تا آن كه به جوف رسيد، اكتفاى به ديه جائفه محل تأمل است؛ و اگر از دو نفر باشد دو ديه دارد بنا بر اظهر</w:t>
      </w:r>
      <w:r>
        <w:rPr>
          <w:rFonts w:eastAsia="IRNazanin" w:cs="IRNazanin"/>
          <w:color w:val="111111"/>
          <w:sz w:val="28"/>
          <w:szCs w:val="28"/>
          <w:rtl w:val="true"/>
          <w:lang w:bidi="fa-IR"/>
        </w:rPr>
        <w:t>.</w:t>
      </w:r>
    </w:p>
    <w:p>
      <w:pPr>
        <w:pStyle w:val="Heading6"/>
        <w:numPr>
          <w:ilvl w:val="5"/>
          <w:numId w:val="1"/>
        </w:numPr>
        <w:rPr/>
      </w:pPr>
      <w:bookmarkStart w:id="3698" w:name="__RefHeading___Toc3974143_1067777946"/>
      <w:bookmarkStart w:id="3699" w:name="_Toc1579"/>
      <w:bookmarkEnd w:id="3698"/>
      <w:r>
        <w:rPr>
          <w:rtl w:val="true"/>
        </w:rPr>
        <w:t>داخل كرن كارد در محل اجافه توسط ديگرى</w:t>
      </w:r>
      <w:bookmarkEnd w:id="3699"/>
    </w:p>
    <w:p>
      <w:pPr>
        <w:pStyle w:val="BookText"/>
        <w:rPr/>
      </w:pPr>
      <w:r>
        <w:rPr>
          <w:rFonts w:ascii="IRNazanin" w:hAnsi="IRNazanin" w:eastAsia="IRNazanin"/>
          <w:color w:val="111111"/>
          <w:sz w:val="28"/>
          <w:sz w:val="28"/>
          <w:szCs w:val="28"/>
          <w:rtl w:val="true"/>
          <w:lang w:bidi="fa-IR"/>
        </w:rPr>
        <w:t>اگر يكى اجافه كرد بر او است ديۀ جائفه؛ و اگر ديگرى داخل كرد كارد را در داخل همان جرح بدون زيادتى، بر او جز تعزير ايذا نيست؛ و اگر توسعه همان جراحت داد در باطن يا ظاهر، در آن حكومت است؛ و اگر توسعه در ظاهر و باطن داد و مفصول كرد جزء موصول را، جائفۀ ديگرى است و ديۀ ديگر بر آن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طرفى توسعه در ظاهر و از طرفى توسعه در باطن داد، پس موارد آن مختلف است، و با صدق جائفه ديه دارد، و با عدم صدق آن، حكومت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زياد كردن همان جراحت جائفه با وحدت جارح و زايد و تعدد آنها تأمل است در صدق جائفۀ ديگر و ثبوت ديه، و عدم صدق و ثبوت ارش، لكن با تعدد جانى اظهر تعدد است</w:t>
      </w:r>
      <w:r>
        <w:rPr>
          <w:rFonts w:eastAsia="IRNazanin" w:cs="IRNazanin"/>
          <w:color w:val="111111"/>
          <w:sz w:val="28"/>
          <w:szCs w:val="28"/>
          <w:rtl w:val="true"/>
          <w:lang w:bidi="fa-IR"/>
        </w:rPr>
        <w:t>.</w:t>
      </w:r>
    </w:p>
    <w:p>
      <w:pPr>
        <w:pStyle w:val="Heading6"/>
        <w:numPr>
          <w:ilvl w:val="5"/>
          <w:numId w:val="1"/>
        </w:numPr>
        <w:rPr/>
      </w:pPr>
      <w:bookmarkStart w:id="3700" w:name="__RefHeading___Toc3974145_1067777946"/>
      <w:bookmarkStart w:id="3701" w:name="_Toc1580"/>
      <w:bookmarkEnd w:id="3700"/>
      <w:r>
        <w:rPr>
          <w:rtl w:val="true"/>
        </w:rPr>
        <w:t>ايضاح توسط يكى و اجافه توسط ديگرى</w:t>
      </w:r>
      <w:bookmarkEnd w:id="3701"/>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محل واحد يكى ايضاح كرد و ديگرى اجافه، اظهر تعدد ديه و عدم تداخل است</w:t>
      </w:r>
      <w:r>
        <w:rPr>
          <w:rFonts w:eastAsia="IRNazanin" w:cs="IRNazanin"/>
          <w:color w:val="111111"/>
          <w:sz w:val="28"/>
          <w:szCs w:val="28"/>
          <w:rtl w:val="true"/>
          <w:lang w:bidi="fa-IR"/>
        </w:rPr>
        <w:t xml:space="preserve">. </w:t>
      </w:r>
      <w:bookmarkStart w:id="3702" w:name="pg10275_97086"/>
    </w:p>
    <w:p>
      <w:pPr>
        <w:pStyle w:val="Heading6"/>
        <w:numPr>
          <w:ilvl w:val="5"/>
          <w:numId w:val="1"/>
        </w:numPr>
        <w:rPr/>
      </w:pPr>
      <w:bookmarkStart w:id="3703" w:name="__RefHeading___Toc3974147_1067777946"/>
      <w:bookmarkStart w:id="3704" w:name="_Toc1581"/>
      <w:bookmarkEnd w:id="3702"/>
      <w:bookmarkEnd w:id="3703"/>
      <w:r>
        <w:rPr>
          <w:rtl w:val="true"/>
        </w:rPr>
        <w:t>فرو كردن كارد در اعضاى باطنۀ ظاهر شده</w:t>
      </w:r>
      <w:bookmarkEnd w:id="3704"/>
    </w:p>
    <w:p>
      <w:pPr>
        <w:pStyle w:val="BookText"/>
        <w:rPr/>
      </w:pPr>
      <w:r>
        <w:rPr>
          <w:rFonts w:ascii="IRNazanin" w:hAnsi="IRNazanin" w:eastAsia="IRNazanin"/>
          <w:color w:val="111111"/>
          <w:sz w:val="28"/>
          <w:sz w:val="28"/>
          <w:szCs w:val="28"/>
          <w:rtl w:val="true"/>
          <w:lang w:bidi="fa-IR"/>
        </w:rPr>
        <w:t xml:space="preserve">اگر بعضى از اعضاى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پس كارد در آن فرو كرد، اظهر صدق جائفه و ثبوت ديۀ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مجيف توسعه داد يا زياد كرد، گذشت تأمل و احتياط در تعدد جنايت و ديه آن بدون فرق بين توسعه و زياد كردن</w:t>
      </w:r>
      <w:r>
        <w:rPr>
          <w:rFonts w:eastAsia="IRNazanin" w:cs="IRNazanin"/>
          <w:color w:val="111111"/>
          <w:sz w:val="28"/>
          <w:szCs w:val="28"/>
          <w:rtl w:val="true"/>
          <w:lang w:bidi="fa-IR"/>
        </w:rPr>
        <w:t>.</w:t>
      </w:r>
    </w:p>
    <w:p>
      <w:pPr>
        <w:pStyle w:val="Heading6"/>
        <w:numPr>
          <w:ilvl w:val="5"/>
          <w:numId w:val="1"/>
        </w:numPr>
        <w:rPr/>
      </w:pPr>
      <w:bookmarkStart w:id="3705" w:name="__RefHeading___Toc3974149_1067777946"/>
      <w:bookmarkStart w:id="3706" w:name="_Toc1582"/>
      <w:bookmarkEnd w:id="3705"/>
      <w:r>
        <w:rPr>
          <w:rtl w:val="true"/>
        </w:rPr>
        <w:t>بيرون ريختن اعضاى باطنى بعد از اجافۀ ديگرى</w:t>
      </w:r>
      <w:bookmarkEnd w:id="3706"/>
    </w:p>
    <w:p>
      <w:pPr>
        <w:pStyle w:val="BookText"/>
        <w:rPr/>
      </w:pPr>
      <w:r>
        <w:rPr>
          <w:rFonts w:ascii="IRNazanin" w:hAnsi="IRNazanin" w:eastAsia="IRNazanin"/>
          <w:color w:val="111111"/>
          <w:sz w:val="28"/>
          <w:sz w:val="28"/>
          <w:szCs w:val="28"/>
          <w:rtl w:val="true"/>
          <w:lang w:bidi="fa-IR"/>
        </w:rPr>
        <w:t>و اگر بعد از اجافۀ كسى، ابراز حشو به جنايت شخص ديگرى شد، دوّمى قاتل است چون سبب، قاتل غالبى است، پس بر اولى ثلث ديه است و بر دوّمى قصاص يا تمام ديه است؛ و اگر از سبب غالبى بودن خارج شد و مقصود، قتل نبود اگر چه قتل واقع شد، ديه شبه عمد؛ و اگر قتل، مقصود بود، مبنىّ بر معامله عمد با آن است حكم آن</w:t>
      </w:r>
      <w:r>
        <w:rPr>
          <w:rFonts w:eastAsia="IRNazanin" w:cs="IRNazanin"/>
          <w:color w:val="111111"/>
          <w:sz w:val="28"/>
          <w:szCs w:val="28"/>
          <w:rtl w:val="true"/>
          <w:lang w:bidi="fa-IR"/>
        </w:rPr>
        <w:t>.</w:t>
      </w:r>
    </w:p>
    <w:p>
      <w:pPr>
        <w:pStyle w:val="Heading6"/>
        <w:numPr>
          <w:ilvl w:val="5"/>
          <w:numId w:val="1"/>
        </w:numPr>
        <w:rPr/>
      </w:pPr>
      <w:bookmarkStart w:id="3707" w:name="__RefHeading___Toc3974151_1067777946"/>
      <w:bookmarkStart w:id="3708" w:name="_Toc1583"/>
      <w:bookmarkEnd w:id="3707"/>
      <w:r>
        <w:rPr>
          <w:rtl w:val="true"/>
        </w:rPr>
        <w:t>پاره نمودن محل جراحتِ دوخته شده</w:t>
      </w:r>
      <w:bookmarkEnd w:id="3708"/>
    </w:p>
    <w:p>
      <w:pPr>
        <w:pStyle w:val="BookText"/>
        <w:rPr/>
      </w:pPr>
      <w:r>
        <w:rPr>
          <w:rFonts w:ascii="IRNazanin" w:hAnsi="IRNazanin" w:eastAsia="IRNazanin"/>
          <w:color w:val="111111"/>
          <w:sz w:val="28"/>
          <w:sz w:val="28"/>
          <w:szCs w:val="28"/>
          <w:rtl w:val="true"/>
          <w:lang w:bidi="fa-IR"/>
        </w:rPr>
        <w:t>و اگر جراحت جائفه مخيط شد و قبل از التيام، ديگرى آن را پاره كرد، ضامن است اگر موجب ضمانى محقق بشود اگر چه حاجت به خياطت دوم باشد كه محتاج به اجرت است؛ و اگر ايذا باشد تعزير در آن ثابت است به آن چه در نظر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بعضى ملتحم شد پس در بقيّه، حكم مذكور جارى، و در ملتحم اگر اندمال آن حاصل است، جنايت مبتكره محسوب است و ديه آن را دارد كه ثلث ديه است اگر جائفه شد، مگر آن كه تأثيرى در غير اخراج خيوط نداشته باشد؛ و اگر اندمال حاصل نيست ارش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تفاوت جائفه ملتحمه و غير ملتحمه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زوال التيام به فعل جانى دوم</w:t>
      </w:r>
      <w:r>
        <w:rPr>
          <w:rFonts w:eastAsia="IRNazanin" w:cs="IRNazanin"/>
          <w:color w:val="111111"/>
          <w:sz w:val="28"/>
          <w:szCs w:val="28"/>
          <w:rtl w:val="true"/>
          <w:lang w:bidi="fa-IR"/>
        </w:rPr>
        <w:t>.</w:t>
      </w:r>
    </w:p>
    <w:p>
      <w:pPr>
        <w:pStyle w:val="Heading6"/>
        <w:numPr>
          <w:ilvl w:val="5"/>
          <w:numId w:val="1"/>
        </w:numPr>
        <w:rPr/>
      </w:pPr>
      <w:bookmarkStart w:id="3709" w:name="__RefHeading___Toc3974153_1067777946"/>
      <w:bookmarkStart w:id="3710" w:name="_Toc1584"/>
      <w:bookmarkEnd w:id="3709"/>
      <w:r>
        <w:rPr>
          <w:rtl w:val="true"/>
        </w:rPr>
        <w:t>دو فرض تعدد جائفه</w:t>
      </w:r>
      <w:bookmarkEnd w:id="3710"/>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سه موضع از بدن مثلاً سه جائفه احداث كرد، براى هر كدام ثلث ديه و در مجموع تمام ديه است</w:t>
      </w:r>
      <w:r>
        <w:rPr>
          <w:rFonts w:eastAsia="IRNazanin" w:cs="IRNazanin"/>
          <w:color w:val="111111"/>
          <w:sz w:val="28"/>
          <w:szCs w:val="28"/>
          <w:rtl w:val="true"/>
          <w:lang w:bidi="fa-IR"/>
        </w:rPr>
        <w:t xml:space="preserve">. </w:t>
      </w:r>
      <w:bookmarkStart w:id="3711" w:name="pg10275_97087"/>
    </w:p>
    <w:p>
      <w:pPr>
        <w:pStyle w:val="BookText"/>
        <w:rPr/>
      </w:pPr>
      <w:bookmarkEnd w:id="3711"/>
      <w:r>
        <w:rPr>
          <w:rFonts w:ascii="IRNazanin" w:hAnsi="IRNazanin" w:eastAsia="IRNazanin"/>
          <w:color w:val="111111"/>
          <w:sz w:val="28"/>
          <w:sz w:val="28"/>
          <w:szCs w:val="28"/>
          <w:rtl w:val="true"/>
          <w:lang w:bidi="fa-IR"/>
        </w:rPr>
        <w:t>اگر از طرفى مثل سينه يا پهلو، به جنايت، نافذ شد آلت جرح و از طرف مقابل خارج شد اظهر تعدد جائفه است به جهت الغاى خصوصيت عرفاً در دوّمى</w:t>
      </w:r>
      <w:r>
        <w:rPr>
          <w:rFonts w:eastAsia="IRNazanin" w:cs="IRNazanin"/>
          <w:color w:val="111111"/>
          <w:sz w:val="28"/>
          <w:szCs w:val="28"/>
          <w:rtl w:val="true"/>
          <w:lang w:bidi="fa-IR"/>
        </w:rPr>
        <w:t>.</w:t>
      </w:r>
    </w:p>
    <w:p>
      <w:pPr>
        <w:pStyle w:val="Heading6"/>
        <w:numPr>
          <w:ilvl w:val="5"/>
          <w:numId w:val="1"/>
        </w:numPr>
        <w:rPr/>
      </w:pPr>
      <w:bookmarkStart w:id="3712" w:name="__RefHeading___Toc3974155_1067777946"/>
      <w:bookmarkStart w:id="3713" w:name="_Toc1585"/>
      <w:bookmarkEnd w:id="3712"/>
      <w:r>
        <w:rPr>
          <w:rtl w:val="true"/>
        </w:rPr>
        <w:t>جراحت نافذه</w:t>
      </w:r>
      <w:bookmarkEnd w:id="37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نافذه در اطراف مَرد صد دينار است، و آن مقابل جائفه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عموم اين حكم به زن، و به عضوى كه قطع آن بيش از صد دينار ندارد، و به مملوك در نسبت عُشر به قيمت آن يا به نسبت قيمت او به ديه حرّ، تأمل است و احوط صلح است در همه اين موارد مختلفه نافذه</w:t>
      </w:r>
      <w:r>
        <w:rPr>
          <w:rFonts w:eastAsia="Amiri" w:cs="Amiri" w:ascii="Amiri" w:hAnsi="Amiri"/>
          <w:color w:val="111111"/>
          <w:sz w:val="28"/>
          <w:szCs w:val="28"/>
          <w:rtl w:val="true"/>
          <w:lang w:bidi="ar-SA"/>
        </w:rPr>
        <w:t>.</w:t>
      </w:r>
    </w:p>
    <w:p>
      <w:pPr>
        <w:pStyle w:val="Heading6"/>
        <w:numPr>
          <w:ilvl w:val="5"/>
          <w:numId w:val="1"/>
        </w:numPr>
        <w:rPr/>
      </w:pPr>
      <w:bookmarkStart w:id="3714" w:name="__RefHeading___Toc3974157_1067777946"/>
      <w:bookmarkStart w:id="3715" w:name="_Toc1586"/>
      <w:bookmarkEnd w:id="3714"/>
      <w:r>
        <w:rPr>
          <w:rtl w:val="true"/>
        </w:rPr>
        <w:t>جنايتى كه در آن زخم و شكستن نباشد مانند باد كردن</w:t>
      </w:r>
      <w:bookmarkEnd w:id="3715"/>
    </w:p>
    <w:p>
      <w:pPr>
        <w:pStyle w:val="Heading6"/>
        <w:numPr>
          <w:ilvl w:val="5"/>
          <w:numId w:val="1"/>
        </w:numPr>
        <w:rPr/>
      </w:pPr>
      <w:bookmarkStart w:id="3716" w:name="__RefHeading___Toc3974159_1067777946"/>
      <w:bookmarkStart w:id="3717" w:name="_Toc1587"/>
      <w:bookmarkEnd w:id="3716"/>
      <w:r>
        <w:rPr>
          <w:rtl w:val="true"/>
        </w:rPr>
        <w:t>اشاره</w:t>
      </w:r>
      <w:bookmarkEnd w:id="37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جنايتى كه در آن جرح و كسر نباشد مثل زدن هايى كه موجب باد كردن محل باشد، در آنها حكومت است</w:t>
      </w:r>
      <w:r>
        <w:rPr>
          <w:rFonts w:eastAsia="Amiri" w:cs="Amiri" w:ascii="Amiri" w:hAnsi="Amiri"/>
          <w:color w:val="111111"/>
          <w:sz w:val="28"/>
          <w:szCs w:val="28"/>
          <w:rtl w:val="true"/>
          <w:lang w:bidi="ar-SA"/>
        </w:rPr>
        <w:t>.</w:t>
      </w:r>
    </w:p>
    <w:p>
      <w:pPr>
        <w:pStyle w:val="Heading6"/>
        <w:numPr>
          <w:ilvl w:val="5"/>
          <w:numId w:val="1"/>
        </w:numPr>
        <w:rPr/>
      </w:pPr>
      <w:bookmarkStart w:id="3718" w:name="__RefHeading___Toc3974161_1067777946"/>
      <w:bookmarkStart w:id="3719" w:name="_Toc1588"/>
      <w:bookmarkEnd w:id="3718"/>
      <w:r>
        <w:rPr>
          <w:rtl w:val="true"/>
        </w:rPr>
        <w:t>ديۀ سرخ شدن و تغيير رنگ صورت</w:t>
      </w:r>
      <w:bookmarkEnd w:id="3719"/>
    </w:p>
    <w:p>
      <w:pPr>
        <w:pStyle w:val="BookText"/>
        <w:rPr/>
      </w:pPr>
      <w:r>
        <w:rPr>
          <w:rFonts w:ascii="IRNazanin" w:hAnsi="IRNazanin" w:eastAsia="IRNazanin"/>
          <w:color w:val="111111"/>
          <w:sz w:val="28"/>
          <w:sz w:val="28"/>
          <w:szCs w:val="28"/>
          <w:rtl w:val="true"/>
          <w:lang w:bidi="fa-IR"/>
        </w:rPr>
        <w:t>و اگر موجب تغيير لون باشد، پس در سرخ شدن روى به سبب زدن، يك دينار و نصف آن است؛ و در سبز شدن آن، سه دينار است؛ و در سياه شدن آن، شش دينار است بنا بر اظهر</w:t>
      </w:r>
      <w:r>
        <w:rPr>
          <w:rFonts w:eastAsia="IRNazanin" w:cs="IRNazanin"/>
          <w:color w:val="111111"/>
          <w:sz w:val="28"/>
          <w:szCs w:val="28"/>
          <w:rtl w:val="true"/>
          <w:lang w:bidi="fa-IR"/>
        </w:rPr>
        <w:t>.</w:t>
      </w:r>
    </w:p>
    <w:p>
      <w:pPr>
        <w:pStyle w:val="Heading6"/>
        <w:numPr>
          <w:ilvl w:val="5"/>
          <w:numId w:val="1"/>
        </w:numPr>
        <w:rPr/>
      </w:pPr>
      <w:bookmarkStart w:id="3720" w:name="__RefHeading___Toc3974163_1067777946"/>
      <w:bookmarkStart w:id="3721" w:name="_Toc1589"/>
      <w:bookmarkEnd w:id="3720"/>
      <w:r>
        <w:rPr>
          <w:rtl w:val="true"/>
        </w:rPr>
        <w:t>تغيير رنگ اعضاى ديگر</w:t>
      </w:r>
      <w:bookmarkEnd w:id="3721"/>
    </w:p>
    <w:p>
      <w:pPr>
        <w:pStyle w:val="BookText"/>
        <w:rPr/>
      </w:pPr>
      <w:r>
        <w:rPr>
          <w:rFonts w:ascii="IRNazanin" w:hAnsi="IRNazanin" w:eastAsia="IRNazanin"/>
          <w:color w:val="111111"/>
          <w:sz w:val="28"/>
          <w:sz w:val="28"/>
          <w:szCs w:val="28"/>
          <w:rtl w:val="true"/>
          <w:lang w:bidi="fa-IR"/>
        </w:rPr>
        <w:t>و اگر اين اوصاف در بدن در غير روى باشد، نصف مذكور در هر يك از سه وصف، در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حرّ، رعايت حكومت يا نسبت قيمت او با ديه حرّ است‌؟ مورد تأمل و احتياط است اگر چه دوّم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اجزاى سر غير روى محل حكومت است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مساوات زن با مرد در مذكورات يا تنصيف ديه در زن، محل تأمل و مورد احتياط بصلح است</w:t>
      </w:r>
      <w:r>
        <w:rPr>
          <w:rFonts w:eastAsia="IRNazanin" w:cs="IRNazanin"/>
          <w:color w:val="111111"/>
          <w:sz w:val="28"/>
          <w:szCs w:val="28"/>
          <w:rtl w:val="true"/>
          <w:lang w:bidi="fa-IR"/>
        </w:rPr>
        <w:t>.</w:t>
      </w:r>
    </w:p>
    <w:p>
      <w:pPr>
        <w:pStyle w:val="Heading6"/>
        <w:numPr>
          <w:ilvl w:val="5"/>
          <w:numId w:val="1"/>
        </w:numPr>
        <w:rPr/>
      </w:pPr>
      <w:bookmarkStart w:id="3722" w:name="__RefHeading___Toc3974165_1067777946"/>
      <w:bookmarkStart w:id="3723" w:name="_Toc1590"/>
      <w:bookmarkEnd w:id="3722"/>
      <w:r>
        <w:rPr>
          <w:rtl w:val="true"/>
        </w:rPr>
        <w:t>مشلول كردن عضوى كه ديۀ مقدره دارد و قطع مشلول</w:t>
      </w:r>
      <w:bookmarkEnd w:id="37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عضوى كه ديۀ آن مقدّر است، در مشلول كردن آن دو ثلث ديۀ آن است، و در</w:t>
      </w:r>
      <w:bookmarkStart w:id="3724" w:name="pg10275_97088"/>
    </w:p>
    <w:p>
      <w:pPr>
        <w:pStyle w:val="BookText"/>
        <w:rPr/>
      </w:pPr>
      <w:bookmarkEnd w:id="3724"/>
      <w:r>
        <w:rPr>
          <w:rFonts w:ascii="IRNazanin" w:hAnsi="IRNazanin" w:eastAsia="IRNazanin"/>
          <w:color w:val="111111"/>
          <w:sz w:val="28"/>
          <w:sz w:val="28"/>
          <w:szCs w:val="28"/>
          <w:rtl w:val="true"/>
          <w:lang w:bidi="fa-IR"/>
        </w:rPr>
        <w:t>قطع آن بعد از شلل ثلث ديه آن عضو است؛ و اگر ديه مقدّر نباشد حكومت در آن ثابت است</w:t>
      </w:r>
      <w:r>
        <w:rPr>
          <w:rFonts w:eastAsia="IRNazanin" w:cs="IRNazanin"/>
          <w:color w:val="111111"/>
          <w:sz w:val="28"/>
          <w:szCs w:val="28"/>
          <w:rtl w:val="true"/>
          <w:lang w:bidi="fa-IR"/>
        </w:rPr>
        <w:t>.</w:t>
      </w:r>
    </w:p>
    <w:p>
      <w:pPr>
        <w:pStyle w:val="Heading6"/>
        <w:numPr>
          <w:ilvl w:val="5"/>
          <w:numId w:val="1"/>
        </w:numPr>
        <w:rPr/>
      </w:pPr>
      <w:bookmarkStart w:id="3725" w:name="__RefHeading___Toc3974167_1067777946"/>
      <w:bookmarkStart w:id="3726" w:name="_Toc1591"/>
      <w:bookmarkEnd w:id="3725"/>
      <w:r>
        <w:rPr>
          <w:rtl w:val="true"/>
        </w:rPr>
        <w:t>تساوى ديۀ اقسام شجاج</w:t>
      </w:r>
      <w:bookmarkEnd w:id="37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ديۀ اقسام شجاج در سر و روى مساوى است چنان چه اشاره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شجاج اگر واقع در بدن شد به نسبت ديه آن عضو با ديۀ نفس، تعيين مى شود؛ پس در حارصۀ يد نصف شتر است؛ و در حارصۀ دو انملۀ ابهام، نصف عُشرِ شتر است؛ و در موضحۀ اصبع، نصف عُشر ديۀ اصبع است؛ و فرقى بين استخوان دار و غير آن از اعضاى بدن نيست، مثل آلت و لب و زبان و پستان</w:t>
      </w:r>
      <w:r>
        <w:rPr>
          <w:rFonts w:eastAsia="IRNazanin" w:cs="IRNazanin"/>
          <w:color w:val="111111"/>
          <w:sz w:val="28"/>
          <w:szCs w:val="28"/>
          <w:rtl w:val="true"/>
          <w:lang w:bidi="fa-IR"/>
        </w:rPr>
        <w:t>.</w:t>
      </w:r>
    </w:p>
    <w:p>
      <w:pPr>
        <w:pStyle w:val="Heading6"/>
        <w:numPr>
          <w:ilvl w:val="5"/>
          <w:numId w:val="1"/>
        </w:numPr>
        <w:rPr/>
      </w:pPr>
      <w:bookmarkStart w:id="3727" w:name="__RefHeading___Toc3974169_1067777946"/>
      <w:bookmarkStart w:id="3728" w:name="_Toc1592"/>
      <w:bookmarkEnd w:id="3727"/>
      <w:r>
        <w:rPr>
          <w:rtl w:val="true"/>
        </w:rPr>
        <w:t>تساوى زن با مرد در ديۀ اعضاى و جراحات تا ثلث</w:t>
      </w:r>
      <w:bookmarkEnd w:id="37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ديات اعضا و جراحات، مساوى است با مرد تا آن كه برسد به ثلث ديۀ مرد يا زايد باشد از آن، پس از آن تنصيف مى شود ديه مرد در زن، و فرقى بين اين كه جانى مرد باشد يا زن نيست؛ پس در قطع انگشت زن، صد دينار است؛ و در دو انگشت، دويست؛ و در سه انگشت، سيصد دينار؛ و در چهار انگشت، دويست دينار اگر با يك ضربت همه را قطع كند، وگرنه هر كدام حكم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مرد براى زن قصاص مى شود در اعضاى بدون ردّ تا آن كه به ثلث برسد، پس از آن ردّ مى نمايد نصف ديه را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جانى زن باشد و قصاص كننده مرد، ردّى نيست</w:t>
      </w:r>
      <w:r>
        <w:rPr>
          <w:rFonts w:eastAsia="IRNazanin" w:cs="IRNazanin"/>
          <w:color w:val="111111"/>
          <w:sz w:val="28"/>
          <w:szCs w:val="28"/>
          <w:rtl w:val="true"/>
          <w:lang w:bidi="fa-IR"/>
        </w:rPr>
        <w:t>.</w:t>
      </w:r>
    </w:p>
    <w:p>
      <w:pPr>
        <w:pStyle w:val="Heading6"/>
        <w:numPr>
          <w:ilvl w:val="5"/>
          <w:numId w:val="1"/>
        </w:numPr>
        <w:rPr/>
      </w:pPr>
      <w:bookmarkStart w:id="3729" w:name="__RefHeading___Toc3974171_1067777946"/>
      <w:bookmarkStart w:id="3730" w:name="_Toc1593"/>
      <w:bookmarkEnd w:id="3729"/>
      <w:r>
        <w:rPr>
          <w:rtl w:val="true"/>
        </w:rPr>
        <w:t>رابطه ديۀ مرد مسلمان با زن و ذمّى و ذميّه و عبد</w:t>
      </w:r>
      <w:bookmarkEnd w:id="373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جنايتى كه موجب تمام ديۀ مرد مسلمان باشد در اعضا و منافع و جراحات، در زن موجب ديۀ او است، و در ذمّى موجب ديه او است، و در ذمّيه موجب نصف ديه ذمّى است، و در عبد موجب قيمت او است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مرد آزاد ديۀ مقدّره دارد، به همان نسبت در زن و ذمّى و ذميّه و قيمت عبد، </w:t>
      </w:r>
      <w:bookmarkStart w:id="3731" w:name="pg10275_97089"/>
    </w:p>
    <w:p>
      <w:pPr>
        <w:pStyle w:val="BookText"/>
        <w:rPr/>
      </w:pPr>
      <w:bookmarkEnd w:id="3731"/>
      <w:r>
        <w:rPr>
          <w:rFonts w:ascii="Amiri" w:hAnsi="Amiri" w:eastAsia="Amiri" w:cs="Amiri"/>
          <w:color w:val="111111"/>
          <w:sz w:val="28"/>
          <w:sz w:val="28"/>
          <w:szCs w:val="28"/>
          <w:rtl w:val="true"/>
          <w:lang w:bidi="ar-SA"/>
        </w:rPr>
        <w:t>تعيين ديه مى شود با ملاحظۀ مساوات زن با مرد قبل از بلوغ ثلث ديه مرد</w:t>
      </w:r>
      <w:r>
        <w:rPr>
          <w:rFonts w:eastAsia="Amiri" w:cs="Amiri" w:ascii="Amiri" w:hAnsi="Amiri"/>
          <w:color w:val="111111"/>
          <w:sz w:val="28"/>
          <w:szCs w:val="28"/>
          <w:rtl w:val="true"/>
          <w:lang w:bidi="ar-SA"/>
        </w:rPr>
        <w:t>.</w:t>
      </w:r>
    </w:p>
    <w:p>
      <w:pPr>
        <w:pStyle w:val="Heading6"/>
        <w:numPr>
          <w:ilvl w:val="5"/>
          <w:numId w:val="1"/>
        </w:numPr>
        <w:rPr/>
      </w:pPr>
      <w:bookmarkStart w:id="3732" w:name="__RefHeading___Toc3974173_1067777946"/>
      <w:bookmarkStart w:id="3733" w:name="_Toc1594"/>
      <w:bookmarkEnd w:id="3732"/>
      <w:r>
        <w:rPr>
          <w:rtl w:val="true"/>
        </w:rPr>
        <w:t>مراد از اتحاد موضعى كه ارش در آن ثابت است با حكومت</w:t>
      </w:r>
      <w:bookmarkEnd w:id="373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موضعى كه ارش در آن ثابت است پس مراد از آن و حكومت يكى است؛ و آن عبارت است از تقويم مجروح در حال صحت در تقدير مملوك بودن او و با جنايت، و نسبت اين دو قيمت كه معلوم شد تفاوت از ديۀ نفس مأخوذ مى شود نه از ديه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مجنىّ عليه مملوك باشد حرّ اصل است براى او، يعنى مالك، تفاوت قيمت را از جانى مى گيرد، مگر آن كه قيمت از ديۀ حرّ متجاوز باشد كه مردود به آن مى شود و تفاوت را از ديه حرّ مى گيرد به عنوان ارش؛ و در مقدر نسبت آن را به ديۀ حرّ از قيمت مملوك مى گيرد در صورت عدم تجاوز قيمت او از ديۀ حرّ</w:t>
      </w:r>
      <w:r>
        <w:rPr>
          <w:rFonts w:eastAsia="IRNazanin" w:cs="IRNazanin"/>
          <w:color w:val="111111"/>
          <w:sz w:val="28"/>
          <w:szCs w:val="28"/>
          <w:rtl w:val="true"/>
          <w:lang w:bidi="fa-IR"/>
        </w:rPr>
        <w:t>.</w:t>
      </w:r>
    </w:p>
    <w:p>
      <w:pPr>
        <w:pStyle w:val="Heading6"/>
        <w:numPr>
          <w:ilvl w:val="5"/>
          <w:numId w:val="1"/>
        </w:numPr>
        <w:rPr/>
      </w:pPr>
      <w:bookmarkStart w:id="3734" w:name="__RefHeading___Toc3974175_1067777946"/>
      <w:bookmarkStart w:id="3735" w:name="_Toc1595"/>
      <w:bookmarkEnd w:id="3734"/>
      <w:r>
        <w:rPr>
          <w:rtl w:val="true"/>
        </w:rPr>
        <w:t>مقتولى كه ولىّ خاص ندارد</w:t>
      </w:r>
      <w:bookmarkEnd w:id="373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مقتول اگر ولىّ خاص ندارد، امام مسلمين ولىّ خون او است مى تواند قصاص نمايد و مى تواند ديه بگيرد؛ مثل اين كه جنايات مقتول بر امام است، ديه او هم براى امام است؛ و امام اصل مى تواند عفو مطلق نمايد، و نايب غيبت احوط براى او ترك عفو است مگر آن كه به اجتهاد خود تجويز عفو و اختيار آن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خطأ و شبيه عمد كه قصاص نيست نايب غيبت اخذ ديه مى نمايد و عفو نمى نمايد بنا بر احوط</w:t>
      </w:r>
      <w:r>
        <w:rPr>
          <w:rFonts w:eastAsia="IRNazanin" w:cs="IRNazanin"/>
          <w:color w:val="111111"/>
          <w:sz w:val="28"/>
          <w:szCs w:val="28"/>
          <w:rtl w:val="true"/>
          <w:lang w:bidi="fa-IR"/>
        </w:rPr>
        <w:t>.</w:t>
      </w:r>
      <w:bookmarkStart w:id="3736" w:name="pg10275_97090"/>
    </w:p>
    <w:p>
      <w:pPr>
        <w:pStyle w:val="Heading3"/>
        <w:numPr>
          <w:ilvl w:val="2"/>
          <w:numId w:val="1"/>
        </w:numPr>
        <w:rPr/>
      </w:pPr>
      <w:bookmarkStart w:id="3737" w:name="__RefHeading___Toc3974177_1067777946"/>
      <w:bookmarkStart w:id="3738" w:name="_Toc1596"/>
      <w:bookmarkEnd w:id="3736"/>
      <w:bookmarkEnd w:id="3737"/>
      <w:r>
        <w:rPr>
          <w:rtl w:val="true"/>
        </w:rPr>
        <w:t>فصل پنجم ديۀ جنين</w:t>
      </w:r>
      <w:bookmarkEnd w:id="3738"/>
    </w:p>
    <w:p>
      <w:pPr>
        <w:pStyle w:val="Heading4"/>
        <w:numPr>
          <w:ilvl w:val="3"/>
          <w:numId w:val="1"/>
        </w:numPr>
        <w:rPr/>
      </w:pPr>
      <w:bookmarkStart w:id="3739" w:name="__RefHeading___Toc3974179_1067777946"/>
      <w:bookmarkStart w:id="3740" w:name="_Toc1597"/>
      <w:bookmarkEnd w:id="3739"/>
      <w:r>
        <w:rPr>
          <w:rtl w:val="true"/>
        </w:rPr>
        <w:t>ديۀ جنين محكوم به اسلام</w:t>
      </w:r>
      <w:bookmarkEnd w:id="3740"/>
    </w:p>
    <w:p>
      <w:pPr>
        <w:pStyle w:val="BookText"/>
        <w:rPr/>
      </w:pPr>
      <w:r>
        <w:rPr>
          <w:rFonts w:ascii="IRNazanin" w:hAnsi="IRNazanin" w:eastAsia="IRNazanin"/>
          <w:color w:val="111111"/>
          <w:sz w:val="28"/>
          <w:sz w:val="28"/>
          <w:szCs w:val="28"/>
          <w:rtl w:val="true"/>
          <w:lang w:bidi="fa-IR"/>
        </w:rPr>
        <w:t xml:space="preserve">مشهور اين است كه جنينى كه به حكم اسلام است، ديه او يك صد دينار است در صورتى كه تام الخلقه باشد و ولوج روح در آن نشده باشد؛ و تمام خلقت به اين است كه از نطفه و علقه و مضغه و عظم، به صاحب لحم بودن رسيده باشد؛ پس در نطفه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در هر مرتبه از مراتب مذكوره،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فرقى در اين حكم مشهور، بين جنين كه پسر باشد يا دختر يا خنثى نيست؛ و اقوى عدم تفصيل است چنان چه مقتضاى اطلاق فتاوى مشهور و اطلاق قوى نصّ است؛ و اقوى در اصل مسأله مختار مشهور است اگر چه ديه كامله در مورد حكم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افضل است</w:t>
      </w:r>
      <w:r>
        <w:rPr>
          <w:rFonts w:eastAsia="IRNazanin" w:cs="IRNazanin"/>
          <w:color w:val="111111"/>
          <w:sz w:val="28"/>
          <w:szCs w:val="28"/>
          <w:rtl w:val="true"/>
          <w:lang w:bidi="fa-IR"/>
        </w:rPr>
        <w:t>.</w:t>
      </w:r>
    </w:p>
    <w:p>
      <w:pPr>
        <w:pStyle w:val="Heading4"/>
        <w:numPr>
          <w:ilvl w:val="3"/>
          <w:numId w:val="1"/>
        </w:numPr>
        <w:rPr/>
      </w:pPr>
      <w:bookmarkStart w:id="3741" w:name="__RefHeading___Toc3974181_1067777946"/>
      <w:bookmarkStart w:id="3742" w:name="_Toc1598"/>
      <w:bookmarkEnd w:id="3741"/>
      <w:r>
        <w:rPr>
          <w:rtl w:val="true"/>
        </w:rPr>
        <w:t>جنين ذمّى</w:t>
      </w:r>
      <w:bookmarkEnd w:id="3742"/>
    </w:p>
    <w:p>
      <w:pPr>
        <w:pStyle w:val="BookText"/>
        <w:rPr/>
      </w:pPr>
      <w:r>
        <w:rPr>
          <w:rFonts w:ascii="IRNazanin" w:hAnsi="IRNazanin" w:eastAsia="IRNazanin"/>
          <w:color w:val="111111"/>
          <w:sz w:val="28"/>
          <w:sz w:val="28"/>
          <w:szCs w:val="28"/>
          <w:rtl w:val="true"/>
          <w:lang w:bidi="fa-IR"/>
        </w:rPr>
        <w:t xml:space="preserve">و اظهر در جنين ذمّى از يهود و نصارى و مجوس قبل از ولوج روح و بعد از استكمال خلقت، اين است كه ديۀ او عُشر ديۀ پدر او است كه هشتاد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باشد، و احوط براى گيرنده عُشر ديۀ مادر او است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باشد</w:t>
      </w:r>
      <w:r>
        <w:rPr>
          <w:rFonts w:eastAsia="IRNazanin" w:cs="IRNazanin"/>
          <w:color w:val="111111"/>
          <w:sz w:val="28"/>
          <w:szCs w:val="28"/>
          <w:rtl w:val="true"/>
          <w:lang w:bidi="fa-IR"/>
        </w:rPr>
        <w:t>.</w:t>
      </w:r>
    </w:p>
    <w:p>
      <w:pPr>
        <w:pStyle w:val="Heading4"/>
        <w:numPr>
          <w:ilvl w:val="3"/>
          <w:numId w:val="1"/>
        </w:numPr>
        <w:rPr/>
      </w:pPr>
      <w:bookmarkStart w:id="3743" w:name="__RefHeading___Toc3974183_1067777946"/>
      <w:bookmarkStart w:id="3744" w:name="_Toc1599"/>
      <w:bookmarkEnd w:id="3743"/>
      <w:r>
        <w:rPr>
          <w:rtl w:val="true"/>
        </w:rPr>
        <w:t>جنين مملوكه</w:t>
      </w:r>
      <w:bookmarkEnd w:id="374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جنين مملوكه، عُشر قيمت مادر مملوكه او، ديه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مادر آزاد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3745" w:name="pg10275_97091"/>
    </w:p>
    <w:p>
      <w:pPr>
        <w:pStyle w:val="BookText"/>
        <w:rPr/>
      </w:pPr>
      <w:bookmarkEnd w:id="3745"/>
      <w:r>
        <w:rPr>
          <w:rFonts w:ascii="IRNazanin" w:hAnsi="IRNazanin" w:eastAsia="IRNazanin"/>
          <w:color w:val="111111"/>
          <w:sz w:val="28"/>
          <w:sz w:val="28"/>
          <w:szCs w:val="28"/>
          <w:rtl w:val="true"/>
          <w:lang w:bidi="fa-IR"/>
        </w:rPr>
        <w:t>اين كه بعد از حمل آزاد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شرط رقيّت ولد شده بوده بنا بر جواز آن، پس اعتبار به عُشر قيمت پدر مسلم يا مادر بر تقدير مملوكيت مطلقاً يا در صورت عدم زيادى آن بر عُشر قيمت پدر او، يا اعتبار به قيمت جنين قبل از سقط شدن او، احتمالاتى است و احوط صلح است</w:t>
      </w:r>
      <w:r>
        <w:rPr>
          <w:rFonts w:eastAsia="IRNazanin" w:cs="IRNazanin"/>
          <w:color w:val="111111"/>
          <w:sz w:val="28"/>
          <w:szCs w:val="28"/>
          <w:rtl w:val="true"/>
          <w:lang w:bidi="fa-IR"/>
        </w:rPr>
        <w:t>.</w:t>
      </w:r>
    </w:p>
    <w:p>
      <w:pPr>
        <w:pStyle w:val="Heading4"/>
        <w:numPr>
          <w:ilvl w:val="3"/>
          <w:numId w:val="1"/>
        </w:numPr>
        <w:rPr/>
      </w:pPr>
      <w:bookmarkStart w:id="3746" w:name="__RefHeading___Toc3974185_1067777946"/>
      <w:bookmarkStart w:id="3747" w:name="_Toc1600"/>
      <w:bookmarkEnd w:id="3746"/>
      <w:r>
        <w:rPr>
          <w:rtl w:val="true"/>
        </w:rPr>
        <w:t>تعدّد حمل</w:t>
      </w:r>
      <w:bookmarkEnd w:id="3747"/>
    </w:p>
    <w:p>
      <w:pPr>
        <w:pStyle w:val="BookText"/>
        <w:rPr/>
      </w:pPr>
      <w:r>
        <w:rPr>
          <w:rFonts w:ascii="IRNazanin" w:hAnsi="IRNazanin" w:eastAsia="IRNazanin"/>
          <w:color w:val="111111"/>
          <w:sz w:val="28"/>
          <w:sz w:val="28"/>
          <w:szCs w:val="28"/>
          <w:rtl w:val="true"/>
          <w:lang w:bidi="fa-IR"/>
        </w:rPr>
        <w:t>اگر حمل بيش از يكى بود، براى هر كدام ديه به نحو استقلال ثابت است در مسلم حرّ و ذمّى و مملوك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كفاره بر جانى قبل از ولوج روح در جنين نيست</w:t>
      </w:r>
      <w:r>
        <w:rPr>
          <w:rFonts w:eastAsia="Amiri" w:cs="Amiri" w:ascii="Amiri" w:hAnsi="Amiri"/>
          <w:color w:val="111111"/>
          <w:sz w:val="28"/>
          <w:szCs w:val="28"/>
          <w:rtl w:val="true"/>
          <w:lang w:bidi="ar-SA"/>
        </w:rPr>
        <w:t>.</w:t>
      </w:r>
    </w:p>
    <w:p>
      <w:pPr>
        <w:pStyle w:val="Heading4"/>
        <w:numPr>
          <w:ilvl w:val="3"/>
          <w:numId w:val="1"/>
        </w:numPr>
        <w:rPr/>
      </w:pPr>
      <w:bookmarkStart w:id="3748" w:name="__RefHeading___Toc3974187_1067777946"/>
      <w:bookmarkStart w:id="3749" w:name="_Toc1601"/>
      <w:bookmarkEnd w:id="3748"/>
      <w:r>
        <w:rPr>
          <w:rtl w:val="true"/>
        </w:rPr>
        <w:t>اسقاط بعد از ولوج روح</w:t>
      </w:r>
      <w:bookmarkEnd w:id="3749"/>
    </w:p>
    <w:p>
      <w:pPr>
        <w:pStyle w:val="BookText"/>
        <w:rPr/>
      </w:pPr>
      <w:r>
        <w:rPr>
          <w:rFonts w:ascii="IRNazanin" w:hAnsi="IRNazanin" w:eastAsia="IRNazanin"/>
          <w:color w:val="111111"/>
          <w:sz w:val="28"/>
          <w:sz w:val="28"/>
          <w:szCs w:val="28"/>
          <w:rtl w:val="true"/>
          <w:lang w:bidi="fa-IR"/>
        </w:rPr>
        <w:t>و اگر اسقاط بعد از ولوج روح در جنين باشد، ديه كامله در پسر و نصف آن در دختر است در آزاد مسلمان و در 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در اسقاط مملوك، قيمت آن است در وقت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 طفل مملوك به سبب جنايت قبل از خروج او يا بعد از خروج او از بطن مادر، سبب فرق در مضمونٌ به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بايد يقين به ولوج روح و حيات طفل قبل از جنايت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مثل حركت مختصۀ به احيا و استهلال بعد از خروج و نحو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او به سبب جنايت و اسقاط باشد تا آن كه تمام ديه ثابت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ثبوت مراتب مذكوره در جنين حرّ از نطفه تا آخر و ديات مقرره در آنها، در جنين مملوك، يا توزيع عُشر قيمت مادر مملوكه 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ديۀ تامۀ جنين روح دار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مراتب مذكوره از نطفه و علقه و مضغه و عظم و لحم، تأمل است و احوط مصالحه است</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آن چه مذكور شد در اينجا يا در مواضع ديگر مذكور شده است، متعلق مى شود به حمل غير نطفه، انقضاى عدّه و وجوب ديه و حكم استيلاد قبل از سقوط و </w:t>
      </w:r>
      <w:bookmarkStart w:id="3750" w:name="pg10275_97092"/>
    </w:p>
    <w:p>
      <w:pPr>
        <w:pStyle w:val="BookText"/>
        <w:rPr/>
      </w:pPr>
      <w:bookmarkEnd w:id="3750"/>
      <w:r>
        <w:rPr>
          <w:rFonts w:ascii="IRNazanin" w:hAnsi="IRNazanin" w:eastAsia="IRNazanin"/>
          <w:color w:val="111111"/>
          <w:sz w:val="28"/>
          <w:sz w:val="28"/>
          <w:szCs w:val="28"/>
          <w:rtl w:val="true"/>
          <w:lang w:bidi="fa-IR"/>
        </w:rPr>
        <w:t xml:space="preserve">بعد از آن، به نحو مناسب هر كدام؛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فقط ديه ثابت مى شود به القاى آن در رحم پس از استقرار</w:t>
      </w:r>
      <w:r>
        <w:rPr>
          <w:rFonts w:eastAsia="IRNazanin" w:cs="IRNazanin"/>
          <w:color w:val="111111"/>
          <w:sz w:val="28"/>
          <w:szCs w:val="28"/>
          <w:rtl w:val="true"/>
          <w:lang w:bidi="fa-IR"/>
        </w:rPr>
        <w:t>.</w:t>
      </w:r>
    </w:p>
    <w:p>
      <w:pPr>
        <w:pStyle w:val="Heading4"/>
        <w:numPr>
          <w:ilvl w:val="3"/>
          <w:numId w:val="1"/>
        </w:numPr>
        <w:rPr/>
      </w:pPr>
      <w:bookmarkStart w:id="3751" w:name="__RefHeading___Toc3974189_1067777946"/>
      <w:bookmarkStart w:id="3752" w:name="_Toc1602"/>
      <w:bookmarkEnd w:id="3751"/>
      <w:r>
        <w:rPr>
          <w:rtl w:val="true"/>
        </w:rPr>
        <w:t>حكم مراتبى كه ديۀ مقدّره ندارد</w:t>
      </w:r>
      <w:bookmarkEnd w:id="3752"/>
    </w:p>
    <w:p>
      <w:pPr>
        <w:pStyle w:val="BookText"/>
        <w:rPr/>
      </w:pPr>
      <w:r>
        <w:rPr>
          <w:rFonts w:ascii="IRNazanin" w:hAnsi="IRNazanin" w:eastAsia="IRNazanin"/>
          <w:color w:val="111111"/>
          <w:sz w:val="28"/>
          <w:sz w:val="28"/>
          <w:szCs w:val="28"/>
          <w:rtl w:val="true"/>
          <w:lang w:bidi="fa-IR"/>
        </w:rPr>
        <w:t>و در ما بين مراتب مذكوره جنين كه ديات آنها معين شده است، به حساب ايام است، و ايام بيست روز است يا چهل روز، يا به نسبت تحولات است مثل يك قطره خون در نطفه و دو قطره تا ده قطره‌؟ احتمالات و اقوال مختلفه به اختلاف روايات است؛ و احوط در مقدار زيادتيها بر مرتبه سابقه، صلح است</w:t>
      </w:r>
      <w:r>
        <w:rPr>
          <w:rFonts w:eastAsia="IRNazanin" w:cs="IRNazanin"/>
          <w:color w:val="111111"/>
          <w:sz w:val="28"/>
          <w:szCs w:val="28"/>
          <w:rtl w:val="true"/>
          <w:lang w:bidi="fa-IR"/>
        </w:rPr>
        <w:t>.</w:t>
      </w:r>
    </w:p>
    <w:p>
      <w:pPr>
        <w:pStyle w:val="Heading4"/>
        <w:numPr>
          <w:ilvl w:val="3"/>
          <w:numId w:val="1"/>
        </w:numPr>
        <w:rPr/>
      </w:pPr>
      <w:bookmarkStart w:id="3753" w:name="__RefHeading___Toc3974191_1067777946"/>
      <w:bookmarkStart w:id="3754" w:name="_Toc1603"/>
      <w:bookmarkEnd w:id="3753"/>
      <w:r>
        <w:rPr>
          <w:rtl w:val="true"/>
        </w:rPr>
        <w:t>ديۀ زن و حمل او</w:t>
      </w:r>
      <w:bookmarkEnd w:id="3754"/>
    </w:p>
    <w:p>
      <w:pPr>
        <w:pStyle w:val="BookText"/>
        <w:rPr/>
      </w:pPr>
      <w:r>
        <w:rPr>
          <w:rFonts w:ascii="IRNazanin" w:hAnsi="IRNazanin" w:eastAsia="IRNazanin"/>
          <w:color w:val="111111"/>
          <w:sz w:val="28"/>
          <w:sz w:val="28"/>
          <w:szCs w:val="28"/>
          <w:rtl w:val="true"/>
          <w:lang w:bidi="fa-IR"/>
        </w:rPr>
        <w:t>اگر زن و حمل او مقتول شدند به سبب جنايت با ولوج روح، چه آن كه قبل از زن وفات كند يا بعد از او، زن ديه كامله خود را دارد؛ و براى حمل اگر معلوم شد ذكوريت يا انوثيت، ديه او معلوم است، وگرنه نصف ديه پسر و نصف ديه دختر را دارد</w:t>
      </w:r>
      <w:r>
        <w:rPr>
          <w:rFonts w:eastAsia="IRNazanin" w:cs="IRNazanin"/>
          <w:color w:val="111111"/>
          <w:sz w:val="28"/>
          <w:szCs w:val="28"/>
          <w:rtl w:val="true"/>
          <w:lang w:bidi="fa-IR"/>
        </w:rPr>
        <w:t>.</w:t>
      </w:r>
    </w:p>
    <w:p>
      <w:pPr>
        <w:pStyle w:val="Heading4"/>
        <w:numPr>
          <w:ilvl w:val="3"/>
          <w:numId w:val="1"/>
        </w:numPr>
        <w:rPr/>
      </w:pPr>
      <w:bookmarkStart w:id="3755" w:name="__RefHeading___Toc3974193_1067777946"/>
      <w:bookmarkStart w:id="3756" w:name="_Toc1604"/>
      <w:bookmarkEnd w:id="3755"/>
      <w:r>
        <w:rPr>
          <w:rtl w:val="true"/>
        </w:rPr>
        <w:t>زنى كه حمل خود را اسقاط نمايد</w:t>
      </w:r>
      <w:bookmarkEnd w:id="3756"/>
    </w:p>
    <w:p>
      <w:pPr>
        <w:pStyle w:val="BookText"/>
        <w:rPr/>
      </w:pPr>
      <w:r>
        <w:rPr>
          <w:rFonts w:ascii="IRNazanin" w:hAnsi="IRNazanin" w:eastAsia="IRNazanin"/>
          <w:color w:val="111111"/>
          <w:sz w:val="28"/>
          <w:sz w:val="28"/>
          <w:szCs w:val="28"/>
          <w:rtl w:val="true"/>
          <w:lang w:bidi="fa-IR"/>
        </w:rPr>
        <w:t>اگر به مباشرت يا تسبيب، زنى حمل خود را اسقاط كرد بر او است ديه او، و خودش از اين ديه ارث نمى برد اگر عمداً القا كرده؛ و حكم خطأ در القا، در ارث مذكور است</w:t>
      </w:r>
      <w:r>
        <w:rPr>
          <w:rFonts w:eastAsia="IRNazanin" w:cs="IRNazanin"/>
          <w:color w:val="111111"/>
          <w:sz w:val="28"/>
          <w:szCs w:val="28"/>
          <w:rtl w:val="true"/>
          <w:lang w:bidi="fa-IR"/>
        </w:rPr>
        <w:t>.</w:t>
      </w:r>
    </w:p>
    <w:p>
      <w:pPr>
        <w:pStyle w:val="Heading4"/>
        <w:numPr>
          <w:ilvl w:val="3"/>
          <w:numId w:val="1"/>
        </w:numPr>
        <w:rPr/>
      </w:pPr>
      <w:bookmarkStart w:id="3757" w:name="__RefHeading___Toc3974195_1067777946"/>
      <w:bookmarkStart w:id="3758" w:name="_Toc1605"/>
      <w:bookmarkEnd w:id="3757"/>
      <w:r>
        <w:rPr>
          <w:rtl w:val="true"/>
        </w:rPr>
        <w:t>كسى كه حامل را بترساند</w:t>
      </w:r>
      <w:bookmarkEnd w:id="3758"/>
    </w:p>
    <w:p>
      <w:pPr>
        <w:pStyle w:val="BookText"/>
        <w:rPr/>
      </w:pPr>
      <w:r>
        <w:rPr>
          <w:rFonts w:ascii="IRNazanin" w:hAnsi="IRNazanin" w:eastAsia="IRNazanin"/>
          <w:color w:val="111111"/>
          <w:sz w:val="28"/>
          <w:sz w:val="28"/>
          <w:szCs w:val="28"/>
          <w:rtl w:val="true"/>
          <w:lang w:bidi="fa-IR"/>
        </w:rPr>
        <w:t xml:space="preserve">و اگر كسى او را افزاع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القا كرد حمل را، ديه بر افزاع كننده است؛ و اگر عمد نباشد و خطأ محض باشد ديه بر عاقلۀ مُفزِع است</w:t>
      </w:r>
      <w:r>
        <w:rPr>
          <w:rFonts w:eastAsia="IRNazanin" w:cs="IRNazanin"/>
          <w:color w:val="111111"/>
          <w:sz w:val="28"/>
          <w:szCs w:val="28"/>
          <w:rtl w:val="true"/>
          <w:lang w:bidi="fa-IR"/>
        </w:rPr>
        <w:t>.</w:t>
      </w:r>
    </w:p>
    <w:p>
      <w:pPr>
        <w:pStyle w:val="Heading4"/>
        <w:numPr>
          <w:ilvl w:val="3"/>
          <w:numId w:val="1"/>
        </w:numPr>
        <w:rPr/>
      </w:pPr>
      <w:bookmarkStart w:id="3759" w:name="__RefHeading___Toc3974197_1067777946"/>
      <w:bookmarkStart w:id="3760" w:name="_Toc1606"/>
      <w:bookmarkEnd w:id="3759"/>
      <w:r>
        <w:rPr>
          <w:rtl w:val="true"/>
        </w:rPr>
        <w:t>وارث ديۀ جنين</w:t>
      </w:r>
      <w:bookmarkEnd w:id="3760"/>
    </w:p>
    <w:p>
      <w:pPr>
        <w:pStyle w:val="BookText"/>
        <w:rPr/>
      </w:pPr>
      <w:r>
        <w:rPr>
          <w:rFonts w:ascii="Amiri" w:hAnsi="Amiri" w:eastAsia="Amiri" w:cs="Amiri"/>
          <w:color w:val="111111"/>
          <w:sz w:val="28"/>
          <w:sz w:val="28"/>
          <w:szCs w:val="28"/>
          <w:rtl w:val="true"/>
          <w:lang w:bidi="ar-SA"/>
        </w:rPr>
        <w:t>و وارث ديۀ جنين، وارث مال او است، بر تقدير حيات و مالكيّت</w:t>
      </w:r>
      <w:r>
        <w:rPr>
          <w:rFonts w:eastAsia="Amiri" w:cs="Amiri" w:ascii="Amiri" w:hAnsi="Amiri"/>
          <w:color w:val="111111"/>
          <w:sz w:val="28"/>
          <w:szCs w:val="28"/>
          <w:rtl w:val="true"/>
          <w:lang w:bidi="ar-SA"/>
        </w:rPr>
        <w:t>.</w:t>
      </w:r>
    </w:p>
    <w:p>
      <w:pPr>
        <w:pStyle w:val="Heading4"/>
        <w:numPr>
          <w:ilvl w:val="3"/>
          <w:numId w:val="1"/>
        </w:numPr>
        <w:rPr/>
      </w:pPr>
      <w:bookmarkStart w:id="3761" w:name="__RefHeading___Toc3974199_1067777946"/>
      <w:bookmarkStart w:id="3762" w:name="_Toc1607"/>
      <w:bookmarkEnd w:id="3761"/>
      <w:r>
        <w:rPr>
          <w:rtl w:val="true"/>
        </w:rPr>
        <w:t>ديۀ اعضاى جنين و جراحات او</w:t>
      </w:r>
      <w:bookmarkEnd w:id="376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ديۀ اعضاى جنين و جراحات او، به نسبت ديه خودش است، پس در قطع يك دست </w:t>
      </w:r>
      <w:bookmarkStart w:id="3763" w:name="pg10275_97093"/>
    </w:p>
    <w:p>
      <w:pPr>
        <w:pStyle w:val="BookText"/>
        <w:rPr/>
      </w:pPr>
      <w:bookmarkEnd w:id="3763"/>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قطع دو دست كمال ديۀ او قبل از ولوج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صد دينار است در صورت وقوع جنايت بعد از تمام خلقت و با وجود اعضاى متمايزه؛ و اما قبل از اين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مرتبه اى كه فقط داراى استخوانها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محتمل است رعايت نسبت به ديۀ همين مرتبه، مثل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دست اگر معلوم شود استناد به جنايت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دو دست كه تمام ديۀ اين مرتبه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محتمل است حكومت، و احوط صلح است؛ و اما اين كه چيزى نباشد به واسطۀ عدم ذكر در نصوص پس مستبعد است، به خلاف شبيه به جراحات غير واصله به استخوان نسبت به حملى كه جز استخوان ندارد</w:t>
      </w:r>
      <w:r>
        <w:rPr>
          <w:rFonts w:eastAsia="IRNazanin" w:cs="IRNazanin"/>
          <w:color w:val="111111"/>
          <w:sz w:val="28"/>
          <w:szCs w:val="28"/>
          <w:rtl w:val="true"/>
          <w:lang w:bidi="fa-IR"/>
        </w:rPr>
        <w:t>.</w:t>
      </w:r>
    </w:p>
    <w:p>
      <w:pPr>
        <w:pStyle w:val="Heading4"/>
        <w:numPr>
          <w:ilvl w:val="3"/>
          <w:numId w:val="1"/>
        </w:numPr>
        <w:rPr/>
      </w:pPr>
      <w:bookmarkStart w:id="3764" w:name="__RefHeading___Toc3974201_1067777946"/>
      <w:bookmarkStart w:id="3765" w:name="_Toc1608"/>
      <w:bookmarkEnd w:id="3764"/>
      <w:r>
        <w:rPr>
          <w:rtl w:val="true"/>
        </w:rPr>
        <w:t>ديۀ افزاع حين الجماع</w:t>
      </w:r>
      <w:bookmarkEnd w:id="3765"/>
    </w:p>
    <w:p>
      <w:pPr>
        <w:pStyle w:val="BookText"/>
        <w:rPr/>
      </w:pPr>
      <w:r>
        <w:rPr>
          <w:rFonts w:ascii="IRNazanin" w:hAnsi="IRNazanin" w:eastAsia="IRNazanin"/>
          <w:color w:val="111111"/>
          <w:sz w:val="28"/>
          <w:sz w:val="28"/>
          <w:szCs w:val="28"/>
          <w:rtl w:val="true"/>
          <w:lang w:bidi="fa-IR"/>
        </w:rPr>
        <w:t xml:space="preserve">اگر كسى افزاع نمايد شخصى را كه مشغول جماع باشد پس عزل نمود منى خود را از زوجه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اراده او غير القاى در رحم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است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افزاع كرد زوجه را بعد از استقرار نطفه در رحم او بعد خارج شد از رحم، بر او است بيست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چنان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ايجاب عزل اختيارى از زوجه حرّه با كراهت او، ديه را، خلاف است، اظهر عدم وجوب است مثل عزل از امه با كراهت او يا از حرّه 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جواز عزل از حره با كراهت او گذشت ذكر آن و اختيار در آن در كتاب 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سبب جنايت، اسقاط كرد جنين را، قيمت امه در وقت جنايت و اجهاض رعايت مى شود براى تعيين ديۀ جنين نه قيمت در حال القاى جنين بنا بر اظهر</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ديۀ نطفه بايد معلوم باشد يا آن كه ثابت بشود به قول اهل خبره كه مبدء نشو آدمى است، وگرنه چيزى به اخراج آن نيست مگر ارش اگر نقصى به سبب ضرب حاصل شده باشد؛ پس در زدن زن اگر احداث نقصى ننمايد، چيزى نيست اگر قصاص نباشد، مگر ديه جنين به نحو متقدم</w:t>
      </w:r>
      <w:r>
        <w:rPr>
          <w:rFonts w:eastAsia="IRNazanin" w:cs="IRNazanin"/>
          <w:color w:val="111111"/>
          <w:sz w:val="28"/>
          <w:szCs w:val="28"/>
          <w:rtl w:val="true"/>
          <w:lang w:bidi="fa-IR"/>
        </w:rPr>
        <w:t xml:space="preserve">. </w:t>
      </w:r>
      <w:bookmarkStart w:id="3766" w:name="pg10275_97094"/>
    </w:p>
    <w:p>
      <w:pPr>
        <w:pStyle w:val="Heading4"/>
        <w:numPr>
          <w:ilvl w:val="3"/>
          <w:numId w:val="1"/>
        </w:numPr>
        <w:rPr/>
      </w:pPr>
      <w:bookmarkStart w:id="3767" w:name="__RefHeading___Toc3974203_1067777946"/>
      <w:bookmarkStart w:id="3768" w:name="_Toc1609"/>
      <w:bookmarkEnd w:id="3766"/>
      <w:bookmarkEnd w:id="3767"/>
      <w:r>
        <w:rPr>
          <w:rtl w:val="true"/>
        </w:rPr>
        <w:t>اعتبار به وقت جنايت مضمونه</w:t>
      </w:r>
      <w:bookmarkEnd w:id="3768"/>
    </w:p>
    <w:p>
      <w:pPr>
        <w:pStyle w:val="BookText"/>
        <w:rPr/>
      </w:pPr>
      <w:r>
        <w:rPr>
          <w:rFonts w:ascii="IRNazanin" w:hAnsi="IRNazanin" w:eastAsia="IRNazanin"/>
          <w:color w:val="111111"/>
          <w:sz w:val="28"/>
          <w:sz w:val="28"/>
          <w:szCs w:val="28"/>
          <w:rtl w:val="true"/>
          <w:lang w:bidi="fa-IR"/>
        </w:rPr>
        <w:t>اگر بزند زن ذميّه را در حال حمل، پس اسلام اختيار نمايد، پس از اسلام القاى جنين نمايد، لازم است ديۀ جنين مسلم بر جانى، بنا بر آن چه در قصاص مذكور است از اعتبار به وقت استقرار جنايت مضمونه نه وقت ضمان، در بيان اسلام نصرانى مجروح بعد از جرح و قبل از موت مجروح؛ به خلاف آن كه اگر حربيه را بزند پس از زدن مسلمان شود پس از اسلام القاى جنين نمايد، كه جنايت غير مضمونه بوده و سرايت آن مضمونه نيست، بنا بر آن چه مذكور است در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زد امه را، پس عتق شد خودش و حملش، پس از عتق القاى جنين كرد قبل از ولوج روح، كه ديه آن در حرّ يك صد دينار است، محتمل است براى مولى عُشر قيمت مادر باشد در صورت عدم زيادتى بر ديۀ جنين حرّ، وگرنه هر دو ديه ديۀ جنين حرّ مى شود كه عُشر ديۀ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ديه حرّ زايد است بر عشر قيمت، زيادتى مال وارث جنين است نه مالك در وقت جنايت؛ بنا بر آن كه در جرح عبد قبل از عتق و موت او به سرايت بعد از عتق، اختيار نظير اين حكم بشود كه بر قاتل، ديه حرّ است و براى سيّد از آن ديه مقدار قيمت عبد در حال جنايت است كه اگر از ديه حرّ زايد شد هر دو ديه آن مى شود؛ و اگر ديه زايد شد زايد مال وارث عبد است كه عتق شده است، بنا بر اين كه مستفاد از ادله در دو فرع يك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تمام خلقت جنين چه در آن عشر قيمت مادر باشد يا توزيع عشر بر مراتب پنج گانه، رعايت مى شود عدم زيادتى قيمت بر ديه و ديه جنين حرّ، وگرنه ردّ به ديه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زيادتى ديۀ جنين حرّ بر عشر قيمت مادر، زايد بر عشر قيمت كه مال مالك وقت جنايت است، ملك وارث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تعيين عشر يا توزيع در ساير مراتب، پس محتاج به تأمل است</w:t>
      </w:r>
      <w:r>
        <w:rPr>
          <w:rFonts w:eastAsia="IRNazanin" w:cs="IRNazanin"/>
          <w:color w:val="111111"/>
          <w:sz w:val="28"/>
          <w:szCs w:val="28"/>
          <w:rtl w:val="true"/>
          <w:lang w:bidi="fa-IR"/>
        </w:rPr>
        <w:t>.</w:t>
      </w:r>
    </w:p>
    <w:p>
      <w:pPr>
        <w:pStyle w:val="Heading4"/>
        <w:numPr>
          <w:ilvl w:val="3"/>
          <w:numId w:val="1"/>
        </w:numPr>
        <w:rPr/>
      </w:pPr>
      <w:bookmarkStart w:id="3769" w:name="__RefHeading___Toc3974205_1067777946"/>
      <w:bookmarkStart w:id="3770" w:name="_Toc1610"/>
      <w:bookmarkEnd w:id="3769"/>
      <w:r>
        <w:rPr>
          <w:rtl w:val="true"/>
        </w:rPr>
        <w:t>جنينى كه يكى از والدين او ذمى و ديگرى وثنى است</w:t>
      </w:r>
      <w:bookmarkEnd w:id="3770"/>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سبب جنايت، اسقاط شود جنينى كه يكى از والدين او ذمّى و ديگرى وثنى است، احوط مضمون بودن است حتّى در صورتى كه مادر ذمّيه باشد</w:t>
      </w:r>
      <w:r>
        <w:rPr>
          <w:rFonts w:eastAsia="IRNazanin" w:cs="IRNazanin"/>
          <w:color w:val="111111"/>
          <w:sz w:val="28"/>
          <w:szCs w:val="28"/>
          <w:rtl w:val="true"/>
          <w:lang w:bidi="fa-IR"/>
        </w:rPr>
        <w:t xml:space="preserve">. </w:t>
      </w:r>
      <w:bookmarkStart w:id="3771" w:name="pg10275_97095"/>
    </w:p>
    <w:p>
      <w:pPr>
        <w:pStyle w:val="Heading4"/>
        <w:numPr>
          <w:ilvl w:val="3"/>
          <w:numId w:val="1"/>
        </w:numPr>
        <w:rPr/>
      </w:pPr>
      <w:bookmarkStart w:id="3772" w:name="__RefHeading___Toc3974207_1067777946"/>
      <w:bookmarkStart w:id="3773" w:name="_Toc1611"/>
      <w:bookmarkEnd w:id="3771"/>
      <w:bookmarkEnd w:id="3772"/>
      <w:r>
        <w:rPr>
          <w:rtl w:val="true"/>
        </w:rPr>
        <w:t>اسقاط جنين از مرتدّه</w:t>
      </w:r>
      <w:bookmarkEnd w:id="3773"/>
    </w:p>
    <w:p>
      <w:pPr>
        <w:pStyle w:val="BookText"/>
        <w:rPr/>
      </w:pPr>
      <w:r>
        <w:rPr>
          <w:rFonts w:ascii="IRNazanin" w:hAnsi="IRNazanin" w:eastAsia="IRNazanin"/>
          <w:color w:val="111111"/>
          <w:sz w:val="28"/>
          <w:sz w:val="28"/>
          <w:szCs w:val="28"/>
          <w:rtl w:val="true"/>
          <w:lang w:bidi="fa-IR"/>
        </w:rPr>
        <w:t>اگر مرتدّه را زد و اسقاط جنين كرد، پس اگر اب، مسلم است، اظهر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در حال استقرار نطفه كه منشأ آدمى است يكى از ابوين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ارتداد، هر دو حمل محقق بوده، جانى ضامن نيست اگر مسلمان است؛ به خلاف صورت حربى بودن يا ذمى بودن جانى كه ضمان موافق احتياط است</w:t>
      </w:r>
      <w:r>
        <w:rPr>
          <w:rFonts w:eastAsia="IRNazanin" w:cs="IRNazanin"/>
          <w:color w:val="111111"/>
          <w:sz w:val="28"/>
          <w:szCs w:val="28"/>
          <w:rtl w:val="true"/>
          <w:lang w:bidi="fa-IR"/>
        </w:rPr>
        <w:t>.</w:t>
      </w:r>
    </w:p>
    <w:p>
      <w:pPr>
        <w:pStyle w:val="Heading4"/>
        <w:numPr>
          <w:ilvl w:val="3"/>
          <w:numId w:val="1"/>
        </w:numPr>
        <w:rPr/>
      </w:pPr>
      <w:bookmarkStart w:id="3774" w:name="__RefHeading___Toc3974209_1067777946"/>
      <w:bookmarkStart w:id="3775" w:name="_Toc1612"/>
      <w:bookmarkEnd w:id="3774"/>
      <w:r>
        <w:rPr>
          <w:rtl w:val="true"/>
        </w:rPr>
        <w:t>ثبوت ديۀ ضرب خطايى بر عاقله</w:t>
      </w:r>
      <w:bookmarkEnd w:id="3775"/>
    </w:p>
    <w:p>
      <w:pPr>
        <w:pStyle w:val="BookText"/>
        <w:rPr/>
      </w:pPr>
      <w:r>
        <w:rPr>
          <w:rFonts w:ascii="IRNazanin" w:hAnsi="IRNazanin" w:eastAsia="IRNazanin"/>
          <w:color w:val="111111"/>
          <w:sz w:val="28"/>
          <w:sz w:val="28"/>
          <w:szCs w:val="28"/>
          <w:rtl w:val="true"/>
          <w:lang w:bidi="fa-IR"/>
        </w:rPr>
        <w:t>اگر اسقاط به سبب ضرب خطايى بود و ولىّ دم ادّعاى ولوج روح نمود و جانى اعتراف نمود، عاقله ضامن ديه خطأ جنين غير حىّ است و زايد را معترف ضامن است بنا بر احوط؛ و اگر جانى انكار ولوج روح كرد و بيّنه اى براى ولىّ نبود قول جانى با يمين او مقدم است؛ و در صورت اقامۀ هر دو بيّنه را، قول ولىّ مقدم است بنا بر تقديم بيّنه خارج</w:t>
      </w:r>
      <w:r>
        <w:rPr>
          <w:rFonts w:eastAsia="IRNazanin" w:cs="IRNazanin"/>
          <w:color w:val="111111"/>
          <w:sz w:val="28"/>
          <w:szCs w:val="28"/>
          <w:rtl w:val="true"/>
          <w:lang w:bidi="fa-IR"/>
        </w:rPr>
        <w:t>.</w:t>
      </w:r>
    </w:p>
    <w:p>
      <w:pPr>
        <w:pStyle w:val="Heading4"/>
        <w:numPr>
          <w:ilvl w:val="3"/>
          <w:numId w:val="1"/>
        </w:numPr>
        <w:rPr/>
      </w:pPr>
      <w:bookmarkStart w:id="3776" w:name="__RefHeading___Toc3974211_1067777946"/>
      <w:bookmarkStart w:id="3777" w:name="_Toc1613"/>
      <w:bookmarkEnd w:id="3776"/>
      <w:r>
        <w:rPr>
          <w:rtl w:val="true"/>
        </w:rPr>
        <w:t>چند فرض ديگر اختلاف جانى و ولىّ‌</w:t>
      </w:r>
      <w:bookmarkEnd w:id="3777"/>
    </w:p>
    <w:p>
      <w:pPr>
        <w:pStyle w:val="BookText"/>
        <w:rPr/>
      </w:pPr>
      <w:r>
        <w:rPr>
          <w:rFonts w:ascii="IRNazanin" w:hAnsi="IRNazanin" w:eastAsia="IRNazanin"/>
          <w:color w:val="111111"/>
          <w:sz w:val="28"/>
          <w:sz w:val="28"/>
          <w:szCs w:val="28"/>
          <w:rtl w:val="true"/>
          <w:lang w:bidi="fa-IR"/>
        </w:rPr>
        <w:t>اگر جانى اعتراف كرد به انفصال در حال حيات و ادّعا كرد موت طفل را به سبب ديگرى، اگر زمان كوتاه باشد ما بين انفصال و موت، مورد توافق اصل و ظاهر است و قول وارث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اماره سرايت اسقاط باشد و انتهاى آن به موت، وگرنه محتاج به اقامه بيّنه بر ايجاب اسقاط، موت بعد از انفصال 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توافق بر انفصال در كمتر از شش ماه بود، اظهر عدم حاجت به بيّنه و يمين است به واسطۀ علم عادى به عدم تعيش ساقط در اين مدت، خواه ما بين انفصال و موت، زمان طويل باشد يا كوتاه؛ و در اعتبار عدم ادّعاى جانى جنايت شخص ديگرى را تأمل است</w:t>
      </w:r>
      <w:r>
        <w:rPr>
          <w:rFonts w:eastAsia="IRNazanin" w:cs="IRNazanin"/>
          <w:color w:val="111111"/>
          <w:sz w:val="28"/>
          <w:szCs w:val="28"/>
          <w:rtl w:val="true"/>
          <w:lang w:bidi="fa-IR"/>
        </w:rPr>
        <w:t>.</w:t>
      </w:r>
    </w:p>
    <w:p>
      <w:pPr>
        <w:pStyle w:val="Heading4"/>
        <w:numPr>
          <w:ilvl w:val="3"/>
          <w:numId w:val="1"/>
        </w:numPr>
        <w:rPr/>
      </w:pPr>
      <w:bookmarkStart w:id="3778" w:name="__RefHeading___Toc3974213_1067777946"/>
      <w:bookmarkStart w:id="3779" w:name="_Toc1614"/>
      <w:bookmarkEnd w:id="3778"/>
      <w:r>
        <w:rPr>
          <w:rtl w:val="true"/>
        </w:rPr>
        <w:t>فوت زن بعد از القاى جنين</w:t>
      </w:r>
      <w:bookmarkEnd w:id="3779"/>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زد زن را پس القاى جنين كرد بعد از آن وفات نمود، زننده قاتل است، و حكم </w:t>
      </w:r>
      <w:bookmarkStart w:id="3780" w:name="pg10275_97096"/>
    </w:p>
    <w:p>
      <w:pPr>
        <w:pStyle w:val="BookText"/>
        <w:rPr/>
      </w:pPr>
      <w:bookmarkEnd w:id="3780"/>
      <w:r>
        <w:rPr>
          <w:rFonts w:ascii="IRNazanin" w:hAnsi="IRNazanin" w:eastAsia="IRNazanin"/>
          <w:color w:val="111111"/>
          <w:sz w:val="28"/>
          <w:sz w:val="28"/>
          <w:szCs w:val="28"/>
          <w:rtl w:val="true"/>
          <w:lang w:bidi="fa-IR"/>
        </w:rPr>
        <w:t>قصاص در عمد و ضمان ديه از مال خودش در شبيه عمد و بر عاقله در خطأ محض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در ضمان ماند تا وفات كرد به همان سبب، يا آن كه در حين وقوع سالم بود لكن چون كمتر از شش ماهه بود تعيش نمى كرد و وفات نمود به سبب اسقاط در اين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كفاره با شرط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قتل انسان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مذكوره ثابت است</w:t>
      </w:r>
      <w:r>
        <w:rPr>
          <w:rFonts w:eastAsia="IRNazanin" w:cs="IRNazanin"/>
          <w:color w:val="111111"/>
          <w:sz w:val="28"/>
          <w:szCs w:val="28"/>
          <w:rtl w:val="true"/>
          <w:lang w:bidi="fa-IR"/>
        </w:rPr>
        <w:t>.</w:t>
      </w:r>
    </w:p>
    <w:p>
      <w:pPr>
        <w:pStyle w:val="Heading4"/>
        <w:numPr>
          <w:ilvl w:val="3"/>
          <w:numId w:val="1"/>
        </w:numPr>
        <w:rPr/>
      </w:pPr>
      <w:bookmarkStart w:id="3781" w:name="__RefHeading___Toc3974215_1067777946"/>
      <w:bookmarkStart w:id="3782" w:name="_Toc1615"/>
      <w:bookmarkEnd w:id="3781"/>
      <w:r>
        <w:rPr>
          <w:rtl w:val="true"/>
        </w:rPr>
        <w:t>القاى جنين به وسيله شخصى و قتل به وسيله ديگرى</w:t>
      </w:r>
      <w:bookmarkEnd w:id="3782"/>
    </w:p>
    <w:p>
      <w:pPr>
        <w:pStyle w:val="BookText"/>
        <w:rPr/>
      </w:pPr>
      <w:r>
        <w:rPr>
          <w:rFonts w:ascii="IRNazanin" w:hAnsi="IRNazanin" w:eastAsia="IRNazanin"/>
          <w:color w:val="111111"/>
          <w:sz w:val="28"/>
          <w:sz w:val="28"/>
          <w:szCs w:val="28"/>
          <w:rtl w:val="true"/>
          <w:lang w:bidi="fa-IR"/>
        </w:rPr>
        <w:t xml:space="preserve">اگر كسى به زدن القا كرد جنين را در حال حيات پس ديگرى او را به قتل رسانيد، پس حيات اگر مستقره و قابل بقاى در عادت بود دوّمى قاتل است و اولى غير تعزير چيزى بر او نيست نسبت به طفل؛ و اگر حيات او مستقره نبود، اولى قاتل و دوّمى بر او تعزير است، بلكه در حال مذكور اگر دوّمى قطع رأس او كرد، ديۀ قطع رأس ميّت بر او است، يعنى مشرف به موت به سبب اماتۀ اولى؛ و اگر مشتبه بود حال از حيث استقرار حيات، احوط سقوط قصاص است، و ثبوت ديه كامله مستقر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دوّمى است</w:t>
      </w:r>
      <w:r>
        <w:rPr>
          <w:rFonts w:eastAsia="IRNazanin" w:cs="IRNazanin"/>
          <w:color w:val="111111"/>
          <w:sz w:val="28"/>
          <w:szCs w:val="28"/>
          <w:rtl w:val="true"/>
          <w:lang w:bidi="fa-IR"/>
        </w:rPr>
        <w:t>.</w:t>
      </w:r>
    </w:p>
    <w:p>
      <w:pPr>
        <w:pStyle w:val="Heading4"/>
        <w:numPr>
          <w:ilvl w:val="3"/>
          <w:numId w:val="1"/>
        </w:numPr>
        <w:rPr/>
      </w:pPr>
      <w:bookmarkStart w:id="3783" w:name="__RefHeading___Toc3974217_1067777946"/>
      <w:bookmarkStart w:id="3784" w:name="_Toc1616"/>
      <w:bookmarkEnd w:id="3783"/>
      <w:r>
        <w:rPr>
          <w:rtl w:val="true"/>
        </w:rPr>
        <w:t>فرض تعيين والد به وسيلۀ قرعه</w:t>
      </w:r>
      <w:bookmarkEnd w:id="3784"/>
    </w:p>
    <w:p>
      <w:pPr>
        <w:pStyle w:val="BookText"/>
        <w:rPr/>
      </w:pPr>
      <w:r>
        <w:rPr>
          <w:rFonts w:ascii="IRNazanin" w:hAnsi="IRNazanin" w:eastAsia="IRNazanin"/>
          <w:color w:val="111111"/>
          <w:sz w:val="28"/>
          <w:sz w:val="28"/>
          <w:szCs w:val="28"/>
          <w:rtl w:val="true"/>
          <w:lang w:bidi="fa-IR"/>
        </w:rPr>
        <w:t>اگر ذمّى و مسلمان در يك طهر با زنى مقاربت كردند و حامل شد به سبب وطى شبهه به نحوى كه تولد از هر كدام ممكن و مجهول بود، با قرعه تعيين والد مى شود و پس از آن تعيين ديه به نسبت به آن كه ملحق به او شده است مى شود؛ بلكه با شروط قصاص بعد از الحاق به قرعه، احتمال آن و احتمال وجوب كفاره با الحاق به مسلم و حيات جنين ثابت است</w:t>
      </w:r>
      <w:r>
        <w:rPr>
          <w:rFonts w:eastAsia="IRNazanin" w:cs="IRNazanin"/>
          <w:color w:val="111111"/>
          <w:sz w:val="28"/>
          <w:szCs w:val="28"/>
          <w:rtl w:val="true"/>
          <w:lang w:bidi="fa-IR"/>
        </w:rPr>
        <w:t>.</w:t>
      </w:r>
    </w:p>
    <w:p>
      <w:pPr>
        <w:pStyle w:val="Heading4"/>
        <w:numPr>
          <w:ilvl w:val="3"/>
          <w:numId w:val="1"/>
        </w:numPr>
        <w:rPr/>
      </w:pPr>
      <w:bookmarkStart w:id="3785" w:name="__RefHeading___Toc3974219_1067777946"/>
      <w:bookmarkStart w:id="3786" w:name="_Toc1617"/>
      <w:bookmarkEnd w:id="3785"/>
      <w:r>
        <w:rPr>
          <w:rtl w:val="true"/>
        </w:rPr>
        <w:t>چند فرع دربارۀ القاى عضو جنين يا خود آن</w:t>
      </w:r>
      <w:bookmarkEnd w:id="378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زد زن حامل را پس القا كرد عضوى را مثل دست و غير آن، كه معلوم بشود تمام خلقت جنين، پس اگر خود زن وفات كرد قبل از انفصال تمام جنين، ديۀ خود زن يا </w:t>
      </w:r>
      <w:bookmarkStart w:id="3787" w:name="pg10275_97097"/>
    </w:p>
    <w:p>
      <w:pPr>
        <w:pStyle w:val="BookText"/>
        <w:rPr/>
      </w:pPr>
      <w:bookmarkEnd w:id="3787"/>
      <w:r>
        <w:rPr>
          <w:rFonts w:ascii="Amiri" w:hAnsi="Amiri" w:eastAsia="Amiri" w:cs="Amiri"/>
          <w:color w:val="111111"/>
          <w:sz w:val="28"/>
          <w:sz w:val="28"/>
          <w:szCs w:val="28"/>
          <w:rtl w:val="true"/>
          <w:lang w:bidi="ar-SA"/>
        </w:rPr>
        <w:t>قصاص تعمّد اتلاف او ثابت است، و ديه حمل تام الخلقه كه به سبب زدن تلف شده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چهار دست را القا كرد و علم و اطمينان به تعدد جنين پيدا نكرد، ديه يك جنين ثابت و احتمال زيادتى مدفوع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القاى دو سر يا دو بدن با عدم علم عادى به تعدد جنين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القاى عضو، جنينى كامل القا كرد و معلوم شد تعدد جنين و اثرى در جنين در محل قطع عضو نبود و نبودن آن معلوم شد، ديه دو جنين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از زدن القا كرد عضوى را پس از آن القا كرد جنين ميت را بدون آن عضو بدون فصل زمانى كه مزيل الم ضرب زن باشد، حكم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موت به سبب جنايت و اين كه آن عضو جزء همان جنين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محتمل باشد جزئيت براى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علم به سبق حيات جنين؛ لذا بنا بر دخول ديه عضو در ديه نفس، ديه جنين كامل الخلقه قبل از ولوج روح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القا كرد جنين را در حال حيات بدون فصل زمانى از القاى عضو پس از آن وفات نمود به سبب زدن سابق و اسقاط او، لكن ديه نفس كامل بر زننده ثابت است، مگر آن كه حيات او مستقره بوده و قابل بقا بوده كه فقط ديه عضو بر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فاصله بود بين دو القاى به نحوى كه معلوم نشد انفصال عضو از حىّ يا از غير حىّ‌، پس با شهادت اهل خبره كه دست جنين با حيات بوده پس نصف ديۀ جنين حىّ بر او است، وگرنه نصف جنين بى روح كه يك صد دينار است بر او است بنا بر اين كه ديه اعضاى جنين منسوب به ديه جنين مى شود مثل انسان كامل</w:t>
      </w:r>
      <w:r>
        <w:rPr>
          <w:rFonts w:eastAsia="IRNazanin" w:cs="IRNazanin"/>
          <w:color w:val="111111"/>
          <w:sz w:val="28"/>
          <w:szCs w:val="28"/>
          <w:rtl w:val="true"/>
          <w:lang w:bidi="fa-IR"/>
        </w:rPr>
        <w:t>.</w:t>
      </w:r>
    </w:p>
    <w:p>
      <w:pPr>
        <w:pStyle w:val="Heading4"/>
        <w:numPr>
          <w:ilvl w:val="3"/>
          <w:numId w:val="1"/>
        </w:numPr>
        <w:rPr/>
      </w:pPr>
      <w:bookmarkStart w:id="3788" w:name="__RefHeading___Toc3974221_1067777946"/>
      <w:bookmarkStart w:id="3789" w:name="_Toc1618"/>
      <w:bookmarkEnd w:id="3788"/>
      <w:r>
        <w:rPr>
          <w:rtl w:val="true"/>
        </w:rPr>
        <w:t>ديۀ جنين در عمد و شبه عمد و خطا</w:t>
      </w:r>
      <w:bookmarkEnd w:id="378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ديه جنين در عمد و شبه عمد از مال جانى است، و در خطاى بر عاقله است و در سه سال استيفا مى شود، و در عموم اين حكم اخير به صورت عدم ولوج روح تأمّل است</w:t>
      </w:r>
      <w:r>
        <w:rPr>
          <w:rFonts w:eastAsia="Amiri" w:cs="Amiri" w:ascii="Amiri" w:hAnsi="Amiri"/>
          <w:color w:val="111111"/>
          <w:sz w:val="28"/>
          <w:szCs w:val="28"/>
          <w:rtl w:val="true"/>
          <w:lang w:bidi="ar-SA"/>
        </w:rPr>
        <w:t xml:space="preserve">. </w:t>
      </w:r>
      <w:bookmarkStart w:id="3790" w:name="pg10275_97098"/>
    </w:p>
    <w:p>
      <w:pPr>
        <w:pStyle w:val="Heading3"/>
        <w:numPr>
          <w:ilvl w:val="2"/>
          <w:numId w:val="1"/>
        </w:numPr>
        <w:rPr/>
      </w:pPr>
      <w:bookmarkStart w:id="3791" w:name="__RefHeading___Toc3974223_1067777946"/>
      <w:bookmarkStart w:id="3792" w:name="_Toc1619"/>
      <w:bookmarkEnd w:id="3790"/>
      <w:bookmarkEnd w:id="3791"/>
      <w:r>
        <w:rPr>
          <w:rtl w:val="true"/>
        </w:rPr>
        <w:t>فصل ششم ديۀ جنايت بر ميّت</w:t>
      </w:r>
      <w:bookmarkEnd w:id="3792"/>
    </w:p>
    <w:p>
      <w:pPr>
        <w:pStyle w:val="Heading4"/>
        <w:numPr>
          <w:ilvl w:val="3"/>
          <w:numId w:val="1"/>
        </w:numPr>
        <w:rPr/>
      </w:pPr>
      <w:bookmarkStart w:id="3793" w:name="__RefHeading___Toc3974225_1067777946"/>
      <w:bookmarkStart w:id="3794" w:name="_Toc1620"/>
      <w:bookmarkEnd w:id="3793"/>
      <w:r>
        <w:rPr>
          <w:rtl w:val="true"/>
        </w:rPr>
        <w:t>ديۀ قطع سر ميّت</w:t>
      </w:r>
      <w:bookmarkEnd w:id="3794"/>
    </w:p>
    <w:p>
      <w:pPr>
        <w:pStyle w:val="BookText"/>
        <w:rPr/>
      </w:pPr>
      <w:r>
        <w:rPr>
          <w:rFonts w:ascii="IRNazanin" w:hAnsi="IRNazanin" w:eastAsia="IRNazanin"/>
          <w:color w:val="111111"/>
          <w:sz w:val="28"/>
          <w:sz w:val="28"/>
          <w:szCs w:val="28"/>
          <w:rtl w:val="true"/>
          <w:lang w:bidi="fa-IR"/>
        </w:rPr>
        <w:t>ديۀ قطع سر مسلمان آزاد يك صد دينار است، و ديه قطع جوارح و اعضاى او به حساب ديه او تعيين مى شود مثل ديه حىّ با ديۀ اعضاى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نسبت رعايت مى شود در ديه شجاج و جراحات او با ديۀ خود او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ثبوت ديه در قطع واقع از روى خطأ است؛ و اظهر مساوات با جنين است قبل از ولوج روح، در كفاره</w:t>
      </w:r>
      <w:r>
        <w:rPr>
          <w:rFonts w:eastAsia="IRNazanin" w:cs="IRNazanin"/>
          <w:color w:val="111111"/>
          <w:sz w:val="28"/>
          <w:szCs w:val="28"/>
          <w:rtl w:val="true"/>
          <w:lang w:bidi="fa-IR"/>
        </w:rPr>
        <w:t>.</w:t>
      </w:r>
    </w:p>
    <w:p>
      <w:pPr>
        <w:pStyle w:val="Heading4"/>
        <w:numPr>
          <w:ilvl w:val="3"/>
          <w:numId w:val="1"/>
        </w:numPr>
        <w:rPr/>
      </w:pPr>
      <w:bookmarkStart w:id="3795" w:name="__RefHeading___Toc3974227_1067777946"/>
      <w:bookmarkStart w:id="3796" w:name="_Toc1621"/>
      <w:bookmarkEnd w:id="3795"/>
      <w:r>
        <w:rPr>
          <w:rtl w:val="true"/>
        </w:rPr>
        <w:t>ديات مترتب بر ميّت صرف در وجوه خير مى شود</w:t>
      </w:r>
      <w:bookmarkEnd w:id="3796"/>
    </w:p>
    <w:p>
      <w:pPr>
        <w:pStyle w:val="BookText"/>
        <w:rPr/>
      </w:pPr>
      <w:r>
        <w:rPr>
          <w:rFonts w:ascii="IRNazanin" w:hAnsi="IRNazanin" w:eastAsia="IRNazanin"/>
          <w:color w:val="111111"/>
          <w:sz w:val="28"/>
          <w:sz w:val="28"/>
          <w:szCs w:val="28"/>
          <w:rtl w:val="true"/>
          <w:lang w:bidi="fa-IR"/>
        </w:rPr>
        <w:t>و ديات مذكوره كه جنايات آنها بعد از موت مجنى عليه واقع شده ميراث نيست و صرف در وجوه خير براى ميّت مى شود، حتى اگر ميت مملوك است اين ديه مال مالك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مديون باشد ميّت و محلى از متروكات براى اداى دين تماماً يا بعضا نباشد يا ورثه امتناع نمايند واجب است بنا بر احوط بلكه خالى از وجه نيست اداى ديون از ديه، آن چه كه احتياج به ادا از آن است كه اهمّ از ساير انتفاعات ميت است، و احوط استيذان نايب امام است در غيبت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ميت عبد يا ذمّى بود، عُشر ديه حرّ ذمّى در دوّمى، و عُشر قيمت عبد حىّ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bookmarkStart w:id="3797" w:name="pg10275_97099"/>
    </w:p>
    <w:p>
      <w:pPr>
        <w:pStyle w:val="Heading4"/>
        <w:numPr>
          <w:ilvl w:val="3"/>
          <w:numId w:val="1"/>
        </w:numPr>
        <w:rPr/>
      </w:pPr>
      <w:bookmarkStart w:id="3798" w:name="__RefHeading___Toc3974229_1067777946"/>
      <w:bookmarkStart w:id="3799" w:name="_Toc1622"/>
      <w:bookmarkEnd w:id="3797"/>
      <w:bookmarkEnd w:id="3798"/>
      <w:r>
        <w:rPr>
          <w:rtl w:val="true"/>
        </w:rPr>
        <w:t>آن چه به قطع رأس الحاق مى شود</w:t>
      </w:r>
      <w:bookmarkEnd w:id="379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الحاق جناياتى كه قاتل حىّ است، به قطع رأس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در جنين كه ميت ملحق به او شده است اختصاصى ندارد؛ و فرقى در ميت بين صغير و كبير و مرد و زن نيست با ارادۀ عُشر ديه از يك صد دينار كه مختلف در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3800" w:name="pg10275_97100"/>
    </w:p>
    <w:p>
      <w:pPr>
        <w:pStyle w:val="Heading3"/>
        <w:numPr>
          <w:ilvl w:val="2"/>
          <w:numId w:val="1"/>
        </w:numPr>
        <w:rPr/>
      </w:pPr>
      <w:bookmarkStart w:id="3801" w:name="__RefHeading___Toc3974231_1067777946"/>
      <w:bookmarkStart w:id="3802" w:name="_Toc1623"/>
      <w:bookmarkEnd w:id="3800"/>
      <w:bookmarkEnd w:id="3801"/>
      <w:r>
        <w:rPr>
          <w:rtl w:val="true"/>
        </w:rPr>
        <w:t>فصل هفتم ديۀ جنايت بر حيوان</w:t>
      </w:r>
      <w:bookmarkEnd w:id="3802"/>
    </w:p>
    <w:p>
      <w:pPr>
        <w:pStyle w:val="Heading4"/>
        <w:numPr>
          <w:ilvl w:val="3"/>
          <w:numId w:val="1"/>
        </w:numPr>
        <w:rPr/>
      </w:pPr>
      <w:bookmarkStart w:id="3803" w:name="__RefHeading___Toc3974233_1067777946"/>
      <w:bookmarkStart w:id="3804" w:name="_Toc1624"/>
      <w:bookmarkEnd w:id="3803"/>
      <w:r>
        <w:rPr>
          <w:rtl w:val="true"/>
        </w:rPr>
        <w:t>جنايت بر حيوان مأكول اللحم</w:t>
      </w:r>
      <w:bookmarkEnd w:id="3804"/>
    </w:p>
    <w:p>
      <w:pPr>
        <w:pStyle w:val="Heading5"/>
        <w:numPr>
          <w:ilvl w:val="4"/>
          <w:numId w:val="1"/>
        </w:numPr>
        <w:rPr/>
      </w:pPr>
      <w:bookmarkStart w:id="3805" w:name="__RefHeading___Toc3974235_1067777946"/>
      <w:bookmarkStart w:id="3806" w:name="_Toc1625"/>
      <w:bookmarkEnd w:id="3805"/>
      <w:r>
        <w:rPr>
          <w:rtl w:val="true"/>
        </w:rPr>
        <w:t>اتلاف مأكول اللحم بدون اذن با تذكيه</w:t>
      </w:r>
      <w:bookmarkEnd w:id="3806"/>
    </w:p>
    <w:p>
      <w:pPr>
        <w:pStyle w:val="BookText"/>
        <w:rPr/>
      </w:pPr>
      <w:r>
        <w:rPr>
          <w:rFonts w:ascii="IRNazanin" w:hAnsi="IRNazanin" w:eastAsia="IRNazanin"/>
          <w:color w:val="111111"/>
          <w:sz w:val="28"/>
          <w:sz w:val="28"/>
          <w:szCs w:val="28"/>
          <w:rtl w:val="true"/>
          <w:lang w:bidi="fa-IR"/>
        </w:rPr>
        <w:t xml:space="preserve">مأكول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گوسفند و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اتلاف شد به غير اذن مالك، به سبب تذكيه، تفاوت بين حىّ و مذكّىٰ را مالك، مستحق است، و استحقاق مطالبۀ تمام قيمت با دفع مذكّىٰ ندارد؛ و هم چنين جانى استحقاق مطالبه عين با دفع تمام قيمت ندارد؛ و اگر فرضاً مسلوب شد ماليت، به سبب تذكيه، تمام قيمت را مستحقّ است</w:t>
      </w:r>
      <w:r>
        <w:rPr>
          <w:rFonts w:eastAsia="IRNazanin" w:cs="IRNazanin"/>
          <w:color w:val="111111"/>
          <w:sz w:val="28"/>
          <w:szCs w:val="28"/>
          <w:rtl w:val="true"/>
          <w:lang w:bidi="fa-IR"/>
        </w:rPr>
        <w:t>.</w:t>
      </w:r>
    </w:p>
    <w:p>
      <w:pPr>
        <w:pStyle w:val="Heading5"/>
        <w:numPr>
          <w:ilvl w:val="4"/>
          <w:numId w:val="1"/>
        </w:numPr>
        <w:rPr/>
      </w:pPr>
      <w:bookmarkStart w:id="3807" w:name="__RefHeading___Toc3974237_1067777946"/>
      <w:bookmarkStart w:id="3808" w:name="_Toc1626"/>
      <w:bookmarkEnd w:id="3807"/>
      <w:r>
        <w:rPr>
          <w:rtl w:val="true"/>
        </w:rPr>
        <w:t>اتلاف بدون تذكيه</w:t>
      </w:r>
      <w:bookmarkEnd w:id="3808"/>
    </w:p>
    <w:p>
      <w:pPr>
        <w:pStyle w:val="BookText"/>
        <w:rPr/>
      </w:pPr>
      <w:r>
        <w:rPr>
          <w:rFonts w:ascii="IRNazanin" w:hAnsi="IRNazanin" w:eastAsia="IRNazanin"/>
          <w:color w:val="111111"/>
          <w:sz w:val="28"/>
          <w:sz w:val="28"/>
          <w:szCs w:val="28"/>
          <w:rtl w:val="true"/>
          <w:lang w:bidi="fa-IR"/>
        </w:rPr>
        <w:t>و اگر اتلاف به غير تذكيه كرد، قيمت روز اتلاف يا اعلى القيم تا روز ادا را ضامن است؛ و مستثنىٰ مى شود از قيمت آن، عين آن چه صاحب قيمت است بعد از اتلاف از چيزهايى كه منافع محلّله دارند، مثل پشم و مو و كرك و پر و نحو اينها</w:t>
      </w:r>
      <w:r>
        <w:rPr>
          <w:rFonts w:eastAsia="IRNazanin" w:cs="IRNazanin"/>
          <w:color w:val="111111"/>
          <w:sz w:val="28"/>
          <w:szCs w:val="28"/>
          <w:rtl w:val="true"/>
          <w:lang w:bidi="fa-IR"/>
        </w:rPr>
        <w:t>.</w:t>
      </w:r>
    </w:p>
    <w:p>
      <w:pPr>
        <w:pStyle w:val="Heading5"/>
        <w:numPr>
          <w:ilvl w:val="4"/>
          <w:numId w:val="1"/>
        </w:numPr>
        <w:rPr/>
      </w:pPr>
      <w:bookmarkStart w:id="3809" w:name="__RefHeading___Toc3974239_1067777946"/>
      <w:bookmarkStart w:id="3810" w:name="_Toc1627"/>
      <w:bookmarkEnd w:id="3809"/>
      <w:r>
        <w:rPr>
          <w:rtl w:val="true"/>
        </w:rPr>
        <w:t>صدمه به اعضاى حيوان</w:t>
      </w:r>
      <w:bookmarkEnd w:id="3810"/>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قطع كرد بعض اعضاى حيوان مأكول را يا شكست چيزى از استخوان آن را، تفاوت بين قيمت حيوان با جنايت و بدون آن، براى مالك است؛ و احوط در بيرون آوردن چشم حيوان يك چهارم قيمت آن حيوان است و يك دوّم آن هم محتمل است، و احوط صلح است</w:t>
      </w:r>
      <w:r>
        <w:rPr>
          <w:rFonts w:eastAsia="IRNazanin" w:cs="IRNazanin"/>
          <w:color w:val="111111"/>
          <w:sz w:val="28"/>
          <w:szCs w:val="28"/>
          <w:rtl w:val="true"/>
          <w:lang w:bidi="fa-IR"/>
        </w:rPr>
        <w:t xml:space="preserve">. </w:t>
      </w:r>
      <w:bookmarkStart w:id="3811" w:name="pg10275_97101"/>
    </w:p>
    <w:p>
      <w:pPr>
        <w:pStyle w:val="Heading4"/>
        <w:numPr>
          <w:ilvl w:val="3"/>
          <w:numId w:val="1"/>
        </w:numPr>
        <w:rPr/>
      </w:pPr>
      <w:bookmarkStart w:id="3812" w:name="__RefHeading___Toc3974241_1067777946"/>
      <w:bookmarkStart w:id="3813" w:name="_Toc1628"/>
      <w:bookmarkEnd w:id="3811"/>
      <w:bookmarkEnd w:id="3812"/>
      <w:r>
        <w:rPr>
          <w:rtl w:val="true"/>
        </w:rPr>
        <w:t>جنايت بر حيوان غير مأكول قابل تذكيه</w:t>
      </w:r>
      <w:bookmarkEnd w:id="3813"/>
    </w:p>
    <w:p>
      <w:pPr>
        <w:pStyle w:val="Heading5"/>
        <w:numPr>
          <w:ilvl w:val="4"/>
          <w:numId w:val="1"/>
        </w:numPr>
        <w:rPr/>
      </w:pPr>
      <w:bookmarkStart w:id="3814" w:name="__RefHeading___Toc3974243_1067777946"/>
      <w:bookmarkStart w:id="3815" w:name="_Toc1629"/>
      <w:bookmarkEnd w:id="3814"/>
      <w:r>
        <w:rPr>
          <w:rtl w:val="true"/>
        </w:rPr>
        <w:t>اشاره</w:t>
      </w:r>
      <w:bookmarkEnd w:id="3815"/>
    </w:p>
    <w:p>
      <w:pPr>
        <w:pStyle w:val="BookText"/>
        <w:rPr/>
      </w:pPr>
      <w:r>
        <w:rPr>
          <w:rFonts w:ascii="IRNazanin" w:hAnsi="IRNazanin" w:eastAsia="IRNazanin"/>
          <w:color w:val="111111"/>
          <w:sz w:val="28"/>
          <w:sz w:val="28"/>
          <w:szCs w:val="28"/>
          <w:rtl w:val="true"/>
          <w:lang w:bidi="fa-IR"/>
        </w:rPr>
        <w:t xml:space="preserve">حيوانى كه مأكول اللحم نيست لكن قابل تذكيه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اتلاف شد به سبب تذكيه، ضامن ارش آن حيوان است و تفاوت بين مذكّىٰ و غير آن به حسب قيمت، و همچنين قطع اعضا و جوارح آن و شكستن استخوان آن در حال استقرار حيات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استثناى آن چه از مقطوع، قابل انتفاع محلل و صاحب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 در قطع از اعضاى مأكول اللحم مناسب است، چون مقطوع، ميته است و قابليت تذكيۀ اصل، فارق نيست</w:t>
      </w:r>
      <w:r>
        <w:rPr>
          <w:rFonts w:eastAsia="IRNazanin" w:cs="IRNazanin"/>
          <w:color w:val="111111"/>
          <w:sz w:val="28"/>
          <w:szCs w:val="28"/>
          <w:rtl w:val="true"/>
          <w:lang w:bidi="fa-IR"/>
        </w:rPr>
        <w:t>.</w:t>
      </w:r>
    </w:p>
    <w:p>
      <w:pPr>
        <w:pStyle w:val="Heading5"/>
        <w:numPr>
          <w:ilvl w:val="4"/>
          <w:numId w:val="1"/>
        </w:numPr>
        <w:rPr/>
      </w:pPr>
      <w:bookmarkStart w:id="3816" w:name="__RefHeading___Toc3974245_1067777946"/>
      <w:bookmarkStart w:id="3817" w:name="_Toc1630"/>
      <w:bookmarkEnd w:id="3816"/>
      <w:r>
        <w:rPr>
          <w:rtl w:val="true"/>
        </w:rPr>
        <w:t>اتلاف به غير تذكيه</w:t>
      </w:r>
      <w:bookmarkEnd w:id="3817"/>
    </w:p>
    <w:p>
      <w:pPr>
        <w:pStyle w:val="BookText"/>
        <w:rPr/>
      </w:pPr>
      <w:r>
        <w:rPr>
          <w:rFonts w:ascii="IRNazanin" w:hAnsi="IRNazanin" w:eastAsia="IRNazanin"/>
          <w:color w:val="111111"/>
          <w:sz w:val="28"/>
          <w:sz w:val="28"/>
          <w:szCs w:val="28"/>
          <w:rtl w:val="true"/>
          <w:lang w:bidi="fa-IR"/>
        </w:rPr>
        <w:t>و اگر اتلاف بغير تذكيه باشد، ضامن تمام قيمت حيوان در حال حيات است بعد از استثناى آن چه منفعت محلله دارد چنان چه گذشت</w:t>
      </w:r>
      <w:r>
        <w:rPr>
          <w:rFonts w:eastAsia="IRNazanin" w:cs="IRNazanin"/>
          <w:color w:val="111111"/>
          <w:sz w:val="28"/>
          <w:szCs w:val="28"/>
          <w:rtl w:val="true"/>
          <w:lang w:bidi="fa-IR"/>
        </w:rPr>
        <w:t>.</w:t>
      </w:r>
    </w:p>
    <w:p>
      <w:pPr>
        <w:pStyle w:val="Heading5"/>
        <w:numPr>
          <w:ilvl w:val="4"/>
          <w:numId w:val="1"/>
        </w:numPr>
        <w:rPr/>
      </w:pPr>
      <w:bookmarkStart w:id="3818" w:name="__RefHeading___Toc3974247_1067777946"/>
      <w:bookmarkStart w:id="3819" w:name="_Toc1631"/>
      <w:bookmarkEnd w:id="3818"/>
      <w:r>
        <w:rPr>
          <w:rtl w:val="true"/>
        </w:rPr>
        <w:t>اتلاف محلّل الأكل كه عادتاً مأكول نيستند</w:t>
      </w:r>
      <w:bookmarkEnd w:id="3819"/>
    </w:p>
    <w:p>
      <w:pPr>
        <w:pStyle w:val="BookText"/>
        <w:rPr/>
      </w:pPr>
      <w:r>
        <w:rPr>
          <w:rFonts w:ascii="IRNazanin" w:hAnsi="IRNazanin" w:eastAsia="IRNazanin"/>
          <w:color w:val="111111"/>
          <w:sz w:val="28"/>
          <w:sz w:val="28"/>
          <w:szCs w:val="28"/>
          <w:rtl w:val="true"/>
          <w:lang w:bidi="fa-IR"/>
        </w:rPr>
        <w:t>و ممكن است از محلّل الأكل كه به حسب عادت، مأكول نيست مثل اسب و قاطر و الاغ، از اين قسم باشند كه ضمان تمام قيمت به اتلاف آنها به تذكيه، حاصل مى شود با استثناى مذكور؛ مگر آن كه پوست آنها بلكه گوشت آنها صاحب قيمت باشد كه استثنا مى شود از قيمت حيوان تماماً، و اين مطلب مختلف است به اختلاف مكان و زمان</w:t>
      </w:r>
      <w:r>
        <w:rPr>
          <w:rFonts w:eastAsia="IRNazanin" w:cs="IRNazanin"/>
          <w:color w:val="111111"/>
          <w:sz w:val="28"/>
          <w:szCs w:val="28"/>
          <w:rtl w:val="true"/>
          <w:lang w:bidi="fa-IR"/>
        </w:rPr>
        <w:t>.</w:t>
      </w:r>
    </w:p>
    <w:p>
      <w:pPr>
        <w:pStyle w:val="Heading4"/>
        <w:numPr>
          <w:ilvl w:val="3"/>
          <w:numId w:val="1"/>
        </w:numPr>
        <w:rPr/>
      </w:pPr>
      <w:bookmarkStart w:id="3820" w:name="__RefHeading___Toc3974249_1067777946"/>
      <w:bookmarkStart w:id="3821" w:name="_Toc1632"/>
      <w:bookmarkEnd w:id="3820"/>
      <w:r>
        <w:rPr>
          <w:rtl w:val="true"/>
        </w:rPr>
        <w:t>جنايت بر حيوان غير مأكول غير قابل تذكيه</w:t>
      </w:r>
      <w:bookmarkEnd w:id="3821"/>
    </w:p>
    <w:p>
      <w:pPr>
        <w:pStyle w:val="Heading5"/>
        <w:numPr>
          <w:ilvl w:val="4"/>
          <w:numId w:val="1"/>
        </w:numPr>
        <w:rPr/>
      </w:pPr>
      <w:bookmarkStart w:id="3822" w:name="__RefHeading___Toc3974251_1067777946"/>
      <w:bookmarkStart w:id="3823" w:name="_Toc1633"/>
      <w:bookmarkEnd w:id="3822"/>
      <w:r>
        <w:rPr>
          <w:rtl w:val="true"/>
        </w:rPr>
        <w:t>جنايت بر انواع كلب و حكم هر يك</w:t>
      </w:r>
      <w:bookmarkEnd w:id="3823"/>
    </w:p>
    <w:p>
      <w:pPr>
        <w:pStyle w:val="BookText"/>
        <w:rPr/>
      </w:pPr>
      <w:r>
        <w:rPr>
          <w:rFonts w:ascii="IRNazanin" w:hAnsi="IRNazanin" w:eastAsia="IRNazanin"/>
          <w:color w:val="111111"/>
          <w:sz w:val="28"/>
          <w:sz w:val="28"/>
          <w:szCs w:val="28"/>
          <w:rtl w:val="true"/>
          <w:lang w:bidi="fa-IR"/>
        </w:rPr>
        <w:t xml:space="preserve">احوط در مطلق كلب صيد توافق و مصالحه در ديه بر چهل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دو طرف زيادتى بر قيمت فعليه حين جنايت يا نقيصه از آن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توافق و مصالحه در كلب غنم بر يكى از كبش 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موافق احتياط است، و محتمل است تخيير در واقع، و ارادۀ تعيين غير ثابت در قيمت با ثابت </w:t>
      </w:r>
      <w:bookmarkStart w:id="3824" w:name="pg10275_97102"/>
    </w:p>
    <w:p>
      <w:pPr>
        <w:pStyle w:val="BookText"/>
        <w:rPr/>
      </w:pPr>
      <w:bookmarkEnd w:id="3824"/>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در صورت زيادتى اولى يا نقصان به حسب قيمت محتمل است، و احتياط در آن چه ذكر شد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احوط توافق است در كلب بستان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يا قيمت فعليّه، يعنى بر يكى از اينها به نحو 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كلب زراعت احوط مصالحه است بين قيمت فعليه و جريب</w:t>
      </w:r>
      <w:r>
        <w:rPr>
          <w:rStyle w:val="FootnoteAnchor"/>
          <w:rtl w:val="true"/>
        </w:rPr>
        <w:footnoteReference w:id="24"/>
      </w:r>
      <w:r>
        <w:rPr>
          <w:rFonts w:ascii="Amiri" w:hAnsi="Amiri" w:eastAsia="Amiri" w:cs="Amiri"/>
          <w:color w:val="111111"/>
          <w:sz w:val="28"/>
          <w:sz w:val="28"/>
          <w:szCs w:val="28"/>
          <w:rtl w:val="true"/>
          <w:lang w:bidi="ar-SA"/>
        </w:rPr>
        <w:t>يا قفيز از بُرّ</w:t>
      </w:r>
      <w:r>
        <w:rPr>
          <w:rFonts w:eastAsia="Amiri" w:cs="Amiri" w:ascii="Amiri" w:hAnsi="Amiri"/>
          <w:color w:val="111111"/>
          <w:sz w:val="28"/>
          <w:szCs w:val="28"/>
          <w:rtl w:val="true"/>
          <w:lang w:bidi="ar-SA"/>
        </w:rPr>
        <w:t>.</w:t>
      </w:r>
    </w:p>
    <w:p>
      <w:pPr>
        <w:pStyle w:val="Heading5"/>
        <w:numPr>
          <w:ilvl w:val="4"/>
          <w:numId w:val="1"/>
        </w:numPr>
        <w:rPr/>
      </w:pPr>
      <w:bookmarkStart w:id="3825" w:name="__RefHeading___Toc3974253_1067777946"/>
      <w:bookmarkStart w:id="3826" w:name="_Toc1634"/>
      <w:bookmarkEnd w:id="3825"/>
      <w:r>
        <w:rPr>
          <w:rtl w:val="true"/>
        </w:rPr>
        <w:t>اتلاف غير كلب و حكم هر يك</w:t>
      </w:r>
      <w:bookmarkEnd w:id="3826"/>
    </w:p>
    <w:p>
      <w:pPr>
        <w:pStyle w:val="BookText"/>
        <w:rPr/>
      </w:pPr>
      <w:r>
        <w:rPr>
          <w:rFonts w:ascii="IRNazanin" w:hAnsi="IRNazanin" w:eastAsia="IRNazanin"/>
          <w:color w:val="111111"/>
          <w:sz w:val="28"/>
          <w:sz w:val="28"/>
          <w:szCs w:val="28"/>
          <w:rtl w:val="true"/>
          <w:lang w:bidi="fa-IR"/>
        </w:rPr>
        <w:t>و كلاب غير مذكوره و غير آنها از چيزهايى كه در يد مسلمان است و مملوك او نمى شود مثل خمر و خنزير، قيمت ندارند و مُتلف ضامن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ضمان قيمت است در چيزهايى كه عرفاً قيمت دار مى باشند و از شرع ثابت نشده عدم قابليت آنها براى تملك، مثل كلب دار و ساير طيور كه انتفاعات محلله دارند</w:t>
      </w:r>
      <w:r>
        <w:rPr>
          <w:rFonts w:eastAsia="IRNazanin" w:cs="IRNazanin"/>
          <w:color w:val="111111"/>
          <w:sz w:val="28"/>
          <w:szCs w:val="28"/>
          <w:rtl w:val="true"/>
          <w:lang w:bidi="fa-IR"/>
        </w:rPr>
        <w:t>.</w:t>
      </w:r>
    </w:p>
    <w:p>
      <w:pPr>
        <w:pStyle w:val="Heading5"/>
        <w:numPr>
          <w:ilvl w:val="4"/>
          <w:numId w:val="1"/>
        </w:numPr>
        <w:rPr/>
      </w:pPr>
      <w:bookmarkStart w:id="3827" w:name="__RefHeading___Toc3974255_1067777946"/>
      <w:bookmarkStart w:id="3828" w:name="_Toc1635"/>
      <w:bookmarkEnd w:id="3827"/>
      <w:r>
        <w:rPr>
          <w:rtl w:val="true"/>
        </w:rPr>
        <w:t>اگر جانى خود غاصب باشد</w:t>
      </w:r>
      <w:bookmarkEnd w:id="3828"/>
    </w:p>
    <w:p>
      <w:pPr>
        <w:pStyle w:val="BookText"/>
        <w:rPr/>
      </w:pPr>
      <w:r>
        <w:rPr>
          <w:rFonts w:ascii="IRNazanin" w:hAnsi="IRNazanin" w:eastAsia="IRNazanin"/>
          <w:color w:val="111111"/>
          <w:sz w:val="28"/>
          <w:sz w:val="28"/>
          <w:szCs w:val="28"/>
          <w:rtl w:val="true"/>
          <w:lang w:bidi="fa-IR"/>
        </w:rPr>
        <w:t>جانى اگر غاصب باشد محتمل است اتحاد در حكم او با غير غاصب، و اكثر الامرين از مقدّر و قيمت موافق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شد نزد غاصب، متّجه ضمان قيمت است چه زايد بر مقدر باشد يا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اجنبى اتلاف كرد آن را در يد غاصب، مى تواند مالك، رجوع نمايد به غاصب يا متلف؛ و اگر رجوع نمود به متلف، مقدّر را اخذ مى نمايد، و اگر زيادتى در قيمت آن باشد به غاصب رجوع مى نمايد؛ و اگر از غاصب اخذ قيمت كرد و ناقص بود از مقدّر، زيادتى را از غاصب اخذ مى نمايد</w:t>
      </w:r>
      <w:r>
        <w:rPr>
          <w:rFonts w:eastAsia="IRNazanin" w:cs="IRNazanin"/>
          <w:color w:val="111111"/>
          <w:sz w:val="28"/>
          <w:szCs w:val="28"/>
          <w:rtl w:val="true"/>
          <w:lang w:bidi="fa-IR"/>
        </w:rPr>
        <w:t>.</w:t>
      </w:r>
    </w:p>
    <w:p>
      <w:pPr>
        <w:pStyle w:val="Heading5"/>
        <w:numPr>
          <w:ilvl w:val="4"/>
          <w:numId w:val="1"/>
        </w:numPr>
        <w:rPr/>
      </w:pPr>
      <w:bookmarkStart w:id="3829" w:name="__RefHeading___Toc3974257_1067777946"/>
      <w:bookmarkStart w:id="3830" w:name="_Toc1636"/>
      <w:bookmarkEnd w:id="3829"/>
      <w:r>
        <w:rPr>
          <w:rtl w:val="true"/>
        </w:rPr>
        <w:t>ايجاد نقص در كلب مغصوب</w:t>
      </w:r>
      <w:bookmarkEnd w:id="383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نقصى در كلب مغصوب مضمون حاصل شد، ارش بالنسبة به اكثر الامرين از قيمت و مقدر، موافق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اتلاف كرد مملوك ذمّى را مثل خمر او يا </w:t>
      </w:r>
      <w:bookmarkStart w:id="3831" w:name="pg10275_97103"/>
    </w:p>
    <w:p>
      <w:pPr>
        <w:pStyle w:val="BookText"/>
        <w:rPr/>
      </w:pPr>
      <w:bookmarkEnd w:id="3831"/>
      <w:r>
        <w:rPr>
          <w:rFonts w:ascii="IRNazanin" w:hAnsi="IRNazanin" w:eastAsia="IRNazanin"/>
          <w:color w:val="111111"/>
          <w:sz w:val="28"/>
          <w:sz w:val="28"/>
          <w:szCs w:val="28"/>
          <w:rtl w:val="true"/>
          <w:lang w:bidi="fa-IR"/>
        </w:rPr>
        <w:t>خنزير او را پس ضامن قيمت نزد مستحلّين است در صورت تحقق شروط ذمّه، وگرنه ضامن نيست اگر چه جانى ذمى يا حربى باشد، لكن تعميم مورد تأمل است؛ و هم چنين تأمل در ضمان بعض آنها مملوك بعضى ديگر را در صورت اخلال به استتار لازم بلكه به ساير شروط ذمه؛ و در جنايت بر اطراف مملوك ذمى ارش نسبت به قيمت تمام، نزد آنها ثابت است</w:t>
      </w:r>
      <w:r>
        <w:rPr>
          <w:rFonts w:eastAsia="IRNazanin" w:cs="IRNazanin"/>
          <w:color w:val="111111"/>
          <w:sz w:val="28"/>
          <w:szCs w:val="28"/>
          <w:rtl w:val="true"/>
          <w:lang w:bidi="fa-IR"/>
        </w:rPr>
        <w:t>.</w:t>
      </w:r>
    </w:p>
    <w:p>
      <w:pPr>
        <w:pStyle w:val="Heading4"/>
        <w:numPr>
          <w:ilvl w:val="3"/>
          <w:numId w:val="1"/>
        </w:numPr>
        <w:rPr/>
      </w:pPr>
      <w:bookmarkStart w:id="3832" w:name="__RefHeading___Toc3974259_1067777946"/>
      <w:bookmarkStart w:id="3833" w:name="_Toc1637"/>
      <w:bookmarkEnd w:id="3832"/>
      <w:r>
        <w:rPr>
          <w:rtl w:val="true"/>
        </w:rPr>
        <w:t>اتلاف خمر يا آلت لهو</w:t>
      </w:r>
      <w:bookmarkEnd w:id="3833"/>
    </w:p>
    <w:p>
      <w:pPr>
        <w:pStyle w:val="BookText"/>
        <w:rPr/>
      </w:pPr>
      <w:r>
        <w:rPr>
          <w:rFonts w:ascii="IRNazanin" w:hAnsi="IRNazanin" w:eastAsia="IRNazanin"/>
          <w:color w:val="111111"/>
          <w:sz w:val="28"/>
          <w:sz w:val="28"/>
          <w:szCs w:val="28"/>
          <w:rtl w:val="true"/>
          <w:lang w:bidi="fa-IR"/>
        </w:rPr>
        <w:t>اگر اتلاف كرد بر ذمّى، خمر يا آلت لهوى را كه در مذهب خودش مالك مى شود، متلف، ضامن آن است اگر چه مسلمان باشد، مادام كه ذمّى قائم بر شروط ذمّه است كه از آن جمله استتار به اين امور است؛ پس با ترك استتار، مسلمان ضامن نيست، مثل عدم ضمان مال حربى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ضمان غير مسلم مالِ ذمّى غير متستّر را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اموال در يد مسلم باشد، جانى ضامن نيست اگر چه ذمّى باشد، يعنى در حكم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براى تخليل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جواهرِ آلات لهو، اظهر ضمان آنها است چه در يد مسلم باشد يا ذمّى، و هيئت، و لوازم ابطال هيئت مضمون نيست مطلقاً اگر منفعت محلله ندارد، مگر آن كه در يد ذمّى متستّر، باشد چنان چه گذشت</w:t>
      </w:r>
      <w:r>
        <w:rPr>
          <w:rFonts w:eastAsia="IRNazanin" w:cs="IRNazanin"/>
          <w:color w:val="111111"/>
          <w:sz w:val="28"/>
          <w:szCs w:val="28"/>
          <w:rtl w:val="true"/>
          <w:lang w:bidi="fa-IR"/>
        </w:rPr>
        <w:t>.</w:t>
      </w:r>
    </w:p>
    <w:p>
      <w:pPr>
        <w:pStyle w:val="Heading4"/>
        <w:numPr>
          <w:ilvl w:val="3"/>
          <w:numId w:val="1"/>
        </w:numPr>
        <w:rPr/>
      </w:pPr>
      <w:bookmarkStart w:id="3834" w:name="__RefHeading___Toc3974261_1067777946"/>
      <w:bookmarkStart w:id="3835" w:name="_Toc1638"/>
      <w:bookmarkEnd w:id="3834"/>
      <w:r>
        <w:rPr>
          <w:rtl w:val="true"/>
        </w:rPr>
        <w:t>اگر بهايم مملوكه، زراعتى را فاسد نمودند</w:t>
      </w:r>
      <w:bookmarkEnd w:id="3835"/>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بهايم مملوكه، جنايت و افساد كردند زرع غير را در شب، موجب ضمان مالك ماشيه است، و در روز موجب ضمان نيست؛ و اقرب حمل نصوص و 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حصول تفريط از مالك ماشيه در شب كه بر او است حفظ آنها در آن وقت، و عدم حصول تفريط در روز كه براى او است ارسال آنها به مراتع از طرق متعارفه پس منحصر است به صورت ارسال به نحوى كه لازم عادى ارسال به مراتع است به نحو معتاد و با عدم تعدّيات خاصه مفروضه؛ پس صورت علم به تفريط در اول و به عدم آن در دوّم، خارج است از مورد نصّ و فتوى</w:t>
      </w:r>
      <w:r>
        <w:rPr>
          <w:rFonts w:eastAsia="IRNazanin" w:cs="IRNazanin"/>
          <w:color w:val="111111"/>
          <w:sz w:val="28"/>
          <w:szCs w:val="28"/>
          <w:rtl w:val="true"/>
          <w:lang w:bidi="fa-IR"/>
        </w:rPr>
        <w:t xml:space="preserve">. </w:t>
      </w:r>
      <w:bookmarkStart w:id="3836" w:name="pg10275_97104"/>
    </w:p>
    <w:p>
      <w:pPr>
        <w:pStyle w:val="Heading3"/>
        <w:numPr>
          <w:ilvl w:val="2"/>
          <w:numId w:val="1"/>
        </w:numPr>
        <w:rPr/>
      </w:pPr>
      <w:bookmarkStart w:id="3837" w:name="__RefHeading___Toc3974263_1067777946"/>
      <w:bookmarkStart w:id="3838" w:name="_Toc1639"/>
      <w:bookmarkEnd w:id="3836"/>
      <w:bookmarkEnd w:id="3837"/>
      <w:r>
        <w:rPr>
          <w:rtl w:val="true"/>
        </w:rPr>
        <w:t>فصل هشتم كفارۀ قتل</w:t>
      </w:r>
      <w:bookmarkEnd w:id="3838"/>
    </w:p>
    <w:p>
      <w:pPr>
        <w:pStyle w:val="Heading4"/>
        <w:numPr>
          <w:ilvl w:val="3"/>
          <w:numId w:val="1"/>
        </w:numPr>
        <w:rPr/>
      </w:pPr>
      <w:bookmarkStart w:id="3839" w:name="__RefHeading___Toc3974265_1067777946"/>
      <w:bookmarkStart w:id="3840" w:name="_Toc1640"/>
      <w:bookmarkEnd w:id="3839"/>
      <w:r>
        <w:rPr>
          <w:rtl w:val="true"/>
        </w:rPr>
        <w:t>كفّاره انواع قتل</w:t>
      </w:r>
      <w:bookmarkEnd w:id="3840"/>
    </w:p>
    <w:p>
      <w:pPr>
        <w:pStyle w:val="BookText"/>
        <w:rPr/>
      </w:pPr>
      <w:r>
        <w:rPr>
          <w:rFonts w:ascii="Amiri" w:hAnsi="Amiri" w:eastAsia="Amiri" w:cs="Amiri"/>
          <w:color w:val="111111"/>
          <w:sz w:val="28"/>
          <w:sz w:val="28"/>
          <w:szCs w:val="28"/>
          <w:rtl w:val="true"/>
          <w:lang w:bidi="ar-SA"/>
        </w:rPr>
        <w:t>در قتل عمدى، كفارۀ جمع بين خصال ثلاث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قتل خطايى و شبيه عمد، كفارۀ مرتّبه لازم است در صورت مباشرت قتل نه تسبيب به آن؛ و در صورتى كه تسبيب عمدى باشد و صدق كند قتل عمدى، در وجوب كفاره و آن كه كفارۀ جمع است يا مرتّبه تأمل است</w:t>
      </w:r>
      <w:r>
        <w:rPr>
          <w:rFonts w:eastAsia="Amiri" w:cs="Amiri" w:ascii="Amiri" w:hAnsi="Amiri"/>
          <w:color w:val="111111"/>
          <w:sz w:val="28"/>
          <w:szCs w:val="28"/>
          <w:rtl w:val="true"/>
          <w:lang w:bidi="ar-SA"/>
        </w:rPr>
        <w:t>.</w:t>
      </w:r>
    </w:p>
    <w:p>
      <w:pPr>
        <w:pStyle w:val="Heading4"/>
        <w:numPr>
          <w:ilvl w:val="3"/>
          <w:numId w:val="1"/>
        </w:numPr>
        <w:rPr/>
      </w:pPr>
      <w:bookmarkStart w:id="3841" w:name="__RefHeading___Toc3974267_1067777946"/>
      <w:bookmarkStart w:id="3842" w:name="_Toc1641"/>
      <w:bookmarkEnd w:id="3841"/>
      <w:r>
        <w:rPr>
          <w:rtl w:val="true"/>
        </w:rPr>
        <w:t>اختصاص كفاره به قتل مسلم</w:t>
      </w:r>
      <w:bookmarkEnd w:id="3842"/>
    </w:p>
    <w:p>
      <w:pPr>
        <w:pStyle w:val="BookText"/>
        <w:rPr/>
      </w:pPr>
      <w:r>
        <w:rPr>
          <w:rFonts w:ascii="Amiri" w:hAnsi="Amiri" w:eastAsia="Amiri" w:cs="Amiri"/>
          <w:color w:val="111111"/>
          <w:sz w:val="28"/>
          <w:sz w:val="28"/>
          <w:szCs w:val="28"/>
          <w:rtl w:val="true"/>
          <w:lang w:bidi="ar-SA"/>
        </w:rPr>
        <w:t xml:space="preserve">و فرقى در وجوب كفاره به قتل مسلم نيست بين مرد و زن، و حرّ و عبد، و صبىّ و صبيّه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جنين بعد از ولوج روح 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مجنون و مجنونه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مملوك قاتل عمد خلاف است به حسب نصّ و فتوىٰ‌، و احوط جمع است بين خصال ثلاثه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قتل كافر، چه ذمّى يا مُعاهَد يا غير اينها باشد و قتل عمدى يا خطايى باشد، كفاره لازم نيست</w:t>
      </w:r>
      <w:r>
        <w:rPr>
          <w:rFonts w:eastAsia="IRNazanin" w:cs="IRNazanin"/>
          <w:color w:val="111111"/>
          <w:sz w:val="28"/>
          <w:szCs w:val="28"/>
          <w:rtl w:val="true"/>
          <w:lang w:bidi="fa-IR"/>
        </w:rPr>
        <w:t>.</w:t>
      </w:r>
    </w:p>
    <w:p>
      <w:pPr>
        <w:pStyle w:val="Heading4"/>
        <w:numPr>
          <w:ilvl w:val="3"/>
          <w:numId w:val="1"/>
        </w:numPr>
        <w:rPr/>
      </w:pPr>
      <w:bookmarkStart w:id="3843" w:name="__RefHeading___Toc3974269_1067777946"/>
      <w:bookmarkStart w:id="3844" w:name="_Toc1642"/>
      <w:bookmarkEnd w:id="3843"/>
      <w:r>
        <w:rPr>
          <w:rtl w:val="true"/>
        </w:rPr>
        <w:t>كشتن مسلمى در دار الحرب عمداً يا خطاءً‌</w:t>
      </w:r>
      <w:bookmarkEnd w:id="3844"/>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مسلمانى را در دار الحرب عمداً به قتل رسانيد با علم به اسلام او، بر او است قصاص و كفاره جمع؛ و در خطأ، ديه و كفارۀ مرتّبه لازم است، در صورت عدم ضرورت در قتل مثل صورت تترّس كفار به مسلم، بدون فرق بين هجرت بعد از اسلام در آن و عدم آن و عود براى حاجتى يا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اعتقاد پيدا كرد كه كافر </w:t>
      </w:r>
      <w:bookmarkStart w:id="3845" w:name="pg10275_97105"/>
    </w:p>
    <w:p>
      <w:pPr>
        <w:pStyle w:val="BookText"/>
        <w:rPr/>
      </w:pPr>
      <w:bookmarkEnd w:id="3845"/>
      <w:r>
        <w:rPr>
          <w:rFonts w:ascii="IRNazanin" w:hAnsi="IRNazanin" w:eastAsia="IRNazanin"/>
          <w:color w:val="111111"/>
          <w:sz w:val="28"/>
          <w:sz w:val="28"/>
          <w:szCs w:val="28"/>
          <w:rtl w:val="true"/>
          <w:lang w:bidi="fa-IR"/>
        </w:rPr>
        <w:t>حربى است به واسطۀ بودن در دار الحرب و نحو آن پس كشت او را، قصاص نيست، و احوط ثبوت ديه است اگر چه اظهر عدم ثبوت ديه است، چنان چه اكثر نافى هستند، و كفاره ثابت است</w:t>
      </w:r>
      <w:r>
        <w:rPr>
          <w:rFonts w:eastAsia="IRNazanin" w:cs="IRNazanin"/>
          <w:color w:val="111111"/>
          <w:sz w:val="28"/>
          <w:szCs w:val="28"/>
          <w:rtl w:val="true"/>
          <w:lang w:bidi="fa-IR"/>
        </w:rPr>
        <w:t>.</w:t>
      </w:r>
    </w:p>
    <w:p>
      <w:pPr>
        <w:pStyle w:val="Heading4"/>
        <w:numPr>
          <w:ilvl w:val="3"/>
          <w:numId w:val="1"/>
        </w:numPr>
        <w:rPr/>
      </w:pPr>
      <w:bookmarkStart w:id="3846" w:name="__RefHeading___Toc3974271_1067777946"/>
      <w:bookmarkStart w:id="3847" w:name="_Toc1643"/>
      <w:bookmarkEnd w:id="3846"/>
      <w:r>
        <w:rPr>
          <w:rtl w:val="true"/>
        </w:rPr>
        <w:t>توزيع كفاره</w:t>
      </w:r>
      <w:bookmarkEnd w:id="3847"/>
    </w:p>
    <w:p>
      <w:pPr>
        <w:pStyle w:val="BookText"/>
        <w:rPr/>
      </w:pPr>
      <w:r>
        <w:rPr>
          <w:rFonts w:ascii="IRNazanin" w:hAnsi="IRNazanin" w:eastAsia="IRNazanin"/>
          <w:color w:val="111111"/>
          <w:sz w:val="28"/>
          <w:sz w:val="28"/>
          <w:szCs w:val="28"/>
          <w:rtl w:val="true"/>
          <w:lang w:bidi="fa-IR"/>
        </w:rPr>
        <w:t>اگر جماعتى اشتراك در قتل يكى كردند، محتمل است توزيع كفاره، و احوط تعدد است</w:t>
      </w:r>
      <w:r>
        <w:rPr>
          <w:rFonts w:eastAsia="IRNazanin" w:cs="IRNazanin"/>
          <w:color w:val="111111"/>
          <w:sz w:val="28"/>
          <w:szCs w:val="28"/>
          <w:rtl w:val="true"/>
          <w:lang w:bidi="fa-IR"/>
        </w:rPr>
        <w:t>.</w:t>
      </w:r>
    </w:p>
    <w:p>
      <w:pPr>
        <w:pStyle w:val="Heading4"/>
        <w:numPr>
          <w:ilvl w:val="3"/>
          <w:numId w:val="1"/>
        </w:numPr>
        <w:rPr/>
      </w:pPr>
      <w:bookmarkStart w:id="3848" w:name="__RefHeading___Toc3974273_1067777946"/>
      <w:bookmarkStart w:id="3849" w:name="_Toc1644"/>
      <w:bookmarkEnd w:id="3848"/>
      <w:r>
        <w:rPr>
          <w:rtl w:val="true"/>
        </w:rPr>
        <w:t>دو مورد عدم سقوط كفاره</w:t>
      </w:r>
      <w:bookmarkEnd w:id="3849"/>
    </w:p>
    <w:p>
      <w:pPr>
        <w:pStyle w:val="BookText"/>
        <w:rPr/>
      </w:pPr>
      <w:r>
        <w:rPr>
          <w:rFonts w:ascii="IRNazanin" w:hAnsi="IRNazanin" w:eastAsia="IRNazanin"/>
          <w:color w:val="111111"/>
          <w:sz w:val="28"/>
          <w:sz w:val="28"/>
          <w:szCs w:val="28"/>
          <w:rtl w:val="true"/>
          <w:lang w:bidi="fa-IR"/>
        </w:rPr>
        <w:t>اگر امر كرد مقتول را به قتل نفس، كفاره ساقط نمى شود بنا بر ثبوت آن در تسبيب</w:t>
      </w:r>
      <w:r>
        <w:rPr>
          <w:rFonts w:eastAsia="IRNazanin" w:cs="IRNazanin"/>
          <w:color w:val="111111"/>
          <w:sz w:val="28"/>
          <w:szCs w:val="28"/>
          <w:rtl w:val="true"/>
          <w:lang w:bidi="fa-IR"/>
        </w:rPr>
        <w:t>.</w:t>
      </w:r>
    </w:p>
    <w:p>
      <w:pPr>
        <w:pStyle w:val="Heading4"/>
        <w:numPr>
          <w:ilvl w:val="3"/>
          <w:numId w:val="1"/>
        </w:numPr>
        <w:rPr/>
      </w:pPr>
      <w:bookmarkStart w:id="3850" w:name="__RefHeading___Toc3974275_1067777946"/>
      <w:bookmarkStart w:id="3851" w:name="_Toc1645"/>
      <w:bookmarkEnd w:id="3850"/>
      <w:r>
        <w:rPr>
          <w:rtl w:val="true"/>
        </w:rPr>
        <w:t>حكم كفّاره بعد از قصاص</w:t>
      </w:r>
      <w:bookmarkEnd w:id="3851"/>
    </w:p>
    <w:p>
      <w:pPr>
        <w:pStyle w:val="BookText"/>
        <w:rPr/>
      </w:pPr>
      <w:r>
        <w:rPr>
          <w:rFonts w:ascii="Amiri" w:hAnsi="Amiri" w:eastAsia="Amiri" w:cs="Amiri"/>
          <w:color w:val="111111"/>
          <w:sz w:val="28"/>
          <w:sz w:val="28"/>
          <w:szCs w:val="28"/>
          <w:rtl w:val="true"/>
          <w:lang w:bidi="ar-SA"/>
        </w:rPr>
        <w:t xml:space="preserve">كفاره در عمد، به سبب قبول 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صلح و نحو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قصاص شد، در وجوب كفاره در متروكات خلاف است، احوط اخراج است با اذن ورثه، و اظهر وجوب است كه متمحض در ماليت كه فعليت پيدا كند در زمان حيات</w:t>
      </w:r>
      <w:r>
        <w:rPr>
          <w:rFonts w:eastAsia="IRNazanin" w:cs="IRNazanin"/>
          <w:color w:val="111111"/>
          <w:sz w:val="28"/>
          <w:szCs w:val="28"/>
          <w:rtl w:val="true"/>
          <w:lang w:bidi="fa-IR"/>
        </w:rPr>
        <w:t>.</w:t>
      </w:r>
    </w:p>
    <w:p>
      <w:pPr>
        <w:pStyle w:val="Heading4"/>
        <w:numPr>
          <w:ilvl w:val="3"/>
          <w:numId w:val="1"/>
        </w:numPr>
        <w:rPr/>
      </w:pPr>
      <w:bookmarkStart w:id="3852" w:name="__RefHeading___Toc3974277_1067777946"/>
      <w:bookmarkStart w:id="3853" w:name="_Toc1646"/>
      <w:bookmarkEnd w:id="3852"/>
      <w:r>
        <w:rPr>
          <w:rtl w:val="true"/>
        </w:rPr>
        <w:t>اگر قاتل مسلم صبى يا مجنون باشد</w:t>
      </w:r>
      <w:bookmarkEnd w:id="3853"/>
    </w:p>
    <w:p>
      <w:pPr>
        <w:pStyle w:val="BookText"/>
        <w:rPr/>
      </w:pPr>
      <w:r>
        <w:rPr>
          <w:rFonts w:ascii="Amiri" w:hAnsi="Amiri" w:eastAsia="Amiri" w:cs="Amiri"/>
          <w:color w:val="111111"/>
          <w:sz w:val="28"/>
          <w:sz w:val="28"/>
          <w:szCs w:val="28"/>
          <w:rtl w:val="true"/>
          <w:lang w:bidi="ar-SA"/>
        </w:rPr>
        <w:t>و در قتل صبى و مجنون، مسلمان را، احوط ثبوت كفاره و اخراج عتق و اطعام از مال آنها است و تأخير صيام تا زمان كمال يا اخراج اجرت از مال آنها است با اذن ورثه؛ و كفارۀ اينها خطايى است نه عمدى</w:t>
      </w:r>
      <w:r>
        <w:rPr>
          <w:rFonts w:eastAsia="Amiri" w:cs="Amiri" w:ascii="Amiri" w:hAnsi="Amiri"/>
          <w:color w:val="111111"/>
          <w:sz w:val="28"/>
          <w:szCs w:val="28"/>
          <w:rtl w:val="true"/>
          <w:lang w:bidi="ar-SA"/>
        </w:rPr>
        <w:t>.</w:t>
      </w:r>
    </w:p>
    <w:p>
      <w:pPr>
        <w:pStyle w:val="Heading4"/>
        <w:numPr>
          <w:ilvl w:val="3"/>
          <w:numId w:val="1"/>
        </w:numPr>
        <w:rPr/>
      </w:pPr>
      <w:bookmarkStart w:id="3854" w:name="__RefHeading___Toc3974279_1067777946"/>
      <w:bookmarkStart w:id="3855" w:name="_Toc1647"/>
      <w:bookmarkEnd w:id="3854"/>
      <w:r>
        <w:rPr>
          <w:rtl w:val="true"/>
        </w:rPr>
        <w:t>سقوط كفّاره از كافر به واسطۀ اسلام آوردن</w:t>
      </w:r>
      <w:bookmarkEnd w:id="3855"/>
    </w:p>
    <w:p>
      <w:pPr>
        <w:pStyle w:val="BookText"/>
        <w:rPr/>
      </w:pPr>
      <w:r>
        <w:rPr>
          <w:rFonts w:ascii="Amiri" w:hAnsi="Amiri" w:eastAsia="Amiri" w:cs="Amiri"/>
          <w:color w:val="111111"/>
          <w:sz w:val="28"/>
          <w:sz w:val="28"/>
          <w:szCs w:val="28"/>
          <w:rtl w:val="true"/>
          <w:lang w:bidi="ar-SA"/>
        </w:rPr>
        <w:t>بر ذمّى و حربى واجب است كفاره مثل ساير عبادات ماليّه و بدنيه، و به اسلام ساقط مى شود</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عدم وجوب بر قاتل نفس است</w:t>
      </w:r>
      <w:r>
        <w:rPr>
          <w:rFonts w:eastAsia="IRNazanin" w:cs="IRNazanin"/>
          <w:color w:val="111111"/>
          <w:sz w:val="28"/>
          <w:szCs w:val="28"/>
          <w:rtl w:val="true"/>
          <w:lang w:bidi="fa-IR"/>
        </w:rPr>
        <w:t xml:space="preserve">. </w:t>
      </w:r>
      <w:bookmarkStart w:id="3856" w:name="pg10275_97106"/>
    </w:p>
    <w:p>
      <w:pPr>
        <w:pStyle w:val="Heading4"/>
        <w:numPr>
          <w:ilvl w:val="3"/>
          <w:numId w:val="1"/>
        </w:numPr>
        <w:rPr/>
      </w:pPr>
      <w:bookmarkStart w:id="3857" w:name="__RefHeading___Toc3974281_1067777946"/>
      <w:bookmarkStart w:id="3858" w:name="_Toc1648"/>
      <w:bookmarkEnd w:id="3856"/>
      <w:bookmarkEnd w:id="3857"/>
      <w:r>
        <w:rPr>
          <w:rtl w:val="true"/>
        </w:rPr>
        <w:t>قتل مباح القتل بدون اذن امام و نائب</w:t>
      </w:r>
      <w:bookmarkEnd w:id="3858"/>
    </w:p>
    <w:p>
      <w:pPr>
        <w:pStyle w:val="BookText"/>
        <w:rPr/>
      </w:pPr>
      <w:r>
        <w:rPr>
          <w:rFonts w:ascii="Amiri" w:hAnsi="Amiri" w:eastAsia="Amiri" w:cs="Amiri"/>
          <w:color w:val="111111"/>
          <w:sz w:val="28"/>
          <w:sz w:val="28"/>
          <w:szCs w:val="28"/>
          <w:rtl w:val="true"/>
          <w:lang w:bidi="ar-SA"/>
        </w:rPr>
        <w:t xml:space="preserve">و در قتل مباح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زانى محصن و قاطع طريق و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اذن امام و نائب، احوط لزوم كفاره است با اثم كه مفروض است</w:t>
      </w:r>
      <w:r>
        <w:rPr>
          <w:rFonts w:eastAsia="Amiri" w:cs="Amiri" w:ascii="Amiri" w:hAnsi="Amiri"/>
          <w:color w:val="111111"/>
          <w:sz w:val="28"/>
          <w:szCs w:val="28"/>
          <w:rtl w:val="true"/>
          <w:lang w:bidi="ar-SA"/>
        </w:rPr>
        <w:t>.</w:t>
      </w:r>
    </w:p>
    <w:p>
      <w:pPr>
        <w:pStyle w:val="Heading4"/>
        <w:numPr>
          <w:ilvl w:val="3"/>
          <w:numId w:val="1"/>
        </w:numPr>
        <w:rPr/>
      </w:pPr>
      <w:bookmarkStart w:id="3859" w:name="__RefHeading___Toc3974283_1067777946"/>
      <w:bookmarkStart w:id="3860" w:name="_Toc1649"/>
      <w:bookmarkEnd w:id="3859"/>
      <w:r>
        <w:rPr>
          <w:rtl w:val="true"/>
        </w:rPr>
        <w:t>تصادم دو حامل</w:t>
      </w:r>
      <w:bookmarkEnd w:id="386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تصادم دو حامل، هر دو با جنين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ولوج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كردند، بر هر كدام كفارۀ قتل سه نفر است بناء بر عدم كفاره در قتل نفس و بناء بر استقلال مشترك در قتل، به كفاره؛ و اگر ولوج روح نشده در جنين، اظهر عدم وجوب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گذشت</w:t>
      </w:r>
      <w:r>
        <w:rPr>
          <w:rFonts w:eastAsia="IRNazanin" w:cs="IRNazanin"/>
          <w:color w:val="111111"/>
          <w:sz w:val="28"/>
          <w:szCs w:val="28"/>
          <w:rtl w:val="true"/>
          <w:lang w:bidi="fa-IR"/>
        </w:rPr>
        <w:t xml:space="preserve">. </w:t>
      </w:r>
      <w:bookmarkStart w:id="3861" w:name="pg10275_97107"/>
    </w:p>
    <w:p>
      <w:pPr>
        <w:pStyle w:val="Heading3"/>
        <w:numPr>
          <w:ilvl w:val="2"/>
          <w:numId w:val="1"/>
        </w:numPr>
        <w:rPr/>
      </w:pPr>
      <w:bookmarkStart w:id="3862" w:name="__RefHeading___Toc3974285_1067777946"/>
      <w:bookmarkStart w:id="3863" w:name="_Toc1650"/>
      <w:bookmarkEnd w:id="3861"/>
      <w:bookmarkEnd w:id="3862"/>
      <w:r>
        <w:rPr>
          <w:rtl w:val="true"/>
        </w:rPr>
        <w:t>فصل نهم تعيين عاقله و كيفيت توزيع ديه بر عاقله</w:t>
      </w:r>
      <w:bookmarkEnd w:id="3863"/>
    </w:p>
    <w:p>
      <w:pPr>
        <w:pStyle w:val="Heading4"/>
        <w:numPr>
          <w:ilvl w:val="3"/>
          <w:numId w:val="1"/>
        </w:numPr>
        <w:rPr/>
      </w:pPr>
      <w:bookmarkStart w:id="3864" w:name="__RefHeading___Toc3974287_1067777946"/>
      <w:bookmarkStart w:id="3865" w:name="_Toc1651"/>
      <w:bookmarkEnd w:id="3864"/>
      <w:r>
        <w:rPr/>
        <w:t>1</w:t>
      </w:r>
      <w:r>
        <w:rPr>
          <w:rtl w:val="true"/>
        </w:rPr>
        <w:t xml:space="preserve">. </w:t>
      </w:r>
      <w:r>
        <w:rPr>
          <w:rtl w:val="true"/>
        </w:rPr>
        <w:t>تعيين عاقله</w:t>
      </w:r>
      <w:bookmarkEnd w:id="3865"/>
    </w:p>
    <w:p>
      <w:pPr>
        <w:pStyle w:val="Heading5"/>
        <w:numPr>
          <w:ilvl w:val="4"/>
          <w:numId w:val="1"/>
        </w:numPr>
        <w:rPr/>
      </w:pPr>
      <w:bookmarkStart w:id="3866" w:name="__RefHeading___Toc3974289_1067777946"/>
      <w:bookmarkStart w:id="3867" w:name="_Toc1652"/>
      <w:bookmarkEnd w:id="3866"/>
      <w:r>
        <w:rPr>
          <w:rtl w:val="true"/>
        </w:rPr>
        <w:t>ديه اى كه با صلح و تراضى يا انتفاى بعض شروط قصاص ثابت مى شود</w:t>
      </w:r>
      <w:bookmarkEnd w:id="3867"/>
    </w:p>
    <w:p>
      <w:pPr>
        <w:pStyle w:val="BookText"/>
        <w:rPr/>
      </w:pPr>
      <w:r>
        <w:rPr>
          <w:rFonts w:ascii="IRNazanin" w:hAnsi="IRNazanin" w:eastAsia="IRNazanin"/>
          <w:color w:val="111111"/>
          <w:sz w:val="28"/>
          <w:sz w:val="28"/>
          <w:szCs w:val="28"/>
          <w:rtl w:val="true"/>
          <w:lang w:bidi="fa-IR"/>
        </w:rPr>
        <w:t>ديه كه با صلح و تراضى يا انتفاء بعض شروط قصاص ثابت مى شود، در ذمّۀ جانى است، و اگر وفات كرد از تركۀ او اخراج مى شود، و حكم سائر ديون او را دارد</w:t>
      </w:r>
      <w:r>
        <w:rPr>
          <w:rFonts w:eastAsia="IRNazanin" w:cs="IRNazanin"/>
          <w:color w:val="111111"/>
          <w:sz w:val="28"/>
          <w:szCs w:val="28"/>
          <w:rtl w:val="true"/>
          <w:lang w:bidi="fa-IR"/>
        </w:rPr>
        <w:t>.</w:t>
      </w:r>
    </w:p>
    <w:p>
      <w:pPr>
        <w:pStyle w:val="Heading5"/>
        <w:numPr>
          <w:ilvl w:val="4"/>
          <w:numId w:val="1"/>
        </w:numPr>
        <w:rPr/>
      </w:pPr>
      <w:bookmarkStart w:id="3868" w:name="__RefHeading___Toc3974291_1067777946"/>
      <w:bookmarkStart w:id="3869" w:name="_Toc1653"/>
      <w:bookmarkEnd w:id="3868"/>
      <w:r>
        <w:rPr>
          <w:rtl w:val="true"/>
        </w:rPr>
        <w:t>ديه قاتل متعمّد فرارى</w:t>
      </w:r>
      <w:bookmarkEnd w:id="3869"/>
    </w:p>
    <w:p>
      <w:pPr>
        <w:pStyle w:val="BookText"/>
        <w:rPr/>
      </w:pPr>
      <w:r>
        <w:rPr>
          <w:rFonts w:ascii="IRNazanin" w:hAnsi="IRNazanin" w:eastAsia="IRNazanin"/>
          <w:color w:val="111111"/>
          <w:sz w:val="28"/>
          <w:sz w:val="28"/>
          <w:szCs w:val="28"/>
          <w:rtl w:val="true"/>
          <w:lang w:bidi="fa-IR"/>
        </w:rPr>
        <w:t>و اگر قاتل متعمّد فرار كرد و مأيوس از وصول به او شدند، محتمل است استحقاق ديه از مال او؛ و اگر مالى نباشد يا متعذر باشد استيفاء ديه از آن، محتمل است استحقاق ديه از بيت المال، بعد از عاقله و عدم تمكن استيفائش از آنها يا ورثۀ او به ترتيب ارث، يا مطلقاً</w:t>
      </w:r>
      <w:r>
        <w:rPr>
          <w:rFonts w:eastAsia="IRNazanin" w:cs="IRNazanin"/>
          <w:color w:val="111111"/>
          <w:sz w:val="28"/>
          <w:szCs w:val="28"/>
          <w:rtl w:val="true"/>
          <w:lang w:bidi="fa-IR"/>
        </w:rPr>
        <w:t>.</w:t>
      </w:r>
    </w:p>
    <w:p>
      <w:pPr>
        <w:pStyle w:val="Heading5"/>
        <w:numPr>
          <w:ilvl w:val="4"/>
          <w:numId w:val="1"/>
        </w:numPr>
        <w:rPr/>
      </w:pPr>
      <w:bookmarkStart w:id="3870" w:name="__RefHeading___Toc3974293_1067777946"/>
      <w:bookmarkStart w:id="3871" w:name="_Toc1654"/>
      <w:bookmarkEnd w:id="3870"/>
      <w:r>
        <w:rPr>
          <w:rtl w:val="true"/>
        </w:rPr>
        <w:t>ديه شبه عمد و خطأ محض</w:t>
      </w:r>
      <w:bookmarkEnd w:id="3871"/>
    </w:p>
    <w:p>
      <w:pPr>
        <w:pStyle w:val="BookText"/>
        <w:rPr/>
      </w:pPr>
      <w:r>
        <w:rPr>
          <w:rFonts w:ascii="IRNazanin" w:hAnsi="IRNazanin" w:eastAsia="IRNazanin"/>
          <w:color w:val="111111"/>
          <w:sz w:val="28"/>
          <w:sz w:val="28"/>
          <w:szCs w:val="28"/>
          <w:rtl w:val="true"/>
          <w:lang w:bidi="fa-IR"/>
        </w:rPr>
        <w:t>و در شبه عمد، ديه از مال جانى است و معامله سائر حقوق ماليه با آن مى شود؛ و در خطأ محض بر عاقله است چنانچه گذشت</w:t>
      </w:r>
      <w:r>
        <w:rPr>
          <w:rFonts w:eastAsia="IRNazanin" w:cs="IRNazanin"/>
          <w:color w:val="111111"/>
          <w:sz w:val="28"/>
          <w:szCs w:val="28"/>
          <w:rtl w:val="true"/>
          <w:lang w:bidi="fa-IR"/>
        </w:rPr>
        <w:t>.</w:t>
      </w:r>
    </w:p>
    <w:p>
      <w:pPr>
        <w:pStyle w:val="Heading5"/>
        <w:numPr>
          <w:ilvl w:val="4"/>
          <w:numId w:val="1"/>
        </w:numPr>
        <w:rPr/>
      </w:pPr>
      <w:bookmarkStart w:id="3872" w:name="__RefHeading___Toc3974295_1067777946"/>
      <w:bookmarkStart w:id="3873" w:name="_Toc1655"/>
      <w:bookmarkEnd w:id="3872"/>
      <w:r>
        <w:rPr>
          <w:rtl w:val="true"/>
        </w:rPr>
        <w:t>تعيين عاقله</w:t>
      </w:r>
      <w:bookmarkEnd w:id="387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عصبۀ او، و مُعتِق، و ضامن جريرة، و امام، به ترتيب مذكور، چنانچه مشهور است</w:t>
      </w:r>
      <w:r>
        <w:rPr>
          <w:rFonts w:eastAsia="IRNazanin" w:cs="IRNazanin"/>
          <w:color w:val="111111"/>
          <w:sz w:val="28"/>
          <w:szCs w:val="28"/>
          <w:rtl w:val="true"/>
          <w:lang w:bidi="fa-IR"/>
        </w:rPr>
        <w:t xml:space="preserve">. </w:t>
      </w:r>
      <w:bookmarkStart w:id="3874" w:name="pg10275_97108"/>
    </w:p>
    <w:p>
      <w:pPr>
        <w:pStyle w:val="Heading5"/>
        <w:numPr>
          <w:ilvl w:val="4"/>
          <w:numId w:val="1"/>
        </w:numPr>
        <w:rPr/>
      </w:pPr>
      <w:bookmarkStart w:id="3875" w:name="__RefHeading___Toc3974297_1067777946"/>
      <w:bookmarkStart w:id="3876" w:name="_Toc1656"/>
      <w:bookmarkEnd w:id="3874"/>
      <w:bookmarkEnd w:id="3875"/>
      <w:r>
        <w:rPr>
          <w:rtl w:val="true"/>
        </w:rPr>
        <w:t>تعيين عصبه</w:t>
      </w:r>
      <w:bookmarkEnd w:id="387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منسوب به مشهور است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متقرب به اب از ذكور، مثل اخوه و اولاد ايشان و اعمام و اولاد ايشان اگر چه فى الحال وارث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دخول آباء اگر چه بالا بروند و ابناء اگر چه پايين بروند، در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 در ضمان شريك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 و طفل و مجنون، داخل در عقل نيستند، اگر چه از ديه 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تركه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عاقله، پير و جوان و مريض و سالم فرقى ندارند؛ و فقير در وقت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حلول 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ضمان عاقله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متقربين به ابوين بر متقربين به اب فقط، در عقل، مظنون است و احوط تصالح و توافق است</w:t>
      </w:r>
      <w:r>
        <w:rPr>
          <w:rFonts w:eastAsia="Amiri" w:cs="Amiri" w:ascii="Amiri" w:hAnsi="Amiri"/>
          <w:color w:val="111111"/>
          <w:sz w:val="28"/>
          <w:szCs w:val="28"/>
          <w:rtl w:val="true"/>
          <w:lang w:bidi="ar-SA"/>
        </w:rPr>
        <w:t>.</w:t>
      </w:r>
    </w:p>
    <w:p>
      <w:pPr>
        <w:pStyle w:val="Heading5"/>
        <w:numPr>
          <w:ilvl w:val="4"/>
          <w:numId w:val="1"/>
        </w:numPr>
        <w:rPr/>
      </w:pPr>
      <w:bookmarkStart w:id="3877" w:name="__RefHeading___Toc3974299_1067777946"/>
      <w:bookmarkStart w:id="3878" w:name="_Toc1657"/>
      <w:bookmarkEnd w:id="3877"/>
      <w:r>
        <w:rPr>
          <w:rtl w:val="true"/>
        </w:rPr>
        <w:t>تعيين مُعتِق</w:t>
      </w:r>
      <w:bookmarkEnd w:id="3878"/>
    </w:p>
    <w:p>
      <w:pPr>
        <w:pStyle w:val="BookText"/>
        <w:rPr/>
      </w:pPr>
      <w:r>
        <w:rPr>
          <w:rFonts w:ascii="Amiri" w:hAnsi="Amiri" w:eastAsia="Amiri" w:cs="Amiri"/>
          <w:color w:val="111111"/>
          <w:sz w:val="28"/>
          <w:sz w:val="28"/>
          <w:szCs w:val="28"/>
          <w:rtl w:val="true"/>
          <w:lang w:bidi="ar-SA"/>
        </w:rPr>
        <w:t xml:space="preserve">و 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مى نمايد در صورت عدم عصبه يا زيادتى توزيع بر آنها به نحوى كه مذكور خواهد شد؛ و 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نمى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ترتيب عقل معتِق، به ترتيب ارث او به ولاء عتق است، چنانچه در كتاب ارث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نوبت عقل به عصبۀ معتِق برسد، آباء در علوّ و ابناء در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 به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عقل مى شوند؛ و هم چنين در عصبۀ معتِقِ معتِق بعد از فقد معتِقِ معتِق؛ و هم چنين در وصول نوبت به عصبۀ معتِقِ پدر معتِق در صورت فقد معتِقِ پدر معتِق به ترتيب ارث به سبب ولاء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گذشت آباء جانى و ابناء او داخل در عصبۀ او هستند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معتِق زن است ولاء براى او ثابت است و عقل به ولاء ثابت نيست، بلكه عقل ثابت است براى عصبۀ زن، و در عصبۀ او پدران و پسران او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w:t>
      </w:r>
    </w:p>
    <w:p>
      <w:pPr>
        <w:pStyle w:val="BookText"/>
        <w:rPr/>
      </w:pPr>
      <w:r>
        <w:rPr>
          <w:rFonts w:ascii="Amiri" w:hAnsi="Amiri" w:eastAsia="Amiri" w:cs="Amiri"/>
          <w:color w:val="111111"/>
          <w:sz w:val="28"/>
          <w:sz w:val="28"/>
          <w:szCs w:val="28"/>
          <w:rtl w:val="true"/>
          <w:lang w:bidi="ar-SA"/>
        </w:rPr>
        <w:t>وارثيت آنها به 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مشتركين در عتق يك عبد، به منزله يك مُعتِق است، پس بر مجموع نصف دينار يا ربع دينار توزيع مى شود؛ و اگر مختلف باشند در غنى و فقر، بر غنىّ حصۀ او از نصف مربوط به مجموع، و بر فقير حصۀ او از ربع مربوط به مجموع است، يعنى اگر يك نفر غنىّ و يك نفر فقير بود، از غنىّ ربع و از فقير ثُمن مأخوذ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عصبۀ معتق، عقل از عتيق مى نمايند در رتبۀ متأخره و موالى او هستند و هر كدام از آنها به منزله معتق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ولاءهاى ديگر كه متأخر از ولاء عتق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نصيب معتِق بر آنها توزيع مى شود و آنها وارث ولاء از معتق باشند بر حسب آنچه در ارث مذكور شده است؛ بنابراين اگر معتق فقير و عصبه غنىّ است، عبرت به حال خود عصبه است يا بر عكس، نه به حال 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مشتركين در عتق يك بنده وفات نمايد، عصبه او همان نصيب يك نفر را كه جزئى از نصف يا ربع است عقل مى نمايد بناء بر احتمالى، نه نصيب مجموع شركاء را، لكن در وصول نوبت به عصبۀ مُتوفّىٰ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 اب جانى عقل مى نمايد نه مُعتِق امّ او، مگر آنكه پدرْ مملوك باشد، پس عقل معتق امّ محتمل است؛ پس اگر پدر آزاد شد معتِق او عقل ديه مى نمايد جنايت بعدى را؛ و سرايت جنايت سابقه را معتِق اب ضامن نيست، چون سببْ سابق بر ولاء بوده، و هم چنين معتق امّ كه سرايت بعد از جرّ ولاء بوده، و فقط ضامن أرش حدوث جنايت است؛ و ضامن سرايتْ كسى است كه در حال حدوث سبب و حال سرايت، به ولايت عقل نمايد، لكن اين تقييد مورد تأمل است؛ و بر تقدير تقييد، ضامن زيادتى حاصله به سرايت، خود جانى است يا آنكه از بيت المال اداء مى شود؟ محل تأمل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دستها را قبل از جرّ ولاء قطع كرد يا دستها و پاها را، پس سرايت كرد بعد از جرّ مولاى مادر، بر او است ديه كامله؛ و به سرايت زيادتى بر ديه، مكشوف مى شود عدم آن</w:t>
      </w:r>
      <w:r>
        <w:rPr>
          <w:rFonts w:eastAsia="IRNazanin" w:cs="IRNazanin"/>
          <w:color w:val="111111"/>
          <w:sz w:val="28"/>
          <w:szCs w:val="28"/>
          <w:rtl w:val="true"/>
          <w:lang w:bidi="fa-IR"/>
        </w:rPr>
        <w:t xml:space="preserve">. </w:t>
      </w:r>
      <w:bookmarkStart w:id="3879" w:name="pg10275_97110"/>
    </w:p>
    <w:p>
      <w:pPr>
        <w:pStyle w:val="Heading5"/>
        <w:numPr>
          <w:ilvl w:val="4"/>
          <w:numId w:val="1"/>
        </w:numPr>
        <w:rPr/>
      </w:pPr>
      <w:bookmarkStart w:id="3880" w:name="__RefHeading___Toc3974301_1067777946"/>
      <w:bookmarkStart w:id="3881" w:name="_Toc1658"/>
      <w:bookmarkEnd w:id="3879"/>
      <w:bookmarkEnd w:id="3880"/>
      <w:r>
        <w:rPr>
          <w:rtl w:val="true"/>
        </w:rPr>
        <w:t>عدم تحمّل عاقله غير ديۀ موضحه و بالاتر از آن را</w:t>
      </w:r>
      <w:bookmarkEnd w:id="3881"/>
    </w:p>
    <w:p>
      <w:pPr>
        <w:pStyle w:val="BookText"/>
        <w:rPr/>
      </w:pPr>
      <w:r>
        <w:rPr>
          <w:rFonts w:ascii="Amiri" w:hAnsi="Amiri" w:eastAsia="Amiri" w:cs="Amiri"/>
          <w:color w:val="111111"/>
          <w:sz w:val="28"/>
          <w:sz w:val="28"/>
          <w:szCs w:val="28"/>
          <w:rtl w:val="true"/>
          <w:lang w:bidi="ar-SA"/>
        </w:rPr>
        <w:t>عاقله تحمّل غير ديۀ موضحه و بالاتر تا ديۀ نفس را نمى نمايد بناء بر اظهر</w:t>
      </w:r>
      <w:r>
        <w:rPr>
          <w:rFonts w:eastAsia="Amiri" w:cs="Amiri" w:ascii="Amiri" w:hAnsi="Amiri"/>
          <w:color w:val="111111"/>
          <w:sz w:val="28"/>
          <w:szCs w:val="28"/>
          <w:rtl w:val="true"/>
          <w:lang w:bidi="ar-SA"/>
        </w:rPr>
        <w:t>.</w:t>
      </w:r>
    </w:p>
    <w:p>
      <w:pPr>
        <w:pStyle w:val="Heading5"/>
        <w:numPr>
          <w:ilvl w:val="4"/>
          <w:numId w:val="1"/>
        </w:numPr>
        <w:rPr/>
      </w:pPr>
      <w:bookmarkStart w:id="3882" w:name="__RefHeading___Toc3974303_1067777946"/>
      <w:bookmarkStart w:id="3883" w:name="_Toc1659"/>
      <w:bookmarkEnd w:id="3882"/>
      <w:r>
        <w:rPr>
          <w:rtl w:val="true"/>
        </w:rPr>
        <w:t>ضمان عاقله ديۀ خطأ را و مدّت استيفاى آن</w:t>
      </w:r>
      <w:bookmarkEnd w:id="3883"/>
    </w:p>
    <w:p>
      <w:pPr>
        <w:pStyle w:val="BookText"/>
        <w:rPr/>
      </w:pPr>
      <w:r>
        <w:rPr>
          <w:rFonts w:ascii="IRNazanin" w:hAnsi="IRNazanin" w:eastAsia="IRNazanin"/>
          <w:color w:val="111111"/>
          <w:sz w:val="28"/>
          <w:sz w:val="28"/>
          <w:szCs w:val="28"/>
          <w:rtl w:val="true"/>
          <w:lang w:bidi="fa-IR"/>
        </w:rPr>
        <w:t>عاقله ضامن ديه خطأ است چنانچه گذشت؛ و در سه سال استيفاء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انقضاء هر يك سال، ثلث آن استيفاء مى شود، چه آنكه ديه كامله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ديه مرد آزاد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ناقصه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ديه زن و ذمّى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حلول و تأجيل ارش تأمل است، و احوط تأجيل است مثل سائر ديات؛ پس زائد بر ثلثْ به انسلاخ دوّم بر ثلثين به انسلاخ سال سوّمْ حلول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ديه كامله زائد است مثل قطع يدين و قلع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مربوط به دو نفر است، در هر سال براى هر يكى ثلث حلول مى نمايد، يعنى دو ثلث جمع مى شود بر جانى؛ و اگر مربوط به يك مُجنىٌّ عليه است، در هر سال بر او است يك ثلث و براى هر جنايت يك سدس، و محتمل است كه براى هر جنايتى ثلث باشد مثل قسم اول</w:t>
      </w:r>
      <w:r>
        <w:rPr>
          <w:rFonts w:eastAsia="IRNazanin" w:cs="IRNazanin"/>
          <w:color w:val="111111"/>
          <w:sz w:val="28"/>
          <w:szCs w:val="28"/>
          <w:rtl w:val="true"/>
          <w:lang w:bidi="fa-IR"/>
        </w:rPr>
        <w:t>.</w:t>
      </w:r>
    </w:p>
    <w:p>
      <w:pPr>
        <w:pStyle w:val="Heading5"/>
        <w:numPr>
          <w:ilvl w:val="4"/>
          <w:numId w:val="1"/>
        </w:numPr>
        <w:rPr/>
      </w:pPr>
      <w:bookmarkStart w:id="3884" w:name="__RefHeading___Toc3974305_1067777946"/>
      <w:bookmarkStart w:id="3885" w:name="_Toc1660"/>
      <w:bookmarkEnd w:id="3884"/>
      <w:r>
        <w:rPr>
          <w:rtl w:val="true"/>
        </w:rPr>
        <w:t>عدم ثبوت ديه بر عاقله به سبب اقرار جانى و صلح</w:t>
      </w:r>
      <w:bookmarkEnd w:id="3885"/>
    </w:p>
    <w:p>
      <w:pPr>
        <w:pStyle w:val="BookText"/>
        <w:rPr/>
      </w:pPr>
      <w:r>
        <w:rPr>
          <w:rFonts w:ascii="IRNazanin" w:hAnsi="IRNazanin" w:eastAsia="IRNazanin"/>
          <w:color w:val="111111"/>
          <w:sz w:val="28"/>
          <w:sz w:val="28"/>
          <w:szCs w:val="28"/>
          <w:rtl w:val="true"/>
          <w:lang w:bidi="fa-IR"/>
        </w:rPr>
        <w:t xml:space="preserve">و عاقله، به سبب اقرار جانى به اصل جنايت و دعواى خطأ و به سبب صلح از عمد يا شبه آن يا خطأ غير ثابت، ضامن نمى شود؛ و هم چنين اگر اصل جنايت معلوم يا ثابت به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خصوصيت خطائى بودن آن غير ثابت باشد و مورد ادعاء جانى باشد، عاقله ضامن نمى شود، و در نزاعْ قول آنها با يمين بر عدم علم به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چنين جنايت عمدى را با وجود قاتل و امكان استيفاء ضامن نمى شود</w:t>
      </w:r>
      <w:r>
        <w:rPr>
          <w:rFonts w:eastAsia="IRNazanin" w:cs="IRNazanin"/>
          <w:color w:val="111111"/>
          <w:sz w:val="28"/>
          <w:szCs w:val="28"/>
          <w:rtl w:val="true"/>
          <w:lang w:bidi="fa-IR"/>
        </w:rPr>
        <w:t>.</w:t>
      </w:r>
    </w:p>
    <w:p>
      <w:pPr>
        <w:pStyle w:val="Heading5"/>
        <w:numPr>
          <w:ilvl w:val="4"/>
          <w:numId w:val="1"/>
        </w:numPr>
        <w:rPr/>
      </w:pPr>
      <w:bookmarkStart w:id="3886" w:name="__RefHeading___Toc3974307_1067777946"/>
      <w:bookmarkStart w:id="3887" w:name="_Toc1661"/>
      <w:bookmarkEnd w:id="3886"/>
      <w:r>
        <w:rPr>
          <w:rtl w:val="true"/>
        </w:rPr>
        <w:t>عدم ثبوت ديه بر عاقله در جنايت عمدى و وجود قاتل</w:t>
      </w:r>
      <w:bookmarkEnd w:id="3887"/>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عمدْ موجب ديه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قتل والدْ ولد را و مسلمْ ذمّى را و حرّ مملوك را و هاشمه و مأمومه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ضامن نيست؛ و هم چنين جنايت بر نفس را از روى خطأ، چه قتل باشد يا جرح و كسر، عاقله ضامن نمى شود مثل غير عاقله</w:t>
      </w:r>
      <w:r>
        <w:rPr>
          <w:rFonts w:eastAsia="IRNazanin" w:cs="IRNazanin"/>
          <w:color w:val="111111"/>
          <w:sz w:val="28"/>
          <w:szCs w:val="28"/>
          <w:rtl w:val="true"/>
          <w:lang w:bidi="fa-IR"/>
        </w:rPr>
        <w:t xml:space="preserve">. </w:t>
      </w:r>
      <w:bookmarkStart w:id="3888" w:name="pg10275_97111"/>
    </w:p>
    <w:p>
      <w:pPr>
        <w:pStyle w:val="Heading5"/>
        <w:numPr>
          <w:ilvl w:val="4"/>
          <w:numId w:val="1"/>
        </w:numPr>
        <w:rPr/>
      </w:pPr>
      <w:bookmarkStart w:id="3889" w:name="__RefHeading___Toc3974309_1067777946"/>
      <w:bookmarkStart w:id="3890" w:name="_Toc1662"/>
      <w:bookmarkEnd w:id="3888"/>
      <w:bookmarkEnd w:id="3889"/>
      <w:r>
        <w:rPr>
          <w:rtl w:val="true"/>
        </w:rPr>
        <w:t>حكم جنايت غير عمدى ذمّى</w:t>
      </w:r>
      <w:bookmarkEnd w:id="3890"/>
    </w:p>
    <w:p>
      <w:pPr>
        <w:pStyle w:val="BookText"/>
        <w:rPr/>
      </w:pPr>
      <w:r>
        <w:rPr>
          <w:rFonts w:ascii="IRNazanin" w:hAnsi="IRNazanin" w:eastAsia="IRNazanin"/>
          <w:color w:val="111111"/>
          <w:sz w:val="28"/>
          <w:sz w:val="28"/>
          <w:szCs w:val="28"/>
          <w:rtl w:val="true"/>
          <w:lang w:bidi="fa-IR"/>
        </w:rPr>
        <w:t>و جنايت خطائى ذمّى، نزد ما از مال خودش است، و اگر مالى ندارد بر امام مسلمين است نه بر عاقلۀ او</w:t>
      </w:r>
      <w:r>
        <w:rPr>
          <w:rFonts w:eastAsia="IRNazanin" w:cs="IRNazanin"/>
          <w:color w:val="111111"/>
          <w:sz w:val="28"/>
          <w:szCs w:val="28"/>
          <w:rtl w:val="true"/>
          <w:lang w:bidi="fa-IR"/>
        </w:rPr>
        <w:t>.</w:t>
      </w:r>
    </w:p>
    <w:p>
      <w:pPr>
        <w:pStyle w:val="Heading5"/>
        <w:numPr>
          <w:ilvl w:val="4"/>
          <w:numId w:val="1"/>
        </w:numPr>
        <w:rPr/>
      </w:pPr>
      <w:bookmarkStart w:id="3891" w:name="__RefHeading___Toc3974311_1067777946"/>
      <w:bookmarkStart w:id="3892" w:name="_Toc1663"/>
      <w:bookmarkEnd w:id="3891"/>
      <w:r>
        <w:rPr>
          <w:rtl w:val="true"/>
        </w:rPr>
        <w:t>حكم جنايت صبىّ و مجنون</w:t>
      </w:r>
      <w:bookmarkEnd w:id="3892"/>
    </w:p>
    <w:p>
      <w:pPr>
        <w:pStyle w:val="BookText"/>
        <w:rPr/>
      </w:pPr>
      <w:r>
        <w:rPr>
          <w:rFonts w:ascii="IRNazanin" w:hAnsi="IRNazanin" w:eastAsia="IRNazanin"/>
          <w:color w:val="111111"/>
          <w:sz w:val="28"/>
          <w:sz w:val="28"/>
          <w:szCs w:val="28"/>
          <w:rtl w:val="true"/>
          <w:lang w:bidi="fa-IR"/>
        </w:rPr>
        <w:t>جنايت صبىّ و مجنون، چنانكه گذشت بر عاقله است اگر چه از روى عمد صادر شده باشد كه بحسب حكمْ خطأ است عمد ايشان</w:t>
      </w:r>
      <w:r>
        <w:rPr>
          <w:rFonts w:eastAsia="IRNazanin" w:cs="IRNazanin"/>
          <w:color w:val="111111"/>
          <w:sz w:val="28"/>
          <w:szCs w:val="28"/>
          <w:rtl w:val="true"/>
          <w:lang w:bidi="fa-IR"/>
        </w:rPr>
        <w:t>.</w:t>
      </w:r>
    </w:p>
    <w:p>
      <w:pPr>
        <w:pStyle w:val="Heading5"/>
        <w:numPr>
          <w:ilvl w:val="4"/>
          <w:numId w:val="1"/>
        </w:numPr>
        <w:rPr/>
      </w:pPr>
      <w:bookmarkStart w:id="3893" w:name="__RefHeading___Toc3974313_1067777946"/>
      <w:bookmarkStart w:id="3894" w:name="_Toc1664"/>
      <w:bookmarkEnd w:id="3893"/>
      <w:r>
        <w:rPr>
          <w:rtl w:val="true"/>
        </w:rPr>
        <w:t>حكم جنايت غير عمدى مملوك</w:t>
      </w:r>
      <w:bookmarkEnd w:id="3894"/>
    </w:p>
    <w:p>
      <w:pPr>
        <w:pStyle w:val="BookText"/>
        <w:rPr/>
      </w:pPr>
      <w:r>
        <w:rPr>
          <w:rFonts w:ascii="IRNazanin" w:hAnsi="IRNazanin" w:eastAsia="IRNazanin"/>
          <w:color w:val="111111"/>
          <w:sz w:val="28"/>
          <w:sz w:val="28"/>
          <w:szCs w:val="28"/>
          <w:rtl w:val="true"/>
          <w:lang w:bidi="fa-IR"/>
        </w:rPr>
        <w:t>جنايت خطائى مملوك را، مالك او عقل نمى نمايد، هر قسم از اقسام مملوك باشد، و در خصوص امّ ولد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مملوكْ مَجنىٌّ عليه شد و حرّ قاتل او بود از روى خطأ، جنايت حرّ را عاقلۀ او تحمل مى نمايند</w:t>
      </w:r>
      <w:r>
        <w:rPr>
          <w:rFonts w:eastAsia="IRNazanin" w:cs="IRNazanin"/>
          <w:color w:val="111111"/>
          <w:sz w:val="28"/>
          <w:szCs w:val="28"/>
          <w:rtl w:val="true"/>
          <w:lang w:bidi="fa-IR"/>
        </w:rPr>
        <w:t>.</w:t>
      </w:r>
    </w:p>
    <w:p>
      <w:pPr>
        <w:pStyle w:val="Heading5"/>
        <w:numPr>
          <w:ilvl w:val="4"/>
          <w:numId w:val="1"/>
        </w:numPr>
        <w:rPr/>
      </w:pPr>
      <w:bookmarkStart w:id="3895" w:name="__RefHeading___Toc3974315_1067777946"/>
      <w:bookmarkStart w:id="3896" w:name="_Toc1665"/>
      <w:bookmarkEnd w:id="3895"/>
      <w:r>
        <w:rPr>
          <w:rtl w:val="true"/>
        </w:rPr>
        <w:t>نوبت عقل ضامن جريره و امام</w:t>
      </w:r>
      <w:bookmarkEnd w:id="3896"/>
    </w:p>
    <w:p>
      <w:pPr>
        <w:pStyle w:val="BookText"/>
        <w:rPr/>
      </w:pPr>
      <w:r>
        <w:rPr>
          <w:rFonts w:ascii="IRNazanin" w:hAnsi="IRNazanin" w:eastAsia="IRNazanin"/>
          <w:color w:val="111111"/>
          <w:sz w:val="28"/>
          <w:sz w:val="28"/>
          <w:szCs w:val="28"/>
          <w:rtl w:val="true"/>
          <w:lang w:bidi="fa-IR"/>
        </w:rPr>
        <w:t>ضامن جريره در صورتى كه نوبت ارث به او مى رسد، در اين تقدير عقل مى نمايد ديه مضمون را، و عقل او مترتب بر عقل مُعتِق و عصبه او است؛ كما اينكه عقل امامْ جنايت خطائى را، مترتب بر ضامن جريره است، پس ثابت است در صورت نبودن ضامن جريره يا فقر او، براى امام از مال شخص امام، يا از بيت مال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عاقل در اين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ولاء يا ضمان جريره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وارث است، لذا تفصيل عقل و موارد ثبوت آن از ثبوت ارث، در كتاب ارث مذكور مى شود</w:t>
      </w:r>
      <w:r>
        <w:rPr>
          <w:rFonts w:eastAsia="IRNazanin" w:cs="IRNazanin"/>
          <w:color w:val="111111"/>
          <w:sz w:val="28"/>
          <w:szCs w:val="28"/>
          <w:rtl w:val="true"/>
          <w:lang w:bidi="fa-IR"/>
        </w:rPr>
        <w:t>.</w:t>
      </w:r>
    </w:p>
    <w:p>
      <w:pPr>
        <w:pStyle w:val="Heading4"/>
        <w:numPr>
          <w:ilvl w:val="3"/>
          <w:numId w:val="1"/>
        </w:numPr>
        <w:rPr/>
      </w:pPr>
      <w:bookmarkStart w:id="3897" w:name="__RefHeading___Toc3974317_1067777946"/>
      <w:bookmarkStart w:id="3898" w:name="_Toc1666"/>
      <w:bookmarkEnd w:id="3897"/>
      <w:r>
        <w:rPr/>
        <w:t>2</w:t>
      </w:r>
      <w:r>
        <w:rPr>
          <w:rtl w:val="true"/>
        </w:rPr>
        <w:t xml:space="preserve">. </w:t>
      </w:r>
      <w:r>
        <w:rPr>
          <w:rtl w:val="true"/>
        </w:rPr>
        <w:t>كيفيت توزيع ديه بر عاقله</w:t>
      </w:r>
      <w:bookmarkEnd w:id="3898"/>
    </w:p>
    <w:p>
      <w:pPr>
        <w:pStyle w:val="Heading5"/>
        <w:numPr>
          <w:ilvl w:val="4"/>
          <w:numId w:val="1"/>
        </w:numPr>
        <w:rPr/>
      </w:pPr>
      <w:bookmarkStart w:id="3899" w:name="__RefHeading___Toc3974319_1067777946"/>
      <w:bookmarkStart w:id="3900" w:name="_Toc1667"/>
      <w:bookmarkEnd w:id="3899"/>
      <w:r>
        <w:rPr>
          <w:rtl w:val="true"/>
        </w:rPr>
        <w:t>ثبوت ضمان ابتدائى براى عاقله</w:t>
      </w:r>
      <w:bookmarkEnd w:id="390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عاقله، ضمان ابتدائى ثابت است نه تحمّلى؛ پس رجوع به جانى نمى نمايند، و در قاتل هم در ضمانْ داخل نمى شود چنانچه گذشت</w:t>
      </w:r>
      <w:r>
        <w:rPr>
          <w:rFonts w:eastAsia="IRNazanin" w:cs="IRNazanin"/>
          <w:color w:val="111111"/>
          <w:sz w:val="28"/>
          <w:szCs w:val="28"/>
          <w:rtl w:val="true"/>
          <w:lang w:bidi="fa-IR"/>
        </w:rPr>
        <w:t xml:space="preserve">. </w:t>
      </w:r>
      <w:bookmarkStart w:id="3901" w:name="pg10275_97112"/>
    </w:p>
    <w:p>
      <w:pPr>
        <w:pStyle w:val="Heading5"/>
        <w:numPr>
          <w:ilvl w:val="4"/>
          <w:numId w:val="1"/>
        </w:numPr>
        <w:rPr/>
      </w:pPr>
      <w:bookmarkStart w:id="3902" w:name="__RefHeading___Toc3974321_1067777946"/>
      <w:bookmarkStart w:id="3903" w:name="_Toc1668"/>
      <w:bookmarkEnd w:id="3901"/>
      <w:bookmarkEnd w:id="3902"/>
      <w:r>
        <w:rPr>
          <w:rtl w:val="true"/>
        </w:rPr>
        <w:t>تعيين مقدار استحقاق بر افراد عاقله توسط حاكم يا عدول مؤمنين</w:t>
      </w:r>
      <w:bookmarkEnd w:id="3903"/>
    </w:p>
    <w:p>
      <w:pPr>
        <w:pStyle w:val="BookText"/>
        <w:rPr/>
      </w:pPr>
      <w:r>
        <w:rPr>
          <w:rFonts w:ascii="IRNazanin" w:hAnsi="IRNazanin" w:eastAsia="IRNazanin"/>
          <w:color w:val="111111"/>
          <w:sz w:val="28"/>
          <w:sz w:val="28"/>
          <w:szCs w:val="28"/>
          <w:rtl w:val="true"/>
          <w:lang w:bidi="fa-IR"/>
        </w:rPr>
        <w:t>احوط در توزيع ديه بر عاقله، ايكال امر به حاكم شرع مطّلع از خصوصيات موضوع و حكم، و عدم تعدى از تقسيط او است در هر سال، نه خصوص نصف دينار براى غنىّ و ربع آن براى فقير يا متوسط در هر سال است؛ و همچنين تبعيت نظرهاى عدول مؤمنين در تقدير عدم حاكم</w:t>
      </w:r>
      <w:r>
        <w:rPr>
          <w:rFonts w:eastAsia="IRNazanin" w:cs="IRNazanin"/>
          <w:color w:val="111111"/>
          <w:sz w:val="28"/>
          <w:szCs w:val="28"/>
          <w:rtl w:val="true"/>
          <w:lang w:bidi="fa-IR"/>
        </w:rPr>
        <w:t>.</w:t>
      </w:r>
    </w:p>
    <w:p>
      <w:pPr>
        <w:pStyle w:val="Heading5"/>
        <w:numPr>
          <w:ilvl w:val="4"/>
          <w:numId w:val="1"/>
        </w:numPr>
        <w:rPr/>
      </w:pPr>
      <w:bookmarkStart w:id="3904" w:name="__RefHeading___Toc3974323_1067777946"/>
      <w:bookmarkStart w:id="3905" w:name="_Toc1669"/>
      <w:bookmarkEnd w:id="3904"/>
      <w:r>
        <w:rPr>
          <w:rtl w:val="true"/>
        </w:rPr>
        <w:t>تقديم اقرب در توزيع عاقله بر آنها</w:t>
      </w:r>
      <w:bookmarkEnd w:id="3905"/>
    </w:p>
    <w:p>
      <w:pPr>
        <w:pStyle w:val="BookText"/>
        <w:rPr/>
      </w:pPr>
      <w:r>
        <w:rPr>
          <w:rFonts w:ascii="IRNazanin" w:hAnsi="IRNazanin" w:eastAsia="IRNazanin"/>
          <w:color w:val="111111"/>
          <w:sz w:val="28"/>
          <w:sz w:val="28"/>
          <w:szCs w:val="28"/>
          <w:rtl w:val="true"/>
          <w:lang w:bidi="fa-IR"/>
        </w:rPr>
        <w:t>و در توزيع بر همه، يا اقرب، يا تقديم اقرب، وجوهى است، اظهر اخير است؛ و در صورت عدم وفاء، بقيه از غير اقرب مأخوذ مى شود چنانچه از خود اقرب ها مأخوذ مى شد</w:t>
      </w:r>
      <w:r>
        <w:rPr>
          <w:rFonts w:eastAsia="IRNazanin" w:cs="IRNazanin"/>
          <w:color w:val="111111"/>
          <w:sz w:val="28"/>
          <w:szCs w:val="28"/>
          <w:rtl w:val="true"/>
          <w:lang w:bidi="fa-IR"/>
        </w:rPr>
        <w:t>.</w:t>
      </w:r>
    </w:p>
    <w:p>
      <w:pPr>
        <w:pStyle w:val="Heading5"/>
        <w:numPr>
          <w:ilvl w:val="4"/>
          <w:numId w:val="1"/>
        </w:numPr>
        <w:rPr/>
      </w:pPr>
      <w:bookmarkStart w:id="3906" w:name="__RefHeading___Toc3974325_1067777946"/>
      <w:bookmarkStart w:id="3907" w:name="_Toc1670"/>
      <w:bookmarkEnd w:id="3906"/>
      <w:r>
        <w:rPr>
          <w:rtl w:val="true"/>
        </w:rPr>
        <w:t>اگر استيفاء تمام ديه از عصبه ممكن نبود</w:t>
      </w:r>
      <w:bookmarkEnd w:id="3907"/>
    </w:p>
    <w:p>
      <w:pPr>
        <w:pStyle w:val="BookText"/>
        <w:rPr/>
      </w:pPr>
      <w:r>
        <w:rPr>
          <w:rFonts w:ascii="IRNazanin" w:hAnsi="IRNazanin" w:eastAsia="IRNazanin"/>
          <w:color w:val="111111"/>
          <w:sz w:val="28"/>
          <w:sz w:val="28"/>
          <w:szCs w:val="28"/>
          <w:rtl w:val="true"/>
          <w:lang w:bidi="fa-IR"/>
        </w:rPr>
        <w:t>و در صورت عدم امكان استيفاء تمام ديه از عصبه، بقيه از مولاى عتق مأخوذ مى شود؛ و اگر آن هم نبود يا كفايت نكرد، از عصبۀ مولاى عتق مأخوذ مى شود مثل آنكه از عصبۀ جانى اخذ مى شد؛ اگر آن هم نبود يا استيفاءْ ممكن نشد، از مولاىِ مولاى عتق مأخوذ مى شود تا استيفاء تمام ديه بشود؛ و پس از آن نوبت به عصبۀ مولاىِ مولاى عتق مى رسد تا تكميل شود با رعايت اقرب فالاقرب، چنانچه در عصبۀ جانى گذشت رعايت آن</w:t>
      </w:r>
      <w:r>
        <w:rPr>
          <w:rFonts w:eastAsia="IRNazanin" w:cs="IRNazanin"/>
          <w:color w:val="111111"/>
          <w:sz w:val="28"/>
          <w:szCs w:val="28"/>
          <w:rtl w:val="true"/>
          <w:lang w:bidi="fa-IR"/>
        </w:rPr>
        <w:t>.</w:t>
      </w:r>
    </w:p>
    <w:p>
      <w:pPr>
        <w:pStyle w:val="Heading5"/>
        <w:numPr>
          <w:ilvl w:val="4"/>
          <w:numId w:val="1"/>
        </w:numPr>
        <w:rPr/>
      </w:pPr>
      <w:bookmarkStart w:id="3908" w:name="__RefHeading___Toc3974327_1067777946"/>
      <w:bookmarkStart w:id="3909" w:name="_Toc1671"/>
      <w:bookmarkEnd w:id="3908"/>
      <w:r>
        <w:rPr>
          <w:rtl w:val="true"/>
        </w:rPr>
        <w:t>مراتب عاقله</w:t>
      </w:r>
      <w:bookmarkEnd w:id="3909"/>
    </w:p>
    <w:p>
      <w:pPr>
        <w:pStyle w:val="BookText"/>
        <w:rPr/>
      </w:pPr>
      <w:r>
        <w:rPr>
          <w:rFonts w:ascii="IRNazanin" w:hAnsi="IRNazanin" w:eastAsia="IRNazanin"/>
          <w:color w:val="111111"/>
          <w:sz w:val="28"/>
          <w:sz w:val="28"/>
          <w:szCs w:val="28"/>
          <w:rtl w:val="true"/>
          <w:lang w:bidi="fa-IR"/>
        </w:rPr>
        <w:t>و از اينجا معلوم شد كه همۀ مراتب عاقله در يك درجه نيستند، بلكه نوبت به مرتبۀ متأخره نمى رسد مگر با عدم مرتبه سابقه يا عدم كمال آنچه از آنها استيفاء مى شود نسبت به تمام ديه كه در زيادتى رجوع به لاحقه مى شود</w:t>
      </w:r>
      <w:r>
        <w:rPr>
          <w:rFonts w:eastAsia="IRNazanin" w:cs="IRNazanin"/>
          <w:color w:val="111111"/>
          <w:sz w:val="28"/>
          <w:szCs w:val="28"/>
          <w:rtl w:val="true"/>
          <w:lang w:bidi="fa-IR"/>
        </w:rPr>
        <w:t>.</w:t>
      </w:r>
    </w:p>
    <w:p>
      <w:pPr>
        <w:pStyle w:val="Heading5"/>
        <w:numPr>
          <w:ilvl w:val="4"/>
          <w:numId w:val="1"/>
        </w:numPr>
        <w:rPr/>
      </w:pPr>
      <w:bookmarkStart w:id="3910" w:name="__RefHeading___Toc3974329_1067777946"/>
      <w:bookmarkStart w:id="3911" w:name="_Toc1672"/>
      <w:bookmarkEnd w:id="3910"/>
      <w:r>
        <w:rPr>
          <w:rtl w:val="true"/>
        </w:rPr>
        <w:t>صورت توانايى و عجز عاقله</w:t>
      </w:r>
      <w:bookmarkEnd w:id="391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عاقله موجود باشد و ممكن باشد استيفاء تمام ديه از او و عاجز نباشد، همه از او </w:t>
      </w:r>
      <w:bookmarkStart w:id="3912" w:name="pg10275_97113"/>
    </w:p>
    <w:p>
      <w:pPr>
        <w:pStyle w:val="BookText"/>
        <w:rPr/>
      </w:pPr>
      <w:bookmarkEnd w:id="3912"/>
      <w:r>
        <w:rPr>
          <w:rFonts w:ascii="IRNazanin" w:hAnsi="IRNazanin" w:eastAsia="IRNazanin"/>
          <w:color w:val="111111"/>
          <w:sz w:val="28"/>
          <w:sz w:val="28"/>
          <w:szCs w:val="28"/>
          <w:rtl w:val="true"/>
          <w:lang w:bidi="fa-IR"/>
        </w:rPr>
        <w:t>مأخوذ مى شود، وگرنه تمام يا متمّم از مرتبه متأخره مأخوذ مى شود اگر چه امام يا از بيت المال بوده باشد؛ بلى اگر مختارْ تقدير باشد مثل نصف دينار بر غنىّ‌، زائد بر مرتبۀ متأخره است اگر چه امام باشد</w:t>
      </w:r>
      <w:r>
        <w:rPr>
          <w:rFonts w:eastAsia="IRNazanin" w:cs="IRNazanin"/>
          <w:color w:val="111111"/>
          <w:sz w:val="28"/>
          <w:szCs w:val="28"/>
          <w:rtl w:val="true"/>
          <w:lang w:bidi="fa-IR"/>
        </w:rPr>
        <w:t>.</w:t>
      </w:r>
    </w:p>
    <w:p>
      <w:pPr>
        <w:pStyle w:val="Heading5"/>
        <w:numPr>
          <w:ilvl w:val="4"/>
          <w:numId w:val="1"/>
        </w:numPr>
        <w:rPr/>
      </w:pPr>
      <w:bookmarkStart w:id="3913" w:name="__RefHeading___Toc3974331_1067777946"/>
      <w:bookmarkStart w:id="3914" w:name="_Toc1673"/>
      <w:bookmarkEnd w:id="3913"/>
      <w:r>
        <w:rPr>
          <w:rtl w:val="true"/>
        </w:rPr>
        <w:t>اگر عاقله بيشتر از ديه باشد</w:t>
      </w:r>
      <w:bookmarkEnd w:id="3914"/>
    </w:p>
    <w:p>
      <w:pPr>
        <w:pStyle w:val="BookText"/>
        <w:rPr/>
      </w:pPr>
      <w:r>
        <w:rPr>
          <w:rFonts w:ascii="IRNazanin" w:hAnsi="IRNazanin" w:eastAsia="IRNazanin"/>
          <w:color w:val="111111"/>
          <w:sz w:val="28"/>
          <w:sz w:val="28"/>
          <w:szCs w:val="28"/>
          <w:rtl w:val="true"/>
          <w:lang w:bidi="fa-IR"/>
        </w:rPr>
        <w:t xml:space="preserve">اگر عاقله ازيَد از ديه باشد تخصيص به بعض داده نمى شود، بلكه نقص بر همه وارد مى شود، و اين به ملاحظۀ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عدم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w:t>
      </w:r>
    </w:p>
    <w:p>
      <w:pPr>
        <w:pStyle w:val="Heading5"/>
        <w:numPr>
          <w:ilvl w:val="4"/>
          <w:numId w:val="1"/>
        </w:numPr>
        <w:rPr/>
      </w:pPr>
      <w:bookmarkStart w:id="3915" w:name="__RefHeading___Toc3974333_1067777946"/>
      <w:bookmarkStart w:id="3916" w:name="_Toc1674"/>
      <w:bookmarkEnd w:id="3915"/>
      <w:r>
        <w:rPr>
          <w:rtl w:val="true"/>
        </w:rPr>
        <w:t>اگر بعضى از افراد عاقله غائب و يا دور باشند</w:t>
      </w:r>
      <w:bookmarkEnd w:id="3916"/>
    </w:p>
    <w:p>
      <w:pPr>
        <w:pStyle w:val="BookText"/>
        <w:rPr/>
      </w:pPr>
      <w:r>
        <w:rPr>
          <w:rFonts w:ascii="IRNazanin" w:hAnsi="IRNazanin" w:eastAsia="IRNazanin"/>
          <w:color w:val="111111"/>
          <w:sz w:val="28"/>
          <w:sz w:val="28"/>
          <w:szCs w:val="28"/>
          <w:rtl w:val="true"/>
          <w:lang w:bidi="fa-IR"/>
        </w:rPr>
        <w:t>و هم چنين اگر بعضى غائب يا دور باشند، تخصيص به حاضرين و اقربين داده نشود با امكان استيفاء از غائب و بعيد</w:t>
      </w:r>
      <w:r>
        <w:rPr>
          <w:rFonts w:eastAsia="IRNazanin" w:cs="IRNazanin"/>
          <w:color w:val="111111"/>
          <w:sz w:val="28"/>
          <w:szCs w:val="28"/>
          <w:rtl w:val="true"/>
          <w:lang w:bidi="fa-IR"/>
        </w:rPr>
        <w:t>.</w:t>
      </w:r>
    </w:p>
    <w:p>
      <w:pPr>
        <w:pStyle w:val="Heading5"/>
        <w:numPr>
          <w:ilvl w:val="4"/>
          <w:numId w:val="1"/>
        </w:numPr>
        <w:rPr/>
      </w:pPr>
      <w:bookmarkStart w:id="3917" w:name="__RefHeading___Toc3974335_1067777946"/>
      <w:bookmarkStart w:id="3918" w:name="_Toc1675"/>
      <w:bookmarkEnd w:id="3917"/>
      <w:r>
        <w:rPr>
          <w:rtl w:val="true"/>
        </w:rPr>
        <w:t>ابتداء تأجيل مدّت در قتل غير عمدى و جنايت بر اعضا</w:t>
      </w:r>
      <w:bookmarkEnd w:id="3918"/>
    </w:p>
    <w:p>
      <w:pPr>
        <w:pStyle w:val="BookText"/>
        <w:rPr/>
      </w:pPr>
      <w:r>
        <w:rPr>
          <w:rFonts w:ascii="Amiri" w:hAnsi="Amiri" w:eastAsia="Amiri" w:cs="Amiri"/>
          <w:color w:val="111111"/>
          <w:sz w:val="28"/>
          <w:sz w:val="28"/>
          <w:szCs w:val="28"/>
          <w:rtl w:val="true"/>
          <w:lang w:bidi="ar-SA"/>
        </w:rPr>
        <w:t>ابتداء تأجيل مدت در قتل خطائى زمان موت است؛ و در جنايت بر 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سرايتْ زمان وقوع جنايت است، و با سرايتْ زمان انتهاء سرايت است نه زمان اندمال و برء؛ و علم و عدم، دخالت در تشخيص ابتداء زمان دارد، نه در اصل توقيت</w:t>
      </w:r>
      <w:r>
        <w:rPr>
          <w:rFonts w:eastAsia="Amiri" w:cs="Amiri" w:ascii="Amiri" w:hAnsi="Amiri"/>
          <w:color w:val="111111"/>
          <w:sz w:val="28"/>
          <w:szCs w:val="28"/>
          <w:rtl w:val="true"/>
          <w:lang w:bidi="ar-SA"/>
        </w:rPr>
        <w:t>.</w:t>
      </w:r>
    </w:p>
    <w:p>
      <w:pPr>
        <w:pStyle w:val="Heading5"/>
        <w:numPr>
          <w:ilvl w:val="4"/>
          <w:numId w:val="1"/>
        </w:numPr>
        <w:rPr/>
      </w:pPr>
      <w:bookmarkStart w:id="3919" w:name="__RefHeading___Toc3974337_1067777946"/>
      <w:bookmarkStart w:id="3920" w:name="_Toc1676"/>
      <w:bookmarkEnd w:id="3919"/>
      <w:r>
        <w:rPr>
          <w:rtl w:val="true"/>
        </w:rPr>
        <w:t>تعيّن زمان ضرب اجل بدون نياز به تعيين وقت توسط حاكم يا عدول مؤمنين</w:t>
      </w:r>
      <w:bookmarkEnd w:id="3920"/>
    </w:p>
    <w:p>
      <w:pPr>
        <w:pStyle w:val="BookText"/>
        <w:rPr/>
      </w:pPr>
      <w:r>
        <w:rPr>
          <w:rFonts w:ascii="IRNazanin" w:hAnsi="IRNazanin" w:eastAsia="IRNazanin"/>
          <w:color w:val="111111"/>
          <w:sz w:val="28"/>
          <w:sz w:val="28"/>
          <w:szCs w:val="28"/>
          <w:rtl w:val="true"/>
          <w:lang w:bidi="fa-IR"/>
        </w:rPr>
        <w:t>آيا ضرب أجل، موقوف بر حكم حاكم يا تأجيل عدول مؤمنين با عدم حاكم است، يا آنكه واقعِ زمان ابتداء و انتهاء و زمان مطالبه را تعيين مى نمايد؟ اظهر تعيّن زمان است واقعاً بدون احتياج به تعيين وقت، بلكه تعيينْ تابعِ تعيّنِ واقعىِ زمان است به نحو مذكور؛ بلى تعيين مقدار استحقاق بر افراد عاقله در هر سال، گذشت احتياج به تعيين حاكم يا عدول بناء بر احتياط متقدم</w:t>
      </w:r>
      <w:r>
        <w:rPr>
          <w:rFonts w:eastAsia="IRNazanin" w:cs="IRNazanin"/>
          <w:color w:val="111111"/>
          <w:sz w:val="28"/>
          <w:szCs w:val="28"/>
          <w:rtl w:val="true"/>
          <w:lang w:bidi="fa-IR"/>
        </w:rPr>
        <w:t>.</w:t>
      </w:r>
    </w:p>
    <w:p>
      <w:pPr>
        <w:pStyle w:val="Heading5"/>
        <w:numPr>
          <w:ilvl w:val="4"/>
          <w:numId w:val="1"/>
        </w:numPr>
        <w:rPr/>
      </w:pPr>
      <w:bookmarkStart w:id="3921" w:name="__RefHeading___Toc3974339_1067777946"/>
      <w:bookmarkStart w:id="3922" w:name="_Toc1677"/>
      <w:bookmarkEnd w:id="3921"/>
      <w:r>
        <w:rPr>
          <w:rtl w:val="true"/>
        </w:rPr>
        <w:t>حكم موت تمكّن از اداء بعد و يا در اثناى حول</w:t>
      </w:r>
      <w:bookmarkEnd w:id="392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حلول حول بر متمكن از اداء آنچه بر او لازم است، فعليت استحقاق مطالبه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اداء و بعد از حولْ وفات كرد، ساقط نمى شود حقّ مَجنىٌّ عليه و </w:t>
      </w:r>
      <w:bookmarkStart w:id="3923" w:name="pg10275_97114"/>
    </w:p>
    <w:p>
      <w:pPr>
        <w:pStyle w:val="BookText"/>
        <w:rPr/>
      </w:pPr>
      <w:bookmarkEnd w:id="3923"/>
      <w:r>
        <w:rPr>
          <w:rFonts w:ascii="IRNazanin" w:hAnsi="IRNazanin" w:eastAsia="IRNazanin"/>
          <w:color w:val="111111"/>
          <w:sz w:val="28"/>
          <w:sz w:val="28"/>
          <w:szCs w:val="28"/>
          <w:rtl w:val="true"/>
          <w:lang w:bidi="fa-IR"/>
        </w:rPr>
        <w:t>در تركۀ مديون ثابت مى شود؛ و در سقوط آن به موت اين مديون در اثناء حولْ تأمل است، و بر تقدير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حصّۀ او ثابت بر بقيه مى شود با توزيع بر آنها، و محتمل است توزيع قسط يك سال بر زمانى كه موت در بعض آن واقع شده و ثابت بودن مقابل گذشته در متروكات او، و احوط صلح با ورثۀ ميّت از عاقله در اثناء حول است</w:t>
      </w:r>
      <w:r>
        <w:rPr>
          <w:rFonts w:eastAsia="IRNazanin" w:cs="IRNazanin"/>
          <w:color w:val="111111"/>
          <w:sz w:val="28"/>
          <w:szCs w:val="28"/>
          <w:rtl w:val="true"/>
          <w:lang w:bidi="fa-IR"/>
        </w:rPr>
        <w:t>.</w:t>
      </w:r>
    </w:p>
    <w:p>
      <w:pPr>
        <w:pStyle w:val="Heading5"/>
        <w:numPr>
          <w:ilvl w:val="4"/>
          <w:numId w:val="1"/>
        </w:numPr>
        <w:rPr/>
      </w:pPr>
      <w:bookmarkStart w:id="3924" w:name="__RefHeading___Toc3974341_1067777946"/>
      <w:bookmarkStart w:id="3925" w:name="_Toc1678"/>
      <w:bookmarkEnd w:id="3924"/>
      <w:r>
        <w:rPr>
          <w:rtl w:val="true"/>
        </w:rPr>
        <w:t>اگر عاقله، غائب يا عاجز بود و يا عاقله نداشت</w:t>
      </w:r>
      <w:bookmarkEnd w:id="3925"/>
    </w:p>
    <w:p>
      <w:pPr>
        <w:pStyle w:val="BookText"/>
        <w:rPr/>
      </w:pPr>
      <w:r>
        <w:rPr>
          <w:rFonts w:ascii="IRNazanin" w:hAnsi="IRNazanin" w:eastAsia="IRNazanin"/>
          <w:color w:val="111111"/>
          <w:sz w:val="28"/>
          <w:sz w:val="28"/>
          <w:szCs w:val="28"/>
          <w:rtl w:val="true"/>
          <w:lang w:bidi="fa-IR"/>
        </w:rPr>
        <w:t>و اگر بعض افراد عاقله غائب باشد، مكاتبه با حاكم بلدى كه در آن است مى شود و استيفاء حصۀ او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عاقله نبود يا عاجز بود آيا ضامنْ جانى است و با فقر او امام از بيت المال اداء مى نمايد؟ خلاف است، اظهر ضمان جانى است؛ و اگر متمكن نشد و بيت المال براى امام يا نائب او مُعَدّ براى مصالح عامه مسلمين بود از آن توسط نائبْ تأديه مى شود، و جواز صرف از مثل انفال و اخماس بر تقدير وصول و امكان صرف براى نائب غيبت خالى از وجه نيست، و رعايت احتياط مناسب أولى است</w:t>
      </w:r>
      <w:r>
        <w:rPr>
          <w:rFonts w:eastAsia="IRNazanin" w:cs="IRNazanin"/>
          <w:color w:val="111111"/>
          <w:sz w:val="28"/>
          <w:szCs w:val="28"/>
          <w:rtl w:val="true"/>
          <w:lang w:bidi="fa-IR"/>
        </w:rPr>
        <w:t>.</w:t>
      </w:r>
    </w:p>
    <w:p>
      <w:pPr>
        <w:pStyle w:val="Heading5"/>
        <w:numPr>
          <w:ilvl w:val="4"/>
          <w:numId w:val="1"/>
        </w:numPr>
        <w:rPr/>
      </w:pPr>
      <w:bookmarkStart w:id="3926" w:name="__RefHeading___Toc3974343_1067777946"/>
      <w:bookmarkStart w:id="3927" w:name="_Toc1679"/>
      <w:bookmarkEnd w:id="3926"/>
      <w:r>
        <w:rPr>
          <w:rtl w:val="true"/>
        </w:rPr>
        <w:t>صُوَر مختلف استيفاى ديۀ عمد و شبه آن</w:t>
      </w:r>
      <w:bookmarkEnd w:id="3927"/>
    </w:p>
    <w:p>
      <w:pPr>
        <w:pStyle w:val="BookText"/>
        <w:rPr/>
      </w:pPr>
      <w:r>
        <w:rPr>
          <w:rFonts w:ascii="IRNazanin" w:hAnsi="IRNazanin" w:eastAsia="IRNazanin"/>
          <w:color w:val="111111"/>
          <w:sz w:val="28"/>
          <w:sz w:val="28"/>
          <w:szCs w:val="28"/>
          <w:rtl w:val="true"/>
          <w:lang w:bidi="fa-IR"/>
        </w:rPr>
        <w:t xml:space="preserve">ديه عمد و شبه آن، از مال 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استيفاء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موت يا قتل او بعد از فرار و عدم مالى از او قابل استيفاء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از ورّاث ديۀ او با رعايت اقربيتْ استيفاء شود و اگر نباشد وارث ديۀ او، از بيت المال امام اخذ مى شود؛ و محتمل است از بيت المال استيفاء شود؛ و اوّلى موافق احتياط است براى وُرّاث، بلكه اظهر است به جهت صحيحه موافقه با عمل منسوب به اكثر</w:t>
      </w:r>
      <w:r>
        <w:rPr>
          <w:rFonts w:eastAsia="IRNazanin" w:cs="IRNazanin"/>
          <w:color w:val="111111"/>
          <w:sz w:val="28"/>
          <w:szCs w:val="28"/>
          <w:rtl w:val="true"/>
          <w:lang w:bidi="fa-IR"/>
        </w:rPr>
        <w:t>.</w:t>
      </w:r>
    </w:p>
    <w:p>
      <w:pPr>
        <w:pStyle w:val="Heading4"/>
        <w:numPr>
          <w:ilvl w:val="3"/>
          <w:numId w:val="1"/>
        </w:numPr>
        <w:rPr/>
      </w:pPr>
      <w:bookmarkStart w:id="3928" w:name="__RefHeading___Toc3974345_1067777946"/>
      <w:bookmarkStart w:id="3929" w:name="_Toc1680"/>
      <w:bookmarkEnd w:id="3928"/>
      <w:r>
        <w:rPr>
          <w:rtl w:val="true"/>
        </w:rPr>
        <w:t>چند مسأله</w:t>
      </w:r>
      <w:bookmarkEnd w:id="3929"/>
    </w:p>
    <w:p>
      <w:pPr>
        <w:pStyle w:val="Heading5"/>
        <w:numPr>
          <w:ilvl w:val="4"/>
          <w:numId w:val="1"/>
        </w:numPr>
        <w:rPr/>
      </w:pPr>
      <w:bookmarkStart w:id="3930" w:name="__RefHeading___Toc3974347_1067777946"/>
      <w:bookmarkStart w:id="3931" w:name="_Toc1681"/>
      <w:bookmarkEnd w:id="3930"/>
      <w:r>
        <w:rPr>
          <w:rtl w:val="true"/>
        </w:rPr>
        <w:t>لزوم احراز نسبت از طريق آباء با قاتل</w:t>
      </w:r>
      <w:bookmarkEnd w:id="39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معلوم باشد نسبت از طريق آباء با قاتل، تا ثابت باشد شرعاً، تا به عنوان عصبۀ او عقل ديه خطأ از او نمايند، و احراز اتحاد قبيله كافى نيست</w:t>
      </w:r>
      <w:r>
        <w:rPr>
          <w:rFonts w:eastAsia="Amiri" w:cs="Amiri" w:ascii="Amiri" w:hAnsi="Amiri"/>
          <w:color w:val="111111"/>
          <w:sz w:val="28"/>
          <w:szCs w:val="28"/>
          <w:rtl w:val="true"/>
          <w:lang w:bidi="ar-SA"/>
        </w:rPr>
        <w:t>.</w:t>
      </w:r>
      <w:bookmarkStart w:id="3932" w:name="pg10275_97115"/>
    </w:p>
    <w:p>
      <w:pPr>
        <w:pStyle w:val="Heading5"/>
        <w:numPr>
          <w:ilvl w:val="4"/>
          <w:numId w:val="1"/>
        </w:numPr>
        <w:rPr/>
      </w:pPr>
      <w:bookmarkStart w:id="3933" w:name="__RefHeading___Toc3974349_1067777946"/>
      <w:bookmarkStart w:id="3934" w:name="_Toc1682"/>
      <w:bookmarkEnd w:id="3932"/>
      <w:bookmarkEnd w:id="3933"/>
      <w:r>
        <w:rPr>
          <w:rtl w:val="true"/>
        </w:rPr>
        <w:t>حكم اقرار به بنوّت طفل صغير</w:t>
      </w:r>
      <w:bookmarkEnd w:id="39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نسبت طفل صغيرى به خود، به بُنوّت او اقرار كرد، شرعاً ملحق به او مى شود؛ و اگر ديگرى ادعاء كرد و بيّنه اقامه كرد، در لحوق، مقدّم بر اقرار مى شود در ظاهر شرع در غير لوازم اقرار؛ مگر آنكه سوّمى ادعاء نمايد و بيّنه اقامه نمايد و بيّنۀ او متكفل بيان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ولادت بر فراش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مقدّم مى شود بيّنۀ او بناء بر ترجيح به بيان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سوّمى كشت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نمى شود، به واسطه حكم شرعى به ابوّت؛ و ديه را به سائر وُرّاث تأديه مى نمايد؛ و در ارث خودش از اين ديه بناء بر عدم ارث قاتل خطائى از مقتول، تأمل است و مورد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وارثى جز عاقله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اختلاف بين آنچه مى گيرد به ارث و آنچه كه به ورّاث ديگر مى دهد به عقل، تفاوت را مى دهد به عاقليّت يا مى گيرد به وارثيّت، و قدر مشترك بر كسى نيست بناء بر اظهر</w:t>
      </w:r>
      <w:r>
        <w:rPr>
          <w:rFonts w:eastAsia="IRNazanin" w:cs="IRNazanin"/>
          <w:color w:val="111111"/>
          <w:sz w:val="28"/>
          <w:szCs w:val="28"/>
          <w:rtl w:val="true"/>
          <w:lang w:bidi="fa-IR"/>
        </w:rPr>
        <w:t>.</w:t>
      </w:r>
    </w:p>
    <w:p>
      <w:pPr>
        <w:pStyle w:val="Heading5"/>
        <w:numPr>
          <w:ilvl w:val="4"/>
          <w:numId w:val="1"/>
        </w:numPr>
        <w:rPr/>
      </w:pPr>
      <w:bookmarkStart w:id="3935" w:name="__RefHeading___Toc3974351_1067777946"/>
      <w:bookmarkStart w:id="3936" w:name="_Toc1683"/>
      <w:bookmarkEnd w:id="3935"/>
      <w:r>
        <w:rPr>
          <w:rtl w:val="true"/>
        </w:rPr>
        <w:t>حكم ديه اگر پدر فرزندش را بكشد</w:t>
      </w:r>
      <w:bookmarkEnd w:id="39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پدرى ولد را كشت عمداً يا به شبه عمد، ديه مى دهد به سائر ورثه، و خودش نصيبى از آن و از سائر متروكات ولد ندارد؛ و اگر در طبقات او وارثى نباشد، ديه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خطأ او را كشت، ديه بر عاقلۀ قاتل است براى سائر ورثه مقتول؛ و در توريث اب از ديه در اين قتل خطائى و سائر متروكات مقتول،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وارثى جز عاقله نباشد، گذشت تأمل در ارث پدر و ارث عاقله و ثبوت ديه بر آنها در جهات تفاوت نه در مشتركٌ فيه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كلام در ارث از ديه و غير آن، مشترك است بين فرض مسأله و بين قتل ولدْ پدر را از روى خطأ</w:t>
      </w:r>
      <w:r>
        <w:rPr>
          <w:rFonts w:eastAsia="IRNazanin" w:cs="IRNazanin"/>
          <w:color w:val="111111"/>
          <w:sz w:val="28"/>
          <w:szCs w:val="28"/>
          <w:rtl w:val="true"/>
          <w:lang w:bidi="fa-IR"/>
        </w:rPr>
        <w:t xml:space="preserve">. </w:t>
      </w:r>
      <w:bookmarkStart w:id="3937" w:name="pg10275_97116"/>
    </w:p>
    <w:p>
      <w:pPr>
        <w:pStyle w:val="Heading5"/>
        <w:numPr>
          <w:ilvl w:val="4"/>
          <w:numId w:val="1"/>
        </w:numPr>
        <w:rPr/>
      </w:pPr>
      <w:bookmarkStart w:id="3938" w:name="__RefHeading___Toc3974353_1067777946"/>
      <w:bookmarkStart w:id="3939" w:name="_Toc1684"/>
      <w:bookmarkEnd w:id="3937"/>
      <w:bookmarkEnd w:id="3938"/>
      <w:r>
        <w:rPr>
          <w:rtl w:val="true"/>
        </w:rPr>
        <w:t>عدم ثبوت ضمانت جنايت عبد و بهيمه بر عاقله</w:t>
      </w:r>
      <w:bookmarkEnd w:id="39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عاقله، ضامن جنايت عبد نمى شود، بلكه جنايت او متعلق به رقبۀ او است؛ و همچنين جنايت بهيمه را ضامن نيست، بلكه با تفريط، مالك ضامن است و بدون تفريطْ ضمانى نيست؛ و اتلاف مال را مُتلِف ضامن است نه عاقله او؛ بلكه مخصوص است ضمان عاقله به جنايت آدمى بر آدمى، اگر چه حرّى عبدى را كشته باشد از روى خطأ، عاقلۀ حرّ ضامن است</w:t>
      </w:r>
      <w:r>
        <w:rPr>
          <w:rFonts w:eastAsia="IRNazanin" w:cs="IRNazanin"/>
          <w:color w:val="111111"/>
          <w:sz w:val="28"/>
          <w:szCs w:val="28"/>
          <w:rtl w:val="true"/>
          <w:lang w:bidi="fa-IR"/>
        </w:rPr>
        <w:t>.</w:t>
      </w:r>
    </w:p>
    <w:p>
      <w:pPr>
        <w:pStyle w:val="Heading5"/>
        <w:numPr>
          <w:ilvl w:val="4"/>
          <w:numId w:val="1"/>
        </w:numPr>
        <w:rPr/>
      </w:pPr>
      <w:bookmarkStart w:id="3940" w:name="__RefHeading___Toc3974355_1067777946"/>
      <w:bookmarkStart w:id="3941" w:name="_Toc1685"/>
      <w:bookmarkEnd w:id="3940"/>
      <w:r>
        <w:rPr>
          <w:rtl w:val="true"/>
        </w:rPr>
        <w:t>دو صورت ديگر كه عاقله ضامن جنايت نيستند</w:t>
      </w:r>
      <w:bookmarkEnd w:id="394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ذمّى به قصد طائرى رمى كرد، پس از آن مسلمان شد، پس كشت مردى را در حال اسلام رامى، عاقله او از اهل ذمه ضامن نيستند چون كه عقل بين آنها نيست؛ و همچنين عاقله او از اهل اسلام چون در حال رمى مسلمان نبوده؛ و عاقله، ضامن قاتل خطائى كه مسلمان در دو حال باشد مى شود كه متيقن از ضمان عاقله همين مورد است؛ بلكه رامى از مال خودش ضامن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در حال اسلام رمى كرد و در حال ارتداد قتل خطائى كرد مسلمانى را، هيچ كدام از عاقله مسلمين و كفّار ضامن نمى شوند و خود او ضامن ديه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المقام بحمده تعالى مصلياً على نبيّه محمد و آله الطاهرين، ضحوة السبت</w:t>
      </w:r>
    </w:p>
    <w:p>
      <w:pPr>
        <w:pStyle w:val="BookText"/>
        <w:rPr/>
      </w:pPr>
      <w:r>
        <w:rPr>
          <w:rFonts w:ascii="Amiri" w:hAnsi="Amiri" w:eastAsia="Amiri" w:cs="Amiri"/>
          <w:color w:val="111111"/>
          <w:sz w:val="28"/>
          <w:sz w:val="28"/>
          <w:szCs w:val="28"/>
          <w:rtl w:val="true"/>
          <w:lang w:bidi="ar-SA"/>
        </w:rPr>
        <w:t xml:space="preserve">الثالث من جمادى الآخرة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القبول و النفع و التوفيق</w:t>
      </w:r>
    </w:p>
    <w:p>
      <w:pPr>
        <w:pStyle w:val="BookText"/>
        <w:rPr/>
      </w:pPr>
      <w:r>
        <w:rPr>
          <w:rFonts w:ascii="Amiri" w:hAnsi="Amiri" w:eastAsia="Amiri" w:cs="Amiri"/>
          <w:color w:val="111111"/>
          <w:sz w:val="28"/>
          <w:sz w:val="28"/>
          <w:szCs w:val="28"/>
          <w:rtl w:val="true"/>
          <w:lang w:bidi="ar-SA"/>
        </w:rPr>
        <w:t>للتّكميل و اتمام النفع مع القبول و نصره تعالى فى جميع المواطن،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العبد محمد تقى بن محمود البهجة عفى عنهما</w:t>
      </w:r>
      <w:r>
        <w:rPr>
          <w:rFonts w:eastAsia="Amiri" w:cs="Amiri" w:ascii="Amiri" w:hAnsi="Amiri"/>
          <w:color w:val="111111"/>
          <w:sz w:val="28"/>
          <w:szCs w:val="28"/>
          <w:rtl w:val="true"/>
          <w:lang w:bidi="ar-SA"/>
        </w:rPr>
        <w:t xml:space="preserve">. </w:t>
      </w:r>
      <w:bookmarkStart w:id="3942" w:name="pg10275_97117"/>
    </w:p>
    <w:p>
      <w:pPr>
        <w:pStyle w:val="Heading2"/>
        <w:numPr>
          <w:ilvl w:val="1"/>
          <w:numId w:val="1"/>
        </w:numPr>
        <w:rPr/>
      </w:pPr>
      <w:bookmarkStart w:id="3943" w:name="__RefHeading___Toc3974357_1067777946"/>
      <w:bookmarkStart w:id="3944" w:name="_Toc1686"/>
      <w:bookmarkEnd w:id="3942"/>
      <w:bookmarkEnd w:id="3943"/>
      <w:r>
        <w:rPr>
          <w:rtl w:val="true"/>
        </w:rPr>
        <w:t>فهرست تفصيلى مطالب</w:t>
      </w:r>
      <w:bookmarkEnd w:id="3944"/>
    </w:p>
    <w:p>
      <w:pPr>
        <w:pStyle w:val="Heading3"/>
        <w:numPr>
          <w:ilvl w:val="2"/>
          <w:numId w:val="1"/>
        </w:numPr>
        <w:rPr/>
      </w:pPr>
      <w:bookmarkStart w:id="3945" w:name="__RefHeading___Toc3974359_1067777946"/>
      <w:bookmarkStart w:id="3946" w:name="_Toc1687"/>
      <w:bookmarkEnd w:id="3945"/>
      <w:r>
        <w:rPr>
          <w:rtl w:val="true"/>
        </w:rPr>
        <w:t>كتاب شفعه</w:t>
      </w:r>
      <w:bookmarkEnd w:id="3946"/>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شفعه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معناى شفعه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حكم شفعه در غير منقول و منقول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ثبوت يا عدم ثبوت شفعه در غرفۀ مشترك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شفعه در زراعت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عدم اعتبار قابليت قسمت در متعلق شفعه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شفعه در طريق و ذو الطريق در صورت بيع با هم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لحوق بئر و نهر به طريق، در حكم مذكور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بيع عرصۀ اختصاص با عرصۀ مشترك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اختصاص ثبوت شفعه به انتقال به بيع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حكم شفعه در خانه اى كه قسمتى از ان وقف است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اعتبار شركت به قدرت اداى ثمن و اسلام در شفيع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عدم شفعه بعد از تقسيم و تمييز مشترك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عدم شفعه با تعدد شريك و حكم كثرت شركا بعد از بيع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سقوط شفعه با عجز شريك از اداء ثمن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ادعاى غيبيت ثمن يا قدرت بر تحصيل و امهال وى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سقوط شفعه با مماطلۀ شريك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شروع سه روز مهلت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احتياج شفيع به مهلتى بيش از سه روز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عدم مانعيت غيبت شريك از استحقاق شفعه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حكم حاضرى كه بخاطر عذرى، متمكن از اخذ به شفعه نباشد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جريان فضولى در شفعه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ثبوت حق شفعه براى شريك سفيد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ثبوت شفعه براى مفلّس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اگر شفيع، متمكن از تاديۀ ثمن نشد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ثبوت شفعه براى صبى و مجنون و وظيفۀ ولى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ثبوت حق شفعه براى كافر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شفعه در موردى كه ولى، مال مشترك بين خود و مولّى عليه را بفروشد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ثبوت شفعه براى ولد و وصى نسبت به والد و موصى </w:t>
      </w:r>
      <w:r>
        <w:rPr>
          <w:rFonts w:eastAsia="IRNazanin" w:cs="IRNazanin"/>
          <w:color w:val="111111"/>
          <w:sz w:val="28"/>
          <w:szCs w:val="28"/>
          <w:lang w:bidi="fa-IR"/>
        </w:rPr>
        <w:t>18</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شفعه براى عبد و مكاتب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شفعه در مضاربه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تفريعات بر ثبوت شفعه با كثرت شفعا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تعدد شركا و عفو بعضى و اخذ به شفعۀ بعضى ديگر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ثبوت خيار فسخ براى مشترى جاهل به تعدد شريك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حق شفعه براى غائب در صورت عدم اخذ يا عفو حاضر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حضور بعضى شركا و اخذ به شفعه و غيبت بعضى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لازمۀ استغلال اول شريك به ظهور ثمره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عدم جواز اناطۀ اخذ به شفعه به حضور سائر شركا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حكم درك مال با تغاير متعلّق اخذ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فروختن يكى از سه شريك، سهم خود را به شريك ديگر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صور مختلف تعدّد و وحدت شريك، بايع و مشترى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حق شركاى غير بايع در اخذ به شفعه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انتقال حق شفعه به وارث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اخذ به شفعه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حدّ زمانى استحقاق شفعه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ثبوت شفعه در معاطات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تبعيض در اخذ به شفعه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غرامتهاى مشترى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زيادتيهاى بعد از عقد و نقيصه ضمن عقد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حظيظۀ بايع بعد از عقد، از ثمن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اعتبار معيت تقابض ثمن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نحوۀ تحقق اخذ به شفعه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واقع شدن شقص مشترك با متاع ديگر در يك معامله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حكم شفعه در قيمى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موارد جواز تاخير اخذ به شفعه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وجوب مبادرت به اخذ به شفعه در صورت امكان و علم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ادعاى عذر در ترك اخذ به شفعه توسط شفيع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سقوط يا عدم سقوط حق شفعه به تقايل متبايعين، و امثال آن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تصرّفات معامليّۀ مشترى تا زمان اخذ به شفعه و اقسام آن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انهدام يا عيب دار شدن مبيع قبل از اخذ به شفعه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غرس يا بناى مشترى در زمين مشترك قبل از اخذ به شفعه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امتناع مشترى از قلع و هبه، و امتناع شفيع از اسقاط شفعه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حكم زيادتيهاى متصله و منفصله در حال بيع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حكم منافع مبيع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حكم شكوفۀ درخت خرما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حكم اعمال شفعه در دو شقص از دو خانه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اگر ثمن در بيع شريك، مستحق للغير بود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ظهور عيب در مبيع قبل از اخذ به شفعه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فروع ششگانۀ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تأثير احتمال ترك شفعه از روى عذر در عدم سقوط </w:t>
      </w:r>
      <w:r>
        <w:rPr>
          <w:rFonts w:eastAsia="Amiri" w:cs="Amiri" w:ascii="Amiri" w:hAnsi="Amiri"/>
          <w:color w:val="111111"/>
          <w:sz w:val="28"/>
          <w:szCs w:val="28"/>
          <w:lang w:bidi="ar-SA"/>
        </w:rPr>
        <w:t>36</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علم به ثمن و مثمن و مقدار آنها در أخذ به </w:t>
      </w:r>
    </w:p>
    <w:p>
      <w:pPr>
        <w:pStyle w:val="BookText"/>
        <w:rPr/>
      </w:pPr>
      <w:r>
        <w:rPr>
          <w:rFonts w:ascii="IRNazanin" w:hAnsi="IRNazanin" w:eastAsia="IRNazanin"/>
          <w:color w:val="111111"/>
          <w:sz w:val="28"/>
          <w:sz w:val="28"/>
          <w:szCs w:val="28"/>
          <w:rtl w:val="true"/>
          <w:lang w:bidi="fa-IR"/>
        </w:rPr>
        <w:t xml:space="preserve">شفعه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لزوم معيت بين تسليم شقص و تسليم ثمن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عدم سقوط حق شفعه با ترك آن با ابلاغ خلاف واقع به شفيع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شفعه در زمين مشغول به زراعت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عدم مشروعيت اقاله بين شفيع و بايع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اخذ به شفعه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اخذ به شفعه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ثبوت شفعه در صورتى كه اشتراء به ثمن مؤجل باشد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توريث حق شفعه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نحوۀ توريث شفعه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فوت مفلَّس و توريث شفعه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وصيت به متعلَّق حق شفعه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وصيت به مشترك و فروختن شريك قبل از قبول وصى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بيع شفيع، نصيب خود را بعد از علم به شفعه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بيع شفيع پس از بيع شريك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بيع مشترك در مرض موت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سقوط حق شفعه با اسقاط شفيع به صلح معاوضى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عدم سقوط حق شفعه با شرط خيار شفيع و شرط ضمان وى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يافتن عيب در مبيع، پس از أخذ به شفعه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ظهور عيبِ سابق بر بيع، در ثمن، بعد از اخذ به شفعه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سبق فسخ بر اخذ به شفعه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اگر مشترى بعد از اخذ به شفعه، مالك شقص شد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رد بايع ثمن را به سبب عيب، قبل از اخذ به شفعه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حكم شفعه نسبت به نصب غائب براى مدعى اذن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اگر غائب، اذن در بيع را انكار كرد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با آن شفعه باطل مى شود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بطلان شفعه با ترك أخذ، در صورت وجود قيود و شرائط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تنزل از شفعه قبل از بيع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رسيدن خبر بيع به شريك و عدم مطالبۀ او، شفعه را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اعتراف متبايعين به تحقق بيع به نحوى كه مسقط شفعه باشد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جهل شفيع و مشترى به ثمن و خصوصيات آن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بطلان شفعه با تأخير شفيع و بودن مبيع در بعيد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بطلان شفعه به بطلان بيع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حيله اى براى اسقاط حق شفعه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اگر نقل، به غير مبيع باشد، شفعه اى در كار نيست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ادعاى عدم علم به ثمن و تأثير آن در ابطال حق شفعه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اگر شفيع، مدعى علم مشترى به ثمن بود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فرض مصادقه بر نسيان مشترى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ادعاى عدم علم به ثمن توسط مشترى </w:t>
      </w:r>
      <w:r>
        <w:rPr>
          <w:rFonts w:eastAsia="IRNazanin" w:cs="IRNazanin"/>
          <w:color w:val="111111"/>
          <w:sz w:val="28"/>
          <w:szCs w:val="28"/>
          <w:lang w:bidi="fa-IR"/>
        </w:rPr>
        <w:t>52</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ادعاى جهل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3947" w:name="pg10275_97120"/>
    </w:p>
    <w:p>
      <w:pPr>
        <w:pStyle w:val="BookText"/>
        <w:rPr/>
      </w:pPr>
      <w:bookmarkEnd w:id="3947"/>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اختلاف در قدر ثمن بين مشترى و شفيع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قبول شهادت بايع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اختلاف بين متبايعين در قدر ثمن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لازمۀ قضا براى هر كدام از شفيع و مشترى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اختلاف در قيمت ثمن بعد از تلف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اختلاف در غرس و بنا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ادعاى بيع نصيب خود و انكار مشترى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ادعاى تأخّر شراء مدّعى عليه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ادعاى سبقت در ملك شقص توسط هر دو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صور مختلفۀ شهادت بيّنه در فرض اختلاف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تخالف در ادعاى ملكيّت به بيع يا به ارث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ادعاى وديعه بودن توسط شريك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مناقشه در محكى از تذكره و دروس در فرق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تصادق بايع و مشترى بر غصبيت ثمن در بيع و لازمۀ آن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اقرار شفيع و مشترى بر غصبيت ثمن در بيع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ادعاى شراء شقص بر ذو اليد بر آن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ادعاى خريد براى طفل توسط مدّعى عليه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اقرار مدعى عليه به شراء با اعتراف به مالكيّت غير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انكار مالكيّت شفيع توسط مشترى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ادعاى عفو يك يا چند نفر از ورثه و اختلاف در آن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ادعاى عفو دو وارث شفعه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شهادت اجنبى به عفو يك نفر معيّن از دو وارث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اعتراف يكى از دو وارث به بطلان شراء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شهادت بايع بر عفو شفيع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طريق تملّك به شفعه </w:t>
      </w:r>
      <w:r>
        <w:rPr>
          <w:rFonts w:eastAsia="Amiri" w:cs="Amiri" w:ascii="Amiri" w:hAnsi="Amiri"/>
          <w:color w:val="111111"/>
          <w:sz w:val="28"/>
          <w:szCs w:val="28"/>
          <w:lang w:bidi="ar-SA"/>
        </w:rPr>
        <w:t>64</w:t>
      </w:r>
    </w:p>
    <w:p>
      <w:pPr>
        <w:pStyle w:val="Heading3"/>
        <w:numPr>
          <w:ilvl w:val="2"/>
          <w:numId w:val="1"/>
        </w:numPr>
        <w:rPr/>
      </w:pPr>
      <w:bookmarkStart w:id="3948" w:name="__RefHeading___Toc3974361_1067777946"/>
      <w:bookmarkStart w:id="3949" w:name="_Toc1688"/>
      <w:bookmarkEnd w:id="3948"/>
      <w:r>
        <w:rPr>
          <w:rtl w:val="true"/>
        </w:rPr>
        <w:t>كتاب احياى موات</w:t>
      </w:r>
      <w:bookmarkEnd w:id="394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و احكام زمينها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زمين موات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موات اصلى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موات بالعارض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اراضى عامره موات از مفتوح العنوه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زمين بى صاحب و مالك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خراب شدن اراضى معموره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عدم فرق بين مملوك به احيا و غير آن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اثاث و اجزاى باقى مانده بعد از خراب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خراب شدن زمين وقفى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تملّك موات به احيا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نبودن زمين در يد مسلم يا مسالم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نبودن از حريم عامر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حريم خانه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حريم قريه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جواز احياى غير عامر و حريم براى هر شخصى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حريم ديوار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حريم راه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مراد از طريق مبتكر در كلام فاضلين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انقطاع استطراق </w:t>
      </w:r>
      <w:r>
        <w:rPr>
          <w:rFonts w:eastAsia="IRNazanin" w:cs="IRNazanin"/>
          <w:color w:val="111111"/>
          <w:sz w:val="28"/>
          <w:szCs w:val="28"/>
          <w:lang w:bidi="fa-IR"/>
        </w:rPr>
        <w:t>76</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حريم نهرها و قناتها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تنازع بين صاحب آب نهر و صاحب زمين اطراف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حريم چاه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حصول و ترتّب ضرر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حريم شاخه هاى درخت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نبودن از مشاهد و معابد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نبودن از موارد اقطاع امام اصل عليه السلام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مسبوقيّت به تحجير و علامتگذارى غير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اهمال محجّر در احيا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نبودن از قرقگاه نبى يا وصىّ او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تحقق و صدق احيا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مقدّميّت تحجير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مملّكيّت احيا و ميزان صدق آن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ثبوت و عدم ثبوت اولويّت به وسيلۀ تحجير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انتقال تحجير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عدم لزوم قصد خصوصيت در احيا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اناطۀ تعيين حدود تحجير و احيا آن به قصد احيا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عدم لزوم مباشرت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از بين رفتن علامت تحجير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اهمال و تعطيل زمين توسط محجّر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اناطۀ مملّكيّت تحجير به امكان احيا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اناطۀ تحقق احيا به رساندن زمين به حدّ قابليّت فعلى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مشتركة المنافع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و احكام آن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اشتراك عموم در طرق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ميزان تصرّف در طرق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گذاردن رحل و تأثير آن در جواز عود به محل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نصب سايه بان و امثال آن در جاده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اناطۀ جواز تصرّف به عدم معلوميّت ضرر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تصرّفاتى كه مصلحت طريق در آنها باشد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عدم جواز تحجير براى تملّك در مشتركات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سبقت دو نفر در انتفاع مشتركات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تصرّف در فضاى طرق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راه اختصاصى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نحوۀ اشتراك در راه غير نافذ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اناطۀ فتح باب به اذن همه به خلاف پنجره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نحوۀ محقق شدن راه عمومى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مساجد و احكام آن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سبقت در اخذ مكان در مسجد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لزوم عدم مزاحمت با نماز، قرائت قرآن و تدريس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رفع يد از مكان در مسجد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تصرّف در مكان ديگرى با رسيدن وقت نماز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آن چه با آن حق سبق يا بقاى آن حادث مى شود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توكيل در اخذ مكان در مسجد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عدم بطلان نماز با اخذ حق ديگرى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سبقت دو نفر در اخذ مكان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 مشرّفه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اشتراك مشاهد مشرّفه با مساجد در حكم سبق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مدارس علوم، و مساكن موقوفۀ بر فقرا و زوّار </w:t>
      </w:r>
      <w:r>
        <w:rPr>
          <w:rFonts w:eastAsia="Amiri" w:cs="Amiri" w:ascii="Amiri" w:hAnsi="Amiri"/>
          <w:color w:val="111111"/>
          <w:sz w:val="28"/>
          <w:szCs w:val="28"/>
          <w:lang w:bidi="ar-SA"/>
        </w:rPr>
        <w:t>96</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سبق در مدارس و امثال آن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3950" w:name="pg10275_97122"/>
    </w:p>
    <w:p>
      <w:pPr>
        <w:pStyle w:val="BookText"/>
        <w:rPr/>
      </w:pPr>
      <w:bookmarkEnd w:id="3950"/>
      <w:r>
        <w:rPr>
          <w:rFonts w:ascii="IRNazanin" w:hAnsi="IRNazanin" w:eastAsia="IRNazanin"/>
          <w:color w:val="111111"/>
          <w:sz w:val="28"/>
          <w:sz w:val="28"/>
          <w:szCs w:val="28"/>
          <w:rtl w:val="true"/>
          <w:lang w:bidi="fa-IR"/>
        </w:rPr>
        <w:t xml:space="preserve">خارج شدن و بقا و عدم بقاى حق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نزاع در ادّعاى سبق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مشتركه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معادن ظاهره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محدودۀ اختيارات نايب عام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سبقت و تسابق در معادن ظاهره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معادن باطنه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تفارق معادن ظاهره و باطنه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اشتراك در آب و آتش و گياه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حفر چشمه و قنات و امثال آن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حفر در مباح يا موات به قصد موقت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تقسيم آب مشترك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آب وارد در نهر به سبب طغيان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تنازع در اخذ آب از نهر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ساخت آسياب بر نهر متعلق به جماعتى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مؤونۀ اصلاح و تعمير نهر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حكم زمين موات در كنار نمك زار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مملكيّت احيا در معادن باطنه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پيدا شدن معدن باطنى در زمين موات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پيدا شدن گنج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مالك معدن باطن در موات و مفتوح العنوه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چاه حفر شده در مفتوح العنوه يا موقوفه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ظهور معدن در غير بلد اسلام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جعاله در معدن باطنى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عدم جواز منع صاحب آسياب سابق توسط مالك نهر </w:t>
      </w:r>
      <w:r>
        <w:rPr>
          <w:rFonts w:eastAsia="Amiri" w:cs="Amiri" w:ascii="Amiri" w:hAnsi="Amiri"/>
          <w:color w:val="111111"/>
          <w:sz w:val="28"/>
          <w:szCs w:val="28"/>
          <w:lang w:bidi="ar-SA"/>
        </w:rPr>
        <w:t>109</w:t>
      </w:r>
    </w:p>
    <w:p>
      <w:pPr>
        <w:pStyle w:val="Heading3"/>
        <w:numPr>
          <w:ilvl w:val="2"/>
          <w:numId w:val="1"/>
        </w:numPr>
        <w:rPr/>
      </w:pPr>
      <w:bookmarkStart w:id="3951" w:name="__RefHeading___Toc3974363_1067777946"/>
      <w:bookmarkStart w:id="3952" w:name="_Toc1689"/>
      <w:bookmarkEnd w:id="3951"/>
      <w:r>
        <w:rPr>
          <w:rtl w:val="true"/>
        </w:rPr>
        <w:t>كتاب لقطه</w:t>
      </w:r>
      <w:bookmarkEnd w:id="3952"/>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لقيط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انواع لقطه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لقيط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بچۀ گمشده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مراد از كافل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التقاط مملوك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ملتقِط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شرايط معتبر در تأثير التقاط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اعتبار يا عدم اعتبار اسلام در ملتقط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نفقۀ لقيط بدون مال و متبرّع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التقاط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وجوب اخذ لقيط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آن چه در يد لقيط است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نفقۀ لقيط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اشهاد در اخذ لقيط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استيذان از حاكم شرع در انفاق بر لقيط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حكم به اسلامِ لقيط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عاقلۀ لقيط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جنايت بر لقيط صغير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قذف لقيط بالغ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قبول اقرار لقيط بعد از بلوغ و رشد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ادّعاى بنوّت لقيط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نزاع </w:t>
      </w:r>
      <w:r>
        <w:rPr>
          <w:rFonts w:eastAsia="Amiri" w:cs="Amiri" w:ascii="Amiri" w:hAnsi="Amiri"/>
          <w:color w:val="111111"/>
          <w:sz w:val="28"/>
          <w:szCs w:val="28"/>
          <w:lang w:bidi="ar-SA"/>
        </w:rPr>
        <w:t>124</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لقيط و ملتقط در انفاق و قدر آن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ضمان ملتقِط و امين بودن وى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تنازع دو ملتقط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فرضِ بودن لقيط در يد يكى از متنازعين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مناقشه در توصيف مدعى متاع و مدّعى لقطه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ادّعاى بنوّت توسط دو نفر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اختلاف مسلم و كافر و يا حرّ و عبد در ادّعاى بنوّت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نزاع بين مرد و زن در بنوّت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لقيط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بيان امور مربوطه به آخذ و مأخوذ و حكم حيوان گمشده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مراد از ضالّه و حيوان گمشده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كراهت اخذ ضالّه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استحباب اشهاد عدلين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تفارق شتر و گوسفند در جواز اخذ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ثبوت ضمان در فرض عدم جواز اخذ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ميزان در ضمان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عدم لزوم اذن حاكم در مقام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رعايت معرضيّت تلف در جواز اخذ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اعراض از حيوان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عدم ضمان در صورت جواز اخذ تملّكى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پيدا نمودن گوسفند در صحرا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لقطه به معناى اخص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از خصوصيات و احكام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جواز اخذ مال كمتر از درهم و در غير حرم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مال مأخوذ در غير حرم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كراهت اخذِ مال پيدا شده در حرم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كراهت يا حرمت اخذ غير متمكّن از انشاد و تعريف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تعريف تا يك سال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يأس در كمتر از يك سال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تخيير بعد از تعريف واجب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تصدق بعد از تعريف واجب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پيدا شدن مالك بعد از تعريف و تصدّق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مال پيداشدۀ در غير حرم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اجناسى كه قابليّت بقاى تا يك سال را ندارند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اگر پيدا شده محتاج علاج باشد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آن چه برداشتن آن مكروه است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تساوى پوست با غير آن در حكم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استحباب مؤكّد اشهاد بر لقطه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مسائل پنج گانه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آن چه كه در بيابان يا خرابه ها يا زمينهاى بدون مالك پيدا شود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حكم گنج پيدا شده در زمين بدون مالك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مال پيدا شده در شكم حيوان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اگر دزدى مالى را به وديعه گذارد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حكم مالى كه در خانه يا صندوق شخصى يافت مى شود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مالكيّت بعد از تعريف يك سال يا يأس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مطالبه مالك بعد از تصدّق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اقسام و احكام ملتقِط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اگر صبىّ يا مجنون يا كافر چيزى را پيدا كند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اقسام عبيد در حكم مذكور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اگر دو نفر با هم چيزى را پيدا كنند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لقطه </w:t>
      </w:r>
      <w:r>
        <w:rPr>
          <w:rFonts w:eastAsia="Amiri" w:cs="Amiri" w:ascii="Amiri" w:hAnsi="Amiri"/>
          <w:color w:val="111111"/>
          <w:sz w:val="28"/>
          <w:szCs w:val="28"/>
          <w:lang w:bidi="ar-SA"/>
        </w:rPr>
        <w:t>142</w:t>
      </w:r>
      <w:bookmarkStart w:id="3953" w:name="pg10275_97124"/>
    </w:p>
    <w:p>
      <w:pPr>
        <w:pStyle w:val="BookText"/>
        <w:rPr/>
      </w:pPr>
      <w:bookmarkEnd w:id="3953"/>
      <w:r>
        <w:rPr>
          <w:rFonts w:ascii="Amiri" w:hAnsi="Amiri" w:eastAsia="Amiri" w:cs="Amiri"/>
          <w:color w:val="111111"/>
          <w:sz w:val="28"/>
          <w:sz w:val="28"/>
          <w:szCs w:val="28"/>
          <w:rtl w:val="true"/>
          <w:lang w:bidi="ar-SA"/>
        </w:rPr>
        <w:t xml:space="preserve">زمان تعريف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صدق تعريف به كتابت و الصاق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خصوصيات لازمۀ در تعريف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تفحّص در مواضع احتمال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عدم لزوم مباشرت در تعريف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فرض دفع پيدا شده به حاكم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لزوم تكليفى و وضعى تعريف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عدم اعتبار قصد تملّك در تعريف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جواز حفظ بعد از تعريف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عدم جواز تملّك قبل از تعريف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يأس از وصول به صاحب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امين بودن يابنده و عدم ضمان وى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نماى منفصلِ شىء پيدا شده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عدم ضمان با عدم نيّت تملّك يا تصدّق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مطالبۀ عين يا غير آن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عيب دار شدن لقطه در نزد يابنده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التقاط مملوك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نحوۀ دفع لقطه از حيث علم و مظنه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ادّعاى مالكيّت ديگرى بعد از دفع با بيّنه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اقامه بيّنه بعد از تعريف سال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وفات يابنده </w:t>
      </w:r>
      <w:r>
        <w:rPr>
          <w:rFonts w:eastAsia="Amiri" w:cs="Amiri" w:ascii="Amiri" w:hAnsi="Amiri"/>
          <w:color w:val="111111"/>
          <w:sz w:val="28"/>
          <w:szCs w:val="28"/>
          <w:lang w:bidi="ar-SA"/>
        </w:rPr>
        <w:t>150</w:t>
      </w:r>
    </w:p>
    <w:p>
      <w:pPr>
        <w:pStyle w:val="Heading3"/>
        <w:numPr>
          <w:ilvl w:val="2"/>
          <w:numId w:val="1"/>
        </w:numPr>
        <w:rPr/>
      </w:pPr>
      <w:bookmarkStart w:id="3954" w:name="__RefHeading___Toc3974365_1067777946"/>
      <w:bookmarkStart w:id="3955" w:name="_Toc1690"/>
      <w:bookmarkEnd w:id="3954"/>
      <w:r>
        <w:rPr>
          <w:rtl w:val="true"/>
        </w:rPr>
        <w:t>كتاب الارث</w:t>
      </w:r>
      <w:bookmarkEnd w:id="3955"/>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موجبات الارث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مراتب النسب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موانع الإرث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المسلم يحجب الكفار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الامام يرث المسلم لو كان الوارث كفّاراً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الكافر يرث الكافر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حكم إسلام الكافر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المسلمون يتوارثون و إن اختلفوا فى المذاهب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الكفّار يتوارثون و إن اختلفوا فى النحل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فقد الوارث المسلم شرط فى توارث الكفّار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حكم أقسام المرتدّ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الدية حكمها حكم التركة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السهام المقدّرة في كتاب اللّٰه و بيان أهلها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النصف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الربع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الثلثان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السدس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اجتماع بعض السهام مع بعض و عدم اجتماعها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مسئلتان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بطلان التعصيب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بطلان العول </w:t>
      </w:r>
      <w:r>
        <w:rPr>
          <w:rFonts w:eastAsia="IRNazanin" w:cs="IRNazanin"/>
          <w:color w:val="111111"/>
          <w:sz w:val="28"/>
          <w:szCs w:val="28"/>
          <w:lang w:bidi="fa-IR"/>
        </w:rPr>
        <w:t>163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الانساب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و الأولاد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انفراد الأب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انفراد الابن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اجتماع الأبوان مع الأولاد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أولاد الأولاد يقومون مقام آبائهم و امّهاتهم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 يحبى به الولد الأكبر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لا يرث الجدّ و الجدّة مع أحد الأبوين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الوالد الحاجب يشمل ولد الولد و إن نزل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يحجب الإخوة الامّ الّا بشروط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مطلقاً و الأجداد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حجب كلالة الأبوين كلالة الأب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بيان ما للجدّ و الجدّة إذا انفردا أو اجتمعا مع الآخرين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مسئلتان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إذا اجتمع أربعة أجداد لأب و مثلهم لأمّ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مقاسمة الأجداد مع أولاد الإخوة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الأعمام و الأخوال و العمّات و الخالات و أولادهم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حكم ما لو اجتمع العمومة و العمّات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لا يرث الأبعد مع وجود الأقرب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قسمة التركة بين الأخوال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حكم ما لو اجتمع الأعمام و الأخوال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حكم ما اجتمع مع الأعمام و الأخوال زوج أو زوجة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حكم ما لو انتفى الأعمام و الأخوال بلا واسطه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مسئلتان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حكم من اجتمع له سببان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حكم أولاد العمومة و الخؤولة فى مجامعتهم الزوج أو الزوجة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الازواج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الزوجة ترث ما دامت فى حبال الزوج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ما يرث منه الزوج و الزوجة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مسئلتان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حكم ما إذا طلّق ذو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حكم نكاح المريض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الإرث بالولاء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ولاء الإمامة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ولاء العتق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ولاء تضمّن الجريرة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ابن الملاعنة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ولد الزنا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الحمل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وارث دية الجنين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المفقود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الخنثى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 ليس له فرج أصلاً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ميراث من له رأسان أو بدنان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الغرقىٰ و المهدوم عليهم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المجوس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من حساب الفرائض </w:t>
      </w:r>
      <w:r>
        <w:rPr>
          <w:rFonts w:eastAsia="Amiri" w:cs="Amiri" w:ascii="Amiri" w:hAnsi="Amiri"/>
          <w:color w:val="111111"/>
          <w:sz w:val="28"/>
          <w:szCs w:val="28"/>
          <w:lang w:bidi="ar-SA"/>
        </w:rPr>
        <w:t>188</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مخارج الفروض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3956" w:name="pg10275_97126"/>
    </w:p>
    <w:p>
      <w:pPr>
        <w:pStyle w:val="BookText"/>
        <w:rPr/>
      </w:pPr>
      <w:bookmarkEnd w:id="3956"/>
      <w:r>
        <w:rPr>
          <w:rFonts w:ascii="Amiri" w:hAnsi="Amiri" w:eastAsia="Amiri" w:cs="Amiri"/>
          <w:color w:val="111111"/>
          <w:sz w:val="28"/>
          <w:sz w:val="28"/>
          <w:szCs w:val="28"/>
          <w:rtl w:val="true"/>
          <w:lang w:bidi="ar-SA"/>
        </w:rPr>
        <w:t xml:space="preserve">حكم ما لو كانت الفريضة بقدر السّهام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 ما لو قصرت الفريضة عن السهام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حكم ما لو زادت الفريضة عن السّهام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 المناسخات </w:t>
      </w:r>
      <w:r>
        <w:rPr>
          <w:rFonts w:eastAsia="Amiri" w:cs="Amiri" w:ascii="Amiri" w:hAnsi="Amiri"/>
          <w:color w:val="111111"/>
          <w:sz w:val="28"/>
          <w:szCs w:val="28"/>
          <w:lang w:bidi="ar-SA"/>
        </w:rPr>
        <w:t>194</w:t>
      </w:r>
    </w:p>
    <w:p>
      <w:pPr>
        <w:pStyle w:val="Heading3"/>
        <w:numPr>
          <w:ilvl w:val="2"/>
          <w:numId w:val="1"/>
        </w:numPr>
        <w:rPr/>
      </w:pPr>
      <w:bookmarkStart w:id="3957" w:name="__RefHeading___Toc3974367_1067777946"/>
      <w:bookmarkStart w:id="3958" w:name="_Toc1691"/>
      <w:bookmarkEnd w:id="3957"/>
      <w:r>
        <w:rPr>
          <w:rtl w:val="true"/>
        </w:rPr>
        <w:t>كتاب شهادات</w:t>
      </w:r>
      <w:bookmarkEnd w:id="395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شهادت و صفات شاهد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معنى شهادت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صفات شاهد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عقل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حكم شهادت نصّاب و معاندين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حكم شهادت مستضعف، شاكّ در دين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قبول شهادت ذمّى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نحوۀ اثبات ايمان شاهد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اطلاق قبول شهادت مؤمن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قبول شهادت ذمّى بر ذمّى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معناى عدالت و نحوۀ زايل شدن و عود آن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مسائل مربوطه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حكم شهادت كافر و مخالف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قذف محصنات و توبۀ از آن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حرمت شديد بازى با شطرنج و آلات قمار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شرب مسكر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حِداء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شِعر و موارد آن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لهو با آلات لهوى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حسد و بغض مؤمن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پوشيدن حرير محض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نگهدارى پرندگان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ميزان در ردّ و قبول شهادت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تهمت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عدم قبول شهادت صاحب نفع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شهادت صاحب دين بر عليه مديون محجور عليه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شهادت مالك براى مملوك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شهادت وصى و وكيل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اتحاد دفع ضرر با جلب نفع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عداوت دينى يا دنيوى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قذف شاهد توسط مشهود عليه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شهادت رفقا بر قاطع طريق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عدم مانعيت نسب از قبول شهادت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شهادت يكى از دو زوج بر له يا عليه ديگرى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شهادت دوست براى دوست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شهادت گدا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شهادت اجير و مهمان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لواحق باب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ارتفاع تهمت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موارد مختلف رفع مانع قبول شهادت </w:t>
      </w:r>
      <w:r>
        <w:rPr>
          <w:rFonts w:eastAsia="IRNazanin" w:cs="IRNazanin"/>
          <w:color w:val="111111"/>
          <w:sz w:val="28"/>
          <w:szCs w:val="28"/>
          <w:lang w:bidi="fa-IR"/>
        </w:rPr>
        <w:t>214</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مملوك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لزوم اشهاد در تحمّل شهادت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تفصيل بين حقوق الهيّه و آدميين در قبول و ردّ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ظهور مانع از قبول شهادت بعد از حكم حاكم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بعضى از خصوصيات توبه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مولد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شهادت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كفايت اطمينان شخصى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ارجاع شهادت به استصحاب به علم سابق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عدم لزوم ابصار و سماع در مبصرات و مسموعات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شهادت كر و كور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حكم شهادت مطّلعِ بر شهادت عدلين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عدم دلالت سكوت بر تحمّل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استفاضه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عدم احتياج استفاضه به يد و تصرّف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كفايت حجّت شرعيه بر ملك در جواز شهادت بر ملكيت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آن چه با استفاضه ثابت مى شود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جواز تحمّل و اداى شهادت توسط اخرس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امرى كه محتاج به ديدن و شنيدن است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موارد شهادت اعمى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كفايت شهادت اعمى درباره مقبوض به يد بدون اناطه بر ابصار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حقوق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تعداد شاهد لازم در حق اللّٰه تعالى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آن چه فقط با دو مرد ثابت مى شود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دو مرد، يك شاهد و يمين، يك شاهد و دو زن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حكم وقف در تعداد شاهد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آن چه با شهادت مردها و زنها ثابت مى شود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شهادت خنثاى مشكل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مسائل ثلاثه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موارد اناطۀ صحت به شهادت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تابعيت نفوذ حكم در ظاهر و باطن از شهادت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استحباب تحمّل شهادت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فرض وجوب اداى شهادت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كفايت طلب عمومى صاحب حق در وجوب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احتمال حصول عدالت به توبه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فرض ترتّب ضرر بر شهادت شاهد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شهادت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موارد قبول شهادت بر شهادت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حكم قبول و يا عدم قبول شهادت بر شهادت در موارد گوناگون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لزوم تعدد در شهادت فرع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استرعا و سماع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اولويت و احوطيّت تأكيد و توضيح در شهادت بر شهادت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شهادت فرع در وقت امكان حضور شاهد اصل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حدّ تعذّر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حضور اصل بعد از اقامۀ شهادت توسط فرع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عدم ثبوت احكام تعارض در شهادت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حضور اصل بعد از شهادت دو فرع </w:t>
      </w:r>
      <w:r>
        <w:rPr>
          <w:rFonts w:eastAsia="IRNazanin" w:cs="IRNazanin"/>
          <w:color w:val="111111"/>
          <w:sz w:val="28"/>
          <w:szCs w:val="28"/>
          <w:lang w:bidi="fa-IR"/>
        </w:rPr>
        <w:t>236</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حصول عمى و جنون و غير آن در شاهد اصل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موارد قبول شهادت زنها بر شهادت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شهادت بر اقرار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تسميه و تعديل شاهد اصل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عدم اعتبار اربعه در شاهد فرع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توارد شهود بر معناى واحد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اعتبار وحدت مضمون شهادت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اختلاف در زمان تحقق مورد شهادت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اختلاف در جنس و نوع مسروق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تعارض دو بيّنه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قبول يا عدم قبول مورد متّفق عليه در دو شهادت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شهادت يكى بر هزار و ديگرى بر دو هزار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وظيفه در صورت سقوط بينتين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شهادت يكى بر وقوع فعلى در صبح و ديگرى در شب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شهادت يكى بر اقرار به عربيّت و ديگرى بر اقرار به عجميّت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فرض ديگر اختلاف در زمان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فرض قابليت براى تعدّد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شهادت دو نفر بر فعلى و دو نفر ديگر بر غير آن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شهادت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فوت يا جنون شاهد بعد از شهادت و قبل از حكم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فسق شاهد بعد از شهادت و قبل از حكم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شهادت مدّعى براى نفس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رجوع شاهد از شهادت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حكم رجوع كنندۀ از شهادت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رجوع بين حكم و استيفا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رجوع بعد از استيفا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اقرار بعضى بر عمد و بعض ديگر بر خطأ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رجوع شهود از شهادت بعد از رجم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ادّعاى كذب با گمان عدم قبول شهادت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زدن مريض و فوت او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تصديق فرد راجع توسط بقيۀ شهود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شهادت بر عتق يا تدبير و رجوع از آن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رجوع از شهادت بر كتابت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شهادت بر وقف مسجد و رجوع از آن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اگر ثابت شود كه شهادت باطل بوده است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رجوع از شهادت بر طلاق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رجوع از شهادت بر نكاح زن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رجوع از شهادت به عتق زوجه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رجوع از شهادت بر رضاع موجب حرمت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فروعى در اين باب مذكور مى شود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ضمان در فرض رجوع از شهادت ماليّه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رجوع يك يا چند نفر از شش شاهد بر زنا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رجوع سه نفر در امرى كه دو نفر كافى است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قيام بيّنه بر جرح شهود بعد از حكم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شهادت بر عتق مملوك و اختلاف در خصوصيّات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ديگر اختلاف در شهادت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دو نفر بر وصيت و يكى ديگر بر رجوع </w:t>
      </w:r>
      <w:r>
        <w:rPr>
          <w:rFonts w:eastAsia="IRNazanin" w:cs="IRNazanin"/>
          <w:color w:val="111111"/>
          <w:sz w:val="28"/>
          <w:szCs w:val="28"/>
          <w:lang w:bidi="fa-IR"/>
        </w:rPr>
        <w:t>261</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بر رجوع از يكى از دو وصيت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bookmarkStart w:id="3959" w:name="pg10275_97129"/>
    </w:p>
    <w:p>
      <w:pPr>
        <w:pStyle w:val="BookText"/>
        <w:rPr/>
      </w:pPr>
      <w:bookmarkEnd w:id="3959"/>
      <w:r>
        <w:rPr>
          <w:rFonts w:ascii="IRNazanin" w:hAnsi="IRNazanin" w:eastAsia="IRNazanin"/>
          <w:color w:val="111111"/>
          <w:sz w:val="28"/>
          <w:sz w:val="28"/>
          <w:szCs w:val="28"/>
          <w:rtl w:val="true"/>
          <w:lang w:bidi="fa-IR"/>
        </w:rPr>
        <w:t xml:space="preserve">اقامۀ يك شاهد و ادّعاى بودن شاهد ديگر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شهود و تزكيه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احتمال عدم اثبات احكام شاهد زور براى شهود تزكيه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شهود احصان بعد از رجم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رجوع شهود زنا بعد از رجم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رجوع هر دو دسته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شهادت چهار نفر بر زنا و دو نفر ايشان بر احصان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رجوع دو معرِّف مشهودٌ عليه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مختلف رجوع شاهد فرع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تعزير شاهد زور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ضمان و عدم ضمان در فرض كتمان شهادت واجب </w:t>
      </w:r>
      <w:r>
        <w:rPr>
          <w:rFonts w:eastAsia="Amiri" w:cs="Amiri" w:ascii="Amiri" w:hAnsi="Amiri"/>
          <w:color w:val="111111"/>
          <w:sz w:val="28"/>
          <w:szCs w:val="28"/>
          <w:lang w:bidi="ar-SA"/>
        </w:rPr>
        <w:t>268</w:t>
      </w:r>
    </w:p>
    <w:p>
      <w:pPr>
        <w:pStyle w:val="Heading3"/>
        <w:numPr>
          <w:ilvl w:val="2"/>
          <w:numId w:val="1"/>
        </w:numPr>
        <w:rPr/>
      </w:pPr>
      <w:bookmarkStart w:id="3960" w:name="__RefHeading___Toc3974369_1067777946"/>
      <w:bookmarkStart w:id="3961" w:name="_Toc1692"/>
      <w:bookmarkEnd w:id="3960"/>
      <w:r>
        <w:rPr>
          <w:rtl w:val="true"/>
        </w:rPr>
        <w:t>كتاب حدود و تعزيرات</w:t>
      </w:r>
      <w:bookmarkEnd w:id="3961"/>
    </w:p>
    <w:p>
      <w:pPr>
        <w:pStyle w:val="BookText"/>
        <w:rPr/>
      </w:pPr>
      <w:r>
        <w:rPr>
          <w:rFonts w:ascii="Amiri" w:hAnsi="Amiri" w:eastAsia="Amiri" w:cs="Amiri"/>
          <w:color w:val="111111"/>
          <w:sz w:val="28"/>
          <w:sz w:val="28"/>
          <w:szCs w:val="28"/>
          <w:rtl w:val="true"/>
          <w:lang w:bidi="ar-SA"/>
        </w:rPr>
        <w:t xml:space="preserve">مراد از حد و تعزير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اسباب حد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اسباب تعزير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موجِب حدّ زنا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لزوم علم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سقوط با اكراه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اعتبار بلوغ و مورد اعتبار احصان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حكم مطلّقۀ رجعيّه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خروج از احصان توسط طلاق باين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با آن، زنا ثابت مى شود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شرايط مُقرّ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اعتبار تكرار مرتبه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اقرار به اثبات مطلق حدّ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اقرار به موجِب رجم و رجوع از آن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اقرار به حدّ و توبه از آن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ثبوت تعزير در اقرار به محرّماتى كه موجب حدّ نمى باشند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عدم جريان حدّ بر زن حاملۀ بدون شوهر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اقرار بر زنان و ادّعاى مطاوعۀ زن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اقرار به وطى با ادّعاى زوجيّت و انكار زن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عدد لازم در بيّنه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آن چه ذكر آن در شهادت بر زنا لازم است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شهادت فاقد خصوصيت معتبره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شهادت دو نفر بر اكراه و دو نفر ديگر بر مطاوعه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اعتبار اتصال عرفى شهادت چهار نفر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فرض ردّ شهادت و جريان حدّ قذف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حد قذف در فرض رجوع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فاصله بين فعل و اقامۀ شهادت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كفايت چهار شاهد براى بر اثبات حدّ بر چند نفر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عدم احتياج مدّعى در شهادت بر حقوق الهى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عدم اسقاط حكم شهادت با اقرار مشهودٌ عليه يا تكذيب وى </w:t>
      </w:r>
      <w:r>
        <w:rPr>
          <w:rFonts w:eastAsia="Amiri" w:cs="Amiri" w:ascii="Amiri" w:hAnsi="Amiri"/>
          <w:color w:val="111111"/>
          <w:sz w:val="28"/>
          <w:szCs w:val="28"/>
          <w:lang w:bidi="ar-SA"/>
        </w:rPr>
        <w:t>281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اسقاط حدّ با توبه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 زنا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اثبات حكم بر ذمّى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نفى بلد، حلق رأس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حكم زناى ذمى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عدم اجراى حد بر حامل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مريض و مستحاضه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عدم سقوط حدّ با ارتداد و جنون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عدم اجراى حدّ در سرما و گرماى شديد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حكم كسى كه به حرم پيامبر صلى الله عليه و آله و سلم يا معصومين عليهم السلام پناه ببرد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ايقاع حدّ زنا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جمع دو حدّ در يك نفر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فرار مرجوم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احوطيّت ابتداى شهود بر رجم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احوطيّت حضور شهود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چند مستحب و مكروه در مقام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دفن و احكام مرجوم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برهنه كردن مرد براى تازيانه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شهادت بر زنا و ادّعاى بكارت توسط زن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عدم اناطۀ اجراى حدّ بر حضور شهود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حكم قبول شهادت زوج به زناى زوجه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كفايت علم حاكم در اجراى حدّ بر حقوق الهيّه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جواز قتل زوجۀ زانيه و زانى براى زوج عالم به زنا از طريق مشاهده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ازاله بكارت با اصبع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ازدواج با كنيز و وطى بدون اذن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تزويج كنيز و وطى آن با علم به تحريم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لواط، مساحقه و قيادت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شرايط مُقرّ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اقتصار بر شهادت مردها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حكم ايقاب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لواط با صبى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لواط با مملوك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لواط مجنون با عاقل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لواط ذمّى با مسلمان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اثبات حكم قتل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كيفيّت اقامۀ حدّ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حدّ تفخيذ و مانند آن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اگر دو نفر مكلّف برهنه در زير يك لحاف جمع شوند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حدّ تقبيل غلام يا دختر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توبه لواطكننده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عدم كفالت و شفاعت و تأخير در اقامۀ حدّ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مساحقۀ زوجه موطوئه و حمل اجنبيّه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حكم مساحقه با كنيز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قيادت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حكم قيادت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قذف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موجِب حدّ قذف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شرايط تحقق قذف و الفاظ مختلفۀ آن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سبّ و ايذايى كه تعريض به فحشا باشد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شروط قاذف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شروط مقذوف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قذف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قذف چند نفر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موروثيّت حد قذف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خطاب به شخصى و قذف فرزند او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عدم حق مطالبه حدّ بعد از عفو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تكرّر قذف و حدّ آن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عدم سقوط حدّ قذف مگر با بيّنۀ مثبته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مقدار حدّ قذف و كيفيّت اجراى حدّ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نحوۀ ثابت شدن قذف موجب حدّ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اگر دو نفر همديگر را قذف كنند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حكم سبّ نمودن معصومين و انبيا عليهم السلام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نحوۀ اثبات سبّ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حكم مدّعى نبوّت و مدّعى نبوت غير خاتم الانبياء صلى الله عليه و آله و سلم و مدعى امامت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اثبات قتل براى عامل به سحر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تأديب صبى و مملوك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نحوۀ اثبات تعزير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قذف عبد و امۀ خود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تعزير كسى كه واجبى را ترك يا حرامى را انجام دهد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شرب مسكر و فقاع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موجب حدّ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مراد از فقّاع و مسكر و تناول آن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عصير عنبى و انگور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اكراه و اضطرار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غير بالغ و جاهل به تحريم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شرب خمر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اثبات با شهادت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اثبات با اقرار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حدّ شرب خمر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تعدّد شرب خمر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حدّ شرب خمر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شهادت يكى به شرب و ديگرى به قى كردن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ارتداد مستحلّ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حكم فروشندۀ خمر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توبۀ از شرب خمر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تتمه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در ذكر چند مسأله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ارتداد مستحلّ محرّمات ضروريّه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كسى كه در مقام حدّ يا قصاص يا تعزير فوت نمايد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ديۀ آن چه كه خطا كند و امثال آن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زدن بيشتر از حدّ به امر حاكم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اگر زننده بيشتر بزند با عدالت حاكم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اگر زيادتى از هر دو باشد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سرقت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سارق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اشتراط بلوغ و حكم مميّز غير بالغ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اشتراط عقل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اشتراط ارتفاع شبهه </w:t>
      </w:r>
      <w:r>
        <w:rPr>
          <w:rFonts w:eastAsia="IRNazanin" w:cs="IRNazanin"/>
          <w:color w:val="111111"/>
          <w:sz w:val="28"/>
          <w:szCs w:val="28"/>
          <w:lang w:bidi="fa-IR"/>
        </w:rPr>
        <w:t>313</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هتك حرز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اعتبار اخراج از حرز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عدم قطع بر والد و اجداد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اشتراط برداشتن مال در خفا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حكم ذمّى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سرقت راهن يا موجر مال خودشان را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سرقت عبد از مال مالك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سرقت اجير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سرقت زوجين از مال ديگرى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سرقت ضيف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شبهۀ حكميه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مقدار مسروق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سرقت در ايام قحط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سرقت مملوك غير مميّز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آدم ربايى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دزدى از شخص نائم بر متاع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حكم حرز مغصوب يا مال مغصوب در حرز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سرقت از وقف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سرقت كفن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با آن، سرقت ثابت مى شود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اقرار و شرايط مُقِرّ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حدّ سارق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مقدار قطع انگشتان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سرقت بعد از قطع دست راست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سرقتهاى بعدى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حكم سرقتهاى متعدّد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حكم دست معيوب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اگر دست چپ نداشته باشد يا مقطوع باشد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اگر دست نداشته باشد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نحوۀ سقوط حدّ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اشتباه قطع كننده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استحباب درمان بعد از قطع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وجوب ردّ مسروقه و ضمان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سرقت يك نصاب توسط چند نفر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تعاقب دو سرقت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اناطۀ قطع يد به مطالبۀ مال باخته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عفو مال باخته و سقوط حد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ارجاع مال بعد از سرقت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مشاركت جمعى در سرقت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تحقق نصاب به وسيله چند سرقت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دستگيرى قبل از اخراج از حرز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حصول نقصان از نصاب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بلعيدن نصاب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محارب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محارب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موجِب حدّ محاربه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غرض مجوّز اخافه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ضعف قاصد اخافه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اعتبار آشكار بودن اخافه و حمل سلاح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محاربه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ثابت شدن محاربه به اقرار و شهادت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 محاربه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چهار حدّ محارب </w:t>
      </w:r>
      <w:r>
        <w:rPr>
          <w:rFonts w:eastAsia="IRNazanin" w:cs="IRNazanin"/>
          <w:color w:val="111111"/>
          <w:sz w:val="28"/>
          <w:szCs w:val="28"/>
          <w:lang w:bidi="fa-IR"/>
        </w:rPr>
        <w:t>329</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ديگر محارب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فروع ديگر در اجراى حدّ محارب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توبۀ محارب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اجتماع صفت دزد و محارب در فردى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حكم دفاع از خود و قتل دزد و محارب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وجوب دفاع در صورتى كه دزد قاصد حرام بر شخصى باشد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فرض خوف از تلف شدن دفاع كننده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ترتّب اجر شهيد بر دفاع كننده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ضربه زدن به دزد در حال فرار وى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عدم جواز دفاع در مال غير واجب الحفظ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مستلب، مختلس، محتال، مبنّج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مصلوب نمودن محارب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مقدم نمودن غسل و</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حكم تبعيد محارب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عدم اعتبار نصاب در قطع محارب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كيفيت قطع دست و پاى محارب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ارتداد و ثبوت آن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مراد از مرتد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نحوۀ ثابت شدن ارتداد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لزوم ضرورى بودن نزد منكر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مرتدّ فطرى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احكام مرتد فطرى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تجديد عقد و حكم عبادات او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اسلام حكمى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حصول ارتداد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مورد وجوب توريه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غضب شديد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ادّعاى اكراه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عدم لزوم تجديد اسلام در مكره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زن مرتدّه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مرتدّ ملّى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عدم اخذ املاك مرتد ملّى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حكم ما ترك مرتد ملى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حكم اولاد مرتدّ ملّى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حكم كشتن اولاد مرتد ملىّ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ديگر احكام اولاد مرتدّ ملىّ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حكم اموال مرتد ملّى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تكرار ارتداد بعد از توبه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كافر مكره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كفايت نماز در حكم به اسلام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سكران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ضمان مرتد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قصاص مرتد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ضمان كافر حربى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جنون مرتد ملّى قبل از استتابه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تزويج مرتد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عدم ولايت مرتد به تزويج دخترش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كلمۀ اسلام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اسلام و كفر زنديق و منافق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اگر ذمى به دار الحرب ملحق شود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مرتدّ قاتل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قتل مرتدّ ملىّ بعد از توبه </w:t>
      </w:r>
      <w:r>
        <w:rPr>
          <w:rFonts w:eastAsia="IRNazanin" w:cs="IRNazanin"/>
          <w:color w:val="111111"/>
          <w:sz w:val="28"/>
          <w:szCs w:val="28"/>
          <w:lang w:bidi="fa-IR"/>
        </w:rPr>
        <w:t>346</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وطى بهايم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bookmarkStart w:id="3962" w:name="pg10275_97134"/>
    </w:p>
    <w:p>
      <w:pPr>
        <w:pStyle w:val="BookText"/>
        <w:rPr/>
      </w:pPr>
      <w:bookmarkEnd w:id="396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وطى بهيمه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وطى بهيمه توسط صبىّ و مجنون و مكرَه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ديگر احكام مترتب بر وطى بهيمه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حصول تحريم در موطوئه و نسل آن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عدم لزوم ذبح در آن چه مقصود براى اكل نيست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حكم ادّعاى فعل و انكار در فرض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ثبوت وطى بهيمه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وطى ميّت و استمنا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وطى زن ميّت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حكم لواط با مرد ميّت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دفاع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دفاع از مال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دفاع از جان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دفاع از ناموس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وجوب دفاع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دفاع از عرض با خوف بر نفس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دفاع از مال واجب منتهى به نفس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وجوب دفاع از نفس با احتمال نجات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شروع دفاع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عدم جواز ضرب و جرح در حال فرار مهاجم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صور مختلف جرح در حال حمله و فرار و حكم هر كدام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چند مسأله در باب دفاع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قتل مجامع با زوجه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ناظر به عورتهاى محرّمه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برهنگى در ملأ عام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ادّعاى مهاجم بودن مقتولِ در منزل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جواز دفع مركب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ضمان و عدم ضمان دندان در فرض گاز گرفتن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حكم مقاتلين مسلمان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ضمان و عدم ضمان در مأمور توسط نايب و غير او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ضمان در فرض ضرب براى تأديب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ضمان و عدم ضمان در قطع عضو مريض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حق ختان كامل ممتنع براى حاكم </w:t>
      </w:r>
      <w:r>
        <w:rPr>
          <w:rFonts w:eastAsia="Amiri" w:cs="Amiri" w:ascii="Amiri" w:hAnsi="Amiri"/>
          <w:color w:val="111111"/>
          <w:sz w:val="28"/>
          <w:szCs w:val="28"/>
          <w:lang w:bidi="ar-SA"/>
        </w:rPr>
        <w:t>359</w:t>
      </w:r>
    </w:p>
    <w:p>
      <w:pPr>
        <w:pStyle w:val="Heading3"/>
        <w:numPr>
          <w:ilvl w:val="2"/>
          <w:numId w:val="1"/>
        </w:numPr>
        <w:rPr/>
      </w:pPr>
      <w:bookmarkStart w:id="3963" w:name="__RefHeading___Toc3974371_1067777946"/>
      <w:bookmarkStart w:id="3964" w:name="_Toc1693"/>
      <w:bookmarkEnd w:id="3963"/>
      <w:r>
        <w:rPr>
          <w:rtl w:val="true"/>
        </w:rPr>
        <w:t>كتاب قصاص</w:t>
      </w:r>
      <w:bookmarkEnd w:id="3964"/>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قصاص نفس و مراتب تسبيب عمدى قتل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موجبات قصاص نفس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تحقّق قتل عمد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چند نمونه از مباشرت عمديه در قتل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تسبيب عمدى در قتل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مرتبۀ اُولى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صورت اوّل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تيراندازى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صورت دوّم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نبودن قصد و غالبى نبودن زدن و آلت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مريض شدن در اثر زدن و فوت بعد از آن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حبس و منع از غذا و آب </w:t>
      </w:r>
      <w:r>
        <w:rPr>
          <w:rFonts w:eastAsia="IRNazanin" w:cs="IRNazanin"/>
          <w:color w:val="111111"/>
          <w:sz w:val="28"/>
          <w:szCs w:val="28"/>
          <w:lang w:bidi="fa-IR"/>
        </w:rPr>
        <w:t>365</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صورت سوّم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انداختن در آتش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انداختن در رود و نهر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سرايت كردن جرح به نفس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فوت بعد از حجامت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سرايت جنايت عمديّه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صورت پنجم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پرتاب خود از بالا روى كسى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پرتاب شخصى روى شخص ديگر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دفاع از پياده در مقابل سواره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صورت ششم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مرتبۀ ثانيه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صورت اوّل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تقديم سم به آگاه به حال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تقديم به جاهل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اختلاف در جنس سم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ضمان تقديم كنندۀ قاصد قتل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مسموم كنندۀ طعام صاحب منزل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مسموم نمودن طعام خود و اكل غير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قرار دادن سم در منزل آكل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صورت دوّم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حفر نمودن چاه در طريق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صورت سوّم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معالجه نمودن مجروح خودش را با دواى مسموم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عفونت نمودن محل جرّاحى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مرتبۀ ثالثه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صورت اوّل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انداختن كسى در دريا و بلعيده شدن وى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صورت دوّم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وادار نمودن سگ براى حمله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صورت سوّم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انداختن مار گزنده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ايجاد جرح و تعاقب آن به جرح درنده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صورت پنجم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انداختن كسى با دست بسته جلوى شير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مرتبۀ رابعه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صورت اوّل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تعقّب دفع شخصى در چاه بر حفر ديگرى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قتل كسى بعد از انداختن ديگرى وى را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نگه داشتن فراركننده و كشتن وى توسط ديگرى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صورت دوّم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اكراه بر قتل با تهديد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حبس ابد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تهديد كسى براى قتل خود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اگر كسى به ديگرى بگويد خودت را بكش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جواز قطع عضو براى تخلص از قتل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اكراه كسى بر بالا رفتن از درخت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صورت سوّم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شهادت دروغ بيّنه بر قتل و امثال آن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lang w:bidi="fa-IR"/>
        </w:rPr>
        <w:t>377</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يك نفر توسط دو نفر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صورت پنجم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صورت ششم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قطع يد از بند توسط كسى و از مرفق توسط ديگرى و حصول قتل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وحدت جانى در طرف و نفس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در قتل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اگر چند نفر يكى را به قتل برسانند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نحوۀ تحقق شركتى كه مجوّز قصاص از همه است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جريان حكم قتل مشترك در جنايت مشترك بر طرف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شركت دو يا چند زن در قتل مردى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قتل يك زن توسط دو مرد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شركت مرد و زن در قتل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اشتراك حرّ و عبد در قتل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اشتراك حرّه و عبد در قتل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تشارك مردى با خنثى در قتل مردى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تشارك مردى و خنثى در قتل يك زن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معتبره در قصاص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تساوى در حريّت و رقيّت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قصاص اطراف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ديۀ ثابتۀ زن و حدّ تنصيف آن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قصاص عبد و بر عبد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جنايت بر مملوك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قتل مملوك ذمّى و مملوكۀ ذميّه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قتل عبد مسلمان توسط ذمّى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قتل حرّ توسط مملوك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مجروح شدن حرّ توسط مملوك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صور مختلف قتل عبد توسط عبد و حكم هر كدام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كشته شدن شخصى توسط دو نفر و مسأله قصاص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تعاقب قطع دست توسط يك نفر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ثبوت قصاص به تبديل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قتل دفعى دو نفر توسط يك عبد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ملاحظۀ قيمت عبد در ديه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فرعى در جنايت حرّ بر عبد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فرع ديگر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صور مختلف قتل دو عبد توسط ديگرى و حكم هر كدام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قتل عبد ديگرى توسط ده بنده از ده مالك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قتل حرّ توسط عبد و فرض عتق وى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مسائلى در سرايت و اشتراط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تساوى در حرّيّت و رقيّت در قصاص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جنايت حرّ بر مملوك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اگر حرّ دست مملوك را قطع كرد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اگر حرّ دست و پاى او را قطع كرد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دوم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 در دين است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مسائلى از لواحق باب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قطع يد ذمى و اختيار اسلام توسط وى و يا انعتاق وى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رجوع به اسلام حربى يا مرتدّ مقطوع اليد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قطع دست و سرايت به نفس در حال ارتداد </w:t>
      </w:r>
      <w:r>
        <w:rPr>
          <w:rFonts w:eastAsia="Amiri" w:cs="Amiri" w:ascii="Amiri" w:hAnsi="Amiri"/>
          <w:color w:val="111111"/>
          <w:sz w:val="28"/>
          <w:szCs w:val="28"/>
          <w:lang w:bidi="ar-SA"/>
        </w:rPr>
        <w:t>405</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ذمّى توسط مرتد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سرايت در جنايت بر نصرانى و چند فرع ديگر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قتل مرتدّ توسط ذمّى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قتل واجب القصاص يا واجب القتل بدون اذن لازم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 قصاص در نفس و طرف</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جانى، پدر مجنى عليه نباشد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فروع مسألۀ مذكوره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وقوع قتل بعد از ادّعاى دو نفر ولد مجهول را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ادّعاى دو نفر ولديت را و رجوع يكى و اشتراك در قتل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قتل يا قذف زوجه توسط زوج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عقل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اختلاف ولى و جانى در بعض فروع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قتل صبى توسط بالغ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مورد ثبوت ديه بر قاتل و عاقله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قتل مست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تناول بنج يا مرقد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عدم قصاص بر نائم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نابينا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پنجم در قصاص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مقتول، محقون الدم باشد و مهدور الدم نباشد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دعواى قتل و مُثبِت آن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دعواى قتل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آن چه در مسموعيّت دعواى قتل معتبر است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چند فرض ادّعاى ممكن يا غير ممكن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ادّعاى قتل بدون تعيين عمد و خطا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ادّعاى قتل كسى و تعقّب به ادّعاى بر ديگرى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ادّعاى قتل عمدى يا خطايى و تفسير به عكس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ادّعاى قتل و مصالحه به مال و ادّعاى ظلم در گرفتن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مُثبِتات سه گانۀ دعواى قتل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مثبت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آن چه در مُقِرّ بر قتل معتبر است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اقرار يكى به عمد و ديگرى به خطا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مثبت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شهادت بر هاشمۀ مسبوقۀ به ايضاح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شهادت يك مرد و دو زن به عمد در رمى كسى و اصابت خطايى به شخص ديگر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اكتفاى به ظهور در شهادت بر قتل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شهادت به موضحه و رؤيت دو موضحه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لزوم توافق دو شهادت در خصوصيّات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مسائلى مربوط به شهادت بر قتل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اختلاف شهادت بر اقرار به قتل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شهادت يكى بر قتل عمدى و ديگرى بر اصل قتل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شهادت يكى بر عمد و ديگرى بر خطا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شهادت دو عادل بر قتل دو نفر و</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فرضى براى ردّ شهادت به تهمت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شهادت عاقله بر فسق شاهد قتل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شهادت دو بيّنه بر تعيين قاتل به نحو اختلاف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اختلاف شهادت با اقرار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صحت عفو احتمالى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قَسامه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لوث </w:t>
      </w:r>
      <w:r>
        <w:rPr>
          <w:rFonts w:eastAsia="IRNazanin" w:cs="IRNazanin"/>
          <w:color w:val="111111"/>
          <w:sz w:val="28"/>
          <w:szCs w:val="28"/>
          <w:lang w:bidi="fa-IR"/>
        </w:rPr>
        <w:t>422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اصناف لوث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مسائلى مربوطه به لوث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كمّيت و كيفيّت قسامه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قسامه در قتل نفس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عدد قسم و كمى و زيادى افراد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كيفيّت حلف قسامه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كيفيّت يمين مدّعىٰ عليه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اتحاد كيفيّت حلف بين طايفه مدّعىٖ و مدّعىٰ عليه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نكول مدّعى عليه از قسم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قسامه در اعضا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عدد قسامه در اعضا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قسامه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قسامۀ كافر بر مسلم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قسامه در عبد و اَمه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قسامۀ مرتدّ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امور معتبره در قسامه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مقصد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احكام قسامه است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آن چه به سبب قسامه ثابت مى شود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ادّعاى قتل دو نفر و بودن لوث در يكى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ثابت بودن لوث و غيبت يكى از دو ولىّ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غيبت بعضى از ورثه و حضور برخى از آنها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حضور غايب و تصديق و عدم تصديق او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تكذيب اوليا يكديگر را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فوت ولى قبل از حلف و يا در اثناى آن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قيام بيّنه بر غايب بودن در زمان مدّعىٰ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اگر ولى نسبت به ديه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اقرار به قتل توسط شخصى بعد از قسامه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حبس متهم به قتل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استيفا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عدول از قصاص به ديه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مطالبۀ بذل ديه يا امتناع از بذل ديه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رضايت ولى به بيش از ديه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شرط قصاص در مورد سرايت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وارث قصاص و ديه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اعتبار اذن امام يا شركا، در اجراى قصاص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قصاص نفس يا طَرَف، با آلت مسمومه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كيفيت اجراى قصاص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آلت قصاص و مسأله ديه قصاص در اطاله و تعذيب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قصاص پناهندۀ به حرمين، مشاهد، مساجد يا ملك ديگران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پناه گرفتن مستوجب قصاص به ملك ديگران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اجرت استيفاى قصاص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اگر قصاص در طرف، سرايت به نفس نمود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اشتراك نفس و طرف، در شروط و موانع قصاص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عدم اعتبار اذن شركا در قصاص و جواز مبادرت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اگر ولىّ قصاص مجنون يا صغير باشد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اگر بعضى از اوليا از قصاص عفو نمايند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اقرار يكى از دو شريك بر عفو ديگرى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بعضى از انحاى مشاركت در قتل </w:t>
      </w:r>
      <w:r>
        <w:rPr>
          <w:rFonts w:eastAsia="Amiri" w:cs="Amiri" w:ascii="Amiri" w:hAnsi="Amiri"/>
          <w:color w:val="111111"/>
          <w:sz w:val="28"/>
          <w:szCs w:val="28"/>
          <w:lang w:bidi="ar-SA"/>
        </w:rPr>
        <w:t>437</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قصاص براى مفلَّس و سفيه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مقتول مديون بود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اگر مديون مقتول به عمد شد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كشته شدن جماعتى توسط يك نفر به تعاقب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قتل دفعى چند نفر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قتل خطايى جانى توسط اجنبى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توكيل براى قصاص و تفريعات عزل وكيل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عدم قصاص از حامل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تعقّب قتل بر قطع دست ديگرى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قطع دو دست و سرايت به نفس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فرض ديگر سرايت توسط ذمى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سرايت قطع دست به نفس بعد از قصاص قاطعه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سرايت دو دست به نفس بعد از قصاص قاطع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ثبوت ديه بر حسب صلح و عدم توقف قصاص نفس بر ردّ ديۀ قطع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اگر قاتل به عمد در فرار و مثل آن بميرد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فوت مجنىٌّ عليه به وسيله سرايت بعد از قصاص قاطع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عفو قاطع يد و قتل مقطوع اليد توسط قاطع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ضرب شديد جانى توسط ولىّ مقتول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طرف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موجِب قصاص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مباشرت و تسبيب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شروط معتبره در قصاص طَرَف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اشتراط تساوى در كمال يا اكمليّت مجنىٌّ عليه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اشتراط انتفاى ابوت در جانى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عدم اعتبار مساوات در ذكورت و انوثت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احكام ذمى و عبد در مقام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اعتبار تساوى در سلامت در قصاص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لزوم مراجعه به خبره براى عدم سرايت در قصاص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مراد از شلل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عدم لزوم تساوى در سلامت مطلقه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شلل داشتن بعضى از انگشتان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اعتبار تساوى در محل با امكان، در قصاص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مقطوع نمودن دست و پاهاى جماعتى به تعاقب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آن چه در شجاج و عمق معتبر است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عدم قصاص در موارد خوف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قصاص قبل از اندمال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قصاص در جراحتها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جراحت زيادتى بر استحقاق و ضمان آن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لزوم اقتصار بر مقدار مساحت جراحت حتى با استيعاب در مجنىّ عليه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اگر سر جانى بزرگتر مجنىّ عليه باشد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اگر جراحت در يك طرف مخصوص باشد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اگر سر جانى صغير باشد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تعدد جنايت سر و وجه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تأخير براى شدت سرما يا گرما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آلتى كه با آن قصاص صورت مى گيرد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اجتماع موضحه با غير يا دو موضحه يا متلاحمه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وصل نمودن عضو بعد از قصاص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قصاص در چشم </w:t>
      </w:r>
      <w:r>
        <w:rPr>
          <w:rFonts w:eastAsia="IRNazanin" w:cs="IRNazanin"/>
          <w:color w:val="111111"/>
          <w:sz w:val="28"/>
          <w:szCs w:val="28"/>
          <w:lang w:bidi="fa-IR"/>
        </w:rPr>
        <w:t>453</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آوردن چشم شخص يك چشمى توسط سالم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3965" w:name="pg10275_97140"/>
    </w:p>
    <w:p>
      <w:pPr>
        <w:pStyle w:val="BookText"/>
        <w:rPr/>
      </w:pPr>
      <w:bookmarkEnd w:id="3965"/>
      <w:r>
        <w:rPr>
          <w:rFonts w:ascii="IRNazanin" w:hAnsi="IRNazanin" w:eastAsia="IRNazanin"/>
          <w:color w:val="111111"/>
          <w:sz w:val="28"/>
          <w:sz w:val="28"/>
          <w:szCs w:val="28"/>
          <w:rtl w:val="true"/>
          <w:lang w:bidi="fa-IR"/>
        </w:rPr>
        <w:t xml:space="preserve">عدم اضرار عيب چشم به قصاص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كور نمودن بدون در آوردن چشم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قصاص در موى سر و ريش و ابرو و مژه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قصاص در آلت رجوليّت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قصاص در مورد فرج زن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قصاص در مورد آلات خنثى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اگر مرد بودن مجنىّ عليه معلوم شود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اگر زن بودن مجنىّ عليه معلوم شود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اگر جانى خنثى باشد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قصاص در اليتين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قصاص در عضو مجذوم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قصاص در بينى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قصاص در گوش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قصاص در دندان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اخبار اهل خبره به رويش يا عدم رويش دندان كنده شده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رويش دوبارۀ دندان قصاص شده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اعتبار تساوى محل در قصاص دندان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قصاص در انگشتها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اگر ناقصى، دست كاملى را قطع نمايد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اگر جنايت به انگشت سرايت به كف دست نمايد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فروض مختلف قطع دست و نحوۀ قصاص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فروع مختلف انگشت اضافى در جانى يا مجنى عليه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قصاص دست چپ به جاى دست راست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مضمونيّت جنايت سرايت به نفس با فرض مضمونيّت در طرف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فوت مجنىٌّ عليه بعد از قطع دست و پا و فروع اختلاف در آن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ادّعاى اندمال قطع، توسط جانى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فرض تقدم قول جانى در اختلاف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اختلاف در عيب از جهت مادرزادى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ادّعاى صغير بودن در وقت جنايت، توسط جانى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ادّعاى جنون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اختلاف در تعداد موضحه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قتل معهود الكفريه او الرقيّه و ادّعاى اسلام و يا حريّت توسط ولى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پيدايش خوره بعد از مداواى انگشت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تعاقب قطع دست راست شخصى بر قطع انگشت ديگرى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عفو قبل از اندمال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لوازم انحاى مختلف عفو از جنايت يا قصاص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اختلاف در نحوۀ عفو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فرعى در جنايت عبد بر حرّ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ابراى مؤثّر و غير مؤثّر </w:t>
      </w:r>
      <w:r>
        <w:rPr>
          <w:rFonts w:eastAsia="Amiri" w:cs="Amiri" w:ascii="Amiri" w:hAnsi="Amiri"/>
          <w:color w:val="111111"/>
          <w:sz w:val="28"/>
          <w:szCs w:val="28"/>
          <w:lang w:bidi="ar-SA"/>
        </w:rPr>
        <w:t>471</w:t>
      </w:r>
    </w:p>
    <w:p>
      <w:pPr>
        <w:pStyle w:val="Heading3"/>
        <w:numPr>
          <w:ilvl w:val="2"/>
          <w:numId w:val="1"/>
        </w:numPr>
        <w:rPr/>
      </w:pPr>
      <w:bookmarkStart w:id="3966" w:name="__RefHeading___Toc3974373_1067777946"/>
      <w:bookmarkStart w:id="3967" w:name="_Toc1694"/>
      <w:bookmarkEnd w:id="3966"/>
      <w:r>
        <w:rPr>
          <w:rtl w:val="true"/>
        </w:rPr>
        <w:t>كتاب ديات</w:t>
      </w:r>
      <w:bookmarkEnd w:id="396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قتل و مقدار ديه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مراد از ديه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قتل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اقسام ديه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ديۀ قتل عمدى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اختيار تعيين با قاتل است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ديۀ عمد از مال جانى است و در يك سال وصول مى شود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مبدء سال اخذ ديه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تغليظ ديۀ عمد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اناطۀ اكتفاى به بذل قيمت سوقيه به تراضى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ديۀ شبيه به عمد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اگر جانى ديۀ شبيه به عمد را نداشته باشد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زمان اداى ديه در شبه عمد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بعض فروع اختلاف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ديه خطأ محض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زمان استيفاى ديه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ثبوت ديۀ خطاى محض بر عاقله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موارد تغليظ 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ماههاى حرام، حرم الهى و نبوى و مشاهد مشرفه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رمى در حل يا حرم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پناه آوردن جانى به حرم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الحاق مشاهد مشرفه و مساجد به حرم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ديۀ زن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خنثاى مشكل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فرق مختلفه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ديۀ ذمى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جريان تغليظ ديه در ذمّى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عدم ديه بر غير اهل ذمه و كتاب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ديۀ مملوك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عدم ضمان مولى بر جنايت عبد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ضمان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ضمان به مباشرت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ضمان زوج و اب و معلم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ضمان طبيب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عدم ضمان با اخذ برائت و اذن طبيب حاذق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عدم ضمان در مجرد اخبار طبيب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جواز اقسام معالجات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معالجه به آن چه در غير معالجه جايز نيست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تلف مستند به انقلاب نائم غير ظئر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اتلاف يكى از زوجين توسط ديگرى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اصابت كالاى محموله به انسانى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وفات مستند به صيحه و فرياد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ترساندن حامل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ضربه به قصد كشتن شخصى و كشته شدن ديگرى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تصادم دو نفر به همديگر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بودن تجاذب در حكم تصادم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تصادم دو دابّه بعد از مقلوبيّت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تصادم دو حامل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ديۀ كسى كه از بين تيراندازها عبور مى كند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اگر كسى را به تيراندازها نزديك كند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ضمان ختّان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كسى كه از بلندى بر ديگرى سقوط كند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تحريك حمل كننده چيزى و افتادن آن چيز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ضمان دعوت كننده در شب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منكر شدن اهل طفل را بعد از آوردن توسط دايه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از بين رفتن طفل توسط افتادن دايه بر او </w:t>
      </w:r>
      <w:r>
        <w:rPr>
          <w:rFonts w:eastAsia="Amiri" w:cs="Amiri" w:ascii="Amiri" w:hAnsi="Amiri"/>
          <w:color w:val="111111"/>
          <w:sz w:val="28"/>
          <w:szCs w:val="28"/>
          <w:lang w:bidi="ar-SA"/>
        </w:rPr>
        <w:t>494</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محقق روايتى را بر دخول سارق بر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اسباب موجبۀ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به 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معناى سبب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تلف به وسيله گذاردن سنگى در ملك خود يا معبر عام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سنگى كه سيل آن را آورده باشد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حفر چاه در كنار سنگ سيل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سقوط ضمان از حافر با لحوق به رضاى مالك قبل از سقوط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عدم ضمان براى مصلحت عابرين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عدم ضمان با اذن اهل اذن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بناى مسجد در طريق مسلمين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ضمان معلم شنا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كشته شدن يكى از ده نفر پرتاب كننده سنگ با همان سنگ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تصادف دو كشتى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قصد تصادم بدون قتل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جريان حكم مذكور در دو حمّال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تلف تمامى اموال در فرض مذكور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اگر محرك كشتى غاصب باشند و همه اموال تلف شود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عدم ضمان در فرض امين بودن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اگر محرك كشتى طفل يا مجنون باشد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فرض عدم تفريط در محرك كشتى ها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اگر كشتى در اثر اقدام بر اصلاح آن غرق شود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فرض عدم ضمان در خراب شدن ديوار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فرض ضمان در خراب شدن ديوار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اگر ديوار خراب شده مال طفل يا مجنون باشد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چند فرع ديگر در خراب شدن ديوار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قرار دادن ناودان در راه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اگر در ملك خود آتشى بيفروزد و چيزى تلف شود از غير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اگر در ملك غير يا در راه عمومى آتش افروخت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اگر فضلات مركوب شخصى موجب اتلاف شود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نسيان و غفلت در فرض ضمان به عدوان شأنى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رعايت مماثلت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عدم ضمان با عدم عدوان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بناى دكان در معبر عام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حكم تلف به وسيله ظرف روى ديوار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وجوب نگهدارى حيوان در بعضى وقت ها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عدم ضمان در مقام دفع حيوان درنده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لزوم حفظ گربه اگر درنده شود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اگر حيوان كسى بر حيوان ديگرى آسيب بزند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اگر سگ خانه اى، واردِ بر آن خانه را بِدَرَد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تفصيل بين راكب و سايق دابه در ضمان بر دست و پاى دابّه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عدم مانعيّت نسيان و غفلت از ضمان به تفريط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تلف شدن شخصى در اثر زدن به دابّه </w:t>
      </w:r>
      <w:r>
        <w:rPr>
          <w:rFonts w:eastAsia="IRNazanin" w:cs="IRNazanin"/>
          <w:color w:val="111111"/>
          <w:sz w:val="28"/>
          <w:szCs w:val="28"/>
          <w:lang w:bidi="fa-IR"/>
        </w:rPr>
        <w:t>507</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وحدت و تعدد سائق ها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فرض ضمان صاحب دابّه و عدم ضمان راكب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ضمان مملوك سواره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داخل شدن حيوان در زراعت كسى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موجبات ضمان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ثبوت ضمان بر مباشر در صورت اقوى بودن آن از سبب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فرض غرور مباشر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حفر چاه در ملك خود و دعوت غير و افتادن وى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اجتماع دو سبب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اجتماع غرض نافع و حفر مهلك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گذارنده سنگ در معبر و حركت دهندۀ آن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سقوط دو نفر در حفره اى و تأثير اجتماع در هلاك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حفظ كشتى مال را در دريا بيندازد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انداختن كالاى ديگرى در دريا براى خوف از هلاك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عدم ضمان در فرض از بين بردن كالاى كسى براى حفظ آن شخص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كالاى خود را به دريا بينداز من و همه ضامن هستيم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عدم خروج عين مضمونه از ملك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افتادن چهار نفر در حفرۀ شير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كشيدن كسى به طرف چاه و افتادن او و خود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تعدّد افراد در فرض مذكور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گرفتن كسى براى نجات خود و هلاك همه در چاه حفرشدۀ عدواناً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سقوط كسى در چاه بر ديگرى و هلاك اوّلى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فرض استناد تمام تأثير به وقوع دوّمى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ضمان بر دافع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چند فرض ديگر مسأله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جنايت بر اطراف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ديۀ اعضا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آن چه در آن ديه مقدّر شده است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روييدن تمام يا بعض مو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اعتبار به قول خبره در رويش مو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ديۀ موى سر زن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ازالۀ موى ابرو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ديۀ ازالۀ پلك چشم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موى دست و بازو و ساق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لحيۀ خنثى و زن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حلق عانه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ديۀ پلكها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عدم تداخل در كندن اجفان و چشم ها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اجفان بى اثر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ديۀ چشم صحيح اعور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ديۀ چشم فاسد اعور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بينى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شكسته شدن بينى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سوراخ كردن بينى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وارد شدن چاقو و امثال آن به نرمى بينى </w:t>
      </w:r>
      <w:r>
        <w:rPr>
          <w:rFonts w:eastAsia="IRNazanin" w:cs="IRNazanin"/>
          <w:color w:val="111111"/>
          <w:sz w:val="28"/>
          <w:szCs w:val="28"/>
          <w:lang w:bidi="fa-IR"/>
        </w:rPr>
        <w:t>523</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مشلول كردن بينى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استيصال روثه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قطع منخر و حاجز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وارد شدن ضربه به بينى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سوراخ نمودن بينى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قطع بينى و باقى مانده پوست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پاره نمودن گوش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پيدايش موضحه يا افساد پرده گوش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خشك شدن گوش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لب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ديۀ بعض لب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تعيين حدّ لب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از فايده افتادن لب يا شلل آن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شكافته شدن لب </w:t>
      </w:r>
      <w:r>
        <w:rPr>
          <w:rFonts w:eastAsia="Amiri" w:cs="Amiri" w:ascii="Amiri" w:hAnsi="Amiri"/>
          <w:color w:val="111111"/>
          <w:sz w:val="28"/>
          <w:szCs w:val="28"/>
          <w:lang w:bidi="ar-SA"/>
        </w:rPr>
        <w:t>527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قطع بعض زبان لال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ادّعاى ابكم بودن توسط جانى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قطع بعض زبان سالم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تعداد حروف معجم و تقسيم ديه بر آن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سرعت نطق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نقص يا سختى تكلّم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عدم اعتبار به مساحت با تعيّن ديۀ حرف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اعتبار در اختلاف قطع و ذهاب حروف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حكم جنايت لاحقه بر اُولى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اعتبار به نطق در اثبات تمام ديه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حروف شفويه و حلقيّه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كسى كه از اول نقص تكلم داشته باشد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زبان طفل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اختلاف مجنىّ عليه و جانى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زايل شدن كلام يا بعض آن به جنايت به غير قطع زبان و عود آن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عود نطق در قطع زبان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عدم استعاده ديه در روييدن دندان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قطع يك طرف زبان با قدرت كامل طرف ديگر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اگر كمى از حروف، منطوق باشد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تبديل حرفى به حرف ديگر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ازاله فصاحت در بعض حروف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ازاله فصاحت در بعض حروف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نقص بعض حروف به وسيله جنايت بر غير زبان </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دندان ها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مورد ثبوت ارش در دندان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ساقط شدن دندان و معلوم نشدن اصالت آن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اگر دندانها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يا بيشتر باشد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اختلاف رنگ دندان، و تغيير رنگ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شكاف دار شدن دندان يا شكسته شدن جاى ديگر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صبر تا يك سال براى روييدن دندان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اگر دندان دوباره نصب شد يا روييد يا ترميم شد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عدم تأثير كوتاهى و بلندى دندان در ديه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كنده شدن دندان معيوب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از بين رفتن بعض دندان ناقص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اختلاف در قدر شكسته شده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كندن دندان شكسته شدۀ توسط كسى </w:t>
      </w:r>
      <w:r>
        <w:rPr>
          <w:rFonts w:eastAsia="Amiri" w:cs="Amiri" w:ascii="Amiri" w:hAnsi="Amiri"/>
          <w:color w:val="111111"/>
          <w:sz w:val="28"/>
          <w:szCs w:val="28"/>
          <w:lang w:bidi="ar-SA"/>
        </w:rPr>
        <w:t>536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چانه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قطع دست با انگشت يا فقط انگشت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قطع كف بدون انگشت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قطع شدن چيزى از زند يا مرفق با دست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حكم قطع دست اضافى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ذراع بى كف، عضد بى ذراع، كف بدون انگشت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انگشتهاى دست و پا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انگشت كم يا اضافه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انگشت شلل دار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ناخن </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استخوانهاى پشت </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نخاع </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پستان </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حشفه و زايد بر آن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بعض حشفه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خرابى در مجراى بول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آلت عنّين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مبتلا به شلل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قطع نصف در طول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قطع آلت خنثىٰ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خصيتين </w:t>
      </w:r>
      <w:r>
        <w:rPr>
          <w:rFonts w:eastAsia="Amiri" w:cs="Amiri" w:ascii="Amiri" w:hAnsi="Amiri"/>
          <w:color w:val="111111"/>
          <w:sz w:val="28"/>
          <w:szCs w:val="28"/>
          <w:lang w:bidi="ar-SA"/>
        </w:rPr>
        <w:t>542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شفران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ديۀ افضا </w:t>
      </w:r>
      <w:r>
        <w:rPr>
          <w:rFonts w:eastAsia="Amiri" w:cs="Amiri" w:ascii="Amiri" w:hAnsi="Amiri"/>
          <w:color w:val="111111"/>
          <w:sz w:val="28"/>
          <w:szCs w:val="28"/>
          <w:lang w:bidi="ar-SA"/>
        </w:rPr>
        <w:t>543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اليتين </w:t>
      </w:r>
      <w:r>
        <w:rPr>
          <w:rFonts w:eastAsia="Amiri" w:cs="Amiri" w:ascii="Amiri" w:hAnsi="Amiri"/>
          <w:color w:val="111111"/>
          <w:sz w:val="28"/>
          <w:szCs w:val="28"/>
          <w:lang w:bidi="ar-SA"/>
        </w:rPr>
        <w:t>544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قطع انگشتان پا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پاى زايد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استخوانهاى نزديك قلب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شكسته شدن استخوان نشيمن گاه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ديه شكستن استخوان هر عضوى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كوبيده شدن هر عضوى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كندن و جدا شدن استخوان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استخوانهاى ترقوه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شكافتن، ادخال موضحه، نقل استخوان و سوراخ نمودن آن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كوبيدن به شكم و خارج شدن غير اختيارى بول يا غايط از آن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ازالۀ بكارت با انگشت </w:t>
      </w:r>
      <w:r>
        <w:rPr>
          <w:rFonts w:eastAsia="IRNazanin" w:cs="IRNazanin"/>
          <w:color w:val="111111"/>
          <w:sz w:val="28"/>
          <w:szCs w:val="28"/>
          <w:lang w:bidi="fa-IR"/>
        </w:rPr>
        <w:t>547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جنايت بر منافع </w:t>
      </w:r>
      <w:r>
        <w:rPr>
          <w:rFonts w:eastAsia="Amiri" w:cs="Amiri" w:ascii="Amiri" w:hAnsi="Amiri"/>
          <w:color w:val="111111"/>
          <w:sz w:val="28"/>
          <w:szCs w:val="28"/>
          <w:lang w:bidi="ar-SA"/>
        </w:rPr>
        <w:t>547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ديۀ ازالۀ عقل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اجتماع قطع بعض بدن و ازالۀ عقل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لزوم صبر تا يك سال براى كسى كه عقلش زايل شده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عود و زوال عقل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اختلاف بين جانى و مجنىّ عليه در زوال عقل </w:t>
      </w:r>
      <w:r>
        <w:rPr>
          <w:rFonts w:eastAsia="Amiri" w:cs="Amiri" w:ascii="Amiri" w:hAnsi="Amiri"/>
          <w:color w:val="111111"/>
          <w:sz w:val="28"/>
          <w:szCs w:val="28"/>
          <w:lang w:bidi="ar-SA"/>
        </w:rPr>
        <w:t>548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بين رفتن شنوايى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از بين رفتن شنوايى يك گوش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نحوۀ امتحان شنوايى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از بين رفتن شنوايى و در نتيجه تكلّم طفل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از بين رفتن روشنايى چشم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حدقۀ چشم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جنايت بر روشنايى چشم </w:t>
      </w:r>
      <w:r>
        <w:rPr>
          <w:rFonts w:eastAsia="IRNazanin" w:cs="IRNazanin"/>
          <w:color w:val="111111"/>
          <w:sz w:val="28"/>
          <w:szCs w:val="28"/>
          <w:lang w:bidi="fa-IR"/>
        </w:rPr>
        <w:t>550</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 روشنايى و اختلاف در آن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ادّعاى از بين رفتن روشنايى با سلامت ظاهرى چشم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از بين بردن روشنايى چشم توسط شخصى و كندن آن توسط ديگرى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اختلاف در مفروض مسأله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امتحان در فرض ادّعاى نقصان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بعض شرايط امتحان چشم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نديدن چشم در شب يا روز </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بين رفتن حس بويايى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امتحان بويايى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عود بويايى بعد از گرفتن ديه يا زمان موقّت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بين رفتن حس چشايى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تعذّر انزال يا قطع نسل يا عدم بلعيدن به وسيلۀ جنايت </w:t>
      </w:r>
      <w:r>
        <w:rPr>
          <w:rFonts w:eastAsia="Amiri" w:cs="Amiri" w:ascii="Amiri" w:hAnsi="Amiri"/>
          <w:color w:val="111111"/>
          <w:sz w:val="28"/>
          <w:szCs w:val="28"/>
          <w:lang w:bidi="ar-SA"/>
        </w:rPr>
        <w:t>554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ابتلا به سلس بول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تتمه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ديه ازالۀ صوت </w:t>
      </w:r>
      <w:r>
        <w:rPr>
          <w:rFonts w:eastAsia="Amiri" w:cs="Amiri" w:ascii="Amiri" w:hAnsi="Amiri"/>
          <w:color w:val="111111"/>
          <w:sz w:val="28"/>
          <w:szCs w:val="28"/>
          <w:lang w:bidi="ar-SA"/>
        </w:rPr>
        <w:t>555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ديات شجاج و جراح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پاره شدن پوست بدون خارج شدن خون </w:t>
      </w:r>
      <w:r>
        <w:rPr>
          <w:rFonts w:eastAsia="IRNazanin" w:cs="IRNazanin"/>
          <w:color w:val="111111"/>
          <w:sz w:val="28"/>
          <w:szCs w:val="28"/>
          <w:lang w:bidi="fa-IR"/>
        </w:rPr>
        <w:t>555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يك 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بين مرد و زن در تقدير اين ديه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ديۀ زخم داخل گوشت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اظهر مغايرت آن است با حارصه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عبارت از دخول جرح در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زخمى كه عمق آن زياد باشد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زخمى كه پوست نازك روى استخوان ظاهر شود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زخمى كه استخوان سر يا روى معلوم شود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اعتبار در تعدّد ديه به عمق جراحت است نه عرض و طول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تعدّد موضحه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اختلاف مقادير عميقۀ يك زخم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جراحت با شكسته شدن استخوان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جراحت موجب نقل استخوانهاى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جراحتى كه به كيسۀ دماغ برسد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شكافته شدن كيسه دماغ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اشاره به دو مسأله اى كه گذشت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جراحت جائفه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درون رسيده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جرح در موضعى كه خودش مستقلاً ديه داشت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داخل كردن كارد در محل اجافه توسط ديگرى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ايضاح توسط يكى و اجافه توسط ديگرى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فرو كردن كارد در اعضاى باطنۀ ظاهر شده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بيرون ريختن اعضاى باطنى بعد از اجافۀ ديگرى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پاره نمودن محل جراحتِ دوخته شده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دو فرض تعدد جائفه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جراحت نافذه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جنايتى كه در آن زخم و شكستن نباشد مانند باد كردن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ديۀ سرخ شدن و تغيير رنگ صورت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تغيير رنگ اعضاى ديگر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مشلول كردن عضوى كه ديۀ مقدره دارد و قطع مشلول </w:t>
      </w:r>
      <w:r>
        <w:rPr>
          <w:rFonts w:eastAsia="Amiri" w:cs="Amiri" w:ascii="Amiri" w:hAnsi="Amiri"/>
          <w:color w:val="111111"/>
          <w:sz w:val="28"/>
          <w:szCs w:val="28"/>
          <w:lang w:bidi="ar-SA"/>
        </w:rPr>
        <w:t>561</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تساوى ديۀ اقسام شجاج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تساوى زن با مرد در ديۀ اعضاى و جراحات تا ثلث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رابطه ديۀ مرد مسلمان با زن و ذمّى و ذميّه و عبد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مراد از اتحاد موضعى كه ارش در آن ثابت است با حكومت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مقتولى كه ولىّ خاص ندارد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ديۀ جنين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ديۀ جنين محكوم به اسلام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جنين ذمّى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جنين مملوكه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تعدّد حمل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اسقاط بعد از ولوج روح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حكم مراتبى كه ديۀ مقدّره ندارد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ديۀ زن و حمل او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زنى كه حمل خود را اسقاط نمايد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كسى كه حامل را بترساند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وارث ديۀ جنين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ديۀ اعضاى جنين و جراحات او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ديۀ افزاع حين الجماع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اعتبار به وقت جنايت مضمونه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جنينى كه يكى از والدين او ذمى و ديگرى وثنى است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اسقاط جنين از مرتدّه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ثبوت ديۀ ضرب خطايى بر عاقله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چند فرض ديگر اختلاف جانى و ولىّ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فوت زن بعد از القاى جنين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القاى جنين به وسيله شخصى و قتل به وسيله ديگرى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فرض تعيين والد به وسيلۀ قرعه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چند فرع دربارۀ القاى عضو جنين يا خود آن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ديۀ جنين در عمد و شبه عمد و خطا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ديۀ جنايت بر ميّت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ديۀ قطع سر ميّت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ديات مترتب بر ميّت صرف در وجوه خير مى شود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آن چه به قطع رأس الحاق مى شود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ديۀ جنايت بر حيوان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جنايت بر حيوان مأكول اللحم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اتلاف مأكول اللحم بدون اذن با تذكيه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اتلاف بدون تذكيه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صدمه به اعضاى حيوان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جنايت بر حيوان غير مأكول قابل تذكيه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اتلاف به غير تذكيه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اتلاف محلّل الأكل كه عادتاً مأكول نيستند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جنايت بر حيوان غير مأكول غير قابل تذكيه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جنايت بر انواع كلب و حكم هر يك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اتلاف غير كلب و حكم هر يك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اگر جانى خود غاصب باشد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ايجاد نقص در كلب مغصوب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اتلاف خمر يا آلت لهو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اگر بهايم مملوكه، زراعتى را فاسد نمودند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كفارۀ قتل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كفّاره انواع قتل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اختصاص كفاره به قتل مسلم </w:t>
      </w:r>
      <w:r>
        <w:rPr>
          <w:rFonts w:eastAsia="Amiri" w:cs="Amiri" w:ascii="Amiri" w:hAnsi="Amiri"/>
          <w:color w:val="111111"/>
          <w:sz w:val="28"/>
          <w:szCs w:val="28"/>
          <w:lang w:bidi="ar-SA"/>
        </w:rPr>
        <w:t>578</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كشتن مسلمى در دار الحرب عمداً يا خطاءً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توزيع كفاره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دو مورد عدم سقوط كفاره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حكم كفّاره بعد از قصاص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اگر قاتل مسلم صبى يا مجنون باشد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سقوط كفّاره از كافر به واسطۀ اسلام آوردن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قتل مباح القتل بدون اذن امام و نائب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تصادم دو حامل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عاقله و كيفيت توزيع ديه بر عاقله </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عاقله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ديه اى كه با صلح و تراضى يا انتفاى بعض شروط قصاص ثابت مى شود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ديه قاتل متعمّد فرارى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ديه شبه عمد و خطأ محض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تعيين عاقله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تعيين عصبه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تعيين مُعتِق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عدم تحمّل عاقله غير ديۀ موضحه و بالاتر از آن را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ضمان عاقله ديۀ خطأ را و مدّت استيفاى آن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عدم ثبوت ديه بر عاقله به سبب اقرار جانى و صلح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عدم ثبوت ديه بر عاقله در جنايت عمدى و وجود قاتل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حكم جنايت غير عمدى ذمّى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حكم جنايت صبىّ و مجنون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حكم جنايت غير عمدى مملوك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نوبت عقل ضامن جريره و امام </w:t>
      </w:r>
      <w:r>
        <w:rPr>
          <w:rFonts w:eastAsia="Amiri" w:cs="Amiri" w:ascii="Amiri" w:hAnsi="Amiri"/>
          <w:color w:val="111111"/>
          <w:sz w:val="28"/>
          <w:szCs w:val="28"/>
          <w:lang w:bidi="ar-SA"/>
        </w:rPr>
        <w:t>585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توزيع ديه بر عاقله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ثبوت ضمان ابتدائى براى عاقله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تعيين مقدار استحقاق بر افراد عاقله توسط حاكم يا عدول مؤمنين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تقديم اقرب در توزيع عاقله بر آنها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اگر استيفاء تمام ديه از عصبه ممكن نبود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مراتب عاقله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صورت توانايى و عجز عاقله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اگر عاقله بيشتر از ديه باشد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اگر بعضى از افراد عاقله غائب و يا دور باشند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ابتداء تأجيل مدّت در قتل غير عمدى و جنايت بر اعضا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تعيّن زمان ضرب اجل بدون نياز به تعيين وقت توسط حاكم يا عدول مؤمنين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حكم موت تمكّن از اداء بعد و يا در اثناى حول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اگر عاقله، غائب يا عاجز بود و يا عاقله نداشت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صُوَر مختلف استيفاى ديۀ عمد و شبه آن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لزوم احراز نسبت از طريق آباء با قاتل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حكم اقرار به بنوّت طفل صغير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حكم ديه اگر پدر فرزندش را بكشد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عدم ثبوت ضمانت جنايت عبد و بهيمه بر عاقله </w:t>
      </w:r>
      <w:r>
        <w:rPr>
          <w:rFonts w:eastAsia="Amiri" w:cs="Amiri" w:ascii="Amiri" w:hAnsi="Amiri"/>
          <w:color w:val="111111"/>
          <w:sz w:val="28"/>
          <w:szCs w:val="28"/>
          <w:lang w:bidi="ar-SA"/>
        </w:rPr>
        <w:t>590</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صورت ديگر كه عاقله ضامن جنايت نيستند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بذل ضامن يا رهن يا عوض نمايد در خارج از اين مدّت، چنانچه فرموده اند؛ لكن اكتفاى به هرچه ميسور و بى ضرر باشد وصول به مقصود به آن، خالى از وجه نيست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معتبر است در تملك به احيا، كه زمين، محكوم به ملكيّت يا استحقاق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به كاشفيت يد از آنها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چه آن كه سبب يد احيا يا تحجير يا شراء يا نحو آنها باشد؛ مادام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فساد يد و عدوانى بودن آن حاصل نباشد و در غير اين صورت احياى عدوانى موجب تملك نمى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شروط، اين كه حريم عامرى نباشد؛ با اختلاف مرافق و حريم، به اختلاف معموره هاى خاص، به سبب اختلاف حاجت در آن موارد، مثل حاجت به محلّ دوابّ و اسباب جريان آب به آنجا و راه رفت و آمد به آن محلّ‌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بالكن و ايوان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ناودان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كوچۀ بن بست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اللقطة،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المعظّم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المشهد المقدّس الرضوىّ عليه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ضرر بدون استحقاق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تخرج أخشاباً إلى الدرب و تبنى عليها و تجعل لها قوائم من اسفل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بين حائطين تحتها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شدن بدون استوا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ازهرى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قفيز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مكوك؛ مكوك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كيلجه؛ كيلجه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 منّ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منّ‌؛ و منّ دو رطل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image" Target="media/image2.jpeg"/><Relationship Id="rId629" Type="http://schemas.openxmlformats.org/officeDocument/2006/relationships/image" Target="media/image2.jpeg"/><Relationship Id="rId630" Type="http://schemas.openxmlformats.org/officeDocument/2006/relationships/footer" Target="footer623.xml"/><Relationship Id="rId631" Type="http://schemas.openxmlformats.org/officeDocument/2006/relationships/footnotes" Target="footnotes.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692</Pages>
  <Words>24966</Words>
  <Characters>84465</Characters>
  <CharactersWithSpaces>107331</CharactersWithSpaces>
  <Paragraphs>2179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2026-08-21T04:33:24Z</dcterms:created>
  <dc:creator>ghaemiyeh.com</dc:creator>
  <dc:description/>
  <dc:language>en-US</dc:language>
  <cp:lastModifiedBy/>
  <dcterms:modified xsi:type="dcterms:W3CDTF">2026-08-21T08:03:42Z</dcterms:modified>
  <cp:revision>1</cp:revision>
  <dc:subject/>
  <dc:title>جامع المسائل تعلیق و شرح بر ذخیرة العباد نوشته علامه محقق شیخ محمدحسین غروی اصفهانی قدس سره و تکمیل آن تا پایان فقه جلد 5</dc:title>
</cp:coreProperties>
</file>

<file path=docProps/custom.xml><?xml version="1.0" encoding="utf-8"?>
<Properties xmlns="http://schemas.openxmlformats.org/officeDocument/2006/custom-properties" xmlns:vt="http://schemas.openxmlformats.org/officeDocument/2006/docPropsVTypes"/>
</file>